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方正小标宋_GBK" w:eastAsia="方正小标宋_GBK"/>
          <w:spacing w:val="-10"/>
          <w:sz w:val="36"/>
          <w:szCs w:val="36"/>
        </w:rPr>
      </w:pPr>
      <w:bookmarkStart w:id="1" w:name="_GoBack"/>
      <w:bookmarkEnd w:id="1"/>
      <w:r>
        <w:rPr>
          <w:rFonts w:hint="eastAsia" w:ascii="方正小标宋_GBK" w:eastAsia="方正小标宋_GBK"/>
          <w:spacing w:val="-10"/>
          <w:sz w:val="36"/>
          <w:szCs w:val="36"/>
        </w:rPr>
        <w:t>西安市鄠邑区2019—2020年秋冬季大气污染综合治理攻坚行动方案措施任务表</w:t>
      </w:r>
    </w:p>
    <w:tbl>
      <w:tblPr>
        <w:tblStyle w:val="3"/>
        <w:tblW w:w="14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72"/>
        <w:gridCol w:w="1842"/>
        <w:gridCol w:w="1305"/>
        <w:gridCol w:w="6095"/>
        <w:gridCol w:w="1418"/>
        <w:gridCol w:w="1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类别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重点</w:t>
            </w:r>
          </w:p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工作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主要任务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完成时限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具体措施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牵头单位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配合单位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/>
                <w:sz w:val="22"/>
              </w:rPr>
              <w:t>产业结构调整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/>
                <w:sz w:val="22"/>
              </w:rPr>
              <w:t>产业布局调整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△</w:t>
            </w:r>
            <w:r>
              <w:rPr>
                <w:rFonts w:hint="eastAsia"/>
                <w:sz w:val="22"/>
              </w:rPr>
              <w:t>深入推进重污染行业产业结构调整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2020年1月底前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按照全面摸排、因地制宜、分类整治的原则，依照《产业结构调整指导目录(2019 年本)》，落实“标杆建设一批、改造提升一批、优化整合一批、淘汰退出一批”的总体要求，从生产工艺、产品质量、安全生产、产能规模、燃料类型、原辅材料替代、污染治理等方面制定工业领域传统产业升级改造、结构调整工作方案（2020年1月底前），细化分解任务，开展综合整治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区投资工信局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区发改委</w:t>
            </w:r>
          </w:p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</w:t>
            </w:r>
          </w:p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区市场监管局</w:t>
            </w:r>
          </w:p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区应急管理局</w:t>
            </w:r>
          </w:p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区交通局</w:t>
            </w:r>
          </w:p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区城管局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rFonts w:hint="eastAsia"/>
                <w:sz w:val="22"/>
              </w:rPr>
              <w:t>化工行业整治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长期坚持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在全区范围内开展是否存在化工企业大排查，发现一家、依法依规整治一家，禁止私自变更集中区使用属性。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区投资工信局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05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2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各镇街、景区管理局、园区管委会每月对辖区内工业集中区及大中型企业“厂中厂”内是否存在化工企业开展一次排查， 发现一家、依法依规整治一家。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各镇街、景区管理局、园区管委会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市生态环境局鄠邑分局依法做好相关执法配合工作。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/>
                <w:sz w:val="22"/>
              </w:rPr>
              <w:t>散乱污</w:t>
            </w:r>
            <w:r>
              <w:rPr>
                <w:sz w:val="22"/>
              </w:rPr>
              <w:t>”</w:t>
            </w:r>
            <w:r>
              <w:rPr>
                <w:rFonts w:hint="eastAsia"/>
                <w:sz w:val="22"/>
              </w:rPr>
              <w:t>企业和集群综合整治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* “</w:t>
            </w:r>
            <w:r>
              <w:rPr>
                <w:rFonts w:hint="eastAsia"/>
                <w:sz w:val="22"/>
              </w:rPr>
              <w:t>散乱污</w:t>
            </w:r>
            <w:r>
              <w:rPr>
                <w:sz w:val="22"/>
              </w:rPr>
              <w:t>”</w:t>
            </w:r>
            <w:r>
              <w:rPr>
                <w:rFonts w:hint="eastAsia"/>
                <w:sz w:val="22"/>
              </w:rPr>
              <w:t>企业综合整治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月底前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完成清单内“散乱污”企业分类整治，清理取缔类全部清零，改造提升类企业要挂牌生产、开门生产。完善“散乱污"企业动态管理机制，实行网格化管理，压实基层责任，全面完成年度整治任务(46+X)家。对新发现的“散乱污”企业，发现一起查处一起，保持动态清零。(X为本年度新摸排确定的“散乱污”企业数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区投资工信局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</w:t>
            </w:r>
          </w:p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市资源规划局鄠邑分局</w:t>
            </w:r>
          </w:p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区应急管理局</w:t>
            </w:r>
          </w:p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区市场监管局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长期坚持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△各镇街、景区管理局、园区管委会要进一步夯实网格化管理，落实镇街、园区属地管理责任，以农村、城乡结合部、行政区域交界等为重点，坚持边整边摸，所有提升改造企业要做到管理规范、生产时污处设施正常开启。对新发现的疑似“散乱污”企业，上报区“散乱污”整治小组，待“散乱污”整治小组分析研判并精准识别，定性后及时纳入台帐，分类实施整治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区投资工信局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各镇街、景区管理局、园区管委会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工业源污染治理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rFonts w:hint="eastAsia"/>
                <w:sz w:val="22"/>
              </w:rPr>
              <w:t>实施排污许可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月底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按照《陕西省关于做好全省固定污染源排污许可核发管理工作的通知》(陕环排管函(2019) 49 号)要求的66个行业和4个通用工序中已发布《排污许可证申请与核发技术规范》的行业核发排污许可证。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产业结构调整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工业源污染治理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</w:pPr>
            <w:r>
              <w:t>*</w:t>
            </w:r>
            <w:r>
              <w:rPr>
                <w:rFonts w:hint="eastAsia"/>
              </w:rPr>
              <w:t>实施排污许可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秋冬季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△对2017-2019 年应完成排污许可证核发的重点行业排污单位情况进行“回头看”，确保所有固定污染源排污许可证应发尽发，全部完成登记管理，纳入生态环境管理体系。同时，不间断开展执法检查，督促企业持证排污、按证排污，对无证排污单位依法依规责令停产停业。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产业结构调整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工业源污染治理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*实施排污许可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2019年11月15日前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△全面开展一次无证排污单位清理整顿行动，依法依规责令无证排污单位停产停业，要求限期完成整改。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</w:t>
            </w: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bookmarkStart w:id="0" w:name="_Hlk23843884"/>
            <w:r>
              <w:rPr>
                <w:rFonts w:hint="eastAsia"/>
                <w:sz w:val="22"/>
              </w:rPr>
              <w:t>产业结构调整</w:t>
            </w:r>
          </w:p>
          <w:p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工业源污染治理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rFonts w:hint="eastAsia"/>
                <w:sz w:val="22"/>
              </w:rPr>
              <w:t>工业园区能源替代利用与资源共享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2020年1月1日起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涉及家具、机械设备制造、汽修、印刷等新、改、建项目及市政工程项目，必须使用低VOCs含量涂料、油墨、胶粘剂。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区投资工信局(工业企业)、区交通局(汽修、城区外道路划线)、区住建局(市政工程、城区内道路划线)、区城管局(市政维护)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2019年12月底前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完成对VOCs排放量较大的工业企业“一厂一策”方案组织编制工作。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市生态环境局鄠邑分局区投资工信局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区铁腕治霾办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产业结构调整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工业源污染治理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△</w:t>
            </w:r>
            <w:r>
              <w:rPr>
                <w:rFonts w:hint="eastAsia"/>
                <w:sz w:val="22"/>
              </w:rPr>
              <w:t>强化</w:t>
            </w:r>
            <w:r>
              <w:rPr>
                <w:sz w:val="22"/>
              </w:rPr>
              <w:t>VOCs</w:t>
            </w:r>
            <w:r>
              <w:rPr>
                <w:rFonts w:hint="eastAsia"/>
                <w:sz w:val="22"/>
              </w:rPr>
              <w:t>无组织排放管控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>12</w:t>
            </w:r>
            <w:r>
              <w:rPr>
                <w:rFonts w:hint="eastAsia"/>
                <w:sz w:val="22"/>
              </w:rPr>
              <w:t>月底前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开展一轮</w:t>
            </w:r>
            <w:r>
              <w:rPr>
                <w:sz w:val="22"/>
              </w:rPr>
              <w:t>VOCs</w:t>
            </w:r>
            <w:r>
              <w:rPr>
                <w:rFonts w:hint="eastAsia"/>
                <w:sz w:val="22"/>
              </w:rPr>
              <w:t>执法检查，将有机溶剂使用量较大的、存在敞开式作业的、末端治理仅使用一次活性炭吸附、水或水溶液喷淋吸收、等离子、光催化、光氧化等技术的企业作为重点，对不能稳定达到《挥发性有机物无组织排放控制标准》（</w:t>
            </w:r>
            <w:r>
              <w:rPr>
                <w:sz w:val="22"/>
              </w:rPr>
              <w:t>GB37822—2019</w:t>
            </w:r>
            <w:r>
              <w:rPr>
                <w:rFonts w:hint="eastAsia"/>
                <w:sz w:val="22"/>
              </w:rPr>
              <w:t>）以及相关行业排放标准要求的，督促企业限期整改。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市生态环境局鄠邑分局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区投资工信局、区交通局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F11B7"/>
    <w:rsid w:val="60D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2020-01-03T03:05:00Z</dcterms:created>
  <dc:creator>Administrator</dc:creator>
  <cp:lastModifiedBy>Administrator</cp:lastModifiedBy>
  <dcterms:modified xsi:type="dcterms:W3CDTF">2020-01-03T03:05:38Z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