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B16BF">
      <w:pPr>
        <w:tabs>
          <w:tab w:val="center" w:pos="4153"/>
          <w:tab w:val="right" w:pos="8306"/>
        </w:tabs>
        <w:spacing w:line="312" w:lineRule="auto"/>
        <w:jc w:val="right"/>
        <w:rPr>
          <w:b/>
          <w:sz w:val="52"/>
          <w:szCs w:val="52"/>
        </w:rPr>
      </w:pPr>
      <w:bookmarkStart w:id="95" w:name="_GoBack"/>
      <w:bookmarkEnd w:id="95"/>
      <w:bookmarkStart w:id="0" w:name="_Hlk516243994"/>
      <w:bookmarkEnd w:id="0"/>
      <w:r>
        <w:rPr>
          <w:b/>
          <w:sz w:val="52"/>
          <w:szCs w:val="5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b/>
          <w:sz w:val="52"/>
          <w:szCs w:val="52"/>
        </w:rPr>
        <w:instrText xml:space="preserve">ADDIN CNKISM.UserStyle</w:instrText>
      </w:r>
      <w:r>
        <w:rPr>
          <w:b/>
          <w:sz w:val="52"/>
          <w:szCs w:val="52"/>
        </w:rPr>
        <w:fldChar w:fldCharType="end"/>
      </w:r>
    </w:p>
    <w:p w14:paraId="12EC8EFB">
      <w:pPr>
        <w:tabs>
          <w:tab w:val="center" w:pos="4153"/>
          <w:tab w:val="right" w:pos="8306"/>
        </w:tabs>
        <w:spacing w:line="312" w:lineRule="auto"/>
        <w:jc w:val="center"/>
        <w:rPr>
          <w:b/>
          <w:sz w:val="52"/>
          <w:szCs w:val="52"/>
        </w:rPr>
      </w:pPr>
    </w:p>
    <w:p w14:paraId="490EFCC3">
      <w:pPr>
        <w:tabs>
          <w:tab w:val="center" w:pos="4153"/>
          <w:tab w:val="right" w:pos="8306"/>
        </w:tabs>
        <w:spacing w:line="312" w:lineRule="auto"/>
        <w:jc w:val="center"/>
        <w:rPr>
          <w:b/>
          <w:sz w:val="52"/>
          <w:szCs w:val="52"/>
        </w:rPr>
      </w:pPr>
    </w:p>
    <w:p w14:paraId="4D68B968">
      <w:pPr>
        <w:tabs>
          <w:tab w:val="center" w:pos="4153"/>
          <w:tab w:val="right" w:pos="8306"/>
        </w:tabs>
        <w:spacing w:line="312" w:lineRule="auto"/>
        <w:jc w:val="center"/>
        <w:rPr>
          <w:b/>
          <w:sz w:val="52"/>
          <w:szCs w:val="52"/>
        </w:rPr>
      </w:pPr>
    </w:p>
    <w:p w14:paraId="7CCFFF07">
      <w:pPr>
        <w:tabs>
          <w:tab w:val="center" w:pos="4153"/>
          <w:tab w:val="right" w:pos="8306"/>
        </w:tabs>
        <w:spacing w:line="312" w:lineRule="auto"/>
        <w:jc w:val="center"/>
        <w:rPr>
          <w:rFonts w:hint="eastAsia"/>
          <w:b/>
          <w:sz w:val="52"/>
          <w:szCs w:val="52"/>
          <w:lang w:val="en-US" w:eastAsia="zh-CN"/>
        </w:rPr>
      </w:pPr>
      <w:r>
        <w:rPr>
          <w:rFonts w:hint="eastAsia"/>
          <w:b/>
          <w:sz w:val="52"/>
          <w:szCs w:val="52"/>
          <w:lang w:val="en-US" w:eastAsia="zh-CN"/>
        </w:rPr>
        <w:t>西安排水集团有限公司将军山水厂</w:t>
      </w:r>
    </w:p>
    <w:p w14:paraId="4800FFB9">
      <w:pPr>
        <w:tabs>
          <w:tab w:val="center" w:pos="4153"/>
          <w:tab w:val="right" w:pos="8306"/>
        </w:tabs>
        <w:spacing w:line="312" w:lineRule="auto"/>
        <w:jc w:val="center"/>
        <w:rPr>
          <w:b/>
          <w:sz w:val="52"/>
          <w:szCs w:val="52"/>
        </w:rPr>
      </w:pPr>
      <w:r>
        <w:rPr>
          <w:b/>
          <w:sz w:val="52"/>
          <w:szCs w:val="52"/>
        </w:rPr>
        <w:t>入河排污口设置论证报告</w:t>
      </w:r>
    </w:p>
    <w:p w14:paraId="1EC11BE0">
      <w:pPr>
        <w:tabs>
          <w:tab w:val="center" w:pos="4153"/>
          <w:tab w:val="right" w:pos="8306"/>
        </w:tabs>
        <w:spacing w:line="312" w:lineRule="auto"/>
        <w:jc w:val="center"/>
        <w:rPr>
          <w:b/>
          <w:sz w:val="52"/>
          <w:szCs w:val="52"/>
        </w:rPr>
      </w:pPr>
    </w:p>
    <w:p w14:paraId="380B1703">
      <w:pPr>
        <w:tabs>
          <w:tab w:val="center" w:pos="4153"/>
          <w:tab w:val="right" w:pos="8306"/>
        </w:tabs>
        <w:spacing w:line="312" w:lineRule="auto"/>
        <w:jc w:val="center"/>
        <w:rPr>
          <w:b/>
          <w:sz w:val="44"/>
          <w:szCs w:val="44"/>
        </w:rPr>
      </w:pPr>
    </w:p>
    <w:p w14:paraId="7A53E770">
      <w:pPr>
        <w:tabs>
          <w:tab w:val="center" w:pos="4153"/>
          <w:tab w:val="right" w:pos="8306"/>
        </w:tabs>
        <w:spacing w:line="312" w:lineRule="auto"/>
        <w:jc w:val="center"/>
        <w:rPr>
          <w:b/>
          <w:sz w:val="44"/>
          <w:szCs w:val="44"/>
        </w:rPr>
      </w:pPr>
    </w:p>
    <w:p w14:paraId="0933E5ED">
      <w:pPr>
        <w:tabs>
          <w:tab w:val="center" w:pos="4153"/>
          <w:tab w:val="right" w:pos="8306"/>
        </w:tabs>
        <w:spacing w:line="312" w:lineRule="auto"/>
        <w:jc w:val="center"/>
        <w:rPr>
          <w:b/>
          <w:sz w:val="32"/>
          <w:szCs w:val="52"/>
        </w:rPr>
      </w:pPr>
    </w:p>
    <w:p w14:paraId="10596416">
      <w:pPr>
        <w:tabs>
          <w:tab w:val="center" w:pos="4153"/>
          <w:tab w:val="right" w:pos="8306"/>
        </w:tabs>
        <w:spacing w:line="312" w:lineRule="auto"/>
        <w:jc w:val="center"/>
        <w:rPr>
          <w:b/>
          <w:sz w:val="32"/>
          <w:szCs w:val="52"/>
        </w:rPr>
      </w:pPr>
    </w:p>
    <w:p w14:paraId="2977CABB">
      <w:pPr>
        <w:tabs>
          <w:tab w:val="center" w:pos="4153"/>
          <w:tab w:val="right" w:pos="8306"/>
        </w:tabs>
        <w:spacing w:line="312" w:lineRule="auto"/>
        <w:jc w:val="center"/>
        <w:rPr>
          <w:b/>
          <w:sz w:val="32"/>
          <w:szCs w:val="52"/>
        </w:rPr>
      </w:pPr>
    </w:p>
    <w:p w14:paraId="077BE37A">
      <w:pPr>
        <w:tabs>
          <w:tab w:val="center" w:pos="4153"/>
          <w:tab w:val="right" w:pos="8306"/>
        </w:tabs>
        <w:spacing w:line="312" w:lineRule="auto"/>
        <w:jc w:val="center"/>
        <w:rPr>
          <w:b/>
          <w:sz w:val="32"/>
          <w:szCs w:val="52"/>
        </w:rPr>
      </w:pPr>
    </w:p>
    <w:p w14:paraId="3579DBB2">
      <w:pPr>
        <w:tabs>
          <w:tab w:val="center" w:pos="4153"/>
          <w:tab w:val="right" w:pos="8306"/>
        </w:tabs>
        <w:spacing w:line="312" w:lineRule="auto"/>
        <w:jc w:val="center"/>
        <w:rPr>
          <w:b/>
          <w:sz w:val="32"/>
          <w:szCs w:val="52"/>
        </w:rPr>
      </w:pPr>
    </w:p>
    <w:p w14:paraId="24896FB4">
      <w:pPr>
        <w:tabs>
          <w:tab w:val="center" w:pos="4153"/>
          <w:tab w:val="right" w:pos="8306"/>
        </w:tabs>
        <w:spacing w:line="312" w:lineRule="auto"/>
        <w:jc w:val="center"/>
        <w:rPr>
          <w:b/>
          <w:sz w:val="32"/>
          <w:szCs w:val="52"/>
        </w:rPr>
      </w:pPr>
    </w:p>
    <w:p w14:paraId="191445CA">
      <w:pPr>
        <w:tabs>
          <w:tab w:val="center" w:pos="4153"/>
          <w:tab w:val="right" w:pos="8306"/>
        </w:tabs>
        <w:spacing w:line="312" w:lineRule="auto"/>
        <w:jc w:val="center"/>
        <w:rPr>
          <w:b/>
          <w:sz w:val="32"/>
          <w:szCs w:val="52"/>
        </w:rPr>
      </w:pPr>
    </w:p>
    <w:p w14:paraId="5787D0AF">
      <w:pPr>
        <w:tabs>
          <w:tab w:val="center" w:pos="4153"/>
          <w:tab w:val="right" w:pos="8306"/>
        </w:tabs>
        <w:spacing w:line="312" w:lineRule="auto"/>
        <w:ind w:firstLine="1807" w:firstLineChars="600"/>
        <w:jc w:val="both"/>
        <w:rPr>
          <w:rFonts w:hint="eastAsia"/>
          <w:b/>
          <w:sz w:val="30"/>
          <w:szCs w:val="30"/>
        </w:rPr>
      </w:pPr>
      <w:r>
        <w:rPr>
          <w:rFonts w:hint="eastAsia"/>
          <w:b/>
          <w:sz w:val="30"/>
          <w:szCs w:val="30"/>
        </w:rPr>
        <w:t>建设</w:t>
      </w:r>
      <w:r>
        <w:rPr>
          <w:b/>
          <w:sz w:val="30"/>
          <w:szCs w:val="30"/>
        </w:rPr>
        <w:t>单位：</w:t>
      </w:r>
      <w:r>
        <w:rPr>
          <w:rFonts w:hint="eastAsia"/>
          <w:b/>
          <w:sz w:val="30"/>
          <w:szCs w:val="30"/>
        </w:rPr>
        <w:t>西安排水集团有限公司将军山水厂</w:t>
      </w:r>
    </w:p>
    <w:p w14:paraId="6DF82441">
      <w:pPr>
        <w:tabs>
          <w:tab w:val="center" w:pos="4153"/>
          <w:tab w:val="right" w:pos="8306"/>
        </w:tabs>
        <w:spacing w:line="312" w:lineRule="auto"/>
        <w:ind w:firstLine="1807" w:firstLineChars="600"/>
        <w:jc w:val="both"/>
        <w:rPr>
          <w:b/>
          <w:sz w:val="30"/>
          <w:szCs w:val="30"/>
        </w:rPr>
      </w:pPr>
      <w:r>
        <w:rPr>
          <w:b/>
          <w:sz w:val="30"/>
          <w:szCs w:val="30"/>
        </w:rPr>
        <w:t>编制单位：</w:t>
      </w:r>
      <w:r>
        <w:rPr>
          <w:rFonts w:hint="eastAsia"/>
          <w:b/>
          <w:sz w:val="30"/>
          <w:szCs w:val="30"/>
          <w:lang w:val="en-US" w:eastAsia="zh-CN"/>
        </w:rPr>
        <w:t>西安同众环保科技有限</w:t>
      </w:r>
      <w:r>
        <w:rPr>
          <w:b/>
          <w:sz w:val="30"/>
          <w:szCs w:val="30"/>
        </w:rPr>
        <w:t>公司</w:t>
      </w:r>
    </w:p>
    <w:p w14:paraId="42BE5C48">
      <w:pPr>
        <w:tabs>
          <w:tab w:val="center" w:pos="4153"/>
          <w:tab w:val="right" w:pos="8306"/>
        </w:tabs>
        <w:spacing w:line="312" w:lineRule="auto"/>
        <w:jc w:val="center"/>
        <w:rPr>
          <w:b/>
          <w:sz w:val="30"/>
          <w:szCs w:val="30"/>
        </w:rPr>
      </w:pPr>
      <w:r>
        <w:rPr>
          <w:b/>
          <w:sz w:val="30"/>
          <w:szCs w:val="30"/>
        </w:rPr>
        <w:t>202</w:t>
      </w:r>
      <w:r>
        <w:rPr>
          <w:rFonts w:hint="eastAsia"/>
          <w:b/>
          <w:sz w:val="30"/>
          <w:szCs w:val="30"/>
          <w:lang w:val="en-US" w:eastAsia="zh-CN"/>
        </w:rPr>
        <w:t>3</w:t>
      </w:r>
      <w:r>
        <w:rPr>
          <w:b/>
          <w:sz w:val="30"/>
          <w:szCs w:val="30"/>
        </w:rPr>
        <w:t>年</w:t>
      </w:r>
      <w:r>
        <w:rPr>
          <w:rFonts w:hint="eastAsia"/>
          <w:b/>
          <w:sz w:val="30"/>
          <w:szCs w:val="30"/>
          <w:lang w:val="en-US" w:eastAsia="zh-CN"/>
        </w:rPr>
        <w:t>10</w:t>
      </w:r>
      <w:r>
        <w:rPr>
          <w:b/>
          <w:sz w:val="30"/>
          <w:szCs w:val="30"/>
        </w:rPr>
        <w:t>月</w:t>
      </w:r>
    </w:p>
    <w:p w14:paraId="7043E35F">
      <w:pPr>
        <w:tabs>
          <w:tab w:val="center" w:pos="4153"/>
          <w:tab w:val="right" w:pos="8306"/>
        </w:tabs>
        <w:spacing w:line="312" w:lineRule="auto"/>
        <w:jc w:val="center"/>
        <w:rPr>
          <w:b/>
          <w:sz w:val="30"/>
          <w:szCs w:val="30"/>
        </w:rPr>
        <w:sectPr>
          <w:headerReference r:id="rId5" w:type="first"/>
          <w:footerReference r:id="rId8" w:type="first"/>
          <w:headerReference r:id="rId3" w:type="default"/>
          <w:footerReference r:id="rId6" w:type="default"/>
          <w:headerReference r:id="rId4" w:type="even"/>
          <w:footerReference r:id="rId7" w:type="even"/>
          <w:pgSz w:w="11907" w:h="16840"/>
          <w:pgMar w:top="1440" w:right="1440" w:bottom="1440" w:left="1440" w:header="851" w:footer="1134" w:gutter="0"/>
          <w:pgBorders>
            <w:top w:val="none" w:sz="0" w:space="0"/>
            <w:left w:val="none" w:sz="0" w:space="0"/>
            <w:bottom w:val="none" w:sz="0" w:space="0"/>
            <w:right w:val="none" w:sz="0" w:space="0"/>
          </w:pgBorders>
          <w:pgNumType w:fmt="upperRoman" w:start="1"/>
          <w:cols w:space="425" w:num="1"/>
          <w:titlePg/>
          <w:docGrid w:linePitch="326" w:charSpace="-4916"/>
        </w:sectPr>
      </w:pPr>
    </w:p>
    <w:p w14:paraId="0F940BBB">
      <w:pPr>
        <w:tabs>
          <w:tab w:val="center" w:pos="4153"/>
          <w:tab w:val="right" w:pos="8306"/>
        </w:tabs>
        <w:spacing w:line="312" w:lineRule="auto"/>
        <w:jc w:val="center"/>
        <w:rPr>
          <w:b/>
          <w:sz w:val="30"/>
          <w:szCs w:val="30"/>
        </w:rPr>
        <w:sectPr>
          <w:pgSz w:w="11907" w:h="16840"/>
          <w:pgMar w:top="1440" w:right="1440" w:bottom="1440" w:left="1440" w:header="851" w:footer="1134" w:gutter="0"/>
          <w:pgBorders>
            <w:top w:val="none" w:sz="0" w:space="0"/>
            <w:left w:val="none" w:sz="0" w:space="0"/>
            <w:bottom w:val="none" w:sz="0" w:space="0"/>
            <w:right w:val="none" w:sz="0" w:space="0"/>
          </w:pgBorders>
          <w:pgNumType w:fmt="upperRoman" w:start="1"/>
          <w:cols w:space="425" w:num="1"/>
          <w:titlePg/>
          <w:docGrid w:linePitch="326" w:charSpace="-4916"/>
        </w:sectPr>
      </w:pPr>
    </w:p>
    <w:sdt>
      <w:sdtPr>
        <w:rPr>
          <w:rFonts w:eastAsia="宋体" w:asciiTheme="minorHAnsi" w:hAnsiTheme="minorHAnsi"/>
          <w:b w:val="0"/>
          <w:bCs w:val="0"/>
          <w:smallCaps/>
          <w:kern w:val="0"/>
          <w:sz w:val="24"/>
          <w:szCs w:val="24"/>
          <w:lang w:val="zh-CN"/>
        </w:rPr>
        <w:id w:val="158597584"/>
        <w:docPartObj>
          <w:docPartGallery w:val="Table of Contents"/>
          <w:docPartUnique/>
        </w:docPartObj>
      </w:sdtPr>
      <w:sdtEndPr>
        <w:rPr>
          <w:rFonts w:ascii="Times New Roman" w:hAnsi="Times New Roman" w:eastAsia="宋体"/>
          <w:b w:val="0"/>
          <w:bCs w:val="0"/>
          <w:smallCaps/>
          <w:kern w:val="0"/>
          <w:sz w:val="24"/>
          <w:szCs w:val="24"/>
          <w:lang w:val="zh-CN"/>
        </w:rPr>
      </w:sdtEndPr>
      <w:sdtContent>
        <w:p w14:paraId="2119FA07">
          <w:pPr>
            <w:pStyle w:val="81"/>
            <w:spacing w:before="0" w:after="0" w:line="500" w:lineRule="exact"/>
            <w:ind w:firstLine="0" w:firstLineChars="0"/>
            <w:jc w:val="center"/>
            <w:rPr>
              <w:rFonts w:eastAsia="宋体"/>
              <w:sz w:val="44"/>
              <w:szCs w:val="44"/>
            </w:rPr>
          </w:pPr>
          <w:r>
            <w:rPr>
              <w:rFonts w:eastAsia="宋体"/>
              <w:sz w:val="44"/>
              <w:szCs w:val="44"/>
              <w:lang w:val="zh-CN"/>
            </w:rPr>
            <w:t>目录</w:t>
          </w:r>
        </w:p>
        <w:p w14:paraId="2244E331">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ascii="Times New Roman" w:hAnsi="Times New Roman"/>
              <w:smallCaps/>
              <w:kern w:val="2"/>
              <w:sz w:val="24"/>
              <w:szCs w:val="24"/>
            </w:rPr>
            <w:fldChar w:fldCharType="begin"/>
          </w:r>
          <w:r>
            <w:rPr>
              <w:rFonts w:ascii="Times New Roman" w:hAnsi="Times New Roman"/>
              <w:smallCaps/>
              <w:kern w:val="2"/>
              <w:sz w:val="24"/>
              <w:szCs w:val="24"/>
            </w:rPr>
            <w:instrText xml:space="preserve"> TOC \o "1-2" \h \z \u </w:instrText>
          </w:r>
          <w:r>
            <w:rPr>
              <w:rFonts w:ascii="Times New Roman" w:hAnsi="Times New Roman"/>
              <w:smallCaps/>
              <w:kern w:val="2"/>
              <w:sz w:val="24"/>
              <w:szCs w:val="24"/>
            </w:rPr>
            <w:fldChar w:fldCharType="separate"/>
          </w:r>
          <w:r>
            <w:rPr>
              <w:rFonts w:hint="default" w:ascii="Times New Roman" w:hAnsi="Times New Roman" w:cs="Times New Roman"/>
              <w:smallCaps/>
              <w:kern w:val="2"/>
              <w:sz w:val="24"/>
              <w:szCs w:val="24"/>
            </w:rPr>
            <w:fldChar w:fldCharType="begin"/>
          </w:r>
          <w:r>
            <w:rPr>
              <w:rFonts w:hint="default" w:ascii="Times New Roman" w:hAnsi="Times New Roman" w:cs="Times New Roman"/>
              <w:smallCaps/>
              <w:kern w:val="2"/>
              <w:sz w:val="24"/>
              <w:szCs w:val="24"/>
            </w:rPr>
            <w:instrText xml:space="preserve"> HYPERLINK \l _Toc8158 </w:instrText>
          </w:r>
          <w:r>
            <w:rPr>
              <w:rFonts w:hint="default" w:ascii="Times New Roman" w:hAnsi="Times New Roman" w:cs="Times New Roman"/>
              <w:smallCaps/>
              <w:kern w:val="2"/>
              <w:sz w:val="24"/>
              <w:szCs w:val="24"/>
            </w:rPr>
            <w:fldChar w:fldCharType="separate"/>
          </w:r>
          <w:r>
            <w:rPr>
              <w:rFonts w:hint="default" w:ascii="Times New Roman" w:hAnsi="Times New Roman" w:eastAsia="宋体" w:cs="Times New Roman"/>
              <w:sz w:val="24"/>
              <w:szCs w:val="24"/>
            </w:rPr>
            <w:t>1总则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_Toc8158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mallCaps/>
              <w:kern w:val="2"/>
              <w:sz w:val="24"/>
              <w:szCs w:val="24"/>
            </w:rPr>
            <w:fldChar w:fldCharType="end"/>
          </w:r>
        </w:p>
        <w:p w14:paraId="124D4FB2">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_Toc8774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1.1项目由来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_Toc8774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3B1E7EA">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_Toc22226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1.2论证目的及依据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_Toc22226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390B9B9E">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_Toc24337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1.3论证原则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_Toc24337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6CAB3180">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_Toc2334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1.4论证范围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_Toc2334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5DF7596A">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_Toc25930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1.5论证工作程序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_Toc25930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690E0411">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mallCaps w:val="0"/>
              <w:kern w:val="2"/>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_Toc6583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1.6论证的主要内容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01486D6">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_Toc6583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1.</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论证工作等级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6995B90F">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_Toc22993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2项目概况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629CF40C">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_Toc6356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lang w:val="en-US" w:eastAsia="zh-CN"/>
            </w:rPr>
            <w:t>将军山水厂</w:t>
          </w:r>
          <w:r>
            <w:rPr>
              <w:rFonts w:hint="default" w:ascii="Times New Roman" w:hAnsi="Times New Roman" w:eastAsia="宋体" w:cs="Times New Roman"/>
              <w:sz w:val="24"/>
              <w:szCs w:val="24"/>
            </w:rPr>
            <w:t>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_Toc6356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4AA449B">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_Toc22403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2.2工艺分析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_Toc22403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7134ECB">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_Toc31552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2.3区域概况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_Toc31552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C14BD00">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_Toc14305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3入河排污口设置方案概况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_Toc14305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FFF304D">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_Toc29926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入河排污口</w:t>
          </w:r>
          <w:r>
            <w:rPr>
              <w:rFonts w:hint="default" w:ascii="Times New Roman" w:hAnsi="Times New Roman" w:eastAsia="宋体" w:cs="Times New Roman"/>
              <w:sz w:val="24"/>
              <w:szCs w:val="24"/>
              <w:lang w:val="en-US" w:eastAsia="zh-CN"/>
            </w:rPr>
            <w:t>基本情况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_Toc29926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37</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54A35062">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_Toc26060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zh-CN" w:eastAsia="zh-CN"/>
            </w:rPr>
            <w:t>3.2排污口类型及排放方式</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_Toc26060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019D8C57">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_Toc22823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zh-CN" w:eastAsia="zh-CN"/>
            </w:rPr>
            <w:t>3.</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zh-CN" w:eastAsia="zh-CN"/>
            </w:rPr>
            <w:t>污染物种类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_Toc22823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08FF632B">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_Toc13091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zh-CN" w:eastAsia="zh-CN"/>
            </w:rPr>
            <w:t>3.4出水水质标准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_Toc13091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B5EC143">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_Toc13946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zh-CN" w:eastAsia="zh-CN"/>
            </w:rPr>
            <w:t>3.5污染物排放总量分析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_Toc13946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725CF3D">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_Toc12357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4水域管理要求和现有取排水状况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_Toc12357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F81923E">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_Toc20575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4.1水功能区（水域）保护水质管理要求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818991B">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_Toc15567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4.2水功能区（水域）现有取排水状况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_Toc15567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8C8835D">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_Toc29112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4.3水功能区（水域）水质现状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45</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51116D3">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_Toc772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4.4入河污染物来源特征及功能区总量达标分析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8BE7C1D">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_Toc8952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5入河排污口设置对水功能区水质和水生态环境影响分析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_Toc8952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6B27274">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_Toc23493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5.1影响范围</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CE18769">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_Toc27345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对水功能区河段水质的影响分析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88E1E91">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_Toc18183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对水生态的影响分析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58</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35658DB2">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_Toc13636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对地下水影响的分析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_Toc13636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59</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D7B1083">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_Toc17697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6入河排污口设置对水生态及第三方环境影响分析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_Toc17697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0682779A">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_Toc7232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6.1</w:t>
          </w:r>
          <w:r>
            <w:rPr>
              <w:rFonts w:hint="default" w:ascii="Times New Roman" w:hAnsi="Times New Roman" w:eastAsia="宋体" w:cs="Times New Roman"/>
              <w:sz w:val="24"/>
              <w:szCs w:val="24"/>
              <w:lang w:val="en-US" w:eastAsia="zh-CN"/>
            </w:rPr>
            <w:t>对水功能区水质目标的影响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_Toc7232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5BED8FB">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_Toc32621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6.2对本论证范围内地下水源地和湿地的影响</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_Toc32621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60</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7592824">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_Toc26168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7水环境保护措施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_Toc26168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D887349">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_Toc25360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7.1常规措施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_Toc25360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3A7E322">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_Toc29264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7.2加强运行管理，确保达标排放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_Toc29264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59BADFD5">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_Toc9958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en-US"/>
            </w:rPr>
            <w:t>7.</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水资源保护措施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_Toc9958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62</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CA29E74">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_Toc18196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8入河排污口设置合理性分析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_Toc18196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37683CCE">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_Toc15843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8.1与产业政策相符性分析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_Toc15843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0112B8F3">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_Toc24542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8.2与《</w:t>
          </w:r>
          <w:r>
            <w:rPr>
              <w:rFonts w:hint="default" w:ascii="Times New Roman" w:hAnsi="Times New Roman" w:eastAsia="宋体" w:cs="Times New Roman"/>
              <w:sz w:val="24"/>
              <w:szCs w:val="24"/>
              <w:lang w:val="en-US" w:eastAsia="zh-CN"/>
            </w:rPr>
            <w:t>陕西</w:t>
          </w:r>
          <w:r>
            <w:rPr>
              <w:rFonts w:hint="default" w:ascii="Times New Roman" w:hAnsi="Times New Roman" w:eastAsia="宋体" w:cs="Times New Roman"/>
              <w:sz w:val="24"/>
              <w:szCs w:val="24"/>
            </w:rPr>
            <w:t>省水功能区划》相符性分析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_Toc24542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63</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01673FF">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_Toc361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与</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陕西</w:t>
          </w:r>
          <w:r>
            <w:rPr>
              <w:rFonts w:hint="default" w:ascii="Times New Roman" w:hAnsi="Times New Roman" w:eastAsia="宋体" w:cs="Times New Roman"/>
              <w:sz w:val="24"/>
              <w:szCs w:val="24"/>
            </w:rPr>
            <w:t>省秦岭生态环境保护总体规划</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14E568B7">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_Toc30279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lang w:val="en-US" w:eastAsia="zh-CN"/>
            </w:rPr>
            <w:t>4与</w:t>
          </w:r>
          <w:r>
            <w:rPr>
              <w:rFonts w:hint="default" w:ascii="Times New Roman" w:hAnsi="Times New Roman" w:eastAsia="宋体" w:cs="Times New Roman"/>
              <w:sz w:val="24"/>
              <w:szCs w:val="24"/>
            </w:rPr>
            <w:t>《西安市“十四五”水务发展规划》相符性分析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4B45A876">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_Toc31586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lang w:val="en-US" w:eastAsia="zh-CN"/>
            </w:rPr>
            <w:t>8.5</w:t>
          </w:r>
          <w:r>
            <w:rPr>
              <w:rFonts w:hint="default" w:ascii="Times New Roman" w:hAnsi="Times New Roman" w:eastAsia="宋体" w:cs="Times New Roman"/>
              <w:sz w:val="24"/>
              <w:szCs w:val="24"/>
            </w:rPr>
            <w:t>项目设置合理性分析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_Toc31586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64</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DC6C4CC">
          <w:pPr>
            <w:pStyle w:val="19"/>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_Toc12384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9入河排污口设置论证结论与建议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_Toc12384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2CEB5E7E">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_Toc13861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9.1结论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_Toc13861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66</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5F6E1DF">
          <w:pPr>
            <w:pStyle w:val="22"/>
            <w:keepNext w:val="0"/>
            <w:keepLines w:val="0"/>
            <w:pageBreakBefore w:val="0"/>
            <w:widowControl w:val="0"/>
            <w:tabs>
              <w:tab w:val="right" w:leader="dot" w:pos="9026"/>
            </w:tabs>
            <w:kinsoku/>
            <w:wordWrap/>
            <w:overflowPunct/>
            <w:topLinePunct w:val="0"/>
            <w:autoSpaceDE/>
            <w:autoSpaceDN/>
            <w:bidi w:val="0"/>
            <w:adjustRightInd/>
            <w:snapToGrid/>
            <w:spacing w:line="360" w:lineRule="auto"/>
            <w:textAlignment w:val="auto"/>
          </w:pPr>
          <w:r>
            <w:rPr>
              <w:rFonts w:hint="default" w:ascii="Times New Roman" w:hAnsi="Times New Roman" w:cs="Times New Roman"/>
              <w:smallCaps w:val="0"/>
              <w:kern w:val="2"/>
              <w:sz w:val="24"/>
              <w:szCs w:val="24"/>
            </w:rPr>
            <w:fldChar w:fldCharType="begin"/>
          </w:r>
          <w:r>
            <w:rPr>
              <w:rFonts w:hint="default" w:ascii="Times New Roman" w:hAnsi="Times New Roman" w:cs="Times New Roman"/>
              <w:smallCaps w:val="0"/>
              <w:kern w:val="2"/>
              <w:sz w:val="24"/>
              <w:szCs w:val="24"/>
            </w:rPr>
            <w:instrText xml:space="preserve"> HYPERLINK \l _Toc8588 </w:instrText>
          </w:r>
          <w:r>
            <w:rPr>
              <w:rFonts w:hint="default" w:ascii="Times New Roman" w:hAnsi="Times New Roman" w:cs="Times New Roman"/>
              <w:smallCaps w:val="0"/>
              <w:kern w:val="2"/>
              <w:sz w:val="24"/>
              <w:szCs w:val="24"/>
            </w:rPr>
            <w:fldChar w:fldCharType="separate"/>
          </w:r>
          <w:r>
            <w:rPr>
              <w:rFonts w:hint="default" w:ascii="Times New Roman" w:hAnsi="Times New Roman" w:eastAsia="宋体" w:cs="Times New Roman"/>
              <w:sz w:val="24"/>
              <w:szCs w:val="24"/>
            </w:rPr>
            <w:t>9.2建议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_Toc8588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67</w:t>
          </w:r>
          <w:r>
            <w:rPr>
              <w:rFonts w:hint="default" w:ascii="Times New Roman" w:hAnsi="Times New Roman" w:cs="Times New Roman"/>
              <w:sz w:val="24"/>
              <w:szCs w:val="24"/>
            </w:rPr>
            <w:fldChar w:fldCharType="end"/>
          </w:r>
          <w:r>
            <w:rPr>
              <w:rFonts w:hint="default" w:ascii="Times New Roman" w:hAnsi="Times New Roman" w:cs="Times New Roman"/>
              <w:smallCaps w:val="0"/>
              <w:kern w:val="2"/>
              <w:sz w:val="24"/>
              <w:szCs w:val="24"/>
            </w:rPr>
            <w:fldChar w:fldCharType="end"/>
          </w:r>
        </w:p>
        <w:p w14:paraId="719074B6">
          <w:pPr>
            <w:pStyle w:val="22"/>
            <w:tabs>
              <w:tab w:val="right" w:leader="dot" w:pos="9016"/>
            </w:tabs>
            <w:spacing w:line="500" w:lineRule="exact"/>
            <w:ind w:left="0"/>
            <w:rPr>
              <w:rFonts w:ascii="Times New Roman" w:hAnsi="Times New Roman"/>
              <w:sz w:val="24"/>
              <w:szCs w:val="24"/>
              <w:lang w:val="zh-CN"/>
            </w:rPr>
          </w:pPr>
          <w:r>
            <w:rPr>
              <w:rFonts w:ascii="Times New Roman" w:hAnsi="Times New Roman"/>
              <w:smallCaps w:val="0"/>
              <w:kern w:val="2"/>
              <w:szCs w:val="24"/>
            </w:rPr>
            <w:fldChar w:fldCharType="end"/>
          </w:r>
        </w:p>
      </w:sdtContent>
    </w:sdt>
    <w:p w14:paraId="22D60C54">
      <w:pPr>
        <w:pStyle w:val="22"/>
        <w:tabs>
          <w:tab w:val="right" w:leader="dot" w:pos="9016"/>
        </w:tabs>
        <w:ind w:left="0"/>
        <w:rPr>
          <w:rFonts w:ascii="Times New Roman" w:hAnsi="Times New Roman"/>
          <w:sz w:val="24"/>
          <w:szCs w:val="24"/>
          <w:lang w:val="zh-CN"/>
        </w:rPr>
      </w:pPr>
      <w:r>
        <w:rPr>
          <w:b/>
          <w:snapToGrid w:val="0"/>
          <w:sz w:val="24"/>
        </w:rPr>
        <w:br w:type="page"/>
      </w:r>
    </w:p>
    <w:p w14:paraId="706948AD">
      <w:pPr>
        <w:bidi w:val="0"/>
        <w:jc w:val="left"/>
        <w:sectPr>
          <w:pgSz w:w="11906" w:h="16838"/>
          <w:pgMar w:top="1440" w:right="1440" w:bottom="1440" w:left="1440" w:header="851" w:footer="992" w:gutter="0"/>
          <w:pgBorders>
            <w:top w:val="none" w:sz="0" w:space="0"/>
            <w:left w:val="none" w:sz="0" w:space="0"/>
            <w:bottom w:val="none" w:sz="0" w:space="0"/>
            <w:right w:val="none" w:sz="0" w:space="0"/>
          </w:pgBorders>
          <w:pgNumType w:fmt="upperRoman" w:start="1"/>
          <w:cols w:space="425" w:num="1"/>
          <w:docGrid w:linePitch="312" w:charSpace="0"/>
        </w:sectPr>
      </w:pPr>
    </w:p>
    <w:p w14:paraId="3C54C321">
      <w:pPr>
        <w:pStyle w:val="59"/>
        <w:numPr>
          <w:ilvl w:val="0"/>
          <w:numId w:val="0"/>
        </w:numPr>
        <w:spacing w:before="120" w:after="120"/>
        <w:rPr>
          <w:rFonts w:eastAsia="宋体"/>
          <w:sz w:val="32"/>
        </w:rPr>
      </w:pPr>
      <w:bookmarkStart w:id="1" w:name="_Toc8158"/>
      <w:r>
        <w:rPr>
          <w:rFonts w:hint="eastAsia" w:eastAsia="宋体"/>
          <w:sz w:val="32"/>
        </w:rPr>
        <w:t>1</w:t>
      </w:r>
      <w:r>
        <w:rPr>
          <w:rFonts w:eastAsia="宋体"/>
          <w:sz w:val="32"/>
        </w:rPr>
        <w:t>总则</w:t>
      </w:r>
      <w:bookmarkEnd w:id="1"/>
    </w:p>
    <w:p w14:paraId="48D3654E">
      <w:pPr>
        <w:pStyle w:val="57"/>
        <w:numPr>
          <w:ilvl w:val="0"/>
          <w:numId w:val="0"/>
        </w:numPr>
        <w:spacing w:before="120" w:beforeLines="50" w:after="120" w:afterLines="50"/>
        <w:rPr>
          <w:rFonts w:eastAsia="宋体"/>
          <w:sz w:val="30"/>
        </w:rPr>
      </w:pPr>
      <w:bookmarkStart w:id="2" w:name="_Toc8774"/>
      <w:r>
        <w:rPr>
          <w:rFonts w:hint="eastAsia" w:eastAsia="宋体"/>
          <w:sz w:val="30"/>
        </w:rPr>
        <w:t>1</w:t>
      </w:r>
      <w:r>
        <w:rPr>
          <w:rFonts w:eastAsia="宋体"/>
          <w:sz w:val="30"/>
        </w:rPr>
        <w:t>.1</w:t>
      </w:r>
      <w:r>
        <w:rPr>
          <w:rFonts w:hint="eastAsia" w:eastAsia="宋体"/>
          <w:sz w:val="30"/>
        </w:rPr>
        <w:t>项目由来</w:t>
      </w:r>
      <w:bookmarkEnd w:id="2"/>
    </w:p>
    <w:p w14:paraId="1FE4A5C7">
      <w:pPr>
        <w:spacing w:line="500" w:lineRule="exact"/>
        <w:ind w:firstLine="480" w:firstLineChars="200"/>
        <w:rPr>
          <w:rFonts w:hint="eastAsia"/>
          <w:color w:val="auto"/>
          <w:szCs w:val="24"/>
        </w:rPr>
      </w:pPr>
      <w:r>
        <w:rPr>
          <w:rFonts w:hint="eastAsia"/>
          <w:color w:val="auto"/>
          <w:szCs w:val="24"/>
        </w:rPr>
        <w:t>为了缓解西安市日益突出并长期存在的供需水矛盾，保证居民的正常的生产生活，提高城市的供水安全性，西南郊水厂</w:t>
      </w:r>
      <w:r>
        <w:rPr>
          <w:rFonts w:hint="eastAsia"/>
          <w:color w:val="auto"/>
          <w:szCs w:val="24"/>
          <w:lang w:val="en-US" w:eastAsia="zh-CN"/>
        </w:rPr>
        <w:t>一期（近期）</w:t>
      </w:r>
      <w:r>
        <w:rPr>
          <w:rFonts w:hint="eastAsia"/>
          <w:color w:val="auto"/>
          <w:szCs w:val="24"/>
        </w:rPr>
        <w:t>建成通水后主要解决三星工业园、长安通讯园、高新区扩区和主城区的用水需求</w:t>
      </w:r>
      <w:r>
        <w:rPr>
          <w:rFonts w:hint="eastAsia"/>
          <w:color w:val="auto"/>
          <w:szCs w:val="24"/>
          <w:lang w:eastAsia="zh-CN"/>
        </w:rPr>
        <w:t>；</w:t>
      </w:r>
      <w:r>
        <w:rPr>
          <w:rFonts w:hint="eastAsia"/>
          <w:color w:val="auto"/>
          <w:szCs w:val="24"/>
        </w:rPr>
        <w:t>二期（远期）工程全部建成后，西南郊水厂除上述区域外，还成为沣东、沣西新城及西安市主城区的主要供水水源。</w:t>
      </w:r>
    </w:p>
    <w:p w14:paraId="5BB4A576">
      <w:pPr>
        <w:pStyle w:val="46"/>
        <w:ind w:firstLine="480"/>
        <w:rPr>
          <w:rFonts w:hint="eastAsia" w:eastAsia="宋体"/>
          <w:sz w:val="24"/>
        </w:rPr>
      </w:pPr>
      <w:r>
        <w:rPr>
          <w:rFonts w:hint="eastAsia" w:eastAsia="宋体"/>
          <w:sz w:val="24"/>
        </w:rPr>
        <w:t>2004年11月30日水利部公布《入河排污口监督管理办法》（水利部令第22号），自2005年1月1日起施行，标志着建设项目入河排污口设置论证制度在我国正式建立和全面实施，2015年12月16日水利部令第47号修改公布。《办法》第十条中明确规定：“排污单位应当按照有关技术要求，自行或者委托有关单位编制入河排污口设置论证报告”；陕西省人民政府发布的《陕西省入河排污口监督管理细则》（陕水发〔2006〕36号）规定，在河流河道管理范围内新建、改建或者扩大入河排污口，单位必须编制入河排污口设置论证报告书，并向有管辖权的县级以上地方人民政府水行政主管部门或者流域管理机构提出入河排污口设置申请。</w:t>
      </w:r>
    </w:p>
    <w:p w14:paraId="4495E69D">
      <w:pPr>
        <w:pStyle w:val="46"/>
        <w:ind w:firstLine="480"/>
        <w:rPr>
          <w:rFonts w:eastAsia="宋体"/>
          <w:color w:val="auto"/>
          <w:sz w:val="24"/>
        </w:rPr>
      </w:pPr>
      <w:r>
        <w:rPr>
          <w:rFonts w:hint="eastAsia" w:eastAsia="宋体"/>
          <w:sz w:val="24"/>
        </w:rPr>
        <w:t>为严格执行水利部《入河排污口监督管理办法》、陕西省水利厅《陕西省入河排污口监督管理细则》，促进水资源优化配置，保证水资源可持续利用，保障建设项目的合理排水要求，西安排水集团有限公司将军山水厂作为建设单位，委托</w:t>
      </w:r>
      <w:r>
        <w:rPr>
          <w:rFonts w:hint="eastAsia" w:eastAsia="宋体"/>
          <w:sz w:val="24"/>
          <w:lang w:val="en-US" w:eastAsia="zh-CN"/>
        </w:rPr>
        <w:t>我公司</w:t>
      </w:r>
      <w:r>
        <w:rPr>
          <w:rFonts w:hint="eastAsia" w:eastAsia="宋体"/>
          <w:sz w:val="24"/>
        </w:rPr>
        <w:t>编制《西安排水集</w:t>
      </w:r>
      <w:r>
        <w:rPr>
          <w:rFonts w:hint="eastAsia" w:eastAsia="宋体"/>
          <w:color w:val="auto"/>
          <w:sz w:val="24"/>
        </w:rPr>
        <w:t>团有限公司将军山水厂入河排污口设置论证报告》。在接受委托后，编制单位组织有关技术人员对项目所在地及拟设排污口进行了现场查勘，在收集有关资料的基础上，就本项目排污口的设置对水域、水生态和第三者权益的影响，根据受纳水域的纳污能力和水生态等要求，进行定量的科学分析与预测，优化入河排污口的设置，最后编制了该项目入河排污口设置论证报告。</w:t>
      </w:r>
    </w:p>
    <w:p w14:paraId="1F2F91CA">
      <w:pPr>
        <w:pStyle w:val="57"/>
        <w:keepNext w:val="0"/>
        <w:keepLines w:val="0"/>
        <w:widowControl w:val="0"/>
        <w:numPr>
          <w:ilvl w:val="0"/>
          <w:numId w:val="0"/>
        </w:numPr>
        <w:spacing w:before="120" w:beforeLines="50" w:after="120" w:afterLines="50"/>
        <w:rPr>
          <w:rFonts w:eastAsia="宋体"/>
          <w:sz w:val="30"/>
        </w:rPr>
      </w:pPr>
      <w:bookmarkStart w:id="3" w:name="_Toc22226"/>
      <w:r>
        <w:rPr>
          <w:rFonts w:hint="eastAsia" w:eastAsia="宋体"/>
          <w:sz w:val="30"/>
        </w:rPr>
        <w:t>1</w:t>
      </w:r>
      <w:r>
        <w:rPr>
          <w:rFonts w:eastAsia="宋体"/>
          <w:sz w:val="30"/>
        </w:rPr>
        <w:t>.2论证目的及依据</w:t>
      </w:r>
      <w:bookmarkEnd w:id="3"/>
    </w:p>
    <w:p w14:paraId="3486BDC0">
      <w:pPr>
        <w:pStyle w:val="61"/>
        <w:keepNext w:val="0"/>
        <w:keepLines w:val="0"/>
        <w:widowControl w:val="0"/>
        <w:numPr>
          <w:ilvl w:val="0"/>
          <w:numId w:val="0"/>
        </w:numPr>
        <w:spacing w:before="0" w:after="0"/>
        <w:rPr>
          <w:rFonts w:eastAsia="宋体"/>
        </w:rPr>
      </w:pPr>
      <w:r>
        <w:rPr>
          <w:rFonts w:hint="eastAsia" w:eastAsia="宋体"/>
        </w:rPr>
        <w:t>1</w:t>
      </w:r>
      <w:r>
        <w:rPr>
          <w:rFonts w:eastAsia="宋体"/>
        </w:rPr>
        <w:t>.2.1论证目的</w:t>
      </w:r>
    </w:p>
    <w:p w14:paraId="5FB7740C">
      <w:pPr>
        <w:pStyle w:val="46"/>
        <w:ind w:firstLine="480"/>
        <w:rPr>
          <w:rFonts w:eastAsia="宋体"/>
          <w:sz w:val="24"/>
        </w:rPr>
      </w:pPr>
      <w:r>
        <w:rPr>
          <w:rFonts w:hint="eastAsia" w:eastAsia="宋体"/>
          <w:sz w:val="24"/>
        </w:rPr>
        <w:t>编制《西安排水集团有限公司将军山水厂入河排污口设置论证报告》的目的是分析西安排水集团有限公司将军山水厂设置入河排污口的实际情况，遵循合理开发、节约使用和有效保护水资源的原则，在满足水功能区保护要求的前提下，论证入河排污口设置对水功能区保护目标和水生态、水环境的影响，对有利害关系的第三者产生的影响；根据排污口所在水功能区纳污能力、排污总量控制、水生态保护等要求，提出水资源保护措施，优化入河排污口设置方案，为主管部门审批入河排污口以及建设单位合理设置入河排污口提供科学依据，以保障生活、生产和生态用水安全。</w:t>
      </w:r>
    </w:p>
    <w:p w14:paraId="7BA87419">
      <w:pPr>
        <w:pStyle w:val="61"/>
        <w:numPr>
          <w:ilvl w:val="0"/>
          <w:numId w:val="0"/>
        </w:numPr>
        <w:spacing w:before="0" w:after="0"/>
        <w:rPr>
          <w:rFonts w:eastAsia="宋体"/>
        </w:rPr>
      </w:pPr>
      <w:r>
        <w:rPr>
          <w:rFonts w:hint="eastAsia" w:eastAsia="宋体"/>
        </w:rPr>
        <w:t>1</w:t>
      </w:r>
      <w:r>
        <w:rPr>
          <w:rFonts w:eastAsia="宋体"/>
        </w:rPr>
        <w:t>.2.2论证依据</w:t>
      </w:r>
    </w:p>
    <w:p w14:paraId="6B6C4FED">
      <w:pPr>
        <w:pStyle w:val="69"/>
      </w:pPr>
      <w:r>
        <w:rPr>
          <w:rFonts w:hint="eastAsia"/>
        </w:rPr>
        <w:t>1</w:t>
      </w:r>
      <w:r>
        <w:t>.2.2.1法律法规</w:t>
      </w:r>
    </w:p>
    <w:p w14:paraId="04C07BE9">
      <w:pPr>
        <w:pStyle w:val="46"/>
        <w:ind w:firstLine="480"/>
        <w:rPr>
          <w:rFonts w:hint="eastAsia" w:eastAsia="宋体"/>
          <w:sz w:val="24"/>
        </w:rPr>
      </w:pPr>
      <w:r>
        <w:rPr>
          <w:rFonts w:hint="eastAsia" w:eastAsia="宋体"/>
          <w:sz w:val="24"/>
        </w:rPr>
        <w:t>（1）《中华人民共和国水法》（2016年7月2日</w:t>
      </w:r>
      <w:r>
        <w:rPr>
          <w:rFonts w:hint="eastAsia" w:eastAsia="宋体"/>
          <w:sz w:val="24"/>
          <w:lang w:val="en-US" w:eastAsia="zh-CN"/>
        </w:rPr>
        <w:t>实施</w:t>
      </w:r>
      <w:r>
        <w:rPr>
          <w:rFonts w:hint="eastAsia" w:eastAsia="宋体"/>
          <w:sz w:val="24"/>
        </w:rPr>
        <w:t>）；</w:t>
      </w:r>
    </w:p>
    <w:p w14:paraId="63418A8F">
      <w:pPr>
        <w:pStyle w:val="46"/>
        <w:ind w:firstLine="480"/>
        <w:rPr>
          <w:rFonts w:eastAsia="宋体"/>
          <w:sz w:val="24"/>
        </w:rPr>
      </w:pPr>
      <w:r>
        <w:rPr>
          <w:rFonts w:hint="eastAsia" w:eastAsia="宋体"/>
          <w:sz w:val="24"/>
          <w:lang w:eastAsia="zh-CN"/>
        </w:rPr>
        <w:t>（</w:t>
      </w:r>
      <w:r>
        <w:rPr>
          <w:rFonts w:hint="eastAsia" w:eastAsia="宋体"/>
          <w:sz w:val="24"/>
          <w:lang w:val="en-US" w:eastAsia="zh-CN"/>
        </w:rPr>
        <w:t>2</w:t>
      </w:r>
      <w:r>
        <w:rPr>
          <w:rFonts w:hint="eastAsia" w:eastAsia="宋体"/>
          <w:sz w:val="24"/>
          <w:lang w:eastAsia="zh-CN"/>
        </w:rPr>
        <w:t>）</w:t>
      </w:r>
      <w:r>
        <w:rPr>
          <w:rFonts w:eastAsia="宋体"/>
          <w:sz w:val="24"/>
        </w:rPr>
        <w:t>《中华人民共和国水污染防治法》（2018年</w:t>
      </w:r>
      <w:r>
        <w:rPr>
          <w:rFonts w:hint="eastAsia" w:eastAsia="宋体"/>
          <w:sz w:val="24"/>
        </w:rPr>
        <w:t>1月1日实施</w:t>
      </w:r>
      <w:r>
        <w:rPr>
          <w:rFonts w:eastAsia="宋体"/>
          <w:sz w:val="24"/>
        </w:rPr>
        <w:t>）</w:t>
      </w:r>
      <w:r>
        <w:rPr>
          <w:rFonts w:hint="eastAsia" w:eastAsia="宋体"/>
          <w:sz w:val="24"/>
        </w:rPr>
        <w:t>；</w:t>
      </w:r>
    </w:p>
    <w:p w14:paraId="32F322A1">
      <w:pPr>
        <w:pStyle w:val="46"/>
        <w:ind w:firstLine="480"/>
        <w:rPr>
          <w:rFonts w:eastAsia="宋体"/>
          <w:sz w:val="24"/>
        </w:rPr>
      </w:pPr>
      <w:r>
        <w:rPr>
          <w:rFonts w:hint="eastAsia" w:eastAsia="宋体"/>
          <w:sz w:val="24"/>
        </w:rPr>
        <w:t>（</w:t>
      </w:r>
      <w:r>
        <w:rPr>
          <w:rFonts w:hint="eastAsia" w:eastAsia="宋体"/>
          <w:sz w:val="24"/>
          <w:lang w:val="en-US" w:eastAsia="zh-CN"/>
        </w:rPr>
        <w:t>3</w:t>
      </w:r>
      <w:r>
        <w:rPr>
          <w:rFonts w:hint="eastAsia" w:eastAsia="宋体"/>
          <w:sz w:val="24"/>
        </w:rPr>
        <w:t>）《中华人民共和国河道管理条例》（</w:t>
      </w:r>
      <w:r>
        <w:rPr>
          <w:rFonts w:eastAsia="宋体"/>
          <w:sz w:val="24"/>
        </w:rPr>
        <w:t>201</w:t>
      </w:r>
      <w:r>
        <w:rPr>
          <w:rFonts w:hint="eastAsia" w:eastAsia="宋体"/>
          <w:sz w:val="24"/>
          <w:lang w:val="en-US" w:eastAsia="zh-CN"/>
        </w:rPr>
        <w:t>8</w:t>
      </w:r>
      <w:r>
        <w:rPr>
          <w:rFonts w:eastAsia="宋体"/>
          <w:sz w:val="24"/>
        </w:rPr>
        <w:t>年</w:t>
      </w:r>
      <w:r>
        <w:rPr>
          <w:rFonts w:hint="eastAsia" w:eastAsia="宋体"/>
          <w:sz w:val="24"/>
          <w:lang w:val="en-US" w:eastAsia="zh-CN"/>
        </w:rPr>
        <w:t>3月19日实施</w:t>
      </w:r>
      <w:r>
        <w:rPr>
          <w:rFonts w:hint="eastAsia" w:eastAsia="宋体"/>
          <w:sz w:val="24"/>
        </w:rPr>
        <w:t>）；</w:t>
      </w:r>
    </w:p>
    <w:p w14:paraId="00AA4340">
      <w:pPr>
        <w:pStyle w:val="46"/>
        <w:ind w:firstLine="480"/>
        <w:rPr>
          <w:rFonts w:eastAsia="宋体"/>
          <w:sz w:val="24"/>
        </w:rPr>
      </w:pPr>
      <w:r>
        <w:rPr>
          <w:rFonts w:eastAsia="宋体"/>
          <w:sz w:val="24"/>
        </w:rPr>
        <w:t>（4）《中华人民共和国防洪法》（2016年7月2日第三次修正）；</w:t>
      </w:r>
    </w:p>
    <w:p w14:paraId="416309EB">
      <w:pPr>
        <w:pStyle w:val="46"/>
        <w:ind w:firstLine="480"/>
        <w:rPr>
          <w:rFonts w:eastAsia="宋体"/>
          <w:sz w:val="24"/>
        </w:rPr>
      </w:pPr>
      <w:r>
        <w:rPr>
          <w:rFonts w:eastAsia="宋体"/>
          <w:sz w:val="24"/>
        </w:rPr>
        <w:t>（5）</w:t>
      </w:r>
      <w:r>
        <w:rPr>
          <w:rFonts w:hint="eastAsia" w:eastAsia="宋体"/>
          <w:sz w:val="24"/>
        </w:rPr>
        <w:t>《中华人民共和国水污染防治法》（2018年1月1日</w:t>
      </w:r>
      <w:r>
        <w:rPr>
          <w:rFonts w:hint="eastAsia" w:eastAsia="宋体"/>
          <w:sz w:val="24"/>
          <w:lang w:val="en-US" w:eastAsia="zh-CN"/>
        </w:rPr>
        <w:t>实施</w:t>
      </w:r>
      <w:r>
        <w:rPr>
          <w:rFonts w:hint="eastAsia" w:eastAsia="宋体"/>
          <w:sz w:val="24"/>
        </w:rPr>
        <w:t>）</w:t>
      </w:r>
    </w:p>
    <w:p w14:paraId="3392C8DE">
      <w:pPr>
        <w:pStyle w:val="46"/>
        <w:ind w:firstLine="480"/>
        <w:rPr>
          <w:rFonts w:eastAsia="宋体"/>
          <w:sz w:val="24"/>
        </w:rPr>
      </w:pPr>
      <w:r>
        <w:rPr>
          <w:rFonts w:eastAsia="宋体"/>
          <w:sz w:val="24"/>
        </w:rPr>
        <w:t>（6）《水功能区监督管理办法》（水资源[2017]101号）；</w:t>
      </w:r>
    </w:p>
    <w:p w14:paraId="7A5B4908">
      <w:pPr>
        <w:pStyle w:val="46"/>
        <w:ind w:firstLine="480"/>
        <w:rPr>
          <w:rFonts w:eastAsia="宋体"/>
          <w:sz w:val="24"/>
        </w:rPr>
      </w:pPr>
      <w:r>
        <w:rPr>
          <w:rFonts w:eastAsia="宋体"/>
          <w:sz w:val="24"/>
        </w:rPr>
        <w:t>（7）《入河排污口监督管理办法》（根据2015年12月16日水利部令第47号修改）；</w:t>
      </w:r>
    </w:p>
    <w:p w14:paraId="203F826D">
      <w:pPr>
        <w:pStyle w:val="46"/>
        <w:ind w:firstLine="480"/>
        <w:rPr>
          <w:rFonts w:hint="eastAsia" w:eastAsia="宋体"/>
          <w:sz w:val="24"/>
          <w:lang w:eastAsia="zh-CN"/>
        </w:rPr>
      </w:pPr>
      <w:r>
        <w:rPr>
          <w:rFonts w:eastAsia="宋体"/>
          <w:sz w:val="24"/>
        </w:rPr>
        <w:t>（8）</w:t>
      </w:r>
      <w:r>
        <w:rPr>
          <w:rFonts w:hint="eastAsia" w:eastAsia="宋体"/>
          <w:sz w:val="24"/>
        </w:rPr>
        <w:t>《取水许可管理办法》（水利部令第3</w:t>
      </w:r>
      <w:r>
        <w:rPr>
          <w:rFonts w:eastAsia="宋体"/>
          <w:sz w:val="24"/>
        </w:rPr>
        <w:t>4号</w:t>
      </w:r>
      <w:r>
        <w:rPr>
          <w:rFonts w:hint="eastAsia" w:eastAsia="宋体"/>
          <w:sz w:val="24"/>
        </w:rPr>
        <w:t>，2</w:t>
      </w:r>
      <w:r>
        <w:rPr>
          <w:rFonts w:eastAsia="宋体"/>
          <w:sz w:val="24"/>
        </w:rPr>
        <w:t>008年</w:t>
      </w:r>
      <w:r>
        <w:rPr>
          <w:rFonts w:hint="eastAsia" w:eastAsia="宋体"/>
          <w:sz w:val="24"/>
        </w:rPr>
        <w:t>4月9日</w:t>
      </w:r>
      <w:r>
        <w:rPr>
          <w:rFonts w:hint="eastAsia" w:eastAsia="宋体"/>
          <w:sz w:val="24"/>
          <w:lang w:val="en-US" w:eastAsia="zh-CN"/>
        </w:rPr>
        <w:t>实施</w:t>
      </w:r>
      <w:r>
        <w:rPr>
          <w:rFonts w:hint="eastAsia" w:eastAsia="宋体"/>
          <w:sz w:val="24"/>
        </w:rPr>
        <w:t>）</w:t>
      </w:r>
      <w:r>
        <w:rPr>
          <w:rFonts w:hint="eastAsia" w:eastAsia="宋体"/>
          <w:sz w:val="24"/>
          <w:lang w:eastAsia="zh-CN"/>
        </w:rPr>
        <w:t>；</w:t>
      </w:r>
    </w:p>
    <w:p w14:paraId="7ECBE90A">
      <w:pPr>
        <w:pStyle w:val="46"/>
        <w:ind w:firstLine="480"/>
        <w:rPr>
          <w:rFonts w:eastAsia="宋体"/>
          <w:sz w:val="24"/>
        </w:rPr>
      </w:pPr>
      <w:r>
        <w:rPr>
          <w:rFonts w:eastAsia="宋体"/>
          <w:sz w:val="24"/>
        </w:rPr>
        <w:t>（9）</w:t>
      </w:r>
      <w:r>
        <w:rPr>
          <w:rFonts w:hint="eastAsia" w:eastAsia="宋体"/>
          <w:sz w:val="24"/>
        </w:rPr>
        <w:t>《陕西省河道管理条例》（2000年12月2日</w:t>
      </w:r>
      <w:r>
        <w:rPr>
          <w:rFonts w:hint="eastAsia" w:eastAsia="宋体"/>
          <w:sz w:val="24"/>
          <w:lang w:val="en-US" w:eastAsia="zh-CN"/>
        </w:rPr>
        <w:t>实施</w:t>
      </w:r>
      <w:r>
        <w:rPr>
          <w:rFonts w:hint="eastAsia" w:eastAsia="宋体"/>
          <w:sz w:val="24"/>
        </w:rPr>
        <w:t>）；</w:t>
      </w:r>
    </w:p>
    <w:p w14:paraId="17820757">
      <w:pPr>
        <w:pStyle w:val="46"/>
        <w:ind w:firstLine="480"/>
        <w:rPr>
          <w:rFonts w:eastAsia="宋体"/>
          <w:sz w:val="24"/>
        </w:rPr>
      </w:pPr>
      <w:r>
        <w:rPr>
          <w:rFonts w:eastAsia="宋体"/>
          <w:sz w:val="24"/>
        </w:rPr>
        <w:t>（10）</w:t>
      </w:r>
      <w:r>
        <w:rPr>
          <w:rFonts w:hint="eastAsia" w:eastAsia="宋体"/>
          <w:sz w:val="24"/>
          <w:lang w:eastAsia="zh-CN"/>
        </w:rPr>
        <w:t>《陕西省渭河流域管理条例》（2013年1月1日</w:t>
      </w:r>
      <w:r>
        <w:rPr>
          <w:rFonts w:hint="eastAsia" w:eastAsia="宋体"/>
          <w:sz w:val="24"/>
          <w:lang w:val="en-US" w:eastAsia="zh-CN"/>
        </w:rPr>
        <w:t>实施</w:t>
      </w:r>
      <w:r>
        <w:rPr>
          <w:rFonts w:hint="eastAsia" w:eastAsia="宋体"/>
          <w:sz w:val="24"/>
          <w:lang w:eastAsia="zh-CN"/>
        </w:rPr>
        <w:t>）。</w:t>
      </w:r>
    </w:p>
    <w:p w14:paraId="1CA3B3C7">
      <w:pPr>
        <w:pStyle w:val="69"/>
      </w:pPr>
      <w:r>
        <w:rPr>
          <w:rFonts w:hint="eastAsia"/>
        </w:rPr>
        <w:t>1</w:t>
      </w:r>
      <w:r>
        <w:t>.2.2.2</w:t>
      </w:r>
      <w:r>
        <w:rPr>
          <w:rFonts w:hint="eastAsia"/>
        </w:rPr>
        <w:t>政策文件</w:t>
      </w:r>
    </w:p>
    <w:p w14:paraId="15312469">
      <w:pPr>
        <w:pStyle w:val="46"/>
        <w:ind w:firstLine="480"/>
        <w:rPr>
          <w:rFonts w:eastAsia="宋体"/>
          <w:sz w:val="24"/>
        </w:rPr>
      </w:pPr>
      <w:r>
        <w:rPr>
          <w:rFonts w:eastAsia="宋体"/>
          <w:sz w:val="24"/>
        </w:rPr>
        <w:t>（1）</w:t>
      </w:r>
      <w:r>
        <w:rPr>
          <w:rFonts w:hint="eastAsia" w:eastAsia="宋体"/>
          <w:sz w:val="24"/>
        </w:rPr>
        <w:t>《水污染防治行动计划》（国务院国发〔2015〕17号，2015年4月2日发布）；</w:t>
      </w:r>
    </w:p>
    <w:p w14:paraId="62F9E614">
      <w:pPr>
        <w:pStyle w:val="46"/>
        <w:ind w:firstLine="480"/>
        <w:rPr>
          <w:rFonts w:hint="eastAsia" w:eastAsia="宋体"/>
          <w:sz w:val="24"/>
          <w:lang w:eastAsia="zh-CN"/>
        </w:rPr>
      </w:pPr>
      <w:r>
        <w:rPr>
          <w:rFonts w:eastAsia="宋体"/>
          <w:sz w:val="24"/>
        </w:rPr>
        <w:t>（2）</w:t>
      </w:r>
      <w:r>
        <w:rPr>
          <w:rFonts w:hint="eastAsia" w:eastAsia="宋体"/>
          <w:sz w:val="24"/>
        </w:rPr>
        <w:t>《水利部关于进一步加强入河排污口监督管理工作的通知》（水利部水资源〔2017〕138号，2017年3月2</w:t>
      </w:r>
      <w:r>
        <w:rPr>
          <w:rFonts w:hint="eastAsia" w:eastAsia="宋体"/>
          <w:sz w:val="24"/>
          <w:lang w:val="en-US" w:eastAsia="zh-CN"/>
        </w:rPr>
        <w:t>9</w:t>
      </w:r>
      <w:r>
        <w:rPr>
          <w:rFonts w:hint="eastAsia" w:eastAsia="宋体"/>
          <w:sz w:val="24"/>
        </w:rPr>
        <w:t>日）</w:t>
      </w:r>
      <w:r>
        <w:rPr>
          <w:rFonts w:hint="eastAsia" w:eastAsia="宋体"/>
          <w:sz w:val="24"/>
          <w:lang w:eastAsia="zh-CN"/>
        </w:rPr>
        <w:t>；</w:t>
      </w:r>
    </w:p>
    <w:p w14:paraId="11E3F307">
      <w:pPr>
        <w:pStyle w:val="46"/>
        <w:ind w:firstLine="480"/>
        <w:rPr>
          <w:rFonts w:eastAsia="宋体"/>
          <w:sz w:val="24"/>
        </w:rPr>
      </w:pPr>
      <w:r>
        <w:rPr>
          <w:rFonts w:eastAsia="宋体"/>
          <w:sz w:val="24"/>
        </w:rPr>
        <w:t>（3）</w:t>
      </w:r>
      <w:r>
        <w:rPr>
          <w:rFonts w:hint="eastAsia" w:eastAsia="宋体"/>
          <w:sz w:val="24"/>
        </w:rPr>
        <w:t>《黄河流域重要江河湖泊水功能区划手册》（2013年11月1日）；</w:t>
      </w:r>
    </w:p>
    <w:p w14:paraId="371E8F24">
      <w:pPr>
        <w:pStyle w:val="46"/>
        <w:ind w:firstLine="480"/>
        <w:rPr>
          <w:rFonts w:eastAsia="宋体"/>
          <w:sz w:val="24"/>
        </w:rPr>
      </w:pPr>
      <w:r>
        <w:rPr>
          <w:rFonts w:eastAsia="宋体"/>
          <w:sz w:val="24"/>
        </w:rPr>
        <w:t>（4）</w:t>
      </w:r>
      <w:r>
        <w:rPr>
          <w:rFonts w:hint="eastAsia" w:eastAsia="宋体"/>
          <w:sz w:val="24"/>
        </w:rPr>
        <w:t>《陕西省水污染防治工作方案》（陕西省人民政府，陕政发〔2015〕60 号，2015年12月30日）；</w:t>
      </w:r>
    </w:p>
    <w:p w14:paraId="708856E2">
      <w:pPr>
        <w:pStyle w:val="46"/>
        <w:ind w:firstLine="480"/>
        <w:rPr>
          <w:rFonts w:hint="eastAsia" w:eastAsia="宋体"/>
          <w:sz w:val="24"/>
          <w:lang w:eastAsia="zh-CN"/>
        </w:rPr>
      </w:pPr>
      <w:r>
        <w:rPr>
          <w:rFonts w:eastAsia="宋体"/>
          <w:sz w:val="24"/>
        </w:rPr>
        <w:t>（5）</w:t>
      </w:r>
      <w:r>
        <w:rPr>
          <w:rFonts w:hint="eastAsia" w:eastAsia="宋体"/>
          <w:sz w:val="24"/>
          <w:lang w:eastAsia="zh-CN"/>
        </w:rPr>
        <w:t>《</w:t>
      </w:r>
      <w:r>
        <w:rPr>
          <w:rFonts w:hint="eastAsia" w:eastAsia="宋体"/>
          <w:sz w:val="24"/>
          <w:lang w:val="en-US" w:eastAsia="zh-CN"/>
        </w:rPr>
        <w:t>关于落实水污染防治行动计划和陕西省水污染防治工作方案实施差别化环境准入的指导意见</w:t>
      </w:r>
      <w:r>
        <w:rPr>
          <w:rFonts w:hint="eastAsia" w:eastAsia="宋体"/>
          <w:sz w:val="24"/>
          <w:lang w:eastAsia="zh-CN"/>
        </w:rPr>
        <w:t>》（</w:t>
      </w:r>
      <w:r>
        <w:rPr>
          <w:rFonts w:hint="eastAsia" w:eastAsia="宋体"/>
          <w:sz w:val="24"/>
          <w:lang w:val="en-US" w:eastAsia="zh-CN"/>
        </w:rPr>
        <w:t>陕环发</w:t>
      </w:r>
      <w:r>
        <w:rPr>
          <w:rFonts w:hint="eastAsia" w:eastAsia="宋体"/>
          <w:sz w:val="24"/>
        </w:rPr>
        <w:t>〔2017〕</w:t>
      </w:r>
      <w:r>
        <w:rPr>
          <w:rFonts w:hint="eastAsia" w:eastAsia="宋体"/>
          <w:sz w:val="24"/>
          <w:lang w:val="en-US" w:eastAsia="zh-CN"/>
        </w:rPr>
        <w:t>27</w:t>
      </w:r>
      <w:r>
        <w:rPr>
          <w:rFonts w:hint="eastAsia" w:eastAsia="宋体"/>
          <w:sz w:val="24"/>
        </w:rPr>
        <w:t>号</w:t>
      </w:r>
      <w:r>
        <w:rPr>
          <w:rFonts w:hint="eastAsia" w:eastAsia="宋体"/>
          <w:sz w:val="24"/>
          <w:lang w:eastAsia="zh-CN"/>
        </w:rPr>
        <w:t>，</w:t>
      </w:r>
      <w:r>
        <w:rPr>
          <w:rFonts w:hint="eastAsia" w:eastAsia="宋体"/>
          <w:sz w:val="24"/>
          <w:lang w:val="en-US" w:eastAsia="zh-CN"/>
        </w:rPr>
        <w:t>2017年5月22日</w:t>
      </w:r>
      <w:r>
        <w:rPr>
          <w:rFonts w:hint="eastAsia" w:eastAsia="宋体"/>
          <w:sz w:val="24"/>
          <w:lang w:eastAsia="zh-CN"/>
        </w:rPr>
        <w:t>）；</w:t>
      </w:r>
    </w:p>
    <w:p w14:paraId="4F754B3A">
      <w:pPr>
        <w:pStyle w:val="46"/>
        <w:ind w:firstLine="480"/>
        <w:rPr>
          <w:rFonts w:eastAsia="宋体"/>
          <w:sz w:val="24"/>
        </w:rPr>
      </w:pPr>
      <w:r>
        <w:rPr>
          <w:rFonts w:eastAsia="宋体"/>
          <w:sz w:val="24"/>
        </w:rPr>
        <w:t>（6）</w:t>
      </w:r>
      <w:r>
        <w:rPr>
          <w:rFonts w:hint="eastAsia" w:eastAsia="宋体"/>
          <w:sz w:val="24"/>
        </w:rPr>
        <w:t>《陕西省水功能区划》（陕西省人民政府办公厅，陕政办发〔2004〕100号）；</w:t>
      </w:r>
    </w:p>
    <w:p w14:paraId="1167375F">
      <w:pPr>
        <w:pStyle w:val="46"/>
        <w:ind w:firstLine="480"/>
        <w:rPr>
          <w:rFonts w:eastAsia="宋体"/>
          <w:sz w:val="24"/>
        </w:rPr>
      </w:pPr>
      <w:r>
        <w:rPr>
          <w:rFonts w:eastAsia="宋体"/>
          <w:sz w:val="24"/>
        </w:rPr>
        <w:t>（7）</w:t>
      </w:r>
      <w:r>
        <w:rPr>
          <w:rFonts w:hint="eastAsia" w:eastAsia="宋体"/>
          <w:sz w:val="24"/>
        </w:rPr>
        <w:t>《西安市水污染防治工作方案》（市政办发〔2016〕64号）；</w:t>
      </w:r>
    </w:p>
    <w:p w14:paraId="462786AC">
      <w:pPr>
        <w:pStyle w:val="46"/>
        <w:ind w:firstLine="480"/>
        <w:rPr>
          <w:rFonts w:eastAsia="宋体"/>
          <w:sz w:val="24"/>
        </w:rPr>
      </w:pPr>
      <w:r>
        <w:rPr>
          <w:rFonts w:eastAsia="宋体"/>
          <w:sz w:val="24"/>
        </w:rPr>
        <w:t>（8）</w:t>
      </w:r>
      <w:r>
        <w:rPr>
          <w:rFonts w:hint="eastAsia" w:eastAsia="宋体"/>
          <w:sz w:val="24"/>
        </w:rPr>
        <w:t>《陕西省入河排污口监督管理细则》（2006年3月27日）；</w:t>
      </w:r>
    </w:p>
    <w:p w14:paraId="545E2461">
      <w:pPr>
        <w:pStyle w:val="46"/>
        <w:ind w:firstLine="480"/>
        <w:rPr>
          <w:rFonts w:hint="eastAsia" w:eastAsia="宋体"/>
          <w:sz w:val="24"/>
          <w:lang w:eastAsia="zh-CN"/>
        </w:rPr>
      </w:pPr>
      <w:r>
        <w:rPr>
          <w:rFonts w:eastAsia="宋体"/>
          <w:sz w:val="24"/>
        </w:rPr>
        <w:t>（9）</w:t>
      </w:r>
      <w:r>
        <w:rPr>
          <w:rFonts w:hint="eastAsia" w:eastAsia="宋体"/>
          <w:sz w:val="24"/>
        </w:rPr>
        <w:t>《陕西省关于全面推行河长制的实施方案》（2017年2月7日）</w:t>
      </w:r>
      <w:r>
        <w:rPr>
          <w:rFonts w:hint="eastAsia" w:eastAsia="宋体"/>
          <w:sz w:val="24"/>
          <w:lang w:eastAsia="zh-CN"/>
        </w:rPr>
        <w:t>。</w:t>
      </w:r>
    </w:p>
    <w:p w14:paraId="595A4651">
      <w:pPr>
        <w:pStyle w:val="69"/>
      </w:pPr>
      <w:r>
        <w:rPr>
          <w:rFonts w:hint="eastAsia"/>
        </w:rPr>
        <w:t>1</w:t>
      </w:r>
      <w:r>
        <w:t>.2.2.3规程、规范</w:t>
      </w:r>
    </w:p>
    <w:p w14:paraId="4E06643F">
      <w:pPr>
        <w:pStyle w:val="46"/>
        <w:ind w:firstLine="480"/>
        <w:rPr>
          <w:rFonts w:eastAsia="宋体"/>
          <w:sz w:val="24"/>
        </w:rPr>
      </w:pPr>
      <w:r>
        <w:rPr>
          <w:rFonts w:eastAsia="宋体"/>
          <w:sz w:val="24"/>
        </w:rPr>
        <w:t>（1）《入河排污口设置论证基本要求（试行）》（水利部令第22号）；</w:t>
      </w:r>
    </w:p>
    <w:p w14:paraId="76DBDD70">
      <w:pPr>
        <w:pStyle w:val="46"/>
        <w:ind w:firstLine="480"/>
        <w:rPr>
          <w:rFonts w:eastAsia="宋体"/>
          <w:sz w:val="24"/>
        </w:rPr>
      </w:pPr>
      <w:r>
        <w:rPr>
          <w:rFonts w:eastAsia="宋体"/>
          <w:sz w:val="24"/>
        </w:rPr>
        <w:t>（2）《水利水电工程水文计算规范》（SL278-2002）；</w:t>
      </w:r>
    </w:p>
    <w:p w14:paraId="5E30EF6D">
      <w:pPr>
        <w:pStyle w:val="46"/>
        <w:ind w:firstLine="480"/>
        <w:rPr>
          <w:rFonts w:eastAsia="宋体"/>
          <w:sz w:val="24"/>
        </w:rPr>
      </w:pPr>
      <w:r>
        <w:rPr>
          <w:rFonts w:eastAsia="宋体"/>
          <w:sz w:val="24"/>
        </w:rPr>
        <w:t>（3）《水域纳污能力计算规程》（GB/T25173-2010）；</w:t>
      </w:r>
    </w:p>
    <w:p w14:paraId="2DDF241F">
      <w:pPr>
        <w:pStyle w:val="46"/>
        <w:ind w:firstLine="480"/>
        <w:rPr>
          <w:rFonts w:eastAsia="宋体"/>
          <w:sz w:val="24"/>
        </w:rPr>
      </w:pPr>
      <w:r>
        <w:rPr>
          <w:rFonts w:eastAsia="宋体"/>
          <w:sz w:val="24"/>
        </w:rPr>
        <w:t>（4）《入河排污口管理技术导则》（SL532-2011）；</w:t>
      </w:r>
    </w:p>
    <w:p w14:paraId="52EF8CCF">
      <w:pPr>
        <w:pStyle w:val="46"/>
        <w:ind w:firstLine="480"/>
        <w:rPr>
          <w:rFonts w:eastAsia="宋体"/>
          <w:sz w:val="24"/>
        </w:rPr>
      </w:pPr>
      <w:r>
        <w:rPr>
          <w:rFonts w:eastAsia="宋体"/>
          <w:sz w:val="24"/>
        </w:rPr>
        <w:t>（5）《水资源评价导则》(SL/T238-1999）；</w:t>
      </w:r>
    </w:p>
    <w:p w14:paraId="1D9ACBFB">
      <w:pPr>
        <w:pStyle w:val="46"/>
        <w:ind w:firstLine="480"/>
        <w:rPr>
          <w:rFonts w:eastAsia="宋体"/>
          <w:sz w:val="24"/>
        </w:rPr>
      </w:pPr>
      <w:r>
        <w:rPr>
          <w:rFonts w:eastAsia="宋体"/>
          <w:sz w:val="24"/>
        </w:rPr>
        <w:t>（6）《水文调查规范》（SL196-2015）；</w:t>
      </w:r>
    </w:p>
    <w:p w14:paraId="13DBCE16">
      <w:pPr>
        <w:pStyle w:val="46"/>
        <w:ind w:firstLine="480"/>
        <w:rPr>
          <w:rFonts w:eastAsia="宋体"/>
          <w:sz w:val="24"/>
        </w:rPr>
      </w:pPr>
      <w:r>
        <w:rPr>
          <w:rFonts w:eastAsia="宋体"/>
          <w:sz w:val="24"/>
        </w:rPr>
        <w:t>（7）《水环境监测规范》（SL219-2013）；</w:t>
      </w:r>
    </w:p>
    <w:p w14:paraId="7AB38008">
      <w:pPr>
        <w:pStyle w:val="46"/>
        <w:ind w:firstLine="480"/>
        <w:rPr>
          <w:rFonts w:eastAsia="宋体"/>
          <w:sz w:val="24"/>
        </w:rPr>
      </w:pPr>
      <w:r>
        <w:rPr>
          <w:rFonts w:eastAsia="宋体"/>
          <w:sz w:val="24"/>
        </w:rPr>
        <w:t>（8）《地表水环境质量标准》（GB3838-2002）；</w:t>
      </w:r>
    </w:p>
    <w:p w14:paraId="7EFD3BDD">
      <w:pPr>
        <w:pStyle w:val="46"/>
        <w:ind w:firstLine="480"/>
        <w:rPr>
          <w:rFonts w:eastAsia="宋体"/>
          <w:sz w:val="24"/>
        </w:rPr>
      </w:pPr>
      <w:r>
        <w:rPr>
          <w:rFonts w:eastAsia="宋体"/>
          <w:sz w:val="24"/>
        </w:rPr>
        <w:t>（9）</w:t>
      </w:r>
      <w:r>
        <w:rPr>
          <w:rFonts w:hint="eastAsia" w:eastAsia="宋体"/>
          <w:sz w:val="24"/>
        </w:rPr>
        <w:t>《生活饮用水水质标准》（GB5749</w:t>
      </w:r>
      <w:r>
        <w:rPr>
          <w:rFonts w:hint="eastAsia" w:eastAsia="宋体"/>
          <w:sz w:val="24"/>
          <w:lang w:val="en-US" w:eastAsia="zh-CN"/>
        </w:rPr>
        <w:t>-</w:t>
      </w:r>
      <w:r>
        <w:rPr>
          <w:rFonts w:hint="eastAsia" w:eastAsia="宋体"/>
          <w:sz w:val="24"/>
        </w:rPr>
        <w:t>2006）；</w:t>
      </w:r>
    </w:p>
    <w:p w14:paraId="4D7013A7">
      <w:pPr>
        <w:pStyle w:val="46"/>
        <w:ind w:firstLine="480"/>
        <w:rPr>
          <w:rFonts w:eastAsia="宋体"/>
          <w:sz w:val="24"/>
        </w:rPr>
      </w:pPr>
      <w:r>
        <w:rPr>
          <w:rFonts w:eastAsia="宋体"/>
          <w:sz w:val="24"/>
        </w:rPr>
        <w:t>（10）《环境影响评价技术导则</w:t>
      </w:r>
      <w:r>
        <w:rPr>
          <w:rFonts w:hint="eastAsia" w:eastAsia="宋体"/>
          <w:sz w:val="24"/>
        </w:rPr>
        <w:t>地表水</w:t>
      </w:r>
      <w:r>
        <w:rPr>
          <w:rFonts w:eastAsia="宋体"/>
          <w:sz w:val="24"/>
        </w:rPr>
        <w:t>环境》（HJ2.3-2018）；</w:t>
      </w:r>
    </w:p>
    <w:p w14:paraId="1AED8AC1">
      <w:pPr>
        <w:pStyle w:val="46"/>
        <w:ind w:firstLine="480"/>
        <w:rPr>
          <w:rFonts w:hint="eastAsia" w:eastAsia="宋体"/>
          <w:sz w:val="24"/>
          <w:lang w:eastAsia="zh-CN"/>
        </w:rPr>
      </w:pPr>
      <w:r>
        <w:rPr>
          <w:rFonts w:hint="eastAsia" w:eastAsia="宋体"/>
          <w:sz w:val="24"/>
        </w:rPr>
        <w:t>（1</w:t>
      </w:r>
      <w:r>
        <w:rPr>
          <w:rFonts w:eastAsia="宋体"/>
          <w:sz w:val="24"/>
        </w:rPr>
        <w:t>1</w:t>
      </w:r>
      <w:r>
        <w:rPr>
          <w:rFonts w:hint="eastAsia" w:eastAsia="宋体"/>
          <w:sz w:val="24"/>
        </w:rPr>
        <w:t>）《陕西省黄河流域污水综合排放标准》（DB61/224-2018）</w:t>
      </w:r>
      <w:r>
        <w:rPr>
          <w:rFonts w:hint="eastAsia" w:eastAsia="宋体"/>
          <w:sz w:val="24"/>
          <w:lang w:eastAsia="zh-CN"/>
        </w:rPr>
        <w:t>；</w:t>
      </w:r>
    </w:p>
    <w:p w14:paraId="3820ECC2">
      <w:pPr>
        <w:pStyle w:val="46"/>
        <w:ind w:firstLine="480"/>
        <w:rPr>
          <w:rFonts w:eastAsia="宋体"/>
          <w:sz w:val="24"/>
        </w:rPr>
      </w:pPr>
      <w:r>
        <w:rPr>
          <w:rFonts w:hint="eastAsia" w:eastAsia="宋体"/>
          <w:sz w:val="24"/>
        </w:rPr>
        <w:t>（1</w:t>
      </w:r>
      <w:r>
        <w:rPr>
          <w:rFonts w:eastAsia="宋体"/>
          <w:sz w:val="24"/>
        </w:rPr>
        <w:t>2</w:t>
      </w:r>
      <w:r>
        <w:rPr>
          <w:rFonts w:hint="eastAsia" w:eastAsia="宋体"/>
          <w:sz w:val="24"/>
        </w:rPr>
        <w:t>）《入河排污口设置论证报告技术导则》（征求意见稿，2016年9月28日）；</w:t>
      </w:r>
    </w:p>
    <w:p w14:paraId="6E31D595">
      <w:pPr>
        <w:pStyle w:val="46"/>
        <w:ind w:firstLine="480"/>
        <w:rPr>
          <w:rFonts w:hint="eastAsia" w:eastAsia="宋体"/>
          <w:sz w:val="24"/>
          <w:lang w:eastAsia="zh-CN"/>
        </w:rPr>
      </w:pPr>
      <w:r>
        <w:rPr>
          <w:rFonts w:hint="eastAsia" w:eastAsia="宋体"/>
          <w:sz w:val="24"/>
        </w:rPr>
        <w:t>（1</w:t>
      </w:r>
      <w:r>
        <w:rPr>
          <w:rFonts w:eastAsia="宋体"/>
          <w:sz w:val="24"/>
        </w:rPr>
        <w:t>3</w:t>
      </w:r>
      <w:r>
        <w:rPr>
          <w:rFonts w:hint="eastAsia" w:eastAsia="宋体"/>
          <w:sz w:val="24"/>
        </w:rPr>
        <w:t>）《建设项目水资源论证导则》（GB/T-35580-2017）</w:t>
      </w:r>
      <w:r>
        <w:rPr>
          <w:rFonts w:hint="eastAsia" w:eastAsia="宋体"/>
          <w:sz w:val="24"/>
          <w:lang w:eastAsia="zh-CN"/>
        </w:rPr>
        <w:t>。</w:t>
      </w:r>
    </w:p>
    <w:p w14:paraId="47A404A1">
      <w:pPr>
        <w:pStyle w:val="69"/>
      </w:pPr>
      <w:r>
        <w:rPr>
          <w:rFonts w:hint="eastAsia"/>
        </w:rPr>
        <w:t>1</w:t>
      </w:r>
      <w:r>
        <w:t>.2.2.</w:t>
      </w:r>
      <w:r>
        <w:rPr>
          <w:rFonts w:hint="eastAsia"/>
          <w:lang w:val="en-US" w:eastAsia="zh-CN"/>
        </w:rPr>
        <w:t>4技术依据、</w:t>
      </w:r>
      <w:r>
        <w:t>资料</w:t>
      </w:r>
    </w:p>
    <w:p w14:paraId="57E2C5AD">
      <w:pPr>
        <w:pStyle w:val="46"/>
        <w:ind w:firstLine="480"/>
        <w:rPr>
          <w:rFonts w:eastAsia="宋体"/>
          <w:sz w:val="24"/>
        </w:rPr>
      </w:pPr>
      <w:r>
        <w:rPr>
          <w:rFonts w:eastAsia="宋体"/>
          <w:sz w:val="24"/>
        </w:rPr>
        <w:t>（1）</w:t>
      </w:r>
      <w:r>
        <w:rPr>
          <w:rFonts w:hint="eastAsia" w:eastAsia="宋体"/>
          <w:sz w:val="24"/>
          <w:lang w:eastAsia="zh-CN"/>
        </w:rPr>
        <w:t>《</w:t>
      </w:r>
      <w:r>
        <w:rPr>
          <w:rFonts w:hint="eastAsia" w:eastAsia="宋体"/>
          <w:sz w:val="24"/>
        </w:rPr>
        <w:t>西安市西南郊水厂近期工程第一阶段项目（重大变动）</w:t>
      </w:r>
      <w:r>
        <w:rPr>
          <w:rFonts w:hint="eastAsia" w:eastAsia="宋体"/>
          <w:sz w:val="24"/>
          <w:lang w:val="en-US" w:eastAsia="zh-CN"/>
        </w:rPr>
        <w:t>环境影响报告表</w:t>
      </w:r>
      <w:r>
        <w:rPr>
          <w:rFonts w:hint="eastAsia" w:eastAsia="宋体"/>
          <w:sz w:val="24"/>
          <w:lang w:eastAsia="zh-CN"/>
        </w:rPr>
        <w:t>》，</w:t>
      </w:r>
      <w:r>
        <w:rPr>
          <w:rFonts w:hint="eastAsia" w:eastAsia="宋体"/>
          <w:sz w:val="24"/>
          <w:lang w:val="en-US" w:eastAsia="zh-CN"/>
        </w:rPr>
        <w:t>陕西企科环境技术有限公司</w:t>
      </w:r>
      <w:r>
        <w:rPr>
          <w:rFonts w:eastAsia="宋体"/>
          <w:sz w:val="24"/>
        </w:rPr>
        <w:t>；</w:t>
      </w:r>
    </w:p>
    <w:p w14:paraId="1F95B3D6">
      <w:pPr>
        <w:pStyle w:val="46"/>
        <w:ind w:firstLine="480"/>
        <w:rPr>
          <w:rFonts w:hint="eastAsia" w:eastAsia="宋体"/>
          <w:sz w:val="24"/>
          <w:lang w:eastAsia="zh-CN"/>
        </w:rPr>
      </w:pPr>
      <w:r>
        <w:rPr>
          <w:rFonts w:eastAsia="宋体"/>
          <w:sz w:val="24"/>
        </w:rPr>
        <w:t>（2）《</w:t>
      </w:r>
      <w:r>
        <w:rPr>
          <w:rFonts w:hint="eastAsia" w:eastAsia="宋体"/>
          <w:sz w:val="24"/>
          <w:lang w:val="en-US" w:eastAsia="zh-CN"/>
        </w:rPr>
        <w:t>西安市生态环境局鄠邑分局关于西安市自来水有限公司</w:t>
      </w:r>
      <w:r>
        <w:rPr>
          <w:rFonts w:hint="eastAsia" w:eastAsia="宋体"/>
          <w:sz w:val="24"/>
        </w:rPr>
        <w:t>西安市西南郊水厂近期工程第一阶段项目（重大变动）</w:t>
      </w:r>
      <w:r>
        <w:rPr>
          <w:rFonts w:hint="eastAsia" w:eastAsia="宋体"/>
          <w:sz w:val="24"/>
          <w:lang w:val="en-US" w:eastAsia="zh-CN"/>
        </w:rPr>
        <w:t>环境影响报告表的批复</w:t>
      </w:r>
      <w:r>
        <w:rPr>
          <w:rFonts w:eastAsia="宋体"/>
          <w:sz w:val="24"/>
        </w:rPr>
        <w:t>》</w:t>
      </w:r>
      <w:r>
        <w:rPr>
          <w:rFonts w:hint="eastAsia" w:eastAsia="宋体"/>
          <w:sz w:val="24"/>
          <w:lang w:eastAsia="zh-CN"/>
        </w:rPr>
        <w:t>（</w:t>
      </w:r>
      <w:r>
        <w:rPr>
          <w:rFonts w:hint="eastAsia" w:eastAsia="宋体"/>
          <w:sz w:val="24"/>
          <w:lang w:val="en-US" w:eastAsia="zh-CN"/>
        </w:rPr>
        <w:t>鄠环批复</w:t>
      </w:r>
      <w:r>
        <w:rPr>
          <w:rFonts w:eastAsia="宋体"/>
          <w:sz w:val="24"/>
        </w:rPr>
        <w:t>[20</w:t>
      </w:r>
      <w:r>
        <w:rPr>
          <w:rFonts w:hint="eastAsia" w:eastAsia="宋体"/>
          <w:sz w:val="24"/>
          <w:lang w:val="en-US" w:eastAsia="zh-CN"/>
        </w:rPr>
        <w:t>22</w:t>
      </w:r>
      <w:r>
        <w:rPr>
          <w:rFonts w:eastAsia="宋体"/>
          <w:sz w:val="24"/>
        </w:rPr>
        <w:t>]</w:t>
      </w:r>
      <w:r>
        <w:rPr>
          <w:rFonts w:hint="eastAsia" w:eastAsia="宋体"/>
          <w:sz w:val="24"/>
          <w:lang w:val="en-US" w:eastAsia="zh-CN"/>
        </w:rPr>
        <w:t>23</w:t>
      </w:r>
      <w:r>
        <w:rPr>
          <w:rFonts w:eastAsia="宋体"/>
          <w:sz w:val="24"/>
        </w:rPr>
        <w:t>号</w:t>
      </w:r>
      <w:r>
        <w:rPr>
          <w:rFonts w:hint="eastAsia" w:eastAsia="宋体"/>
          <w:sz w:val="24"/>
          <w:lang w:eastAsia="zh-CN"/>
        </w:rPr>
        <w:t>，</w:t>
      </w:r>
      <w:r>
        <w:rPr>
          <w:rFonts w:eastAsia="宋体"/>
          <w:sz w:val="24"/>
        </w:rPr>
        <w:t>20</w:t>
      </w:r>
      <w:r>
        <w:rPr>
          <w:rFonts w:hint="eastAsia" w:eastAsia="宋体"/>
          <w:sz w:val="24"/>
          <w:lang w:val="en-US" w:eastAsia="zh-CN"/>
        </w:rPr>
        <w:t>22</w:t>
      </w:r>
      <w:r>
        <w:rPr>
          <w:rFonts w:eastAsia="宋体"/>
          <w:sz w:val="24"/>
        </w:rPr>
        <w:t>年</w:t>
      </w:r>
      <w:r>
        <w:rPr>
          <w:rFonts w:hint="eastAsia" w:eastAsia="宋体"/>
          <w:sz w:val="24"/>
          <w:lang w:val="en-US" w:eastAsia="zh-CN"/>
        </w:rPr>
        <w:t>7</w:t>
      </w:r>
      <w:r>
        <w:rPr>
          <w:rFonts w:eastAsia="宋体"/>
          <w:sz w:val="24"/>
        </w:rPr>
        <w:t>月</w:t>
      </w:r>
      <w:r>
        <w:rPr>
          <w:rFonts w:hint="eastAsia" w:eastAsia="宋体"/>
          <w:sz w:val="24"/>
          <w:lang w:val="en-US" w:eastAsia="zh-CN"/>
        </w:rPr>
        <w:t>14</w:t>
      </w:r>
      <w:r>
        <w:rPr>
          <w:rFonts w:eastAsia="宋体"/>
          <w:sz w:val="24"/>
        </w:rPr>
        <w:t>日</w:t>
      </w:r>
      <w:r>
        <w:rPr>
          <w:rFonts w:hint="eastAsia" w:eastAsia="宋体"/>
          <w:sz w:val="24"/>
          <w:lang w:eastAsia="zh-CN"/>
        </w:rPr>
        <w:t>）。</w:t>
      </w:r>
    </w:p>
    <w:p w14:paraId="0C1BF189">
      <w:pPr>
        <w:pStyle w:val="57"/>
        <w:numPr>
          <w:ilvl w:val="0"/>
          <w:numId w:val="0"/>
        </w:numPr>
        <w:spacing w:before="120" w:beforeLines="50" w:after="120" w:afterLines="50"/>
        <w:rPr>
          <w:rFonts w:eastAsia="宋体"/>
          <w:sz w:val="30"/>
        </w:rPr>
      </w:pPr>
      <w:bookmarkStart w:id="4" w:name="_Toc24337"/>
      <w:r>
        <w:rPr>
          <w:rFonts w:hint="eastAsia" w:eastAsia="宋体"/>
          <w:sz w:val="30"/>
        </w:rPr>
        <w:t>1</w:t>
      </w:r>
      <w:r>
        <w:rPr>
          <w:rFonts w:eastAsia="宋体"/>
          <w:sz w:val="30"/>
        </w:rPr>
        <w:t>.3论证原则</w:t>
      </w:r>
      <w:bookmarkEnd w:id="4"/>
    </w:p>
    <w:p w14:paraId="45E365B2">
      <w:pPr>
        <w:pStyle w:val="46"/>
        <w:ind w:firstLine="480"/>
        <w:rPr>
          <w:rFonts w:eastAsia="宋体"/>
          <w:sz w:val="24"/>
        </w:rPr>
      </w:pPr>
      <w:r>
        <w:rPr>
          <w:rFonts w:eastAsia="宋体"/>
          <w:sz w:val="24"/>
        </w:rPr>
        <w:t>（1）符合国家法律、法规和相关政策的要求和规定；</w:t>
      </w:r>
    </w:p>
    <w:p w14:paraId="0B5D3F76">
      <w:pPr>
        <w:pStyle w:val="46"/>
        <w:ind w:firstLine="480"/>
        <w:rPr>
          <w:rFonts w:eastAsia="宋体"/>
          <w:sz w:val="24"/>
        </w:rPr>
      </w:pPr>
      <w:r>
        <w:rPr>
          <w:rFonts w:eastAsia="宋体"/>
          <w:sz w:val="24"/>
        </w:rPr>
        <w:t>（2）符合国家和行业有关技术标准与规范、规程；</w:t>
      </w:r>
    </w:p>
    <w:p w14:paraId="06797DE8">
      <w:pPr>
        <w:pStyle w:val="46"/>
        <w:ind w:firstLine="480"/>
        <w:rPr>
          <w:rFonts w:eastAsia="宋体"/>
          <w:sz w:val="24"/>
        </w:rPr>
      </w:pPr>
      <w:r>
        <w:rPr>
          <w:rFonts w:eastAsia="宋体"/>
          <w:sz w:val="24"/>
        </w:rPr>
        <w:t>（3）符合流域或区域的综合规划和水资源保护等专业规划；</w:t>
      </w:r>
    </w:p>
    <w:p w14:paraId="0ED2C65A">
      <w:pPr>
        <w:pStyle w:val="46"/>
        <w:ind w:firstLine="480"/>
        <w:rPr>
          <w:rFonts w:hint="eastAsia" w:eastAsia="宋体"/>
          <w:sz w:val="24"/>
          <w:lang w:eastAsia="zh-CN"/>
        </w:rPr>
      </w:pPr>
      <w:r>
        <w:rPr>
          <w:rFonts w:eastAsia="宋体"/>
          <w:sz w:val="24"/>
        </w:rPr>
        <w:t>（4）符合水功能区管理要求</w:t>
      </w:r>
      <w:r>
        <w:rPr>
          <w:rFonts w:hint="eastAsia" w:eastAsia="宋体"/>
          <w:sz w:val="24"/>
          <w:lang w:eastAsia="zh-CN"/>
        </w:rPr>
        <w:t>。</w:t>
      </w:r>
    </w:p>
    <w:p w14:paraId="510AB14F">
      <w:pPr>
        <w:pStyle w:val="57"/>
        <w:numPr>
          <w:ilvl w:val="0"/>
          <w:numId w:val="0"/>
        </w:numPr>
        <w:spacing w:before="120" w:beforeLines="50" w:after="120" w:afterLines="50"/>
        <w:rPr>
          <w:rFonts w:eastAsia="宋体"/>
          <w:sz w:val="30"/>
        </w:rPr>
      </w:pPr>
      <w:bookmarkStart w:id="5" w:name="_Toc2334"/>
      <w:r>
        <w:rPr>
          <w:rFonts w:hint="eastAsia" w:eastAsia="宋体"/>
          <w:sz w:val="30"/>
        </w:rPr>
        <w:t>1</w:t>
      </w:r>
      <w:r>
        <w:rPr>
          <w:rFonts w:eastAsia="宋体"/>
          <w:sz w:val="30"/>
        </w:rPr>
        <w:t>.4论证范围</w:t>
      </w:r>
      <w:bookmarkEnd w:id="5"/>
    </w:p>
    <w:p w14:paraId="11477412">
      <w:pPr>
        <w:pStyle w:val="61"/>
        <w:numPr>
          <w:ilvl w:val="0"/>
          <w:numId w:val="0"/>
        </w:numPr>
        <w:spacing w:before="0" w:after="0"/>
        <w:rPr>
          <w:rFonts w:eastAsia="宋体"/>
        </w:rPr>
      </w:pPr>
      <w:r>
        <w:rPr>
          <w:rFonts w:hint="eastAsia" w:eastAsia="宋体"/>
        </w:rPr>
        <w:t>1</w:t>
      </w:r>
      <w:r>
        <w:rPr>
          <w:rFonts w:eastAsia="宋体"/>
        </w:rPr>
        <w:t>.4.1论证重点区域</w:t>
      </w:r>
    </w:p>
    <w:p w14:paraId="21455F08">
      <w:pPr>
        <w:pStyle w:val="46"/>
        <w:ind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按照《入河排污口设置论证基本要求（试行）》的规定：“原则上以受入河排污口影响的主要水域和其影响范围内的第三方取、用水户为论证范围。论证工作的基础单元为水功能区，其中入河排污口所在水功能区和可能受到影响的周边水功能区，是论证的重点区域”。</w:t>
      </w:r>
    </w:p>
    <w:p w14:paraId="44D4ADB9">
      <w:pPr>
        <w:pStyle w:val="46"/>
        <w:ind w:firstLine="480"/>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本项目污水排放口设置</w:t>
      </w:r>
      <w:r>
        <w:rPr>
          <w:rFonts w:hint="eastAsia" w:eastAsia="宋体"/>
          <w:color w:val="000000" w:themeColor="text1"/>
          <w:sz w:val="24"/>
          <w:lang w:val="en-US" w:eastAsia="zh-CN"/>
          <w14:textFill>
            <w14:solidFill>
              <w14:schemeClr w14:val="tx1"/>
            </w14:solidFill>
          </w14:textFill>
        </w:rPr>
        <w:t>新</w:t>
      </w:r>
      <w:r>
        <w:rPr>
          <w:rFonts w:eastAsia="宋体"/>
          <w:color w:val="000000" w:themeColor="text1"/>
          <w:sz w:val="24"/>
          <w14:textFill>
            <w14:solidFill>
              <w14:schemeClr w14:val="tx1"/>
            </w14:solidFill>
          </w14:textFill>
        </w:rPr>
        <w:t>河上</w:t>
      </w:r>
      <w:r>
        <w:rPr>
          <w:rFonts w:hint="eastAsia" w:eastAsia="宋体"/>
          <w:color w:val="000000" w:themeColor="text1"/>
          <w:sz w:val="24"/>
          <w14:textFill>
            <w14:solidFill>
              <w14:schemeClr w14:val="tx1"/>
            </w14:solidFill>
          </w14:textFill>
        </w:rPr>
        <w:t>，</w:t>
      </w:r>
      <w:r>
        <w:rPr>
          <w:rFonts w:eastAsia="宋体"/>
          <w:color w:val="000000" w:themeColor="text1"/>
          <w:sz w:val="24"/>
          <w14:textFill>
            <w14:solidFill>
              <w14:schemeClr w14:val="tx1"/>
            </w14:solidFill>
          </w14:textFill>
        </w:rPr>
        <w:t>位于</w:t>
      </w:r>
      <w:r>
        <w:rPr>
          <w:rFonts w:hint="eastAsia" w:eastAsia="宋体"/>
          <w:color w:val="000000" w:themeColor="text1"/>
          <w:sz w:val="24"/>
          <w:lang w:val="en-US" w:eastAsia="zh-CN"/>
          <w14:textFill>
            <w14:solidFill>
              <w14:schemeClr w14:val="tx1"/>
            </w14:solidFill>
          </w14:textFill>
        </w:rPr>
        <w:t>新河右侧</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根据排污口影响的主要水域及其影响范围内的第三方取、用水户调查，确定重点论证水域范围如下：</w:t>
      </w:r>
    </w:p>
    <w:p w14:paraId="33D58C1D">
      <w:pPr>
        <w:pStyle w:val="46"/>
        <w:ind w:firstLine="480"/>
        <w:rPr>
          <w:rFonts w:hint="eastAsia" w:eastAsia="宋体"/>
          <w:color w:val="000000" w:themeColor="text1"/>
          <w:sz w:val="24"/>
          <w14:textFill>
            <w14:solidFill>
              <w14:schemeClr w14:val="tx1"/>
            </w14:solidFill>
          </w14:textFill>
        </w:rPr>
        <w:sectPr>
          <w:footerReference r:id="rId9"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425" w:num="1"/>
          <w:docGrid w:linePitch="312" w:charSpace="0"/>
        </w:sectPr>
      </w:pPr>
      <w:r>
        <w:rPr>
          <w:rFonts w:eastAsia="宋体"/>
          <w:color w:val="000000" w:themeColor="text1"/>
          <w:sz w:val="24"/>
          <w14:textFill>
            <w14:solidFill>
              <w14:schemeClr w14:val="tx1"/>
            </w14:solidFill>
          </w14:textFill>
        </w:rPr>
        <w:t>根据附近河流水系分布状况及水文条件，考虑新增污染物可能对水环境造成的影响程度和范围，确定本项目论证范围重点为</w:t>
      </w:r>
      <w:r>
        <w:rPr>
          <w:rFonts w:hint="eastAsia" w:eastAsia="宋体"/>
          <w:color w:val="000000" w:themeColor="text1"/>
          <w:sz w:val="24"/>
          <w:lang w:val="en-US" w:eastAsia="zh-CN"/>
          <w14:textFill>
            <w14:solidFill>
              <w14:schemeClr w14:val="tx1"/>
            </w14:solidFill>
          </w14:textFill>
        </w:rPr>
        <w:t>新河排污口上游500m至下游16.4km（文涝路省控断面）</w:t>
      </w:r>
      <w:r>
        <w:rPr>
          <w:rFonts w:hint="eastAsia" w:eastAsia="宋体"/>
          <w:color w:val="000000" w:themeColor="text1"/>
          <w:sz w:val="24"/>
          <w14:textFill>
            <w14:solidFill>
              <w14:schemeClr w14:val="tx1"/>
            </w14:solidFill>
          </w14:textFill>
        </w:rPr>
        <w:t>，起止点地理坐标分别为：起点N</w:t>
      </w:r>
      <w:r>
        <w:rPr>
          <w:rFonts w:hint="eastAsia" w:eastAsia="宋体"/>
          <w:color w:val="000000" w:themeColor="text1"/>
          <w:sz w:val="24"/>
          <w:lang w:val="en-US" w:eastAsia="zh-CN"/>
          <w14:textFill>
            <w14:solidFill>
              <w14:schemeClr w14:val="tx1"/>
            </w14:solidFill>
          </w14:textFill>
        </w:rPr>
        <w:t xml:space="preserve"> </w:t>
      </w:r>
      <w:r>
        <w:rPr>
          <w:rFonts w:hint="eastAsia" w:eastAsia="宋体"/>
          <w:color w:val="000000" w:themeColor="text1"/>
          <w:sz w:val="24"/>
          <w14:textFill>
            <w14:solidFill>
              <w14:schemeClr w14:val="tx1"/>
            </w14:solidFill>
          </w14:textFill>
        </w:rPr>
        <w:t>34.025714551°，E</w:t>
      </w:r>
      <w:r>
        <w:rPr>
          <w:rFonts w:hint="eastAsia" w:eastAsia="宋体"/>
          <w:color w:val="000000" w:themeColor="text1"/>
          <w:sz w:val="24"/>
          <w:lang w:val="en-US" w:eastAsia="zh-CN"/>
          <w14:textFill>
            <w14:solidFill>
              <w14:schemeClr w14:val="tx1"/>
            </w14:solidFill>
          </w14:textFill>
        </w:rPr>
        <w:t xml:space="preserve"> </w:t>
      </w:r>
      <w:r>
        <w:rPr>
          <w:rFonts w:hint="eastAsia" w:eastAsia="宋体"/>
          <w:color w:val="000000" w:themeColor="text1"/>
          <w:sz w:val="24"/>
          <w14:textFill>
            <w14:solidFill>
              <w14:schemeClr w14:val="tx1"/>
            </w14:solidFill>
          </w14:textFill>
        </w:rPr>
        <w:t>108.637518909°；终点N</w:t>
      </w:r>
      <w:r>
        <w:rPr>
          <w:rFonts w:hint="eastAsia" w:eastAsia="宋体"/>
          <w:color w:val="000000" w:themeColor="text1"/>
          <w:sz w:val="24"/>
          <w:lang w:val="en-US" w:eastAsia="zh-CN"/>
          <w14:textFill>
            <w14:solidFill>
              <w14:schemeClr w14:val="tx1"/>
            </w14:solidFill>
          </w14:textFill>
        </w:rPr>
        <w:t xml:space="preserve"> </w:t>
      </w:r>
      <w:r>
        <w:rPr>
          <w:rFonts w:hint="eastAsia" w:eastAsia="宋体"/>
          <w:color w:val="000000" w:themeColor="text1"/>
          <w:sz w:val="24"/>
          <w14:textFill>
            <w14:solidFill>
              <w14:schemeClr w14:val="tx1"/>
            </w14:solidFill>
          </w14:textFill>
        </w:rPr>
        <w:t>108.661652491°、E</w:t>
      </w:r>
      <w:r>
        <w:rPr>
          <w:rFonts w:hint="eastAsia" w:eastAsia="宋体"/>
          <w:color w:val="000000" w:themeColor="text1"/>
          <w:sz w:val="24"/>
          <w:lang w:val="en-US" w:eastAsia="zh-CN"/>
          <w14:textFill>
            <w14:solidFill>
              <w14:schemeClr w14:val="tx1"/>
            </w14:solidFill>
          </w14:textFill>
        </w:rPr>
        <w:t xml:space="preserve"> </w:t>
      </w:r>
      <w:r>
        <w:rPr>
          <w:rFonts w:hint="eastAsia" w:eastAsia="宋体"/>
          <w:color w:val="000000" w:themeColor="text1"/>
          <w:sz w:val="24"/>
          <w14:textFill>
            <w14:solidFill>
              <w14:schemeClr w14:val="tx1"/>
            </w14:solidFill>
          </w14:textFill>
        </w:rPr>
        <w:t>34.170457758°，</w:t>
      </w:r>
      <w:r>
        <w:rPr>
          <w:rFonts w:eastAsia="宋体"/>
          <w:color w:val="000000" w:themeColor="text1"/>
          <w:sz w:val="24"/>
          <w14:textFill>
            <w14:solidFill>
              <w14:schemeClr w14:val="tx1"/>
            </w14:solidFill>
          </w14:textFill>
        </w:rPr>
        <w:t>为直接受纳水体</w:t>
      </w:r>
      <w:r>
        <w:rPr>
          <w:rFonts w:hint="eastAsia" w:eastAsia="宋体"/>
          <w:color w:val="000000" w:themeColor="text1"/>
          <w:sz w:val="24"/>
          <w14:textFill>
            <w14:solidFill>
              <w14:schemeClr w14:val="tx1"/>
            </w14:solidFill>
          </w14:textFill>
        </w:rPr>
        <w:t>。</w:t>
      </w:r>
    </w:p>
    <w:p w14:paraId="254F0972">
      <w:pPr>
        <w:pStyle w:val="46"/>
        <w:spacing w:line="240" w:lineRule="auto"/>
        <w:ind w:left="0" w:leftChars="0" w:firstLine="0" w:firstLineChars="0"/>
        <w:rPr>
          <w:rFonts w:hint="eastAsia" w:eastAsia="宋体"/>
          <w:color w:val="000000" w:themeColor="text1"/>
          <w:sz w:val="24"/>
          <w:lang w:eastAsia="zh-CN"/>
          <w14:textFill>
            <w14:solidFill>
              <w14:schemeClr w14:val="tx1"/>
            </w14:solidFill>
          </w14:textFill>
        </w:rPr>
      </w:pPr>
      <w:r>
        <w:rPr>
          <w:sz w:val="28"/>
        </w:rPr>
        <mc:AlternateContent>
          <mc:Choice Requires="wps">
            <w:drawing>
              <wp:anchor distT="0" distB="0" distL="114300" distR="114300" simplePos="0" relativeHeight="251666432" behindDoc="0" locked="0" layoutInCell="1" allowOverlap="1">
                <wp:simplePos x="0" y="0"/>
                <wp:positionH relativeFrom="column">
                  <wp:posOffset>7267575</wp:posOffset>
                </wp:positionH>
                <wp:positionV relativeFrom="paragraph">
                  <wp:posOffset>4431665</wp:posOffset>
                </wp:positionV>
                <wp:extent cx="197485" cy="139065"/>
                <wp:effectExtent l="6350" t="6350" r="24765" b="6985"/>
                <wp:wrapNone/>
                <wp:docPr id="16" name="矩形 16"/>
                <wp:cNvGraphicFramePr/>
                <a:graphic xmlns:a="http://schemas.openxmlformats.org/drawingml/2006/main">
                  <a:graphicData uri="http://schemas.microsoft.com/office/word/2010/wordprocessingShape">
                    <wps:wsp>
                      <wps:cNvSpPr/>
                      <wps:spPr>
                        <a:xfrm>
                          <a:off x="8167370" y="5397500"/>
                          <a:ext cx="197485" cy="1390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2.25pt;margin-top:348.95pt;height:10.95pt;width:15.55pt;z-index:251666432;v-text-anchor:middle;mso-width-relative:page;mso-height-relative:page;" filled="f" stroked="t" coordsize="21600,21600" o:gfxdata="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zhYsDbAAAADQEAAA8AAAAAAAAAAQAgAAAAIgAA&#10;AGRycy9kb3ducmV2LnhtbFBLAQIUABQAAAAIAIdO4kDbndw9dwIAANgEAAAOAAAAAAAAAAEAIAAA&#10;ACoBAABkcnMvZTJvRG9jLnhtbFBLBQYAAAAABgAGAFkBAAATBgAAAAA=&#10;">
                <v:fill on="f" focussize="0,0"/>
                <v:stroke weight="1pt" color="#C00000 [3204]" miterlimit="8" joinstyle="miter"/>
                <v:imagedata o:title=""/>
                <o:lock v:ext="edit" aspectratio="f"/>
              </v:rect>
            </w:pict>
          </mc:Fallback>
        </mc:AlternateContent>
      </w:r>
      <w:r>
        <w:drawing>
          <wp:anchor distT="0" distB="0" distL="114935" distR="114935" simplePos="0" relativeHeight="251665408" behindDoc="0" locked="0" layoutInCell="1" allowOverlap="1">
            <wp:simplePos x="0" y="0"/>
            <wp:positionH relativeFrom="column">
              <wp:posOffset>7239000</wp:posOffset>
            </wp:positionH>
            <wp:positionV relativeFrom="paragraph">
              <wp:posOffset>4118610</wp:posOffset>
            </wp:positionV>
            <wp:extent cx="221615" cy="207010"/>
            <wp:effectExtent l="0" t="0" r="6985" b="2540"/>
            <wp:wrapNone/>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12"/>
                    <a:stretch>
                      <a:fillRect/>
                    </a:stretch>
                  </pic:blipFill>
                  <pic:spPr>
                    <a:xfrm>
                      <a:off x="0" y="0"/>
                      <a:ext cx="221615" cy="207010"/>
                    </a:xfrm>
                    <a:prstGeom prst="rect">
                      <a:avLst/>
                    </a:prstGeom>
                    <a:noFill/>
                    <a:ln>
                      <a:noFill/>
                    </a:ln>
                  </pic:spPr>
                </pic:pic>
              </a:graphicData>
            </a:graphic>
          </wp:anchor>
        </w:drawing>
      </w:r>
      <w:r>
        <w:rPr>
          <w:sz w:val="24"/>
        </w:rPr>
        <mc:AlternateContent>
          <mc:Choice Requires="wps">
            <w:drawing>
              <wp:anchor distT="0" distB="0" distL="114300" distR="114300" simplePos="0" relativeHeight="251664384" behindDoc="0" locked="0" layoutInCell="1" allowOverlap="1">
                <wp:simplePos x="0" y="0"/>
                <wp:positionH relativeFrom="column">
                  <wp:posOffset>7120890</wp:posOffset>
                </wp:positionH>
                <wp:positionV relativeFrom="paragraph">
                  <wp:posOffset>4054475</wp:posOffset>
                </wp:positionV>
                <wp:extent cx="1706880" cy="907415"/>
                <wp:effectExtent l="4445" t="4445" r="22225" b="21590"/>
                <wp:wrapNone/>
                <wp:docPr id="14" name="文本框 14"/>
                <wp:cNvGraphicFramePr/>
                <a:graphic xmlns:a="http://schemas.openxmlformats.org/drawingml/2006/main">
                  <a:graphicData uri="http://schemas.microsoft.com/office/word/2010/wordprocessingShape">
                    <wps:wsp>
                      <wps:cNvSpPr txBox="1"/>
                      <wps:spPr>
                        <a:xfrm>
                          <a:off x="8035290" y="5297170"/>
                          <a:ext cx="1706880" cy="907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B41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文涝路省控断面</w:t>
                            </w:r>
                          </w:p>
                          <w:p w14:paraId="6A592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将军山水厂</w:t>
                            </w:r>
                          </w:p>
                          <w:p w14:paraId="3132A5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废水总排口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0.7pt;margin-top:319.25pt;height:71.45pt;width:134.4pt;z-index:251664384;mso-width-relative:page;mso-height-relative:page;" fillcolor="#FFFFFF [3201]" filled="t" stroked="t" coordsize="21600,21600" o:gfxdata="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rfsCe2AAAAA0BAAAPAAAAAAAAAAEAIAAAACIAAABkcnMvZG93bnJldi54bWxQSwECFAAU&#10;AAAACACHTuJAdFDtVWMCAADFBAAADgAAAAAAAAABACAAAAAnAQAAZHJzL2Uyb0RvYy54bWxQSwUG&#10;AAAAAAYABgBZAQAA/AUAAAAA&#10;">
                <v:fill on="t" focussize="0,0"/>
                <v:stroke weight="0.5pt" color="#000000 [3204]" joinstyle="round"/>
                <v:imagedata o:title=""/>
                <o:lock v:ext="edit" aspectratio="f"/>
                <v:textbox>
                  <w:txbxContent>
                    <w:p w14:paraId="32B41D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文涝路省控断面</w:t>
                      </w:r>
                    </w:p>
                    <w:p w14:paraId="6A5923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将军山水厂</w:t>
                      </w:r>
                    </w:p>
                    <w:p w14:paraId="3132A5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废水总排口</w:t>
                      </w:r>
                    </w:p>
                  </w:txbxContent>
                </v:textbox>
              </v:shape>
            </w:pict>
          </mc:Fallback>
        </mc:AlternateContent>
      </w:r>
      <w:r>
        <w:drawing>
          <wp:anchor distT="0" distB="0" distL="114935" distR="114935" simplePos="0" relativeHeight="251667456" behindDoc="0" locked="0" layoutInCell="1" allowOverlap="1">
            <wp:simplePos x="0" y="0"/>
            <wp:positionH relativeFrom="column">
              <wp:posOffset>7231380</wp:posOffset>
            </wp:positionH>
            <wp:positionV relativeFrom="paragraph">
              <wp:posOffset>4631690</wp:posOffset>
            </wp:positionV>
            <wp:extent cx="229870" cy="247650"/>
            <wp:effectExtent l="0" t="0" r="17780" b="0"/>
            <wp:wrapNone/>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13"/>
                    <a:stretch>
                      <a:fillRect/>
                    </a:stretch>
                  </pic:blipFill>
                  <pic:spPr>
                    <a:xfrm>
                      <a:off x="0" y="0"/>
                      <a:ext cx="229870" cy="247650"/>
                    </a:xfrm>
                    <a:prstGeom prst="rect">
                      <a:avLst/>
                    </a:prstGeom>
                    <a:noFill/>
                    <a:ln>
                      <a:noFill/>
                    </a:ln>
                  </pic:spPr>
                </pic:pic>
              </a:graphicData>
            </a:graphic>
          </wp:anchor>
        </w:drawing>
      </w:r>
      <w:r>
        <w:rPr>
          <w:rFonts w:hint="eastAsia" w:eastAsia="宋体"/>
          <w:color w:val="auto"/>
          <w:sz w:val="24"/>
          <w:lang w:eastAsia="zh-CN"/>
        </w:rPr>
        <w:drawing>
          <wp:anchor distT="0" distB="0" distL="114935" distR="114935" simplePos="0" relativeHeight="251663360" behindDoc="0" locked="0" layoutInCell="1" allowOverlap="1">
            <wp:simplePos x="0" y="0"/>
            <wp:positionH relativeFrom="column">
              <wp:posOffset>8189595</wp:posOffset>
            </wp:positionH>
            <wp:positionV relativeFrom="paragraph">
              <wp:posOffset>20320</wp:posOffset>
            </wp:positionV>
            <wp:extent cx="638810" cy="638810"/>
            <wp:effectExtent l="0" t="0" r="8890" b="8890"/>
            <wp:wrapNone/>
            <wp:docPr id="8" name="图片 8"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指北针"/>
                    <pic:cNvPicPr>
                      <a:picLocks noChangeAspect="1"/>
                    </pic:cNvPicPr>
                  </pic:nvPicPr>
                  <pic:blipFill>
                    <a:blip r:embed="rId14"/>
                    <a:stretch>
                      <a:fillRect/>
                    </a:stretch>
                  </pic:blipFill>
                  <pic:spPr>
                    <a:xfrm>
                      <a:off x="0" y="0"/>
                      <a:ext cx="638810" cy="638810"/>
                    </a:xfrm>
                    <a:prstGeom prst="rect">
                      <a:avLst/>
                    </a:prstGeom>
                  </pic:spPr>
                </pic:pic>
              </a:graphicData>
            </a:graphic>
          </wp:anchor>
        </w:drawing>
      </w:r>
      <w:r>
        <w:rPr>
          <w:rFonts w:hint="eastAsia" w:eastAsia="宋体"/>
          <w:color w:val="000000" w:themeColor="text1"/>
          <w:sz w:val="24"/>
          <w:lang w:eastAsia="zh-CN"/>
          <w14:textFill>
            <w14:solidFill>
              <w14:schemeClr w14:val="tx1"/>
            </w14:solidFill>
          </w14:textFill>
        </w:rPr>
        <w:drawing>
          <wp:inline distT="0" distB="0" distL="114300" distR="114300">
            <wp:extent cx="8851265" cy="4979035"/>
            <wp:effectExtent l="9525" t="9525" r="16510" b="21590"/>
            <wp:docPr id="7" name="图片 7" descr="169406711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94067115097"/>
                    <pic:cNvPicPr>
                      <a:picLocks noChangeAspect="1"/>
                    </pic:cNvPicPr>
                  </pic:nvPicPr>
                  <pic:blipFill>
                    <a:blip r:embed="rId15"/>
                    <a:stretch>
                      <a:fillRect/>
                    </a:stretch>
                  </pic:blipFill>
                  <pic:spPr>
                    <a:xfrm>
                      <a:off x="0" y="0"/>
                      <a:ext cx="8851265" cy="4979035"/>
                    </a:xfrm>
                    <a:prstGeom prst="rect">
                      <a:avLst/>
                    </a:prstGeom>
                    <a:ln>
                      <a:solidFill>
                        <a:schemeClr val="tx1"/>
                      </a:solidFill>
                    </a:ln>
                  </pic:spPr>
                </pic:pic>
              </a:graphicData>
            </a:graphic>
          </wp:inline>
        </w:drawing>
      </w:r>
    </w:p>
    <w:p w14:paraId="605EA458">
      <w:pPr>
        <w:spacing w:line="500" w:lineRule="exact"/>
        <w:jc w:val="center"/>
        <w:rPr>
          <w:rFonts w:hint="eastAsia" w:ascii="Times New Roman" w:hAnsi="Times New Roman" w:eastAsia="宋体" w:cs="Times New Roman"/>
          <w:b/>
          <w:sz w:val="24"/>
          <w:szCs w:val="24"/>
          <w:lang w:val="en-US" w:eastAsia="zh-CN" w:bidi="ar-SA"/>
        </w:rPr>
      </w:pPr>
      <w:r>
        <w:rPr>
          <w:rFonts w:hint="eastAsia" w:cs="Times New Roman"/>
          <w:b/>
          <w:sz w:val="24"/>
          <w:szCs w:val="24"/>
          <w:lang w:val="en-US" w:eastAsia="zh-CN" w:bidi="ar-SA"/>
        </w:rPr>
        <w:t>图</w:t>
      </w:r>
      <w:r>
        <w:rPr>
          <w:rFonts w:ascii="Times New Roman" w:hAnsi="Times New Roman" w:eastAsia="宋体" w:cs="Times New Roman"/>
          <w:b/>
          <w:sz w:val="24"/>
          <w:szCs w:val="24"/>
          <w:lang w:val="en-US" w:eastAsia="zh-CN" w:bidi="ar-SA"/>
        </w:rPr>
        <w:t>1.4-</w:t>
      </w:r>
      <w:r>
        <w:rPr>
          <w:rFonts w:hint="eastAsia" w:cs="Times New Roman"/>
          <w:b/>
          <w:sz w:val="24"/>
          <w:szCs w:val="24"/>
          <w:lang w:val="en-US" w:eastAsia="zh-CN" w:bidi="ar-SA"/>
        </w:rPr>
        <w:t>1</w:t>
      </w:r>
      <w:r>
        <w:rPr>
          <w:rFonts w:hint="eastAsia" w:ascii="Times New Roman" w:hAnsi="Times New Roman" w:eastAsia="宋体" w:cs="Times New Roman"/>
          <w:b/>
          <w:sz w:val="24"/>
          <w:szCs w:val="24"/>
          <w:lang w:val="en-US" w:eastAsia="zh-CN" w:bidi="ar-SA"/>
        </w:rPr>
        <w:t xml:space="preserve">    排污口论证范围</w:t>
      </w:r>
      <w:r>
        <w:rPr>
          <w:rFonts w:hint="eastAsia" w:cs="Times New Roman"/>
          <w:b/>
          <w:sz w:val="24"/>
          <w:szCs w:val="24"/>
          <w:lang w:val="en-US" w:eastAsia="zh-CN" w:bidi="ar-SA"/>
        </w:rPr>
        <w:t>图</w:t>
      </w:r>
    </w:p>
    <w:p w14:paraId="2162B430">
      <w:pPr>
        <w:pStyle w:val="46"/>
        <w:spacing w:line="240" w:lineRule="auto"/>
        <w:ind w:left="0" w:leftChars="0" w:firstLine="0" w:firstLineChars="0"/>
        <w:rPr>
          <w:rFonts w:hint="eastAsia" w:eastAsia="宋体"/>
          <w:color w:val="000000" w:themeColor="text1"/>
          <w:sz w:val="24"/>
          <w:lang w:eastAsia="zh-CN"/>
          <w14:textFill>
            <w14:solidFill>
              <w14:schemeClr w14:val="tx1"/>
            </w14:solidFill>
          </w14:textFill>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425" w:num="1"/>
          <w:docGrid w:linePitch="312" w:charSpace="0"/>
        </w:sectPr>
      </w:pPr>
    </w:p>
    <w:p w14:paraId="21100075">
      <w:pPr>
        <w:pStyle w:val="61"/>
        <w:numPr>
          <w:ilvl w:val="0"/>
          <w:numId w:val="0"/>
        </w:numPr>
        <w:spacing w:before="0" w:after="0"/>
        <w:rPr>
          <w:rFonts w:eastAsia="宋体"/>
        </w:rPr>
      </w:pPr>
      <w:bookmarkStart w:id="6" w:name="_Toc512677577"/>
      <w:bookmarkStart w:id="7" w:name="_Toc217195123"/>
      <w:r>
        <w:rPr>
          <w:rFonts w:hint="eastAsia" w:eastAsia="宋体"/>
        </w:rPr>
        <w:t>1</w:t>
      </w:r>
      <w:r>
        <w:rPr>
          <w:rFonts w:eastAsia="宋体"/>
        </w:rPr>
        <w:t>.4.2水环境（水功能区水质）评价因子及评价标准</w:t>
      </w:r>
      <w:bookmarkEnd w:id="6"/>
      <w:bookmarkEnd w:id="7"/>
    </w:p>
    <w:p w14:paraId="5BF90CB6">
      <w:pPr>
        <w:pStyle w:val="46"/>
        <w:ind w:firstLine="480"/>
        <w:rPr>
          <w:rFonts w:eastAsia="宋体"/>
          <w:color w:val="auto"/>
          <w:sz w:val="24"/>
        </w:rPr>
      </w:pPr>
      <w:r>
        <w:rPr>
          <w:rFonts w:eastAsia="宋体"/>
          <w:color w:val="auto"/>
          <w:sz w:val="24"/>
        </w:rPr>
        <w:t>（1）水环境（水功能区水质）现状评价因子：</w:t>
      </w:r>
      <w:r>
        <w:rPr>
          <w:rFonts w:hint="eastAsia" w:eastAsia="宋体"/>
          <w:color w:val="auto"/>
          <w:sz w:val="24"/>
        </w:rPr>
        <w:t>pH、水温、DO、COD、高锰酸盐指数、BOD</w:t>
      </w:r>
      <w:r>
        <w:rPr>
          <w:rFonts w:hint="eastAsia" w:eastAsia="宋体"/>
          <w:color w:val="auto"/>
          <w:sz w:val="24"/>
          <w:vertAlign w:val="subscript"/>
        </w:rPr>
        <w:t>5</w:t>
      </w:r>
      <w:r>
        <w:rPr>
          <w:rFonts w:hint="eastAsia" w:eastAsia="宋体"/>
          <w:color w:val="auto"/>
          <w:sz w:val="24"/>
        </w:rPr>
        <w:t>、NH</w:t>
      </w:r>
      <w:r>
        <w:rPr>
          <w:rFonts w:hint="eastAsia" w:eastAsia="宋体"/>
          <w:color w:val="auto"/>
          <w:sz w:val="24"/>
          <w:vertAlign w:val="subscript"/>
        </w:rPr>
        <w:t>3</w:t>
      </w:r>
      <w:r>
        <w:rPr>
          <w:rFonts w:hint="eastAsia" w:eastAsia="宋体"/>
          <w:color w:val="auto"/>
          <w:sz w:val="24"/>
        </w:rPr>
        <w:t>-N、TP、SS、石油类、氟化物</w:t>
      </w:r>
      <w:r>
        <w:rPr>
          <w:rFonts w:hint="eastAsia" w:eastAsia="宋体"/>
          <w:color w:val="auto"/>
          <w:sz w:val="24"/>
          <w:lang w:eastAsia="zh-CN"/>
        </w:rPr>
        <w:t>，</w:t>
      </w:r>
      <w:r>
        <w:rPr>
          <w:rFonts w:hint="eastAsia" w:eastAsia="宋体"/>
          <w:color w:val="auto"/>
          <w:sz w:val="24"/>
          <w:lang w:val="en-US" w:eastAsia="zh-CN"/>
        </w:rPr>
        <w:t>共11项</w:t>
      </w:r>
      <w:r>
        <w:rPr>
          <w:rFonts w:eastAsia="宋体"/>
          <w:color w:val="auto"/>
          <w:sz w:val="24"/>
        </w:rPr>
        <w:t>。</w:t>
      </w:r>
    </w:p>
    <w:p w14:paraId="49C0E294">
      <w:pPr>
        <w:pStyle w:val="46"/>
        <w:ind w:firstLine="480"/>
        <w:rPr>
          <w:rFonts w:hint="eastAsia" w:eastAsia="宋体"/>
          <w:color w:val="auto"/>
          <w:sz w:val="24"/>
          <w:lang w:eastAsia="zh-CN"/>
        </w:rPr>
      </w:pPr>
      <w:r>
        <w:rPr>
          <w:rFonts w:eastAsia="宋体"/>
          <w:color w:val="auto"/>
          <w:sz w:val="24"/>
        </w:rPr>
        <w:t>（2）水环境影响评价因子：COD、氨氮</w:t>
      </w:r>
      <w:r>
        <w:rPr>
          <w:rFonts w:hint="eastAsia" w:eastAsia="宋体"/>
          <w:color w:val="auto"/>
          <w:sz w:val="24"/>
        </w:rPr>
        <w:t>、总磷</w:t>
      </w:r>
      <w:r>
        <w:rPr>
          <w:rFonts w:eastAsia="宋体"/>
          <w:color w:val="auto"/>
          <w:sz w:val="24"/>
        </w:rPr>
        <w:t>，共</w:t>
      </w:r>
      <w:r>
        <w:rPr>
          <w:rFonts w:hint="eastAsia" w:eastAsia="宋体"/>
          <w:color w:val="auto"/>
          <w:sz w:val="24"/>
        </w:rPr>
        <w:t>3</w:t>
      </w:r>
      <w:r>
        <w:rPr>
          <w:rFonts w:eastAsia="宋体"/>
          <w:color w:val="auto"/>
          <w:sz w:val="24"/>
        </w:rPr>
        <w:t>项。</w:t>
      </w:r>
    </w:p>
    <w:p w14:paraId="6D0A5463">
      <w:pPr>
        <w:pStyle w:val="46"/>
        <w:ind w:firstLine="480"/>
        <w:rPr>
          <w:rFonts w:eastAsia="宋体"/>
          <w:color w:val="auto"/>
          <w:sz w:val="24"/>
        </w:rPr>
      </w:pPr>
      <w:r>
        <w:rPr>
          <w:rFonts w:eastAsia="宋体"/>
          <w:color w:val="auto"/>
          <w:sz w:val="24"/>
        </w:rPr>
        <w:t>（3）评价标准及排放标准</w:t>
      </w:r>
    </w:p>
    <w:p w14:paraId="25BB396D">
      <w:pPr>
        <w:pStyle w:val="46"/>
        <w:ind w:firstLine="480"/>
        <w:rPr>
          <w:rFonts w:eastAsia="宋体"/>
          <w:color w:val="auto"/>
          <w:sz w:val="24"/>
        </w:rPr>
      </w:pPr>
      <w:r>
        <w:rPr>
          <w:rFonts w:hint="eastAsia" w:eastAsia="宋体"/>
          <w:color w:val="auto"/>
          <w:sz w:val="24"/>
        </w:rPr>
        <w:t>根据《西安市水环境功能区划分方案》，本项目排污口所在地表水环境功能区划属于IV类水，</w:t>
      </w:r>
      <w:r>
        <w:rPr>
          <w:rFonts w:eastAsia="宋体"/>
          <w:color w:val="auto"/>
          <w:sz w:val="24"/>
        </w:rPr>
        <w:t>见表1.4-1。项目按设计要求，</w:t>
      </w:r>
      <w:r>
        <w:rPr>
          <w:rFonts w:hint="eastAsia" w:eastAsia="宋体"/>
          <w:color w:val="auto"/>
          <w:sz w:val="24"/>
          <w:lang w:val="en-US" w:eastAsia="zh-CN"/>
        </w:rPr>
        <w:t>废水</w:t>
      </w:r>
      <w:r>
        <w:rPr>
          <w:rFonts w:eastAsia="宋体"/>
          <w:color w:val="auto"/>
          <w:sz w:val="24"/>
        </w:rPr>
        <w:t>执行</w:t>
      </w:r>
      <w:r>
        <w:rPr>
          <w:rFonts w:hint="eastAsia" w:eastAsia="宋体"/>
          <w:color w:val="auto"/>
          <w:sz w:val="24"/>
        </w:rPr>
        <w:t>《</w:t>
      </w:r>
      <w:r>
        <w:rPr>
          <w:rFonts w:hint="eastAsia" w:eastAsia="宋体"/>
          <w:color w:val="auto"/>
          <w:sz w:val="24"/>
          <w:lang w:val="en-US" w:eastAsia="zh-CN"/>
        </w:rPr>
        <w:t>陕西省黄河流域污水综合</w:t>
      </w:r>
      <w:r>
        <w:rPr>
          <w:rFonts w:hint="eastAsia" w:eastAsia="宋体"/>
          <w:color w:val="auto"/>
          <w:sz w:val="24"/>
        </w:rPr>
        <w:t>排放标准》（</w:t>
      </w:r>
      <w:r>
        <w:rPr>
          <w:rFonts w:hint="eastAsia" w:eastAsia="宋体"/>
          <w:color w:val="auto"/>
          <w:sz w:val="24"/>
          <w:lang w:val="en-US" w:eastAsia="zh-CN"/>
        </w:rPr>
        <w:t>DB61/224-2018</w:t>
      </w:r>
      <w:r>
        <w:rPr>
          <w:rFonts w:hint="eastAsia" w:eastAsia="宋体"/>
          <w:color w:val="auto"/>
          <w:sz w:val="24"/>
        </w:rPr>
        <w:t>）中</w:t>
      </w:r>
      <w:r>
        <w:rPr>
          <w:rFonts w:hint="eastAsia" w:eastAsia="宋体"/>
          <w:color w:val="auto"/>
          <w:sz w:val="24"/>
          <w:lang w:val="en-US" w:eastAsia="zh-CN"/>
        </w:rPr>
        <w:t>表2</w:t>
      </w:r>
      <w:r>
        <w:rPr>
          <w:rFonts w:hint="eastAsia" w:eastAsia="宋体"/>
          <w:color w:val="auto"/>
          <w:sz w:val="24"/>
        </w:rPr>
        <w:t>排放</w:t>
      </w:r>
      <w:r>
        <w:rPr>
          <w:rFonts w:hint="eastAsia" w:eastAsia="宋体"/>
          <w:color w:val="auto"/>
          <w:sz w:val="24"/>
          <w:lang w:val="en-US" w:eastAsia="zh-CN"/>
        </w:rPr>
        <w:t>浓度限值</w:t>
      </w:r>
      <w:r>
        <w:rPr>
          <w:rFonts w:hint="eastAsia" w:eastAsia="宋体"/>
          <w:color w:val="auto"/>
          <w:sz w:val="24"/>
          <w:lang w:eastAsia="zh-CN"/>
        </w:rPr>
        <w:t>；</w:t>
      </w:r>
      <w:r>
        <w:rPr>
          <w:rFonts w:hint="eastAsia" w:eastAsia="宋体"/>
          <w:color w:val="auto"/>
          <w:sz w:val="24"/>
          <w:lang w:val="en-US" w:eastAsia="zh-CN"/>
        </w:rPr>
        <w:t>pH、氨氮、SS执行</w:t>
      </w:r>
      <w:r>
        <w:rPr>
          <w:rFonts w:hint="eastAsia" w:eastAsia="宋体"/>
          <w:color w:val="auto"/>
          <w:sz w:val="24"/>
        </w:rPr>
        <w:t>《</w:t>
      </w:r>
      <w:r>
        <w:rPr>
          <w:rFonts w:hint="eastAsia" w:eastAsia="宋体"/>
          <w:color w:val="auto"/>
          <w:sz w:val="24"/>
          <w:lang w:val="en-US" w:eastAsia="zh-CN"/>
        </w:rPr>
        <w:t>陕西省黄河流域污水综合</w:t>
      </w:r>
      <w:r>
        <w:rPr>
          <w:rFonts w:hint="eastAsia" w:eastAsia="宋体"/>
          <w:color w:val="auto"/>
          <w:sz w:val="24"/>
        </w:rPr>
        <w:t>排放标准》（</w:t>
      </w:r>
      <w:r>
        <w:rPr>
          <w:rFonts w:hint="eastAsia" w:eastAsia="宋体"/>
          <w:color w:val="auto"/>
          <w:sz w:val="24"/>
          <w:lang w:val="en-US" w:eastAsia="zh-CN"/>
        </w:rPr>
        <w:t>DB61/224-2018</w:t>
      </w:r>
      <w:r>
        <w:rPr>
          <w:rFonts w:hint="eastAsia" w:eastAsia="宋体"/>
          <w:color w:val="auto"/>
          <w:sz w:val="24"/>
        </w:rPr>
        <w:t>）中</w:t>
      </w:r>
      <w:r>
        <w:rPr>
          <w:rFonts w:hint="eastAsia" w:eastAsia="宋体"/>
          <w:color w:val="auto"/>
          <w:sz w:val="24"/>
          <w:lang w:val="en-US" w:eastAsia="zh-CN"/>
        </w:rPr>
        <w:t>表1 B标准</w:t>
      </w:r>
      <w:r>
        <w:rPr>
          <w:rFonts w:hint="eastAsia" w:eastAsia="宋体"/>
          <w:color w:val="auto"/>
          <w:sz w:val="24"/>
        </w:rPr>
        <w:t>排放</w:t>
      </w:r>
      <w:r>
        <w:rPr>
          <w:rFonts w:hint="eastAsia" w:eastAsia="宋体"/>
          <w:color w:val="auto"/>
          <w:sz w:val="24"/>
          <w:lang w:val="en-US" w:eastAsia="zh-CN"/>
        </w:rPr>
        <w:t>浓度限值</w:t>
      </w:r>
      <w:r>
        <w:rPr>
          <w:rFonts w:hint="eastAsia" w:eastAsia="宋体"/>
          <w:color w:val="auto"/>
          <w:sz w:val="24"/>
        </w:rPr>
        <w:t>。具体</w:t>
      </w:r>
      <w:r>
        <w:rPr>
          <w:rFonts w:eastAsia="宋体"/>
          <w:color w:val="auto"/>
          <w:sz w:val="24"/>
        </w:rPr>
        <w:t>见表1.4-2。</w:t>
      </w:r>
    </w:p>
    <w:p w14:paraId="12D9F57C">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jc w:val="center"/>
        <w:textAlignment w:val="auto"/>
        <w:rPr>
          <w:rFonts w:hint="eastAsia" w:eastAsia="宋体"/>
          <w:sz w:val="21"/>
          <w:szCs w:val="21"/>
          <w:lang w:val="en-US" w:eastAsia="zh-CN"/>
        </w:rPr>
      </w:pPr>
      <w:r>
        <w:rPr>
          <w:rFonts w:eastAsia="宋体"/>
          <w:sz w:val="24"/>
          <w:szCs w:val="24"/>
        </w:rPr>
        <w:t>表1.4-1</w:t>
      </w:r>
      <w:r>
        <w:rPr>
          <w:rFonts w:hint="eastAsia" w:eastAsia="宋体"/>
          <w:sz w:val="24"/>
          <w:szCs w:val="24"/>
          <w:lang w:val="en-US" w:eastAsia="zh-CN"/>
        </w:rPr>
        <w:t xml:space="preserve">    </w:t>
      </w:r>
      <w:r>
        <w:rPr>
          <w:rFonts w:eastAsia="宋体"/>
          <w:sz w:val="24"/>
          <w:szCs w:val="24"/>
        </w:rPr>
        <w:t>地表水环境质量标准（GB3838-2002）</w:t>
      </w:r>
    </w:p>
    <w:p w14:paraId="632B8A3D">
      <w:pPr>
        <w:pStyle w:val="63"/>
        <w:keepNext w:val="0"/>
        <w:keepLines w:val="0"/>
        <w:pageBreakBefore w:val="0"/>
        <w:kinsoku/>
        <w:wordWrap/>
        <w:overflowPunct/>
        <w:topLinePunct w:val="0"/>
        <w:autoSpaceDE/>
        <w:autoSpaceDN/>
        <w:bidi w:val="0"/>
        <w:snapToGrid w:val="0"/>
        <w:spacing w:before="0" w:beforeLines="0" w:after="0" w:afterLines="0" w:line="240" w:lineRule="auto"/>
        <w:jc w:val="right"/>
        <w:textAlignment w:val="auto"/>
        <w:rPr>
          <w:rFonts w:eastAsia="宋体"/>
          <w:sz w:val="21"/>
          <w:szCs w:val="21"/>
        </w:rPr>
      </w:pPr>
      <w:r>
        <w:rPr>
          <w:rFonts w:eastAsia="宋体"/>
          <w:sz w:val="21"/>
          <w:szCs w:val="21"/>
        </w:rPr>
        <w:t>单位：mg/L</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18"/>
        <w:gridCol w:w="2712"/>
        <w:gridCol w:w="3752"/>
      </w:tblGrid>
      <w:tr w14:paraId="0566E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441" w:type="pct"/>
            <w:shd w:val="clear" w:color="auto" w:fill="auto"/>
            <w:tcMar>
              <w:top w:w="17" w:type="dxa"/>
              <w:left w:w="28" w:type="dxa"/>
              <w:bottom w:w="17" w:type="dxa"/>
              <w:right w:w="28" w:type="dxa"/>
            </w:tcMar>
            <w:vAlign w:val="center"/>
          </w:tcPr>
          <w:p w14:paraId="51DB23B0">
            <w:pPr>
              <w:keepNext w:val="0"/>
              <w:keepLines w:val="0"/>
              <w:pageBreakBefore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项目</w:t>
            </w:r>
          </w:p>
        </w:tc>
        <w:tc>
          <w:tcPr>
            <w:tcW w:w="1493" w:type="pct"/>
            <w:shd w:val="clear" w:color="auto" w:fill="auto"/>
            <w:tcMar>
              <w:top w:w="17" w:type="dxa"/>
              <w:left w:w="28" w:type="dxa"/>
              <w:bottom w:w="17" w:type="dxa"/>
              <w:right w:w="28" w:type="dxa"/>
            </w:tcMar>
            <w:vAlign w:val="center"/>
          </w:tcPr>
          <w:p w14:paraId="7656316B">
            <w:pPr>
              <w:keepNext w:val="0"/>
              <w:keepLines w:val="0"/>
              <w:pageBreakBefore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标准值（Ш类）</w:t>
            </w:r>
          </w:p>
        </w:tc>
        <w:tc>
          <w:tcPr>
            <w:tcW w:w="2065" w:type="pct"/>
            <w:vAlign w:val="center"/>
          </w:tcPr>
          <w:p w14:paraId="420C104C">
            <w:pPr>
              <w:keepNext w:val="0"/>
              <w:keepLines w:val="0"/>
              <w:pageBreakBefore w:val="0"/>
              <w:kinsoku/>
              <w:wordWrap/>
              <w:overflowPunct/>
              <w:topLinePunct w:val="0"/>
              <w:autoSpaceDE/>
              <w:autoSpaceDN/>
              <w:bidi w:val="0"/>
              <w:adjustRightInd w:val="0"/>
              <w:snapToGrid w:val="0"/>
              <w:spacing w:line="240" w:lineRule="auto"/>
              <w:jc w:val="center"/>
              <w:textAlignment w:val="auto"/>
              <w:rPr>
                <w:b/>
                <w:sz w:val="21"/>
                <w:szCs w:val="21"/>
              </w:rPr>
            </w:pPr>
            <w:r>
              <w:rPr>
                <w:b/>
                <w:sz w:val="21"/>
                <w:szCs w:val="21"/>
              </w:rPr>
              <w:t>标准来源</w:t>
            </w:r>
          </w:p>
        </w:tc>
      </w:tr>
      <w:tr w14:paraId="3AA37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2189C308">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pH</w:t>
            </w:r>
          </w:p>
        </w:tc>
        <w:tc>
          <w:tcPr>
            <w:tcW w:w="1493" w:type="pct"/>
            <w:shd w:val="clear" w:color="auto" w:fill="auto"/>
            <w:tcMar>
              <w:top w:w="17" w:type="dxa"/>
              <w:left w:w="28" w:type="dxa"/>
              <w:bottom w:w="17" w:type="dxa"/>
              <w:right w:w="28" w:type="dxa"/>
            </w:tcMar>
            <w:vAlign w:val="center"/>
          </w:tcPr>
          <w:p w14:paraId="479D8253">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6-9</w:t>
            </w:r>
          </w:p>
        </w:tc>
        <w:tc>
          <w:tcPr>
            <w:tcW w:w="2065" w:type="pct"/>
            <w:vMerge w:val="restart"/>
            <w:vAlign w:val="center"/>
          </w:tcPr>
          <w:p w14:paraId="60411E2D">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《地表水环境质量标准》</w:t>
            </w:r>
          </w:p>
          <w:p w14:paraId="1745758E">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w:t>
            </w:r>
            <w:r>
              <w:rPr>
                <w:sz w:val="21"/>
                <w:szCs w:val="21"/>
              </w:rPr>
              <w:t>GB3838-2002）表1</w:t>
            </w:r>
          </w:p>
        </w:tc>
      </w:tr>
      <w:tr w14:paraId="3DFF69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4D7ADEFE">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溶解氧</w:t>
            </w:r>
          </w:p>
        </w:tc>
        <w:tc>
          <w:tcPr>
            <w:tcW w:w="1493" w:type="pct"/>
            <w:shd w:val="clear" w:color="auto" w:fill="auto"/>
            <w:tcMar>
              <w:top w:w="17" w:type="dxa"/>
              <w:left w:w="28" w:type="dxa"/>
              <w:bottom w:w="17" w:type="dxa"/>
              <w:right w:w="28" w:type="dxa"/>
            </w:tcMar>
            <w:vAlign w:val="center"/>
          </w:tcPr>
          <w:p w14:paraId="1CD1DC59">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5</w:t>
            </w:r>
          </w:p>
        </w:tc>
        <w:tc>
          <w:tcPr>
            <w:tcW w:w="2065" w:type="pct"/>
            <w:vMerge w:val="continue"/>
          </w:tcPr>
          <w:p w14:paraId="16944CBD">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23394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0B345C51">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高锰酸盐指数</w:t>
            </w:r>
          </w:p>
        </w:tc>
        <w:tc>
          <w:tcPr>
            <w:tcW w:w="1493" w:type="pct"/>
            <w:shd w:val="clear" w:color="auto" w:fill="auto"/>
            <w:tcMar>
              <w:top w:w="17" w:type="dxa"/>
              <w:left w:w="28" w:type="dxa"/>
              <w:bottom w:w="17" w:type="dxa"/>
              <w:right w:w="28" w:type="dxa"/>
            </w:tcMar>
            <w:vAlign w:val="center"/>
          </w:tcPr>
          <w:p w14:paraId="4784B97F">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6</w:t>
            </w:r>
          </w:p>
        </w:tc>
        <w:tc>
          <w:tcPr>
            <w:tcW w:w="2065" w:type="pct"/>
            <w:vMerge w:val="continue"/>
          </w:tcPr>
          <w:p w14:paraId="6B88695C">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1440B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43A5089F">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napToGrid w:val="0"/>
                <w:sz w:val="21"/>
                <w:szCs w:val="21"/>
              </w:rPr>
              <w:t>BOD</w:t>
            </w:r>
            <w:r>
              <w:rPr>
                <w:snapToGrid w:val="0"/>
                <w:sz w:val="21"/>
                <w:szCs w:val="21"/>
                <w:vertAlign w:val="subscript"/>
              </w:rPr>
              <w:t>5</w:t>
            </w:r>
          </w:p>
        </w:tc>
        <w:tc>
          <w:tcPr>
            <w:tcW w:w="1493" w:type="pct"/>
            <w:shd w:val="clear" w:color="auto" w:fill="auto"/>
            <w:tcMar>
              <w:top w:w="17" w:type="dxa"/>
              <w:left w:w="28" w:type="dxa"/>
              <w:bottom w:w="17" w:type="dxa"/>
              <w:right w:w="28" w:type="dxa"/>
            </w:tcMar>
            <w:vAlign w:val="center"/>
          </w:tcPr>
          <w:p w14:paraId="37DA0966">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4</w:t>
            </w:r>
          </w:p>
        </w:tc>
        <w:tc>
          <w:tcPr>
            <w:tcW w:w="2065" w:type="pct"/>
            <w:vMerge w:val="continue"/>
          </w:tcPr>
          <w:p w14:paraId="358C3FCB">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1D51D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6F963246">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氨氮</w:t>
            </w:r>
          </w:p>
        </w:tc>
        <w:tc>
          <w:tcPr>
            <w:tcW w:w="1493" w:type="pct"/>
            <w:shd w:val="clear" w:color="auto" w:fill="auto"/>
            <w:tcMar>
              <w:top w:w="17" w:type="dxa"/>
              <w:left w:w="28" w:type="dxa"/>
              <w:bottom w:w="17" w:type="dxa"/>
              <w:right w:w="28" w:type="dxa"/>
            </w:tcMar>
            <w:vAlign w:val="center"/>
          </w:tcPr>
          <w:p w14:paraId="48DE819A">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1.0</w:t>
            </w:r>
          </w:p>
        </w:tc>
        <w:tc>
          <w:tcPr>
            <w:tcW w:w="2065" w:type="pct"/>
            <w:vMerge w:val="continue"/>
          </w:tcPr>
          <w:p w14:paraId="56354E33">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416F6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7AD52714">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总磷</w:t>
            </w:r>
          </w:p>
        </w:tc>
        <w:tc>
          <w:tcPr>
            <w:tcW w:w="1493" w:type="pct"/>
            <w:shd w:val="clear" w:color="auto" w:fill="auto"/>
            <w:tcMar>
              <w:top w:w="17" w:type="dxa"/>
              <w:left w:w="28" w:type="dxa"/>
              <w:bottom w:w="17" w:type="dxa"/>
              <w:right w:w="28" w:type="dxa"/>
            </w:tcMar>
            <w:vAlign w:val="center"/>
          </w:tcPr>
          <w:p w14:paraId="6E75B833">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0.2</w:t>
            </w:r>
          </w:p>
        </w:tc>
        <w:tc>
          <w:tcPr>
            <w:tcW w:w="2065" w:type="pct"/>
            <w:vMerge w:val="continue"/>
          </w:tcPr>
          <w:p w14:paraId="249F5082">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6113DC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1A2D0544">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氟化物</w:t>
            </w:r>
          </w:p>
        </w:tc>
        <w:tc>
          <w:tcPr>
            <w:tcW w:w="1493" w:type="pct"/>
            <w:shd w:val="clear" w:color="auto" w:fill="auto"/>
            <w:tcMar>
              <w:top w:w="17" w:type="dxa"/>
              <w:left w:w="28" w:type="dxa"/>
              <w:bottom w:w="17" w:type="dxa"/>
              <w:right w:w="28" w:type="dxa"/>
            </w:tcMar>
            <w:vAlign w:val="center"/>
          </w:tcPr>
          <w:p w14:paraId="7CA61F88">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1.0</w:t>
            </w:r>
          </w:p>
        </w:tc>
        <w:tc>
          <w:tcPr>
            <w:tcW w:w="2065" w:type="pct"/>
            <w:vMerge w:val="continue"/>
          </w:tcPr>
          <w:p w14:paraId="279845B1">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2072D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64E3ECA5">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石油类</w:t>
            </w:r>
          </w:p>
        </w:tc>
        <w:tc>
          <w:tcPr>
            <w:tcW w:w="1493" w:type="pct"/>
            <w:shd w:val="clear" w:color="auto" w:fill="auto"/>
            <w:tcMar>
              <w:top w:w="17" w:type="dxa"/>
              <w:left w:w="28" w:type="dxa"/>
              <w:bottom w:w="17" w:type="dxa"/>
              <w:right w:w="28" w:type="dxa"/>
            </w:tcMar>
            <w:vAlign w:val="center"/>
          </w:tcPr>
          <w:p w14:paraId="2B7B0909">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0.05</w:t>
            </w:r>
          </w:p>
        </w:tc>
        <w:tc>
          <w:tcPr>
            <w:tcW w:w="2065" w:type="pct"/>
            <w:vMerge w:val="continue"/>
          </w:tcPr>
          <w:p w14:paraId="75D199E5">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510EE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66DB5F0F">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总氮</w:t>
            </w:r>
          </w:p>
        </w:tc>
        <w:tc>
          <w:tcPr>
            <w:tcW w:w="1493" w:type="pct"/>
            <w:shd w:val="clear" w:color="auto" w:fill="auto"/>
            <w:tcMar>
              <w:top w:w="17" w:type="dxa"/>
              <w:left w:w="28" w:type="dxa"/>
              <w:bottom w:w="17" w:type="dxa"/>
              <w:right w:w="28" w:type="dxa"/>
            </w:tcMar>
            <w:vAlign w:val="center"/>
          </w:tcPr>
          <w:p w14:paraId="0B619930">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≤1.0</w:t>
            </w:r>
          </w:p>
        </w:tc>
        <w:tc>
          <w:tcPr>
            <w:tcW w:w="2065" w:type="pct"/>
            <w:vMerge w:val="continue"/>
          </w:tcPr>
          <w:p w14:paraId="04A24790">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32F2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2273B949">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化学需氧量</w:t>
            </w:r>
          </w:p>
        </w:tc>
        <w:tc>
          <w:tcPr>
            <w:tcW w:w="1493" w:type="pct"/>
            <w:shd w:val="clear" w:color="auto" w:fill="auto"/>
            <w:tcMar>
              <w:top w:w="17" w:type="dxa"/>
              <w:left w:w="28" w:type="dxa"/>
              <w:bottom w:w="17" w:type="dxa"/>
              <w:right w:w="28" w:type="dxa"/>
            </w:tcMar>
            <w:vAlign w:val="center"/>
          </w:tcPr>
          <w:p w14:paraId="364A60E6">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20</w:t>
            </w:r>
          </w:p>
        </w:tc>
        <w:tc>
          <w:tcPr>
            <w:tcW w:w="2065" w:type="pct"/>
            <w:vMerge w:val="continue"/>
          </w:tcPr>
          <w:p w14:paraId="0A365EA9">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p>
        </w:tc>
      </w:tr>
      <w:tr w14:paraId="08568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41" w:type="pct"/>
            <w:shd w:val="clear" w:color="auto" w:fill="auto"/>
            <w:tcMar>
              <w:top w:w="17" w:type="dxa"/>
              <w:left w:w="28" w:type="dxa"/>
              <w:bottom w:w="17" w:type="dxa"/>
              <w:right w:w="28" w:type="dxa"/>
            </w:tcMar>
            <w:vAlign w:val="center"/>
          </w:tcPr>
          <w:p w14:paraId="3925C0DC">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SS</w:t>
            </w:r>
          </w:p>
        </w:tc>
        <w:tc>
          <w:tcPr>
            <w:tcW w:w="1493" w:type="pct"/>
            <w:shd w:val="clear" w:color="auto" w:fill="auto"/>
            <w:tcMar>
              <w:top w:w="17" w:type="dxa"/>
              <w:left w:w="28" w:type="dxa"/>
              <w:bottom w:w="17" w:type="dxa"/>
              <w:right w:w="28" w:type="dxa"/>
            </w:tcMar>
            <w:vAlign w:val="center"/>
          </w:tcPr>
          <w:p w14:paraId="43AD1B6F">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sz w:val="21"/>
                <w:szCs w:val="21"/>
              </w:rPr>
              <w:t>≤</w:t>
            </w:r>
            <w:r>
              <w:rPr>
                <w:rFonts w:hint="eastAsia"/>
                <w:sz w:val="21"/>
                <w:szCs w:val="21"/>
              </w:rPr>
              <w:t>30</w:t>
            </w:r>
          </w:p>
        </w:tc>
        <w:tc>
          <w:tcPr>
            <w:tcW w:w="2065" w:type="pct"/>
            <w:vAlign w:val="center"/>
          </w:tcPr>
          <w:p w14:paraId="2603010C">
            <w:pPr>
              <w:keepNext w:val="0"/>
              <w:keepLines w:val="0"/>
              <w:pageBreakBefore w:val="0"/>
              <w:kinsoku/>
              <w:wordWrap/>
              <w:overflowPunct/>
              <w:topLinePunct w:val="0"/>
              <w:autoSpaceDE/>
              <w:autoSpaceDN/>
              <w:bidi w:val="0"/>
              <w:adjustRightInd w:val="0"/>
              <w:snapToGrid w:val="0"/>
              <w:spacing w:line="240" w:lineRule="auto"/>
              <w:jc w:val="center"/>
              <w:textAlignment w:val="auto"/>
              <w:rPr>
                <w:sz w:val="21"/>
                <w:szCs w:val="21"/>
              </w:rPr>
            </w:pPr>
            <w:r>
              <w:rPr>
                <w:rFonts w:hint="eastAsia"/>
                <w:sz w:val="21"/>
                <w:szCs w:val="21"/>
              </w:rPr>
              <w:t>《地表水资源质量标准》（</w:t>
            </w:r>
            <w:r>
              <w:rPr>
                <w:sz w:val="21"/>
                <w:szCs w:val="21"/>
              </w:rPr>
              <w:t>SL-94）</w:t>
            </w:r>
          </w:p>
        </w:tc>
      </w:tr>
    </w:tbl>
    <w:p w14:paraId="6DE59113">
      <w:pPr>
        <w:spacing w:line="500" w:lineRule="exact"/>
        <w:jc w:val="center"/>
        <w:rPr>
          <w:rFonts w:hint="eastAsia" w:ascii="Times New Roman" w:hAnsi="Times New Roman" w:eastAsia="宋体" w:cs="Times New Roman"/>
          <w:b/>
          <w:sz w:val="24"/>
          <w:szCs w:val="24"/>
          <w:lang w:val="en-US" w:eastAsia="zh-CN" w:bidi="ar-SA"/>
        </w:rPr>
      </w:pPr>
      <w:r>
        <w:rPr>
          <w:rFonts w:ascii="Times New Roman" w:hAnsi="Times New Roman" w:eastAsia="宋体" w:cs="Times New Roman"/>
          <w:b/>
          <w:sz w:val="24"/>
          <w:szCs w:val="24"/>
          <w:lang w:val="en-US" w:eastAsia="zh-CN" w:bidi="ar-SA"/>
        </w:rPr>
        <w:t>表1.4-2</w:t>
      </w:r>
      <w:r>
        <w:rPr>
          <w:rFonts w:hint="eastAsia" w:ascii="Times New Roman" w:hAnsi="Times New Roman" w:eastAsia="宋体" w:cs="Times New Roman"/>
          <w:b/>
          <w:sz w:val="24"/>
          <w:szCs w:val="24"/>
          <w:lang w:val="en-US" w:eastAsia="zh-CN" w:bidi="ar-SA"/>
        </w:rPr>
        <w:t xml:space="preserve">    </w:t>
      </w:r>
      <w:r>
        <w:rPr>
          <w:rFonts w:ascii="Times New Roman" w:hAnsi="Times New Roman" w:eastAsia="宋体" w:cs="Times New Roman"/>
          <w:b/>
          <w:sz w:val="24"/>
          <w:szCs w:val="24"/>
          <w:lang w:val="en-US" w:eastAsia="zh-CN" w:bidi="ar-SA"/>
        </w:rPr>
        <w:t>本项目</w:t>
      </w:r>
      <w:r>
        <w:rPr>
          <w:rFonts w:hint="eastAsia" w:ascii="Times New Roman" w:hAnsi="Times New Roman" w:eastAsia="宋体" w:cs="Times New Roman"/>
          <w:b/>
          <w:sz w:val="24"/>
          <w:szCs w:val="24"/>
          <w:lang w:val="en-US" w:eastAsia="zh-CN" w:bidi="ar-SA"/>
        </w:rPr>
        <w:t>废水</w:t>
      </w:r>
      <w:r>
        <w:rPr>
          <w:rFonts w:ascii="Times New Roman" w:hAnsi="Times New Roman" w:eastAsia="宋体" w:cs="Times New Roman"/>
          <w:b/>
          <w:sz w:val="24"/>
          <w:szCs w:val="24"/>
          <w:lang w:val="en-US" w:eastAsia="zh-CN" w:bidi="ar-SA"/>
        </w:rPr>
        <w:t>排放标准</w:t>
      </w:r>
    </w:p>
    <w:p w14:paraId="47F8ACB1">
      <w:pPr>
        <w:spacing w:line="500" w:lineRule="exact"/>
        <w:jc w:val="right"/>
        <w:rPr>
          <w:b/>
          <w:color w:val="auto"/>
          <w:sz w:val="21"/>
          <w:szCs w:val="21"/>
        </w:rPr>
      </w:pPr>
      <w:r>
        <w:rPr>
          <w:b/>
          <w:color w:val="auto"/>
          <w:sz w:val="21"/>
          <w:szCs w:val="21"/>
        </w:rPr>
        <w:t>单位：mg/L</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61"/>
        <w:gridCol w:w="5081"/>
      </w:tblGrid>
      <w:tr w14:paraId="718E76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1B238B95">
            <w:pPr>
              <w:adjustRightInd w:val="0"/>
              <w:snapToGrid w:val="0"/>
              <w:jc w:val="center"/>
              <w:rPr>
                <w:rFonts w:hint="default" w:eastAsia="宋体"/>
                <w:b/>
                <w:color w:val="auto"/>
                <w:sz w:val="21"/>
                <w:szCs w:val="21"/>
                <w:lang w:val="en-US" w:eastAsia="zh-CN"/>
              </w:rPr>
            </w:pPr>
            <w:r>
              <w:rPr>
                <w:rFonts w:hint="eastAsia"/>
                <w:b/>
                <w:color w:val="auto"/>
                <w:sz w:val="21"/>
                <w:szCs w:val="21"/>
                <w:lang w:val="en-US" w:eastAsia="zh-CN"/>
              </w:rPr>
              <w:t>控制项目</w:t>
            </w:r>
          </w:p>
        </w:tc>
        <w:tc>
          <w:tcPr>
            <w:tcW w:w="2748" w:type="pct"/>
            <w:vAlign w:val="center"/>
          </w:tcPr>
          <w:p w14:paraId="60EA8331">
            <w:pPr>
              <w:adjustRightInd w:val="0"/>
              <w:snapToGrid w:val="0"/>
              <w:jc w:val="center"/>
              <w:rPr>
                <w:b/>
                <w:color w:val="auto"/>
                <w:sz w:val="21"/>
                <w:szCs w:val="21"/>
              </w:rPr>
            </w:pPr>
            <w:r>
              <w:rPr>
                <w:rFonts w:hint="eastAsia"/>
                <w:b/>
                <w:color w:val="auto"/>
                <w:sz w:val="21"/>
                <w:szCs w:val="21"/>
                <w:lang w:val="en-US" w:eastAsia="zh-CN"/>
              </w:rPr>
              <w:t>排放浓度限值</w:t>
            </w:r>
          </w:p>
        </w:tc>
      </w:tr>
      <w:tr w14:paraId="5FE1A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600E4001">
            <w:pPr>
              <w:adjustRightInd w:val="0"/>
              <w:snapToGrid w:val="0"/>
              <w:jc w:val="center"/>
              <w:rPr>
                <w:color w:val="auto"/>
                <w:sz w:val="21"/>
                <w:szCs w:val="21"/>
              </w:rPr>
            </w:pPr>
            <w:r>
              <w:rPr>
                <w:color w:val="auto"/>
                <w:sz w:val="21"/>
                <w:szCs w:val="21"/>
              </w:rPr>
              <w:t>pH</w:t>
            </w:r>
          </w:p>
        </w:tc>
        <w:tc>
          <w:tcPr>
            <w:tcW w:w="2748" w:type="pct"/>
            <w:vAlign w:val="center"/>
          </w:tcPr>
          <w:p w14:paraId="2E1199F4">
            <w:pPr>
              <w:adjustRightInd w:val="0"/>
              <w:snapToGrid w:val="0"/>
              <w:jc w:val="center"/>
              <w:rPr>
                <w:color w:val="auto"/>
                <w:sz w:val="21"/>
                <w:szCs w:val="21"/>
              </w:rPr>
            </w:pPr>
            <w:r>
              <w:rPr>
                <w:color w:val="auto"/>
                <w:sz w:val="21"/>
                <w:szCs w:val="21"/>
              </w:rPr>
              <w:t>6～9</w:t>
            </w:r>
          </w:p>
        </w:tc>
      </w:tr>
      <w:tr w14:paraId="526A4C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6D7D399C">
            <w:pPr>
              <w:adjustRightInd w:val="0"/>
              <w:snapToGrid w:val="0"/>
              <w:jc w:val="center"/>
              <w:rPr>
                <w:color w:val="auto"/>
                <w:sz w:val="21"/>
                <w:szCs w:val="21"/>
              </w:rPr>
            </w:pPr>
            <w:r>
              <w:rPr>
                <w:color w:val="auto"/>
                <w:sz w:val="21"/>
                <w:szCs w:val="21"/>
              </w:rPr>
              <w:t>COD</w:t>
            </w:r>
          </w:p>
        </w:tc>
        <w:tc>
          <w:tcPr>
            <w:tcW w:w="2748" w:type="pct"/>
            <w:vAlign w:val="center"/>
          </w:tcPr>
          <w:p w14:paraId="3C7F94C2">
            <w:pPr>
              <w:adjustRightInd w:val="0"/>
              <w:snapToGrid w:val="0"/>
              <w:jc w:val="center"/>
              <w:rPr>
                <w:color w:val="auto"/>
                <w:sz w:val="21"/>
                <w:szCs w:val="21"/>
              </w:rPr>
            </w:pPr>
            <w:r>
              <w:rPr>
                <w:rFonts w:hint="eastAsia"/>
                <w:color w:val="auto"/>
                <w:sz w:val="21"/>
                <w:szCs w:val="21"/>
                <w:lang w:val="en-US" w:eastAsia="zh-CN"/>
              </w:rPr>
              <w:t>50</w:t>
            </w:r>
          </w:p>
        </w:tc>
      </w:tr>
      <w:tr w14:paraId="26300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5CB3B04D">
            <w:pPr>
              <w:adjustRightInd w:val="0"/>
              <w:snapToGrid w:val="0"/>
              <w:jc w:val="center"/>
              <w:rPr>
                <w:color w:val="auto"/>
                <w:sz w:val="21"/>
                <w:szCs w:val="21"/>
              </w:rPr>
            </w:pPr>
            <w:r>
              <w:rPr>
                <w:color w:val="auto"/>
                <w:sz w:val="21"/>
                <w:szCs w:val="21"/>
              </w:rPr>
              <w:t>SS</w:t>
            </w:r>
          </w:p>
        </w:tc>
        <w:tc>
          <w:tcPr>
            <w:tcW w:w="2748" w:type="pct"/>
            <w:vAlign w:val="center"/>
          </w:tcPr>
          <w:p w14:paraId="4DA83BA1">
            <w:pPr>
              <w:adjustRightInd w:val="0"/>
              <w:snapToGrid w:val="0"/>
              <w:jc w:val="center"/>
              <w:rPr>
                <w:color w:val="auto"/>
                <w:sz w:val="21"/>
                <w:szCs w:val="21"/>
              </w:rPr>
            </w:pPr>
            <w:r>
              <w:rPr>
                <w:rFonts w:hint="eastAsia"/>
                <w:color w:val="auto"/>
                <w:sz w:val="21"/>
                <w:szCs w:val="21"/>
                <w:lang w:val="en-US" w:eastAsia="zh-CN"/>
              </w:rPr>
              <w:t>10</w:t>
            </w:r>
          </w:p>
        </w:tc>
      </w:tr>
      <w:tr w14:paraId="2E50CD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2A859942">
            <w:pPr>
              <w:adjustRightInd w:val="0"/>
              <w:snapToGrid w:val="0"/>
              <w:jc w:val="center"/>
              <w:rPr>
                <w:color w:val="auto"/>
                <w:sz w:val="21"/>
                <w:szCs w:val="21"/>
              </w:rPr>
            </w:pPr>
            <w:r>
              <w:rPr>
                <w:color w:val="auto"/>
                <w:sz w:val="21"/>
                <w:szCs w:val="21"/>
              </w:rPr>
              <w:t>NH</w:t>
            </w:r>
            <w:r>
              <w:rPr>
                <w:color w:val="auto"/>
                <w:sz w:val="21"/>
                <w:szCs w:val="21"/>
                <w:vertAlign w:val="subscript"/>
              </w:rPr>
              <w:t>3</w:t>
            </w:r>
            <w:r>
              <w:rPr>
                <w:color w:val="auto"/>
                <w:sz w:val="21"/>
                <w:szCs w:val="21"/>
              </w:rPr>
              <w:t>-N</w:t>
            </w:r>
          </w:p>
        </w:tc>
        <w:tc>
          <w:tcPr>
            <w:tcW w:w="2748" w:type="pct"/>
            <w:vAlign w:val="center"/>
          </w:tcPr>
          <w:p w14:paraId="164CB8FB">
            <w:pPr>
              <w:adjustRightInd w:val="0"/>
              <w:snapToGrid w:val="0"/>
              <w:jc w:val="center"/>
              <w:rPr>
                <w:color w:val="auto"/>
                <w:sz w:val="21"/>
                <w:szCs w:val="21"/>
              </w:rPr>
            </w:pPr>
            <w:r>
              <w:rPr>
                <w:rFonts w:hint="eastAsia"/>
                <w:color w:val="auto"/>
                <w:sz w:val="21"/>
                <w:szCs w:val="21"/>
                <w:lang w:val="en-US" w:eastAsia="zh-CN"/>
              </w:rPr>
              <w:t>5（8）</w:t>
            </w:r>
          </w:p>
        </w:tc>
      </w:tr>
      <w:tr w14:paraId="7767E2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55A52EB8">
            <w:pPr>
              <w:adjustRightInd w:val="0"/>
              <w:snapToGrid w:val="0"/>
              <w:jc w:val="center"/>
              <w:rPr>
                <w:color w:val="auto"/>
                <w:sz w:val="21"/>
                <w:szCs w:val="21"/>
              </w:rPr>
            </w:pPr>
            <w:r>
              <w:rPr>
                <w:color w:val="auto"/>
                <w:sz w:val="21"/>
                <w:szCs w:val="21"/>
              </w:rPr>
              <w:t>TN</w:t>
            </w:r>
          </w:p>
        </w:tc>
        <w:tc>
          <w:tcPr>
            <w:tcW w:w="2748" w:type="pct"/>
            <w:vAlign w:val="center"/>
          </w:tcPr>
          <w:p w14:paraId="2D4ED9BC">
            <w:pPr>
              <w:adjustRightInd w:val="0"/>
              <w:snapToGrid w:val="0"/>
              <w:jc w:val="center"/>
              <w:rPr>
                <w:color w:val="auto"/>
                <w:sz w:val="21"/>
                <w:szCs w:val="21"/>
              </w:rPr>
            </w:pPr>
            <w:r>
              <w:rPr>
                <w:rFonts w:hint="eastAsia"/>
                <w:color w:val="auto"/>
                <w:sz w:val="21"/>
                <w:szCs w:val="21"/>
                <w:lang w:val="en-US" w:eastAsia="zh-CN"/>
              </w:rPr>
              <w:t>15</w:t>
            </w:r>
          </w:p>
        </w:tc>
      </w:tr>
      <w:tr w14:paraId="61218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4C9236C6">
            <w:pPr>
              <w:adjustRightInd w:val="0"/>
              <w:snapToGrid w:val="0"/>
              <w:jc w:val="center"/>
              <w:rPr>
                <w:color w:val="auto"/>
                <w:sz w:val="21"/>
                <w:szCs w:val="21"/>
              </w:rPr>
            </w:pPr>
            <w:r>
              <w:rPr>
                <w:color w:val="auto"/>
                <w:sz w:val="21"/>
                <w:szCs w:val="21"/>
              </w:rPr>
              <w:t>TP</w:t>
            </w:r>
          </w:p>
        </w:tc>
        <w:tc>
          <w:tcPr>
            <w:tcW w:w="2748" w:type="pct"/>
            <w:vAlign w:val="center"/>
          </w:tcPr>
          <w:p w14:paraId="13847E0F">
            <w:pPr>
              <w:adjustRightInd w:val="0"/>
              <w:snapToGrid w:val="0"/>
              <w:jc w:val="center"/>
              <w:rPr>
                <w:color w:val="auto"/>
                <w:sz w:val="21"/>
                <w:szCs w:val="21"/>
              </w:rPr>
            </w:pPr>
            <w:r>
              <w:rPr>
                <w:rFonts w:hint="eastAsia"/>
                <w:color w:val="auto"/>
                <w:sz w:val="21"/>
                <w:szCs w:val="21"/>
                <w:lang w:val="en-US" w:eastAsia="zh-CN"/>
              </w:rPr>
              <w:t>0.5</w:t>
            </w:r>
          </w:p>
        </w:tc>
      </w:tr>
      <w:tr w14:paraId="639A0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51" w:type="pct"/>
            <w:vAlign w:val="center"/>
          </w:tcPr>
          <w:p w14:paraId="75C317E3">
            <w:pPr>
              <w:adjustRightInd w:val="0"/>
              <w:snapToGrid w:val="0"/>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2748" w:type="pct"/>
            <w:vAlign w:val="center"/>
          </w:tcPr>
          <w:p w14:paraId="1675A25E">
            <w:pPr>
              <w:adjustRightInd w:val="0"/>
              <w:snapToGrid w:val="0"/>
              <w:jc w:val="center"/>
              <w:rPr>
                <w:color w:val="auto"/>
                <w:sz w:val="21"/>
                <w:szCs w:val="21"/>
              </w:rPr>
            </w:pPr>
            <w:r>
              <w:rPr>
                <w:rFonts w:hint="eastAsia"/>
                <w:color w:val="auto"/>
                <w:sz w:val="21"/>
                <w:szCs w:val="21"/>
                <w:lang w:val="en-US" w:eastAsia="zh-CN"/>
              </w:rPr>
              <w:t>20</w:t>
            </w:r>
          </w:p>
        </w:tc>
      </w:tr>
    </w:tbl>
    <w:p w14:paraId="3D838FB7">
      <w:pPr>
        <w:pStyle w:val="46"/>
        <w:adjustRightInd w:val="0"/>
        <w:snapToGrid w:val="0"/>
        <w:spacing w:line="240" w:lineRule="auto"/>
        <w:ind w:firstLine="361"/>
        <w:rPr>
          <w:rFonts w:eastAsia="宋体"/>
          <w:sz w:val="24"/>
        </w:rPr>
      </w:pPr>
      <w:r>
        <w:rPr>
          <w:rFonts w:hint="eastAsia" w:eastAsia="宋体"/>
          <w:b/>
          <w:sz w:val="18"/>
        </w:rPr>
        <w:t>注：水温≤12℃时执行括号内控制指标。</w:t>
      </w:r>
    </w:p>
    <w:p w14:paraId="0F7A029F">
      <w:pPr>
        <w:pStyle w:val="57"/>
        <w:numPr>
          <w:ilvl w:val="0"/>
          <w:numId w:val="0"/>
        </w:numPr>
        <w:spacing w:before="120" w:beforeLines="50" w:after="120" w:afterLines="50"/>
        <w:rPr>
          <w:rFonts w:eastAsia="宋体"/>
          <w:sz w:val="30"/>
        </w:rPr>
      </w:pPr>
      <w:bookmarkStart w:id="8" w:name="_Toc25930"/>
      <w:r>
        <w:rPr>
          <w:rFonts w:hint="eastAsia" w:eastAsia="宋体"/>
          <w:sz w:val="30"/>
        </w:rPr>
        <w:t>1</w:t>
      </w:r>
      <w:r>
        <w:rPr>
          <w:rFonts w:eastAsia="宋体"/>
          <w:sz w:val="30"/>
        </w:rPr>
        <w:t>.5论证工作程序</w:t>
      </w:r>
      <w:bookmarkEnd w:id="8"/>
    </w:p>
    <w:p w14:paraId="7EB0C842">
      <w:pPr>
        <w:pStyle w:val="46"/>
        <w:ind w:firstLine="480"/>
        <w:rPr>
          <w:rFonts w:eastAsia="宋体"/>
          <w:sz w:val="24"/>
        </w:rPr>
      </w:pPr>
      <w:r>
        <w:rPr>
          <w:rFonts w:eastAsia="宋体"/>
          <w:sz w:val="24"/>
        </w:rPr>
        <w:t>论证在现场查勘、调查和收集建设项目及相关区域基本资料和补充监测的基础上，采用流域水环境数学模型模拟的方法，预测入河废污水在设计水文条件下对水功能区（水域）的影响及范围，论证入河排污口</w:t>
      </w:r>
      <w:r>
        <w:rPr>
          <w:rFonts w:hint="eastAsia" w:eastAsia="宋体"/>
          <w:sz w:val="24"/>
        </w:rPr>
        <w:t>设置</w:t>
      </w:r>
      <w:r>
        <w:rPr>
          <w:rFonts w:eastAsia="宋体"/>
          <w:sz w:val="24"/>
        </w:rPr>
        <w:t>的合理性。论证工作流程见表1.5-1。</w:t>
      </w:r>
    </w:p>
    <w:p w14:paraId="360C0D02">
      <w:pPr>
        <w:jc w:val="center"/>
      </w:pPr>
    </w:p>
    <w:p w14:paraId="631172CD">
      <w:pPr>
        <w:jc w:val="center"/>
      </w:pPr>
      <w:r>
        <w:object>
          <v:shape id="_x0000_i1025" o:spt="75" type="#_x0000_t75" style="height:455.6pt;width:281.75pt;" o:ole="t" filled="f" o:preferrelative="t" stroked="f" coordsize="21600,21600">
            <v:path/>
            <v:fill on="f" focussize="0,0"/>
            <v:stroke on="f"/>
            <v:imagedata r:id="rId17" o:title=""/>
            <o:lock v:ext="edit" aspectratio="t"/>
            <w10:wrap type="none"/>
            <w10:anchorlock/>
          </v:shape>
          <o:OLEObject Type="Embed" ProgID="Visio.Drawing.11" ShapeID="_x0000_i1025" DrawAspect="Content" ObjectID="_1468075725" r:id="rId16">
            <o:LockedField>false</o:LockedField>
          </o:OLEObject>
        </w:object>
      </w:r>
    </w:p>
    <w:p w14:paraId="54B2ADF2">
      <w:pPr>
        <w:pStyle w:val="63"/>
        <w:spacing w:before="48" w:after="48"/>
        <w:rPr>
          <w:rFonts w:eastAsia="宋体"/>
        </w:rPr>
      </w:pPr>
      <w:r>
        <w:rPr>
          <w:rFonts w:eastAsia="宋体"/>
        </w:rPr>
        <w:t>图1.5-1论证工作程序框图</w:t>
      </w:r>
    </w:p>
    <w:p w14:paraId="4F4E5405">
      <w:pPr>
        <w:pStyle w:val="57"/>
        <w:numPr>
          <w:ilvl w:val="0"/>
          <w:numId w:val="0"/>
        </w:numPr>
        <w:spacing w:before="120" w:beforeLines="50" w:after="120" w:afterLines="50"/>
        <w:rPr>
          <w:rFonts w:eastAsia="宋体"/>
          <w:sz w:val="30"/>
        </w:rPr>
      </w:pPr>
      <w:bookmarkStart w:id="9" w:name="_Toc6583"/>
      <w:r>
        <w:rPr>
          <w:rFonts w:hint="eastAsia" w:eastAsia="宋体"/>
          <w:sz w:val="30"/>
        </w:rPr>
        <w:t>1</w:t>
      </w:r>
      <w:r>
        <w:rPr>
          <w:rFonts w:eastAsia="宋体"/>
          <w:sz w:val="30"/>
        </w:rPr>
        <w:t>.6论证的主要内容</w:t>
      </w:r>
      <w:bookmarkEnd w:id="9"/>
    </w:p>
    <w:p w14:paraId="185D5568">
      <w:pPr>
        <w:pStyle w:val="46"/>
        <w:ind w:firstLine="480"/>
        <w:rPr>
          <w:rFonts w:eastAsia="宋体"/>
          <w:color w:val="auto"/>
          <w:sz w:val="24"/>
        </w:rPr>
      </w:pPr>
      <w:r>
        <w:rPr>
          <w:rFonts w:eastAsia="宋体"/>
          <w:color w:val="auto"/>
          <w:sz w:val="24"/>
        </w:rPr>
        <w:t>（1）在研究区域污染源调查评价的基础上，根据水功能区总量控制管理目标和要求，论证</w:t>
      </w:r>
      <w:r>
        <w:rPr>
          <w:rFonts w:hint="eastAsia" w:eastAsia="宋体"/>
          <w:color w:val="auto"/>
          <w:sz w:val="24"/>
          <w:lang w:val="en-US" w:eastAsia="zh-CN"/>
        </w:rPr>
        <w:t>新</w:t>
      </w:r>
      <w:r>
        <w:rPr>
          <w:rFonts w:hint="eastAsia" w:eastAsia="宋体"/>
          <w:color w:val="auto"/>
          <w:sz w:val="24"/>
        </w:rPr>
        <w:t>河</w:t>
      </w:r>
      <w:r>
        <w:rPr>
          <w:rFonts w:eastAsia="宋体"/>
          <w:color w:val="auto"/>
          <w:sz w:val="24"/>
        </w:rPr>
        <w:t>污染物入河总量达到水功能区限排总量要求的可行性。</w:t>
      </w:r>
    </w:p>
    <w:p w14:paraId="0E319134">
      <w:pPr>
        <w:pStyle w:val="46"/>
        <w:ind w:firstLine="480"/>
        <w:rPr>
          <w:rFonts w:eastAsia="宋体"/>
          <w:color w:val="auto"/>
          <w:sz w:val="24"/>
        </w:rPr>
      </w:pPr>
      <w:r>
        <w:rPr>
          <w:rFonts w:eastAsia="宋体"/>
          <w:color w:val="auto"/>
          <w:sz w:val="24"/>
        </w:rPr>
        <w:t>（</w:t>
      </w:r>
      <w:r>
        <w:rPr>
          <w:rFonts w:hint="eastAsia" w:eastAsia="宋体"/>
          <w:color w:val="auto"/>
          <w:sz w:val="24"/>
          <w:lang w:val="en-US" w:eastAsia="zh-CN"/>
        </w:rPr>
        <w:t>2</w:t>
      </w:r>
      <w:r>
        <w:rPr>
          <w:rFonts w:eastAsia="宋体"/>
          <w:color w:val="auto"/>
          <w:sz w:val="24"/>
        </w:rPr>
        <w:t>）在研究区域现状水质评价的基础上，分析</w:t>
      </w:r>
      <w:r>
        <w:rPr>
          <w:rFonts w:hint="eastAsia" w:eastAsia="宋体"/>
          <w:color w:val="auto"/>
          <w:sz w:val="24"/>
          <w:lang w:val="en-US" w:eastAsia="zh-CN"/>
        </w:rPr>
        <w:t>将军山水厂</w:t>
      </w:r>
      <w:r>
        <w:rPr>
          <w:rFonts w:eastAsia="宋体"/>
          <w:color w:val="auto"/>
          <w:sz w:val="24"/>
        </w:rPr>
        <w:t>运行对</w:t>
      </w:r>
      <w:r>
        <w:rPr>
          <w:rFonts w:hint="eastAsia" w:eastAsia="宋体"/>
          <w:color w:val="auto"/>
          <w:sz w:val="24"/>
          <w:lang w:val="en-US" w:eastAsia="zh-CN"/>
        </w:rPr>
        <w:t>新</w:t>
      </w:r>
      <w:r>
        <w:rPr>
          <w:rFonts w:hint="eastAsia" w:eastAsia="宋体"/>
          <w:color w:val="auto"/>
          <w:sz w:val="24"/>
        </w:rPr>
        <w:t>河</w:t>
      </w:r>
      <w:r>
        <w:rPr>
          <w:rFonts w:eastAsia="宋体"/>
          <w:color w:val="auto"/>
          <w:sz w:val="24"/>
        </w:rPr>
        <w:t>入河污染物削减和水质的影响，在此基础上，论证水功能区及其控制断面的水质能够达到该断面水质目标要求的可行性。</w:t>
      </w:r>
    </w:p>
    <w:p w14:paraId="14047B6D">
      <w:pPr>
        <w:pStyle w:val="46"/>
        <w:ind w:firstLine="480"/>
        <w:rPr>
          <w:rFonts w:eastAsia="宋体"/>
          <w:color w:val="auto"/>
          <w:sz w:val="24"/>
        </w:rPr>
      </w:pPr>
      <w:r>
        <w:rPr>
          <w:rFonts w:eastAsia="宋体"/>
          <w:color w:val="auto"/>
          <w:sz w:val="24"/>
        </w:rPr>
        <w:t>本报告论证工作重点为：</w:t>
      </w:r>
    </w:p>
    <w:p w14:paraId="60093B80">
      <w:pPr>
        <w:pStyle w:val="46"/>
        <w:ind w:firstLine="480"/>
        <w:rPr>
          <w:rFonts w:eastAsia="宋体"/>
          <w:color w:val="auto"/>
          <w:sz w:val="24"/>
        </w:rPr>
      </w:pPr>
      <w:r>
        <w:rPr>
          <w:rFonts w:eastAsia="宋体"/>
          <w:color w:val="auto"/>
          <w:sz w:val="24"/>
        </w:rPr>
        <w:t>（1）所在水功能区（水域）管理要求和取排水状况分析；</w:t>
      </w:r>
    </w:p>
    <w:p w14:paraId="49BB88E9">
      <w:pPr>
        <w:pStyle w:val="46"/>
        <w:ind w:firstLine="480"/>
        <w:rPr>
          <w:rFonts w:eastAsia="宋体"/>
          <w:color w:val="auto"/>
          <w:sz w:val="24"/>
        </w:rPr>
      </w:pPr>
      <w:r>
        <w:rPr>
          <w:rFonts w:eastAsia="宋体"/>
          <w:color w:val="auto"/>
          <w:sz w:val="24"/>
        </w:rPr>
        <w:t>（2）所在水功能区（水域）限制排污总量是否满足相关要求；</w:t>
      </w:r>
    </w:p>
    <w:p w14:paraId="58ED77CE">
      <w:pPr>
        <w:pStyle w:val="46"/>
        <w:ind w:firstLine="480"/>
        <w:rPr>
          <w:rFonts w:eastAsia="宋体"/>
          <w:color w:val="auto"/>
          <w:sz w:val="24"/>
        </w:rPr>
      </w:pPr>
      <w:r>
        <w:rPr>
          <w:rFonts w:eastAsia="宋体"/>
          <w:color w:val="auto"/>
          <w:sz w:val="24"/>
        </w:rPr>
        <w:t>（3）入河排污口设置后污水排放对水功能区（水域）的影响范围；</w:t>
      </w:r>
    </w:p>
    <w:p w14:paraId="26C7B6FC">
      <w:pPr>
        <w:pStyle w:val="46"/>
        <w:ind w:firstLine="480"/>
        <w:rPr>
          <w:rFonts w:eastAsia="宋体"/>
          <w:color w:val="auto"/>
          <w:sz w:val="24"/>
        </w:rPr>
      </w:pPr>
      <w:r>
        <w:rPr>
          <w:rFonts w:eastAsia="宋体"/>
          <w:color w:val="auto"/>
          <w:sz w:val="24"/>
        </w:rPr>
        <w:t>（4）入河排污口设置对水功能区（水域）水质和水生态影响分析；</w:t>
      </w:r>
    </w:p>
    <w:p w14:paraId="43828487">
      <w:pPr>
        <w:pStyle w:val="46"/>
        <w:ind w:firstLine="480"/>
        <w:rPr>
          <w:rFonts w:eastAsia="宋体"/>
          <w:color w:val="auto"/>
          <w:sz w:val="24"/>
        </w:rPr>
      </w:pPr>
      <w:r>
        <w:rPr>
          <w:rFonts w:eastAsia="宋体"/>
          <w:color w:val="auto"/>
          <w:sz w:val="24"/>
        </w:rPr>
        <w:t>（5）入河排污口设置对有利害关系的第三者权益的影响分析；</w:t>
      </w:r>
    </w:p>
    <w:p w14:paraId="5AE00169">
      <w:pPr>
        <w:pStyle w:val="46"/>
        <w:ind w:firstLine="480"/>
        <w:rPr>
          <w:rFonts w:eastAsia="宋体"/>
          <w:color w:val="auto"/>
          <w:sz w:val="24"/>
        </w:rPr>
      </w:pPr>
      <w:r>
        <w:rPr>
          <w:rFonts w:eastAsia="宋体"/>
          <w:color w:val="auto"/>
          <w:sz w:val="24"/>
        </w:rPr>
        <w:t>（6）入河排污口设置可行性与合理性分析。</w:t>
      </w:r>
    </w:p>
    <w:p w14:paraId="22499D49">
      <w:pPr>
        <w:pStyle w:val="57"/>
        <w:numPr>
          <w:ilvl w:val="0"/>
          <w:numId w:val="0"/>
        </w:numPr>
        <w:spacing w:before="120" w:beforeLines="50" w:after="120" w:afterLines="50"/>
        <w:rPr>
          <w:rFonts w:hint="default" w:eastAsia="宋体"/>
          <w:sz w:val="30"/>
          <w:lang w:val="en-US" w:eastAsia="zh-CN"/>
        </w:rPr>
      </w:pPr>
      <w:r>
        <w:rPr>
          <w:rFonts w:hint="eastAsia" w:eastAsia="宋体"/>
          <w:sz w:val="30"/>
        </w:rPr>
        <w:t>1</w:t>
      </w:r>
      <w:r>
        <w:rPr>
          <w:rFonts w:eastAsia="宋体"/>
          <w:sz w:val="30"/>
        </w:rPr>
        <w:t>.</w:t>
      </w:r>
      <w:r>
        <w:rPr>
          <w:rFonts w:hint="eastAsia" w:eastAsia="宋体"/>
          <w:sz w:val="30"/>
          <w:lang w:val="en-US" w:eastAsia="zh-CN"/>
        </w:rPr>
        <w:t>7</w:t>
      </w:r>
      <w:r>
        <w:rPr>
          <w:rFonts w:eastAsia="宋体"/>
          <w:sz w:val="30"/>
        </w:rPr>
        <w:t>论证</w:t>
      </w:r>
      <w:r>
        <w:rPr>
          <w:rFonts w:hint="eastAsia" w:eastAsia="宋体"/>
          <w:sz w:val="30"/>
          <w:lang w:val="en-US" w:eastAsia="zh-CN"/>
        </w:rPr>
        <w:t>工作等级</w:t>
      </w:r>
    </w:p>
    <w:p w14:paraId="6D64900A">
      <w:pPr>
        <w:pStyle w:val="46"/>
        <w:ind w:firstLine="560"/>
        <w:rPr>
          <w:rFonts w:hint="eastAsia" w:eastAsia="宋体"/>
          <w:lang w:eastAsia="zh-CN"/>
        </w:rPr>
      </w:pPr>
      <w:r>
        <w:rPr>
          <w:rFonts w:hint="eastAsia" w:eastAsia="宋体"/>
          <w:color w:val="auto"/>
          <w:sz w:val="24"/>
        </w:rPr>
        <w:t>入河排污口设置论证工作等级由各分类指标等级的最高级别确定，分类等级由地区水资源与水生态状况、水资源利用状况、水域管理要求、污染物排放类型、废污水排放量等分类指标的最高级别确定。入河排污口设置论证分类分级指标见下表</w:t>
      </w:r>
      <w:r>
        <w:rPr>
          <w:rFonts w:hint="eastAsia" w:eastAsia="宋体"/>
          <w:color w:val="auto"/>
          <w:sz w:val="24"/>
          <w:lang w:eastAsia="zh-CN"/>
        </w:rPr>
        <w:t>。</w:t>
      </w:r>
    </w:p>
    <w:p w14:paraId="2E7A8851">
      <w:pPr>
        <w:spacing w:line="500" w:lineRule="exact"/>
        <w:jc w:val="center"/>
        <w:rPr>
          <w:rFonts w:hint="eastAsia" w:ascii="Times New Roman" w:hAnsi="Times New Roman" w:eastAsia="宋体" w:cs="Times New Roman"/>
          <w:b/>
          <w:sz w:val="24"/>
          <w:szCs w:val="24"/>
          <w:lang w:val="en-US" w:eastAsia="zh-CN" w:bidi="ar-SA"/>
        </w:rPr>
      </w:pPr>
      <w:r>
        <w:rPr>
          <w:rFonts w:eastAsia="宋体"/>
        </w:rPr>
        <w:br w:type="page"/>
      </w:r>
      <w:r>
        <w:rPr>
          <w:rFonts w:ascii="Times New Roman" w:hAnsi="Times New Roman" w:eastAsia="宋体" w:cs="Times New Roman"/>
          <w:b/>
          <w:sz w:val="24"/>
          <w:szCs w:val="24"/>
          <w:lang w:val="en-US" w:eastAsia="zh-CN" w:bidi="ar-SA"/>
        </w:rPr>
        <w:t>表1.</w:t>
      </w:r>
      <w:r>
        <w:rPr>
          <w:rFonts w:hint="eastAsia" w:cs="Times New Roman"/>
          <w:b/>
          <w:sz w:val="24"/>
          <w:szCs w:val="24"/>
          <w:lang w:val="en-US" w:eastAsia="zh-CN" w:bidi="ar-SA"/>
        </w:rPr>
        <w:t>7</w:t>
      </w:r>
      <w:r>
        <w:rPr>
          <w:rFonts w:ascii="Times New Roman" w:hAnsi="Times New Roman" w:eastAsia="宋体" w:cs="Times New Roman"/>
          <w:b/>
          <w:sz w:val="24"/>
          <w:szCs w:val="24"/>
          <w:lang w:val="en-US" w:eastAsia="zh-CN" w:bidi="ar-SA"/>
        </w:rPr>
        <w:t>-</w:t>
      </w:r>
      <w:r>
        <w:rPr>
          <w:rFonts w:hint="eastAsia" w:cs="Times New Roman"/>
          <w:b/>
          <w:sz w:val="24"/>
          <w:szCs w:val="24"/>
          <w:lang w:val="en-US" w:eastAsia="zh-CN" w:bidi="ar-SA"/>
        </w:rPr>
        <w:t>1</w:t>
      </w:r>
      <w:r>
        <w:rPr>
          <w:rFonts w:hint="eastAsia" w:ascii="Times New Roman" w:hAnsi="Times New Roman" w:eastAsia="宋体" w:cs="Times New Roman"/>
          <w:b/>
          <w:sz w:val="24"/>
          <w:szCs w:val="24"/>
          <w:lang w:val="en-US" w:eastAsia="zh-CN" w:bidi="ar-SA"/>
        </w:rPr>
        <w:t xml:space="preserve">    入河排污口设置论证分类分级指标</w:t>
      </w:r>
    </w:p>
    <w:tbl>
      <w:tblPr>
        <w:tblStyle w:val="25"/>
        <w:tblW w:w="49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820"/>
        <w:gridCol w:w="1547"/>
        <w:gridCol w:w="1812"/>
        <w:gridCol w:w="1945"/>
        <w:gridCol w:w="913"/>
      </w:tblGrid>
      <w:tr w14:paraId="20F2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vMerge w:val="restart"/>
            <w:tcBorders>
              <w:top w:val="single" w:color="auto" w:sz="12" w:space="0"/>
              <w:left w:val="nil"/>
            </w:tcBorders>
            <w:noWrap w:val="0"/>
            <w:vAlign w:val="center"/>
          </w:tcPr>
          <w:p w14:paraId="0A407CC3">
            <w:pPr>
              <w:adjustRightInd w:val="0"/>
              <w:snapToGrid w:val="0"/>
              <w:jc w:val="center"/>
              <w:rPr>
                <w:rFonts w:hint="eastAsia"/>
                <w:b/>
                <w:bCs/>
                <w:color w:val="auto"/>
                <w:sz w:val="21"/>
                <w:szCs w:val="21"/>
              </w:rPr>
            </w:pPr>
            <w:r>
              <w:rPr>
                <w:rFonts w:hint="eastAsia"/>
                <w:b/>
                <w:bCs/>
                <w:color w:val="auto"/>
                <w:sz w:val="21"/>
                <w:szCs w:val="21"/>
              </w:rPr>
              <w:t>分类指标</w:t>
            </w:r>
          </w:p>
        </w:tc>
        <w:tc>
          <w:tcPr>
            <w:tcW w:w="2846" w:type="pct"/>
            <w:gridSpan w:val="3"/>
            <w:tcBorders>
              <w:top w:val="single" w:color="auto" w:sz="12" w:space="0"/>
              <w:right w:val="nil"/>
            </w:tcBorders>
            <w:noWrap w:val="0"/>
            <w:tcMar>
              <w:left w:w="28" w:type="dxa"/>
              <w:right w:w="28" w:type="dxa"/>
            </w:tcMar>
            <w:vAlign w:val="center"/>
          </w:tcPr>
          <w:p w14:paraId="2AACD637">
            <w:pPr>
              <w:adjustRightInd w:val="0"/>
              <w:snapToGrid w:val="0"/>
              <w:jc w:val="center"/>
              <w:rPr>
                <w:rFonts w:hint="eastAsia"/>
                <w:b/>
                <w:bCs/>
                <w:color w:val="auto"/>
                <w:sz w:val="21"/>
                <w:szCs w:val="21"/>
              </w:rPr>
            </w:pPr>
            <w:r>
              <w:rPr>
                <w:rFonts w:hint="eastAsia"/>
                <w:b/>
                <w:bCs/>
                <w:color w:val="auto"/>
                <w:sz w:val="21"/>
                <w:szCs w:val="21"/>
              </w:rPr>
              <w:t>等级</w:t>
            </w:r>
          </w:p>
        </w:tc>
        <w:tc>
          <w:tcPr>
            <w:tcW w:w="1069" w:type="pct"/>
            <w:vMerge w:val="restart"/>
            <w:tcBorders>
              <w:top w:val="single" w:color="auto" w:sz="12" w:space="0"/>
              <w:right w:val="nil"/>
            </w:tcBorders>
            <w:noWrap w:val="0"/>
            <w:tcMar>
              <w:left w:w="28" w:type="dxa"/>
              <w:right w:w="28" w:type="dxa"/>
            </w:tcMar>
            <w:vAlign w:val="center"/>
          </w:tcPr>
          <w:p w14:paraId="2DA909F4">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本项目</w:t>
            </w:r>
          </w:p>
        </w:tc>
        <w:tc>
          <w:tcPr>
            <w:tcW w:w="502" w:type="pct"/>
            <w:vMerge w:val="restart"/>
            <w:tcBorders>
              <w:top w:val="single" w:color="auto" w:sz="12" w:space="0"/>
              <w:right w:val="nil"/>
            </w:tcBorders>
            <w:noWrap w:val="0"/>
            <w:tcMar>
              <w:left w:w="28" w:type="dxa"/>
              <w:right w:w="28" w:type="dxa"/>
            </w:tcMar>
            <w:vAlign w:val="center"/>
          </w:tcPr>
          <w:p w14:paraId="6658466E">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等级</w:t>
            </w:r>
          </w:p>
        </w:tc>
      </w:tr>
      <w:tr w14:paraId="339F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vMerge w:val="continue"/>
            <w:tcBorders>
              <w:left w:val="nil"/>
            </w:tcBorders>
            <w:noWrap w:val="0"/>
            <w:vAlign w:val="center"/>
          </w:tcPr>
          <w:p w14:paraId="758EDE7B">
            <w:pPr>
              <w:adjustRightInd w:val="0"/>
              <w:snapToGrid w:val="0"/>
              <w:jc w:val="center"/>
              <w:rPr>
                <w:rFonts w:hint="eastAsia"/>
                <w:b/>
                <w:bCs/>
                <w:color w:val="auto"/>
                <w:sz w:val="21"/>
                <w:szCs w:val="21"/>
              </w:rPr>
            </w:pPr>
          </w:p>
        </w:tc>
        <w:tc>
          <w:tcPr>
            <w:tcW w:w="1000" w:type="pct"/>
            <w:noWrap w:val="0"/>
            <w:tcMar>
              <w:left w:w="28" w:type="dxa"/>
              <w:right w:w="28" w:type="dxa"/>
            </w:tcMar>
            <w:vAlign w:val="center"/>
          </w:tcPr>
          <w:p w14:paraId="1C5AB33B">
            <w:pPr>
              <w:adjustRightInd w:val="0"/>
              <w:snapToGrid w:val="0"/>
              <w:jc w:val="center"/>
              <w:rPr>
                <w:rFonts w:hint="eastAsia"/>
                <w:b/>
                <w:bCs/>
                <w:color w:val="auto"/>
                <w:sz w:val="21"/>
                <w:szCs w:val="21"/>
              </w:rPr>
            </w:pPr>
            <w:r>
              <w:rPr>
                <w:rFonts w:hint="eastAsia"/>
                <w:b/>
                <w:bCs/>
                <w:color w:val="auto"/>
                <w:sz w:val="21"/>
                <w:szCs w:val="21"/>
              </w:rPr>
              <w:t>一级</w:t>
            </w:r>
          </w:p>
        </w:tc>
        <w:tc>
          <w:tcPr>
            <w:tcW w:w="850" w:type="pct"/>
            <w:noWrap w:val="0"/>
            <w:tcMar>
              <w:left w:w="28" w:type="dxa"/>
              <w:right w:w="28" w:type="dxa"/>
            </w:tcMar>
            <w:vAlign w:val="center"/>
          </w:tcPr>
          <w:p w14:paraId="6F63A58A">
            <w:pPr>
              <w:adjustRightInd w:val="0"/>
              <w:snapToGrid w:val="0"/>
              <w:jc w:val="center"/>
              <w:rPr>
                <w:rFonts w:hint="eastAsia"/>
                <w:b/>
                <w:bCs/>
                <w:color w:val="auto"/>
                <w:sz w:val="21"/>
                <w:szCs w:val="21"/>
              </w:rPr>
            </w:pPr>
            <w:r>
              <w:rPr>
                <w:rFonts w:hint="eastAsia"/>
                <w:b/>
                <w:bCs/>
                <w:color w:val="auto"/>
                <w:sz w:val="21"/>
                <w:szCs w:val="21"/>
              </w:rPr>
              <w:t>二级</w:t>
            </w:r>
          </w:p>
        </w:tc>
        <w:tc>
          <w:tcPr>
            <w:tcW w:w="995" w:type="pct"/>
            <w:tcBorders>
              <w:right w:val="nil"/>
            </w:tcBorders>
            <w:noWrap w:val="0"/>
            <w:tcMar>
              <w:left w:w="28" w:type="dxa"/>
              <w:right w:w="28" w:type="dxa"/>
            </w:tcMar>
            <w:vAlign w:val="center"/>
          </w:tcPr>
          <w:p w14:paraId="7997737C">
            <w:pPr>
              <w:adjustRightInd w:val="0"/>
              <w:snapToGrid w:val="0"/>
              <w:jc w:val="center"/>
              <w:rPr>
                <w:rFonts w:hint="eastAsia"/>
                <w:b/>
                <w:bCs/>
                <w:color w:val="auto"/>
                <w:sz w:val="21"/>
                <w:szCs w:val="21"/>
              </w:rPr>
            </w:pPr>
            <w:r>
              <w:rPr>
                <w:rFonts w:hint="eastAsia"/>
                <w:b/>
                <w:bCs/>
                <w:color w:val="auto"/>
                <w:sz w:val="21"/>
                <w:szCs w:val="21"/>
              </w:rPr>
              <w:t>三级</w:t>
            </w:r>
          </w:p>
        </w:tc>
        <w:tc>
          <w:tcPr>
            <w:tcW w:w="1069" w:type="pct"/>
            <w:vMerge w:val="continue"/>
            <w:tcBorders>
              <w:right w:val="nil"/>
            </w:tcBorders>
            <w:noWrap w:val="0"/>
            <w:tcMar>
              <w:left w:w="28" w:type="dxa"/>
              <w:right w:w="28" w:type="dxa"/>
            </w:tcMar>
            <w:vAlign w:val="center"/>
          </w:tcPr>
          <w:p w14:paraId="67CE3360">
            <w:pPr>
              <w:adjustRightInd w:val="0"/>
              <w:snapToGrid w:val="0"/>
              <w:jc w:val="center"/>
              <w:rPr>
                <w:rFonts w:hint="eastAsia"/>
                <w:b/>
                <w:bCs/>
                <w:color w:val="auto"/>
                <w:sz w:val="21"/>
                <w:szCs w:val="21"/>
              </w:rPr>
            </w:pPr>
          </w:p>
        </w:tc>
        <w:tc>
          <w:tcPr>
            <w:tcW w:w="502" w:type="pct"/>
            <w:vMerge w:val="continue"/>
            <w:tcBorders>
              <w:right w:val="nil"/>
            </w:tcBorders>
            <w:noWrap w:val="0"/>
            <w:tcMar>
              <w:left w:w="28" w:type="dxa"/>
              <w:right w:w="28" w:type="dxa"/>
            </w:tcMar>
            <w:vAlign w:val="center"/>
          </w:tcPr>
          <w:p w14:paraId="37C8EFCF">
            <w:pPr>
              <w:adjustRightInd w:val="0"/>
              <w:snapToGrid w:val="0"/>
              <w:jc w:val="center"/>
              <w:rPr>
                <w:rFonts w:hint="eastAsia"/>
                <w:b/>
                <w:bCs/>
                <w:color w:val="auto"/>
                <w:sz w:val="21"/>
                <w:szCs w:val="21"/>
              </w:rPr>
            </w:pPr>
          </w:p>
        </w:tc>
      </w:tr>
      <w:tr w14:paraId="13673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vAlign w:val="center"/>
          </w:tcPr>
          <w:p w14:paraId="6B57178B">
            <w:pPr>
              <w:adjustRightInd w:val="0"/>
              <w:snapToGrid w:val="0"/>
              <w:jc w:val="center"/>
              <w:rPr>
                <w:rFonts w:hint="eastAsia"/>
                <w:color w:val="auto"/>
                <w:sz w:val="21"/>
                <w:szCs w:val="21"/>
              </w:rPr>
            </w:pPr>
            <w:r>
              <w:rPr>
                <w:rFonts w:hint="eastAsia"/>
                <w:color w:val="auto"/>
                <w:sz w:val="21"/>
                <w:szCs w:val="21"/>
              </w:rPr>
              <w:t>水功能区管理要求</w:t>
            </w:r>
          </w:p>
        </w:tc>
        <w:tc>
          <w:tcPr>
            <w:tcW w:w="1000" w:type="pct"/>
            <w:noWrap w:val="0"/>
            <w:tcMar>
              <w:left w:w="28" w:type="dxa"/>
              <w:right w:w="28" w:type="dxa"/>
            </w:tcMar>
            <w:vAlign w:val="center"/>
          </w:tcPr>
          <w:p w14:paraId="1525E1FD">
            <w:pPr>
              <w:adjustRightInd w:val="0"/>
              <w:snapToGrid w:val="0"/>
              <w:jc w:val="center"/>
              <w:rPr>
                <w:rFonts w:hint="eastAsia"/>
                <w:color w:val="auto"/>
                <w:sz w:val="21"/>
                <w:szCs w:val="21"/>
              </w:rPr>
            </w:pPr>
            <w:r>
              <w:rPr>
                <w:rFonts w:hint="eastAsia"/>
                <w:color w:val="auto"/>
                <w:sz w:val="21"/>
                <w:szCs w:val="21"/>
              </w:rPr>
              <w:t>涉及一级水功能区中的保护区、保留区、缓冲区及二级水功能区中饮用水水源区</w:t>
            </w:r>
          </w:p>
        </w:tc>
        <w:tc>
          <w:tcPr>
            <w:tcW w:w="850" w:type="pct"/>
            <w:noWrap w:val="0"/>
            <w:tcMar>
              <w:left w:w="28" w:type="dxa"/>
              <w:right w:w="28" w:type="dxa"/>
            </w:tcMar>
            <w:vAlign w:val="center"/>
          </w:tcPr>
          <w:p w14:paraId="34B172EC">
            <w:pPr>
              <w:adjustRightInd w:val="0"/>
              <w:snapToGrid w:val="0"/>
              <w:jc w:val="center"/>
              <w:rPr>
                <w:rFonts w:hint="eastAsia"/>
                <w:color w:val="auto"/>
                <w:sz w:val="21"/>
                <w:szCs w:val="21"/>
              </w:rPr>
            </w:pPr>
            <w:r>
              <w:rPr>
                <w:rFonts w:hint="eastAsia"/>
                <w:color w:val="auto"/>
                <w:sz w:val="21"/>
                <w:szCs w:val="21"/>
              </w:rPr>
              <w:t>涉及二级水功能区中的工业、农业、渔业、景观娱乐用水区</w:t>
            </w:r>
          </w:p>
        </w:tc>
        <w:tc>
          <w:tcPr>
            <w:tcW w:w="995" w:type="pct"/>
            <w:tcBorders>
              <w:right w:val="nil"/>
            </w:tcBorders>
            <w:noWrap w:val="0"/>
            <w:tcMar>
              <w:left w:w="28" w:type="dxa"/>
              <w:right w:w="28" w:type="dxa"/>
            </w:tcMar>
            <w:vAlign w:val="center"/>
          </w:tcPr>
          <w:p w14:paraId="29DD5858">
            <w:pPr>
              <w:adjustRightInd w:val="0"/>
              <w:snapToGrid w:val="0"/>
              <w:jc w:val="center"/>
              <w:rPr>
                <w:rFonts w:hint="eastAsia"/>
                <w:color w:val="auto"/>
                <w:sz w:val="21"/>
                <w:szCs w:val="21"/>
              </w:rPr>
            </w:pPr>
            <w:r>
              <w:rPr>
                <w:rFonts w:hint="eastAsia"/>
                <w:color w:val="auto"/>
                <w:sz w:val="21"/>
                <w:szCs w:val="21"/>
              </w:rPr>
              <w:t>涉及二级水功能区中的排污控制区和过渡区</w:t>
            </w:r>
          </w:p>
        </w:tc>
        <w:tc>
          <w:tcPr>
            <w:tcW w:w="1069" w:type="pct"/>
            <w:tcBorders>
              <w:right w:val="nil"/>
            </w:tcBorders>
            <w:noWrap w:val="0"/>
            <w:tcMar>
              <w:left w:w="28" w:type="dxa"/>
              <w:right w:w="28" w:type="dxa"/>
            </w:tcMar>
            <w:vAlign w:val="center"/>
          </w:tcPr>
          <w:p w14:paraId="494BBE6A">
            <w:pPr>
              <w:adjustRightInd w:val="0"/>
              <w:snapToGrid w:val="0"/>
              <w:jc w:val="center"/>
              <w:rPr>
                <w:rFonts w:hint="eastAsia"/>
                <w:color w:val="auto"/>
                <w:sz w:val="21"/>
                <w:szCs w:val="21"/>
              </w:rPr>
            </w:pPr>
            <w:r>
              <w:rPr>
                <w:rFonts w:hint="eastAsia"/>
                <w:color w:val="auto"/>
                <w:sz w:val="21"/>
                <w:szCs w:val="21"/>
                <w:lang w:val="en-US" w:eastAsia="zh-CN"/>
              </w:rPr>
              <w:t>本项目排污口所在河段为</w:t>
            </w:r>
            <w:r>
              <w:rPr>
                <w:rFonts w:hint="eastAsia"/>
                <w:color w:val="auto"/>
                <w:sz w:val="21"/>
                <w:szCs w:val="21"/>
              </w:rPr>
              <w:t>新河排污控制区</w:t>
            </w:r>
          </w:p>
        </w:tc>
        <w:tc>
          <w:tcPr>
            <w:tcW w:w="502" w:type="pct"/>
            <w:tcBorders>
              <w:right w:val="nil"/>
            </w:tcBorders>
            <w:noWrap w:val="0"/>
            <w:tcMar>
              <w:left w:w="28" w:type="dxa"/>
              <w:right w:w="28" w:type="dxa"/>
            </w:tcMar>
            <w:vAlign w:val="center"/>
          </w:tcPr>
          <w:p w14:paraId="7755BB4D">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三级</w:t>
            </w:r>
          </w:p>
        </w:tc>
      </w:tr>
      <w:tr w14:paraId="26BD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tcMar>
              <w:left w:w="28" w:type="dxa"/>
              <w:right w:w="28" w:type="dxa"/>
            </w:tcMar>
            <w:vAlign w:val="center"/>
          </w:tcPr>
          <w:p w14:paraId="44A9F849">
            <w:pPr>
              <w:adjustRightInd w:val="0"/>
              <w:snapToGrid w:val="0"/>
              <w:jc w:val="center"/>
              <w:rPr>
                <w:rFonts w:hint="eastAsia"/>
                <w:color w:val="auto"/>
                <w:sz w:val="21"/>
                <w:szCs w:val="21"/>
              </w:rPr>
            </w:pPr>
            <w:r>
              <w:rPr>
                <w:rFonts w:hint="eastAsia"/>
                <w:color w:val="auto"/>
                <w:sz w:val="21"/>
                <w:szCs w:val="21"/>
              </w:rPr>
              <w:t>水功能区水域纳污现状</w:t>
            </w:r>
          </w:p>
        </w:tc>
        <w:tc>
          <w:tcPr>
            <w:tcW w:w="1000" w:type="pct"/>
            <w:noWrap w:val="0"/>
            <w:tcMar>
              <w:left w:w="28" w:type="dxa"/>
              <w:right w:w="28" w:type="dxa"/>
            </w:tcMar>
            <w:vAlign w:val="center"/>
          </w:tcPr>
          <w:p w14:paraId="000A2E88">
            <w:pPr>
              <w:adjustRightInd w:val="0"/>
              <w:snapToGrid w:val="0"/>
              <w:jc w:val="center"/>
              <w:rPr>
                <w:rFonts w:hint="eastAsia"/>
                <w:color w:val="auto"/>
                <w:sz w:val="21"/>
                <w:szCs w:val="21"/>
              </w:rPr>
            </w:pPr>
            <w:r>
              <w:rPr>
                <w:rFonts w:hint="eastAsia"/>
                <w:color w:val="auto"/>
                <w:sz w:val="21"/>
                <w:szCs w:val="21"/>
              </w:rPr>
              <w:t>现状污染物入河量超出水功能区水域纳污能力</w:t>
            </w:r>
          </w:p>
        </w:tc>
        <w:tc>
          <w:tcPr>
            <w:tcW w:w="850" w:type="pct"/>
            <w:noWrap w:val="0"/>
            <w:tcMar>
              <w:left w:w="28" w:type="dxa"/>
              <w:right w:w="28" w:type="dxa"/>
            </w:tcMar>
            <w:vAlign w:val="center"/>
          </w:tcPr>
          <w:p w14:paraId="37720D04">
            <w:pPr>
              <w:adjustRightInd w:val="0"/>
              <w:snapToGrid w:val="0"/>
              <w:jc w:val="center"/>
              <w:rPr>
                <w:rFonts w:hint="eastAsia"/>
                <w:color w:val="auto"/>
                <w:sz w:val="21"/>
                <w:szCs w:val="21"/>
              </w:rPr>
            </w:pPr>
            <w:r>
              <w:rPr>
                <w:rFonts w:hint="eastAsia"/>
                <w:color w:val="auto"/>
                <w:sz w:val="21"/>
                <w:szCs w:val="21"/>
              </w:rPr>
              <w:t>现状污染物入河量接近水功能区水域纳污能力</w:t>
            </w:r>
          </w:p>
        </w:tc>
        <w:tc>
          <w:tcPr>
            <w:tcW w:w="995" w:type="pct"/>
            <w:tcBorders>
              <w:right w:val="nil"/>
            </w:tcBorders>
            <w:noWrap w:val="0"/>
            <w:tcMar>
              <w:left w:w="28" w:type="dxa"/>
              <w:right w:w="28" w:type="dxa"/>
            </w:tcMar>
            <w:vAlign w:val="center"/>
          </w:tcPr>
          <w:p w14:paraId="1EBDAFFA">
            <w:pPr>
              <w:adjustRightInd w:val="0"/>
              <w:snapToGrid w:val="0"/>
              <w:jc w:val="center"/>
              <w:rPr>
                <w:rFonts w:hint="eastAsia"/>
                <w:color w:val="auto"/>
                <w:sz w:val="21"/>
                <w:szCs w:val="21"/>
              </w:rPr>
            </w:pPr>
            <w:r>
              <w:rPr>
                <w:rFonts w:hint="eastAsia"/>
                <w:color w:val="auto"/>
                <w:sz w:val="21"/>
                <w:szCs w:val="21"/>
              </w:rPr>
              <w:t>现状污染物入河量远小于水功能区水域纳污能力</w:t>
            </w:r>
          </w:p>
        </w:tc>
        <w:tc>
          <w:tcPr>
            <w:tcW w:w="1069" w:type="pct"/>
            <w:tcBorders>
              <w:right w:val="nil"/>
            </w:tcBorders>
            <w:noWrap w:val="0"/>
            <w:tcMar>
              <w:left w:w="28" w:type="dxa"/>
              <w:right w:w="28" w:type="dxa"/>
            </w:tcMar>
            <w:vAlign w:val="center"/>
          </w:tcPr>
          <w:p w14:paraId="2E4E4AAA">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本项目排污口河段新河</w:t>
            </w:r>
            <w:r>
              <w:rPr>
                <w:rFonts w:hint="eastAsia"/>
                <w:color w:val="auto"/>
                <w:sz w:val="21"/>
                <w:szCs w:val="21"/>
              </w:rPr>
              <w:t>现状污染物入河量</w:t>
            </w:r>
            <w:r>
              <w:rPr>
                <w:rFonts w:hint="eastAsia"/>
                <w:color w:val="auto"/>
                <w:sz w:val="21"/>
                <w:szCs w:val="21"/>
                <w:lang w:val="en-US" w:eastAsia="zh-CN"/>
              </w:rPr>
              <w:t>小于</w:t>
            </w:r>
            <w:r>
              <w:rPr>
                <w:rFonts w:hint="eastAsia"/>
                <w:color w:val="auto"/>
                <w:sz w:val="21"/>
                <w:szCs w:val="21"/>
              </w:rPr>
              <w:t>水功能区水域纳污能力</w:t>
            </w:r>
            <w:r>
              <w:rPr>
                <w:rFonts w:hint="eastAsia"/>
                <w:color w:val="auto"/>
                <w:sz w:val="21"/>
                <w:szCs w:val="21"/>
                <w:lang w:eastAsia="zh-CN"/>
              </w:rPr>
              <w:t>，</w:t>
            </w:r>
            <w:r>
              <w:rPr>
                <w:rFonts w:hint="eastAsia"/>
                <w:color w:val="auto"/>
                <w:sz w:val="21"/>
                <w:szCs w:val="21"/>
                <w:lang w:val="en-US" w:eastAsia="zh-CN"/>
              </w:rPr>
              <w:t>但不属于远小于</w:t>
            </w:r>
          </w:p>
        </w:tc>
        <w:tc>
          <w:tcPr>
            <w:tcW w:w="502" w:type="pct"/>
            <w:tcBorders>
              <w:right w:val="nil"/>
            </w:tcBorders>
            <w:noWrap w:val="0"/>
            <w:tcMar>
              <w:left w:w="28" w:type="dxa"/>
              <w:right w:w="28" w:type="dxa"/>
            </w:tcMar>
            <w:vAlign w:val="center"/>
          </w:tcPr>
          <w:p w14:paraId="48ED028A">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二级</w:t>
            </w:r>
          </w:p>
        </w:tc>
      </w:tr>
      <w:tr w14:paraId="2A86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tcMar>
              <w:left w:w="28" w:type="dxa"/>
              <w:right w:w="28" w:type="dxa"/>
            </w:tcMar>
            <w:vAlign w:val="center"/>
          </w:tcPr>
          <w:p w14:paraId="08AABD60">
            <w:pPr>
              <w:adjustRightInd w:val="0"/>
              <w:snapToGrid w:val="0"/>
              <w:jc w:val="center"/>
              <w:rPr>
                <w:rFonts w:hint="eastAsia"/>
                <w:color w:val="auto"/>
                <w:sz w:val="21"/>
                <w:szCs w:val="21"/>
              </w:rPr>
            </w:pPr>
            <w:r>
              <w:rPr>
                <w:rFonts w:hint="eastAsia"/>
                <w:color w:val="auto"/>
                <w:sz w:val="21"/>
                <w:szCs w:val="21"/>
              </w:rPr>
              <w:t>水生态现状</w:t>
            </w:r>
          </w:p>
        </w:tc>
        <w:tc>
          <w:tcPr>
            <w:tcW w:w="1000" w:type="pct"/>
            <w:noWrap w:val="0"/>
            <w:tcMar>
              <w:left w:w="28" w:type="dxa"/>
              <w:right w:w="28" w:type="dxa"/>
            </w:tcMar>
            <w:vAlign w:val="center"/>
          </w:tcPr>
          <w:p w14:paraId="1F74EBAC">
            <w:pPr>
              <w:adjustRightInd w:val="0"/>
              <w:snapToGrid w:val="0"/>
              <w:jc w:val="center"/>
              <w:rPr>
                <w:rFonts w:hint="eastAsia"/>
                <w:color w:val="auto"/>
                <w:sz w:val="21"/>
                <w:szCs w:val="21"/>
              </w:rPr>
            </w:pPr>
            <w:r>
              <w:rPr>
                <w:rFonts w:hint="eastAsia"/>
                <w:color w:val="auto"/>
                <w:sz w:val="21"/>
                <w:szCs w:val="21"/>
              </w:rPr>
              <w:t>现状生态问题敏感；相关水域现状排污对水文情势和水生态环境产生明显影响，同时存在水温或水体富营养化影响问题</w:t>
            </w:r>
          </w:p>
        </w:tc>
        <w:tc>
          <w:tcPr>
            <w:tcW w:w="850" w:type="pct"/>
            <w:noWrap w:val="0"/>
            <w:tcMar>
              <w:left w:w="28" w:type="dxa"/>
              <w:right w:w="28" w:type="dxa"/>
            </w:tcMar>
            <w:vAlign w:val="center"/>
          </w:tcPr>
          <w:p w14:paraId="4E085010">
            <w:pPr>
              <w:adjustRightInd w:val="0"/>
              <w:snapToGrid w:val="0"/>
              <w:jc w:val="center"/>
              <w:rPr>
                <w:rFonts w:hint="eastAsia"/>
                <w:color w:val="auto"/>
                <w:sz w:val="21"/>
                <w:szCs w:val="21"/>
              </w:rPr>
            </w:pPr>
            <w:r>
              <w:rPr>
                <w:rFonts w:hint="eastAsia"/>
                <w:color w:val="auto"/>
                <w:sz w:val="21"/>
                <w:szCs w:val="21"/>
              </w:rPr>
              <w:t>现状生态问题较为敏感；相关水域现状排污对水文情势和水生态环境产生一定影响</w:t>
            </w:r>
          </w:p>
        </w:tc>
        <w:tc>
          <w:tcPr>
            <w:tcW w:w="995" w:type="pct"/>
            <w:tcBorders>
              <w:right w:val="nil"/>
            </w:tcBorders>
            <w:noWrap w:val="0"/>
            <w:tcMar>
              <w:left w:w="28" w:type="dxa"/>
              <w:right w:w="28" w:type="dxa"/>
            </w:tcMar>
            <w:vAlign w:val="center"/>
          </w:tcPr>
          <w:p w14:paraId="30989AD6">
            <w:pPr>
              <w:adjustRightInd w:val="0"/>
              <w:snapToGrid w:val="0"/>
              <w:jc w:val="center"/>
              <w:rPr>
                <w:rFonts w:hint="eastAsia"/>
                <w:color w:val="auto"/>
                <w:sz w:val="21"/>
                <w:szCs w:val="21"/>
              </w:rPr>
            </w:pPr>
            <w:r>
              <w:rPr>
                <w:rFonts w:hint="eastAsia"/>
                <w:color w:val="auto"/>
                <w:sz w:val="21"/>
                <w:szCs w:val="21"/>
              </w:rPr>
              <w:t>现状无敏感生态问题；相关水域现状排污对水生态环境无影响或影响轻微</w:t>
            </w:r>
          </w:p>
        </w:tc>
        <w:tc>
          <w:tcPr>
            <w:tcW w:w="1069" w:type="pct"/>
            <w:tcBorders>
              <w:right w:val="nil"/>
            </w:tcBorders>
            <w:noWrap w:val="0"/>
            <w:tcMar>
              <w:left w:w="28" w:type="dxa"/>
              <w:right w:w="28" w:type="dxa"/>
            </w:tcMar>
            <w:vAlign w:val="center"/>
          </w:tcPr>
          <w:p w14:paraId="7C2A5C44">
            <w:pPr>
              <w:adjustRightInd w:val="0"/>
              <w:snapToGrid w:val="0"/>
              <w:jc w:val="center"/>
              <w:rPr>
                <w:rFonts w:hint="eastAsia"/>
                <w:color w:val="auto"/>
                <w:sz w:val="21"/>
                <w:szCs w:val="21"/>
              </w:rPr>
            </w:pPr>
            <w:r>
              <w:rPr>
                <w:rFonts w:hint="eastAsia"/>
                <w:color w:val="auto"/>
                <w:sz w:val="21"/>
                <w:szCs w:val="21"/>
              </w:rPr>
              <w:t>现状无敏感生态问题；相关水域现状排污对水生态环境无影响或影响轻微</w:t>
            </w:r>
          </w:p>
        </w:tc>
        <w:tc>
          <w:tcPr>
            <w:tcW w:w="502" w:type="pct"/>
            <w:tcBorders>
              <w:right w:val="nil"/>
            </w:tcBorders>
            <w:noWrap w:val="0"/>
            <w:tcMar>
              <w:left w:w="28" w:type="dxa"/>
              <w:right w:w="28" w:type="dxa"/>
            </w:tcMar>
            <w:vAlign w:val="center"/>
          </w:tcPr>
          <w:p w14:paraId="5357CBBE">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三级</w:t>
            </w:r>
          </w:p>
        </w:tc>
      </w:tr>
      <w:tr w14:paraId="57C1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tcMar>
              <w:left w:w="28" w:type="dxa"/>
              <w:right w:w="28" w:type="dxa"/>
            </w:tcMar>
            <w:vAlign w:val="center"/>
          </w:tcPr>
          <w:p w14:paraId="4C34F588">
            <w:pPr>
              <w:adjustRightInd w:val="0"/>
              <w:snapToGrid w:val="0"/>
              <w:jc w:val="center"/>
              <w:rPr>
                <w:rFonts w:hint="eastAsia"/>
                <w:color w:val="auto"/>
                <w:sz w:val="21"/>
                <w:szCs w:val="21"/>
              </w:rPr>
            </w:pPr>
            <w:r>
              <w:rPr>
                <w:rFonts w:hint="eastAsia"/>
                <w:color w:val="auto"/>
                <w:sz w:val="21"/>
                <w:szCs w:val="21"/>
              </w:rPr>
              <w:t>污染物排放种类</w:t>
            </w:r>
          </w:p>
        </w:tc>
        <w:tc>
          <w:tcPr>
            <w:tcW w:w="1000" w:type="pct"/>
            <w:noWrap w:val="0"/>
            <w:tcMar>
              <w:left w:w="28" w:type="dxa"/>
              <w:right w:w="28" w:type="dxa"/>
            </w:tcMar>
            <w:vAlign w:val="center"/>
          </w:tcPr>
          <w:p w14:paraId="0C3FD8C7">
            <w:pPr>
              <w:adjustRightInd w:val="0"/>
              <w:snapToGrid w:val="0"/>
              <w:jc w:val="center"/>
              <w:rPr>
                <w:rFonts w:hint="eastAsia"/>
                <w:color w:val="auto"/>
                <w:sz w:val="21"/>
                <w:szCs w:val="21"/>
              </w:rPr>
            </w:pPr>
            <w:r>
              <w:rPr>
                <w:rFonts w:hint="eastAsia"/>
                <w:color w:val="auto"/>
                <w:sz w:val="21"/>
                <w:szCs w:val="21"/>
              </w:rPr>
              <w:t>所排放废污水含有毒有机物、重金属、放射性或持久性化学污染物</w:t>
            </w:r>
          </w:p>
        </w:tc>
        <w:tc>
          <w:tcPr>
            <w:tcW w:w="850" w:type="pct"/>
            <w:noWrap w:val="0"/>
            <w:tcMar>
              <w:left w:w="28" w:type="dxa"/>
              <w:right w:w="28" w:type="dxa"/>
            </w:tcMar>
            <w:vAlign w:val="center"/>
          </w:tcPr>
          <w:p w14:paraId="0064BF9E">
            <w:pPr>
              <w:adjustRightInd w:val="0"/>
              <w:snapToGrid w:val="0"/>
              <w:jc w:val="center"/>
              <w:rPr>
                <w:rFonts w:hint="eastAsia"/>
                <w:color w:val="auto"/>
                <w:sz w:val="21"/>
                <w:szCs w:val="21"/>
              </w:rPr>
            </w:pPr>
            <w:r>
              <w:rPr>
                <w:rFonts w:hint="eastAsia"/>
                <w:color w:val="auto"/>
                <w:sz w:val="21"/>
                <w:szCs w:val="21"/>
              </w:rPr>
              <w:t>所排放废污水含有多种可降解化学污染物</w:t>
            </w:r>
          </w:p>
        </w:tc>
        <w:tc>
          <w:tcPr>
            <w:tcW w:w="995" w:type="pct"/>
            <w:tcBorders>
              <w:right w:val="nil"/>
            </w:tcBorders>
            <w:noWrap w:val="0"/>
            <w:tcMar>
              <w:left w:w="28" w:type="dxa"/>
              <w:right w:w="28" w:type="dxa"/>
            </w:tcMar>
            <w:vAlign w:val="center"/>
          </w:tcPr>
          <w:p w14:paraId="1EE4D96F">
            <w:pPr>
              <w:adjustRightInd w:val="0"/>
              <w:snapToGrid w:val="0"/>
              <w:jc w:val="center"/>
              <w:rPr>
                <w:rFonts w:hint="eastAsia"/>
                <w:color w:val="auto"/>
                <w:sz w:val="21"/>
                <w:szCs w:val="21"/>
              </w:rPr>
            </w:pPr>
            <w:r>
              <w:rPr>
                <w:rFonts w:hint="eastAsia"/>
                <w:color w:val="auto"/>
                <w:sz w:val="21"/>
                <w:szCs w:val="21"/>
              </w:rPr>
              <w:t>所排放废污水含有少量可降解的污染物</w:t>
            </w:r>
          </w:p>
        </w:tc>
        <w:tc>
          <w:tcPr>
            <w:tcW w:w="1069" w:type="pct"/>
            <w:tcBorders>
              <w:right w:val="nil"/>
            </w:tcBorders>
            <w:noWrap w:val="0"/>
            <w:tcMar>
              <w:left w:w="28" w:type="dxa"/>
              <w:right w:w="28" w:type="dxa"/>
            </w:tcMar>
            <w:vAlign w:val="center"/>
          </w:tcPr>
          <w:p w14:paraId="4AC24FDF">
            <w:pPr>
              <w:adjustRightInd w:val="0"/>
              <w:snapToGrid w:val="0"/>
              <w:jc w:val="center"/>
              <w:rPr>
                <w:rFonts w:hint="eastAsia"/>
                <w:color w:val="auto"/>
                <w:sz w:val="21"/>
                <w:szCs w:val="21"/>
              </w:rPr>
            </w:pPr>
            <w:r>
              <w:rPr>
                <w:rFonts w:hint="eastAsia"/>
                <w:color w:val="auto"/>
                <w:sz w:val="21"/>
                <w:szCs w:val="21"/>
                <w:lang w:val="en-US" w:eastAsia="zh-CN"/>
              </w:rPr>
              <w:t>项目</w:t>
            </w:r>
            <w:r>
              <w:rPr>
                <w:rFonts w:hint="eastAsia"/>
                <w:color w:val="auto"/>
                <w:sz w:val="21"/>
                <w:szCs w:val="21"/>
              </w:rPr>
              <w:t>所排放废污水含有少量可降解的污染物</w:t>
            </w:r>
          </w:p>
        </w:tc>
        <w:tc>
          <w:tcPr>
            <w:tcW w:w="502" w:type="pct"/>
            <w:tcBorders>
              <w:right w:val="nil"/>
            </w:tcBorders>
            <w:noWrap w:val="0"/>
            <w:tcMar>
              <w:left w:w="28" w:type="dxa"/>
              <w:right w:w="28" w:type="dxa"/>
            </w:tcMar>
            <w:vAlign w:val="center"/>
          </w:tcPr>
          <w:p w14:paraId="07AB817C">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三级</w:t>
            </w:r>
          </w:p>
        </w:tc>
      </w:tr>
      <w:tr w14:paraId="1442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tcMar>
              <w:left w:w="28" w:type="dxa"/>
              <w:right w:w="28" w:type="dxa"/>
            </w:tcMar>
            <w:vAlign w:val="center"/>
          </w:tcPr>
          <w:p w14:paraId="39263345">
            <w:pPr>
              <w:adjustRightInd w:val="0"/>
              <w:snapToGrid w:val="0"/>
              <w:jc w:val="center"/>
              <w:rPr>
                <w:rFonts w:hint="eastAsia"/>
                <w:color w:val="auto"/>
                <w:sz w:val="21"/>
                <w:szCs w:val="21"/>
              </w:rPr>
            </w:pPr>
            <w:r>
              <w:rPr>
                <w:rFonts w:hint="eastAsia"/>
                <w:color w:val="auto"/>
                <w:sz w:val="21"/>
                <w:szCs w:val="21"/>
              </w:rPr>
              <w:t>废污水排放流量（缺水地区）（m</w:t>
            </w:r>
            <w:r>
              <w:rPr>
                <w:rFonts w:hint="eastAsia"/>
                <w:color w:val="auto"/>
                <w:sz w:val="21"/>
                <w:szCs w:val="21"/>
                <w:vertAlign w:val="superscript"/>
              </w:rPr>
              <w:t>3</w:t>
            </w:r>
            <w:r>
              <w:rPr>
                <w:rFonts w:hint="eastAsia"/>
                <w:color w:val="auto"/>
                <w:sz w:val="21"/>
                <w:szCs w:val="21"/>
              </w:rPr>
              <w:t>/h）</w:t>
            </w:r>
          </w:p>
        </w:tc>
        <w:tc>
          <w:tcPr>
            <w:tcW w:w="1000" w:type="pct"/>
            <w:noWrap w:val="0"/>
            <w:tcMar>
              <w:left w:w="28" w:type="dxa"/>
              <w:right w:w="28" w:type="dxa"/>
            </w:tcMar>
            <w:vAlign w:val="center"/>
          </w:tcPr>
          <w:p w14:paraId="4D42BDAB">
            <w:pPr>
              <w:adjustRightInd w:val="0"/>
              <w:snapToGrid w:val="0"/>
              <w:jc w:val="center"/>
              <w:rPr>
                <w:rFonts w:hint="eastAsia"/>
                <w:color w:val="auto"/>
                <w:sz w:val="21"/>
                <w:szCs w:val="21"/>
              </w:rPr>
            </w:pPr>
            <w:r>
              <w:rPr>
                <w:rFonts w:hint="eastAsia"/>
                <w:color w:val="auto"/>
                <w:sz w:val="21"/>
                <w:szCs w:val="21"/>
              </w:rPr>
              <w:t>≥1000（300）</w:t>
            </w:r>
          </w:p>
        </w:tc>
        <w:tc>
          <w:tcPr>
            <w:tcW w:w="850" w:type="pct"/>
            <w:noWrap w:val="0"/>
            <w:tcMar>
              <w:left w:w="28" w:type="dxa"/>
              <w:right w:w="28" w:type="dxa"/>
            </w:tcMar>
            <w:vAlign w:val="center"/>
          </w:tcPr>
          <w:p w14:paraId="2DC70AD5">
            <w:pPr>
              <w:adjustRightInd w:val="0"/>
              <w:snapToGrid w:val="0"/>
              <w:jc w:val="center"/>
              <w:rPr>
                <w:rFonts w:hint="eastAsia"/>
                <w:color w:val="auto"/>
                <w:sz w:val="21"/>
                <w:szCs w:val="21"/>
              </w:rPr>
            </w:pPr>
            <w:r>
              <w:rPr>
                <w:rFonts w:hint="eastAsia"/>
                <w:color w:val="auto"/>
                <w:sz w:val="21"/>
                <w:szCs w:val="21"/>
              </w:rPr>
              <w:t>1000～500（300～100）</w:t>
            </w:r>
          </w:p>
        </w:tc>
        <w:tc>
          <w:tcPr>
            <w:tcW w:w="995" w:type="pct"/>
            <w:tcBorders>
              <w:right w:val="nil"/>
            </w:tcBorders>
            <w:noWrap w:val="0"/>
            <w:tcMar>
              <w:left w:w="28" w:type="dxa"/>
              <w:right w:w="28" w:type="dxa"/>
            </w:tcMar>
            <w:vAlign w:val="center"/>
          </w:tcPr>
          <w:p w14:paraId="2D1E3568">
            <w:pPr>
              <w:adjustRightInd w:val="0"/>
              <w:snapToGrid w:val="0"/>
              <w:jc w:val="center"/>
              <w:rPr>
                <w:rFonts w:hint="eastAsia"/>
                <w:color w:val="auto"/>
                <w:sz w:val="21"/>
                <w:szCs w:val="21"/>
              </w:rPr>
            </w:pPr>
            <w:r>
              <w:rPr>
                <w:rFonts w:hint="eastAsia"/>
                <w:color w:val="auto"/>
                <w:sz w:val="21"/>
                <w:szCs w:val="21"/>
              </w:rPr>
              <w:t>≤500（100）</w:t>
            </w:r>
          </w:p>
        </w:tc>
        <w:tc>
          <w:tcPr>
            <w:tcW w:w="1069" w:type="pct"/>
            <w:tcBorders>
              <w:right w:val="nil"/>
            </w:tcBorders>
            <w:noWrap w:val="0"/>
            <w:tcMar>
              <w:left w:w="28" w:type="dxa"/>
              <w:right w:w="28" w:type="dxa"/>
            </w:tcMar>
            <w:vAlign w:val="center"/>
          </w:tcPr>
          <w:p w14:paraId="76F1DD6B">
            <w:pPr>
              <w:adjustRightInd w:val="0"/>
              <w:snapToGrid w:val="0"/>
              <w:jc w:val="center"/>
              <w:rPr>
                <w:rFonts w:hint="eastAsia"/>
                <w:color w:val="auto"/>
                <w:sz w:val="21"/>
                <w:szCs w:val="21"/>
              </w:rPr>
            </w:pPr>
            <w:r>
              <w:rPr>
                <w:rFonts w:hint="eastAsia"/>
                <w:color w:val="auto"/>
                <w:sz w:val="21"/>
                <w:szCs w:val="21"/>
              </w:rPr>
              <w:t>≤500（100）</w:t>
            </w:r>
          </w:p>
        </w:tc>
        <w:tc>
          <w:tcPr>
            <w:tcW w:w="502" w:type="pct"/>
            <w:tcBorders>
              <w:right w:val="nil"/>
            </w:tcBorders>
            <w:noWrap w:val="0"/>
            <w:tcMar>
              <w:left w:w="28" w:type="dxa"/>
              <w:right w:w="28" w:type="dxa"/>
            </w:tcMar>
            <w:vAlign w:val="center"/>
          </w:tcPr>
          <w:p w14:paraId="40798A3E">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三级</w:t>
            </w:r>
          </w:p>
        </w:tc>
      </w:tr>
      <w:tr w14:paraId="1B42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tcBorders>
            <w:noWrap w:val="0"/>
            <w:tcMar>
              <w:left w:w="28" w:type="dxa"/>
              <w:right w:w="28" w:type="dxa"/>
            </w:tcMar>
            <w:vAlign w:val="center"/>
          </w:tcPr>
          <w:p w14:paraId="41D16EB0">
            <w:pPr>
              <w:adjustRightInd w:val="0"/>
              <w:snapToGrid w:val="0"/>
              <w:jc w:val="center"/>
              <w:rPr>
                <w:rFonts w:hint="eastAsia"/>
                <w:color w:val="auto"/>
                <w:sz w:val="21"/>
                <w:szCs w:val="21"/>
              </w:rPr>
            </w:pPr>
            <w:r>
              <w:rPr>
                <w:rFonts w:hint="eastAsia"/>
                <w:color w:val="auto"/>
                <w:sz w:val="21"/>
                <w:szCs w:val="21"/>
              </w:rPr>
              <w:t>年度废污水排放量</w:t>
            </w:r>
          </w:p>
        </w:tc>
        <w:tc>
          <w:tcPr>
            <w:tcW w:w="1000" w:type="pct"/>
            <w:noWrap w:val="0"/>
            <w:tcMar>
              <w:left w:w="28" w:type="dxa"/>
              <w:right w:w="28" w:type="dxa"/>
            </w:tcMar>
            <w:vAlign w:val="center"/>
          </w:tcPr>
          <w:p w14:paraId="25712D83">
            <w:pPr>
              <w:adjustRightInd w:val="0"/>
              <w:snapToGrid w:val="0"/>
              <w:jc w:val="center"/>
              <w:rPr>
                <w:rFonts w:hint="eastAsia"/>
                <w:color w:val="auto"/>
                <w:sz w:val="21"/>
                <w:szCs w:val="21"/>
              </w:rPr>
            </w:pPr>
            <w:r>
              <w:rPr>
                <w:rFonts w:hint="eastAsia"/>
                <w:color w:val="auto"/>
                <w:sz w:val="21"/>
                <w:szCs w:val="21"/>
              </w:rPr>
              <w:t>大于200万吨</w:t>
            </w:r>
          </w:p>
        </w:tc>
        <w:tc>
          <w:tcPr>
            <w:tcW w:w="850" w:type="pct"/>
            <w:noWrap w:val="0"/>
            <w:tcMar>
              <w:left w:w="28" w:type="dxa"/>
              <w:right w:w="28" w:type="dxa"/>
            </w:tcMar>
            <w:vAlign w:val="center"/>
          </w:tcPr>
          <w:p w14:paraId="2F0FC75C">
            <w:pPr>
              <w:adjustRightInd w:val="0"/>
              <w:snapToGrid w:val="0"/>
              <w:jc w:val="center"/>
              <w:rPr>
                <w:rFonts w:hint="eastAsia"/>
                <w:color w:val="auto"/>
                <w:sz w:val="21"/>
                <w:szCs w:val="21"/>
              </w:rPr>
            </w:pPr>
            <w:r>
              <w:rPr>
                <w:rFonts w:hint="eastAsia"/>
                <w:color w:val="auto"/>
                <w:sz w:val="21"/>
                <w:szCs w:val="21"/>
              </w:rPr>
              <w:t>20～200万吨</w:t>
            </w:r>
          </w:p>
        </w:tc>
        <w:tc>
          <w:tcPr>
            <w:tcW w:w="995" w:type="pct"/>
            <w:tcBorders>
              <w:right w:val="nil"/>
            </w:tcBorders>
            <w:noWrap w:val="0"/>
            <w:tcMar>
              <w:left w:w="28" w:type="dxa"/>
              <w:right w:w="28" w:type="dxa"/>
            </w:tcMar>
            <w:vAlign w:val="center"/>
          </w:tcPr>
          <w:p w14:paraId="492B3CB2">
            <w:pPr>
              <w:adjustRightInd w:val="0"/>
              <w:snapToGrid w:val="0"/>
              <w:jc w:val="center"/>
              <w:rPr>
                <w:rFonts w:hint="eastAsia"/>
                <w:color w:val="auto"/>
                <w:sz w:val="21"/>
                <w:szCs w:val="21"/>
              </w:rPr>
            </w:pPr>
            <w:r>
              <w:rPr>
                <w:rFonts w:hint="eastAsia"/>
                <w:color w:val="auto"/>
                <w:sz w:val="21"/>
                <w:szCs w:val="21"/>
              </w:rPr>
              <w:t>小于20万吨</w:t>
            </w:r>
          </w:p>
        </w:tc>
        <w:tc>
          <w:tcPr>
            <w:tcW w:w="1069" w:type="pct"/>
            <w:tcBorders>
              <w:right w:val="nil"/>
            </w:tcBorders>
            <w:noWrap w:val="0"/>
            <w:tcMar>
              <w:left w:w="28" w:type="dxa"/>
              <w:right w:w="28" w:type="dxa"/>
            </w:tcMar>
            <w:vAlign w:val="center"/>
          </w:tcPr>
          <w:p w14:paraId="64273238">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20万吨＜43万吨＜200万吨</w:t>
            </w:r>
          </w:p>
        </w:tc>
        <w:tc>
          <w:tcPr>
            <w:tcW w:w="502" w:type="pct"/>
            <w:tcBorders>
              <w:right w:val="nil"/>
            </w:tcBorders>
            <w:noWrap w:val="0"/>
            <w:tcMar>
              <w:left w:w="28" w:type="dxa"/>
              <w:right w:w="28" w:type="dxa"/>
            </w:tcMar>
            <w:vAlign w:val="center"/>
          </w:tcPr>
          <w:p w14:paraId="5D5B09CD">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二级</w:t>
            </w:r>
          </w:p>
        </w:tc>
      </w:tr>
      <w:tr w14:paraId="3022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81" w:type="pct"/>
            <w:tcBorders>
              <w:left w:val="nil"/>
              <w:bottom w:val="single" w:color="auto" w:sz="12" w:space="0"/>
            </w:tcBorders>
            <w:noWrap w:val="0"/>
            <w:vAlign w:val="center"/>
          </w:tcPr>
          <w:p w14:paraId="3B83F47D">
            <w:pPr>
              <w:adjustRightInd w:val="0"/>
              <w:snapToGrid w:val="0"/>
              <w:jc w:val="center"/>
              <w:rPr>
                <w:rFonts w:hint="eastAsia"/>
                <w:color w:val="auto"/>
                <w:sz w:val="21"/>
                <w:szCs w:val="21"/>
              </w:rPr>
            </w:pPr>
            <w:r>
              <w:rPr>
                <w:rFonts w:hint="eastAsia"/>
                <w:color w:val="auto"/>
                <w:sz w:val="21"/>
                <w:szCs w:val="21"/>
              </w:rPr>
              <w:t>区域水资源状况</w:t>
            </w:r>
          </w:p>
        </w:tc>
        <w:tc>
          <w:tcPr>
            <w:tcW w:w="1000" w:type="pct"/>
            <w:tcBorders>
              <w:bottom w:val="single" w:color="auto" w:sz="12" w:space="0"/>
            </w:tcBorders>
            <w:noWrap w:val="0"/>
            <w:tcMar>
              <w:left w:w="28" w:type="dxa"/>
              <w:right w:w="28" w:type="dxa"/>
            </w:tcMar>
            <w:vAlign w:val="center"/>
          </w:tcPr>
          <w:p w14:paraId="580A03CA">
            <w:pPr>
              <w:adjustRightInd w:val="0"/>
              <w:snapToGrid w:val="0"/>
              <w:jc w:val="center"/>
              <w:rPr>
                <w:rFonts w:hint="eastAsia"/>
                <w:color w:val="auto"/>
                <w:sz w:val="21"/>
                <w:szCs w:val="21"/>
              </w:rPr>
            </w:pPr>
            <w:r>
              <w:rPr>
                <w:rFonts w:hint="eastAsia"/>
                <w:color w:val="auto"/>
                <w:sz w:val="21"/>
                <w:szCs w:val="21"/>
              </w:rPr>
              <w:t>用水紧缺，取用水量达到或超出所分配用水指标</w:t>
            </w:r>
          </w:p>
        </w:tc>
        <w:tc>
          <w:tcPr>
            <w:tcW w:w="850" w:type="pct"/>
            <w:tcBorders>
              <w:bottom w:val="single" w:color="auto" w:sz="12" w:space="0"/>
            </w:tcBorders>
            <w:noWrap w:val="0"/>
            <w:tcMar>
              <w:left w:w="28" w:type="dxa"/>
              <w:right w:w="28" w:type="dxa"/>
            </w:tcMar>
            <w:vAlign w:val="center"/>
          </w:tcPr>
          <w:p w14:paraId="3C43C38F">
            <w:pPr>
              <w:adjustRightInd w:val="0"/>
              <w:snapToGrid w:val="0"/>
              <w:jc w:val="center"/>
              <w:rPr>
                <w:rFonts w:hint="eastAsia"/>
                <w:color w:val="auto"/>
                <w:sz w:val="21"/>
                <w:szCs w:val="21"/>
              </w:rPr>
            </w:pPr>
            <w:r>
              <w:rPr>
                <w:rFonts w:hint="eastAsia"/>
                <w:color w:val="auto"/>
                <w:sz w:val="21"/>
                <w:szCs w:val="21"/>
              </w:rPr>
              <w:t>水资源量一般，取用水量小于或接近所分配用水指标</w:t>
            </w:r>
          </w:p>
        </w:tc>
        <w:tc>
          <w:tcPr>
            <w:tcW w:w="995" w:type="pct"/>
            <w:tcBorders>
              <w:bottom w:val="single" w:color="auto" w:sz="12" w:space="0"/>
              <w:right w:val="nil"/>
            </w:tcBorders>
            <w:noWrap w:val="0"/>
            <w:tcMar>
              <w:left w:w="28" w:type="dxa"/>
              <w:right w:w="28" w:type="dxa"/>
            </w:tcMar>
            <w:vAlign w:val="center"/>
          </w:tcPr>
          <w:p w14:paraId="1A806DDA">
            <w:pPr>
              <w:adjustRightInd w:val="0"/>
              <w:snapToGrid w:val="0"/>
              <w:jc w:val="center"/>
              <w:rPr>
                <w:rFonts w:hint="eastAsia"/>
                <w:color w:val="auto"/>
                <w:sz w:val="21"/>
                <w:szCs w:val="21"/>
              </w:rPr>
            </w:pPr>
            <w:r>
              <w:rPr>
                <w:rFonts w:hint="eastAsia"/>
                <w:color w:val="auto"/>
                <w:sz w:val="21"/>
                <w:szCs w:val="21"/>
              </w:rPr>
              <w:t>水资源丰沛，取用水量远小于所分配用水指标</w:t>
            </w:r>
          </w:p>
        </w:tc>
        <w:tc>
          <w:tcPr>
            <w:tcW w:w="1069" w:type="pct"/>
            <w:tcBorders>
              <w:bottom w:val="single" w:color="auto" w:sz="12" w:space="0"/>
              <w:right w:val="nil"/>
            </w:tcBorders>
            <w:noWrap w:val="0"/>
            <w:tcMar>
              <w:left w:w="28" w:type="dxa"/>
              <w:right w:w="28" w:type="dxa"/>
            </w:tcMar>
            <w:vAlign w:val="center"/>
          </w:tcPr>
          <w:p w14:paraId="2668D346">
            <w:pPr>
              <w:adjustRightInd w:val="0"/>
              <w:snapToGrid w:val="0"/>
              <w:jc w:val="center"/>
              <w:rPr>
                <w:rFonts w:hint="eastAsia"/>
                <w:color w:val="auto"/>
                <w:sz w:val="21"/>
                <w:szCs w:val="21"/>
              </w:rPr>
            </w:pPr>
            <w:r>
              <w:rPr>
                <w:rFonts w:hint="eastAsia"/>
                <w:color w:val="auto"/>
                <w:sz w:val="21"/>
                <w:szCs w:val="21"/>
              </w:rPr>
              <w:t>水资源量一般，取用水量小于或接近所分配用水指标</w:t>
            </w:r>
          </w:p>
        </w:tc>
        <w:tc>
          <w:tcPr>
            <w:tcW w:w="502" w:type="pct"/>
            <w:tcBorders>
              <w:bottom w:val="single" w:color="auto" w:sz="12" w:space="0"/>
              <w:right w:val="nil"/>
            </w:tcBorders>
            <w:noWrap w:val="0"/>
            <w:tcMar>
              <w:left w:w="28" w:type="dxa"/>
              <w:right w:w="28" w:type="dxa"/>
            </w:tcMar>
            <w:vAlign w:val="center"/>
          </w:tcPr>
          <w:p w14:paraId="2F2691D1">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二级</w:t>
            </w:r>
          </w:p>
        </w:tc>
      </w:tr>
    </w:tbl>
    <w:p w14:paraId="6085BEAF">
      <w:pPr>
        <w:pStyle w:val="46"/>
        <w:ind w:firstLine="560"/>
        <w:rPr>
          <w:rFonts w:hint="default" w:eastAsia="宋体"/>
          <w:lang w:val="en-US" w:eastAsia="zh-CN"/>
        </w:rPr>
      </w:pPr>
      <w:r>
        <w:rPr>
          <w:rFonts w:hint="eastAsia" w:eastAsia="宋体"/>
          <w:color w:val="auto"/>
          <w:sz w:val="24"/>
          <w:lang w:val="en-US" w:eastAsia="zh-CN"/>
        </w:rPr>
        <w:t>综上所述，本次</w:t>
      </w:r>
      <w:r>
        <w:rPr>
          <w:rFonts w:hint="eastAsia" w:eastAsia="宋体"/>
          <w:color w:val="auto"/>
          <w:sz w:val="24"/>
        </w:rPr>
        <w:t>入河排污口设置论证工作等级</w:t>
      </w:r>
      <w:r>
        <w:rPr>
          <w:rFonts w:hint="eastAsia" w:eastAsia="宋体"/>
          <w:color w:val="auto"/>
          <w:sz w:val="24"/>
          <w:lang w:val="en-US" w:eastAsia="zh-CN"/>
        </w:rPr>
        <w:t>为二级。</w:t>
      </w:r>
    </w:p>
    <w:p w14:paraId="560ED24B">
      <w:pPr>
        <w:pStyle w:val="59"/>
        <w:numPr>
          <w:ilvl w:val="0"/>
          <w:numId w:val="0"/>
        </w:numPr>
        <w:spacing w:before="120" w:after="120"/>
        <w:rPr>
          <w:rFonts w:eastAsia="宋体"/>
          <w:sz w:val="32"/>
        </w:rPr>
      </w:pPr>
      <w:bookmarkStart w:id="10" w:name="_Toc512677579"/>
      <w:bookmarkStart w:id="11" w:name="_Toc22993"/>
      <w:bookmarkStart w:id="12" w:name="_Toc452912324"/>
      <w:r>
        <w:rPr>
          <w:rFonts w:hint="eastAsia" w:eastAsia="宋体"/>
          <w:sz w:val="32"/>
        </w:rPr>
        <w:t>2</w:t>
      </w:r>
      <w:r>
        <w:rPr>
          <w:rFonts w:eastAsia="宋体"/>
          <w:sz w:val="32"/>
        </w:rPr>
        <w:t>项目概况</w:t>
      </w:r>
      <w:bookmarkEnd w:id="10"/>
      <w:bookmarkEnd w:id="11"/>
    </w:p>
    <w:p w14:paraId="67A5D3EA">
      <w:pPr>
        <w:pStyle w:val="57"/>
        <w:numPr>
          <w:ilvl w:val="0"/>
          <w:numId w:val="0"/>
        </w:numPr>
        <w:spacing w:before="120" w:beforeLines="50" w:after="120" w:afterLines="50"/>
        <w:rPr>
          <w:rFonts w:eastAsia="宋体"/>
          <w:sz w:val="30"/>
        </w:rPr>
      </w:pPr>
      <w:bookmarkStart w:id="13" w:name="_Toc512677585"/>
      <w:bookmarkStart w:id="14" w:name="_Toc6356"/>
      <w:bookmarkStart w:id="15" w:name="_Toc512677580"/>
      <w:bookmarkStart w:id="16" w:name="_Toc452912323"/>
      <w:r>
        <w:rPr>
          <w:rFonts w:hint="eastAsia" w:eastAsia="宋体"/>
          <w:sz w:val="30"/>
        </w:rPr>
        <w:t>2</w:t>
      </w:r>
      <w:r>
        <w:rPr>
          <w:rFonts w:eastAsia="宋体"/>
          <w:sz w:val="30"/>
        </w:rPr>
        <w:t>.1</w:t>
      </w:r>
      <w:r>
        <w:rPr>
          <w:rFonts w:hint="eastAsia" w:eastAsia="宋体"/>
          <w:sz w:val="30"/>
          <w:lang w:val="en-US" w:eastAsia="zh-CN"/>
        </w:rPr>
        <w:t>将军山水厂</w:t>
      </w:r>
      <w:r>
        <w:rPr>
          <w:rFonts w:eastAsia="宋体"/>
          <w:sz w:val="30"/>
        </w:rPr>
        <w:t>概况</w:t>
      </w:r>
      <w:bookmarkEnd w:id="13"/>
      <w:bookmarkEnd w:id="14"/>
    </w:p>
    <w:p w14:paraId="1D19C4B6">
      <w:pPr>
        <w:pStyle w:val="46"/>
        <w:ind w:firstLine="480"/>
        <w:rPr>
          <w:rFonts w:hint="eastAsia" w:eastAsia="宋体"/>
          <w:color w:val="auto"/>
          <w:sz w:val="24"/>
          <w:lang w:val="en-US" w:eastAsia="zh-CN"/>
        </w:rPr>
      </w:pPr>
      <w:bookmarkStart w:id="17" w:name="_Toc512677586"/>
      <w:r>
        <w:rPr>
          <w:rFonts w:hint="eastAsia" w:eastAsia="宋体"/>
          <w:color w:val="auto"/>
          <w:sz w:val="24"/>
          <w:lang w:val="en-US" w:eastAsia="zh-CN"/>
        </w:rPr>
        <w:t>2019年5月前将军山水厂处于建设阶段，项目名为西安市西南郊水厂近期工程第一阶段项目。</w:t>
      </w:r>
    </w:p>
    <w:p w14:paraId="1984EF08">
      <w:pPr>
        <w:pStyle w:val="46"/>
        <w:ind w:firstLine="480"/>
        <w:rPr>
          <w:rFonts w:hint="eastAsia" w:eastAsia="宋体"/>
          <w:color w:val="auto"/>
          <w:sz w:val="24"/>
          <w:lang w:val="en-US" w:eastAsia="zh-CN"/>
        </w:rPr>
      </w:pPr>
      <w:r>
        <w:rPr>
          <w:rFonts w:hint="eastAsia" w:eastAsia="宋体"/>
          <w:color w:val="auto"/>
          <w:sz w:val="24"/>
          <w:lang w:val="en-US" w:eastAsia="zh-CN"/>
        </w:rPr>
        <w:t>2019年5月正式成立将军山水厂（陕西中节能水务集团有限公司将军山水厂），水厂归属于陕西中节能水务有限公司（中国节能环保集团与西安水务集团合资）。</w:t>
      </w:r>
    </w:p>
    <w:p w14:paraId="50905DAF">
      <w:pPr>
        <w:pStyle w:val="46"/>
        <w:ind w:firstLine="480"/>
        <w:rPr>
          <w:rFonts w:hint="eastAsia" w:eastAsia="宋体"/>
          <w:color w:val="auto"/>
          <w:sz w:val="24"/>
          <w:lang w:val="en-US" w:eastAsia="zh-CN"/>
        </w:rPr>
      </w:pPr>
      <w:r>
        <w:rPr>
          <w:rFonts w:hint="eastAsia" w:eastAsia="宋体"/>
          <w:color w:val="auto"/>
          <w:sz w:val="24"/>
          <w:lang w:val="en-US" w:eastAsia="zh-CN"/>
        </w:rPr>
        <w:t>2021年3月，中国节能环保集团撤股，全权交由西安水务集团管理。陕西中节能水务有限公司更名为西安排水集团有限公司，将军山水厂变更为西安排水集团有限公司将军山水厂。</w:t>
      </w:r>
    </w:p>
    <w:p w14:paraId="7B3C79FA">
      <w:pPr>
        <w:pStyle w:val="46"/>
        <w:ind w:firstLine="480"/>
        <w:rPr>
          <w:rFonts w:hint="eastAsia" w:eastAsia="宋体"/>
          <w:color w:val="auto"/>
          <w:sz w:val="24"/>
          <w:lang w:val="en-US" w:eastAsia="zh-CN"/>
        </w:rPr>
      </w:pPr>
      <w:r>
        <w:rPr>
          <w:rFonts w:hint="eastAsia" w:eastAsia="宋体"/>
          <w:color w:val="auto"/>
          <w:sz w:val="24"/>
          <w:lang w:val="en-US" w:eastAsia="zh-CN"/>
        </w:rPr>
        <w:t>2021年12月1日，将军山水厂管理权由西安排水集团有限公司移交至西安市自来水有限公司，但仍使用原营业执照。</w:t>
      </w:r>
    </w:p>
    <w:p w14:paraId="6DA36643">
      <w:pPr>
        <w:pStyle w:val="61"/>
        <w:numPr>
          <w:ilvl w:val="0"/>
          <w:numId w:val="0"/>
        </w:numPr>
        <w:spacing w:before="0" w:after="0"/>
        <w:rPr>
          <w:rFonts w:hint="default" w:eastAsia="宋体"/>
          <w:color w:val="auto"/>
          <w:lang w:val="en-US" w:eastAsia="zh-CN"/>
        </w:rPr>
      </w:pPr>
      <w:r>
        <w:rPr>
          <w:rFonts w:hint="eastAsia" w:eastAsia="宋体"/>
          <w:color w:val="auto"/>
        </w:rPr>
        <w:t>2</w:t>
      </w:r>
      <w:r>
        <w:rPr>
          <w:rFonts w:eastAsia="宋体"/>
          <w:color w:val="auto"/>
        </w:rPr>
        <w:t>.1.1项目</w:t>
      </w:r>
      <w:bookmarkEnd w:id="17"/>
      <w:r>
        <w:rPr>
          <w:rFonts w:hint="eastAsia" w:eastAsia="宋体"/>
          <w:color w:val="auto"/>
          <w:lang w:val="en-US" w:eastAsia="zh-CN"/>
        </w:rPr>
        <w:t>原手续</w:t>
      </w:r>
    </w:p>
    <w:p w14:paraId="1AACB6D6">
      <w:pPr>
        <w:pStyle w:val="46"/>
        <w:ind w:firstLine="480"/>
        <w:rPr>
          <w:rFonts w:hint="eastAsia" w:eastAsia="宋体"/>
          <w:color w:val="auto"/>
          <w:sz w:val="24"/>
        </w:rPr>
      </w:pPr>
      <w:r>
        <w:rPr>
          <w:rFonts w:hint="eastAsia" w:eastAsia="宋体"/>
          <w:color w:val="auto"/>
          <w:sz w:val="24"/>
        </w:rPr>
        <w:t>2012年11月9日，西安水务（集团）有限责任公司取得西安市发展和改革委员会《关于西安市西南郊水厂工程可行性研究报告的批复》（市发改审发[2012]645号）；2012年12月，建设单位委托西安市环境保护科学研究院编制了《西安市西南郊水厂近期工程第一阶段环境影响报告书》并取得了西安市环境保护局关于《西安市西南郊水厂近期工程第一阶段环境影响报告书》的批复（市环发[2012]284号）；建设过程中存在生产规模增加、增加废水直接排放口等变动，该变动属于《污染影响类建设项目重大变动清单》（试行）中的重大变动，</w:t>
      </w:r>
      <w:r>
        <w:rPr>
          <w:rFonts w:hint="eastAsia" w:eastAsia="宋体"/>
          <w:color w:val="auto"/>
          <w:sz w:val="24"/>
          <w:lang w:val="en-US" w:eastAsia="zh-CN"/>
        </w:rPr>
        <w:t>因此于2022年3月委托陕西企科环境技术有限公司编制了《西安市西南郊水厂近期工程第一阶段项目（重大变动）环境影响报告表》，并于同年7月取得了该项目的批复（鄠环批复</w:t>
      </w:r>
      <w:r>
        <w:rPr>
          <w:rFonts w:hint="eastAsia" w:ascii="宋体" w:hAnsi="宋体" w:eastAsia="宋体" w:cs="宋体"/>
          <w:color w:val="auto"/>
          <w:sz w:val="24"/>
          <w:lang w:val="en-US" w:eastAsia="zh-CN"/>
        </w:rPr>
        <w:t>〔</w:t>
      </w:r>
      <w:r>
        <w:rPr>
          <w:rFonts w:hint="default" w:ascii="Times New Roman" w:hAnsi="Times New Roman" w:eastAsia="宋体" w:cs="Times New Roman"/>
          <w:color w:val="auto"/>
          <w:sz w:val="24"/>
          <w:lang w:val="en-US" w:eastAsia="zh-CN"/>
        </w:rPr>
        <w:t>2022</w:t>
      </w:r>
      <w:r>
        <w:rPr>
          <w:rFonts w:hint="eastAsia" w:ascii="宋体" w:hAnsi="宋体" w:eastAsia="宋体" w:cs="宋体"/>
          <w:color w:val="auto"/>
          <w:sz w:val="24"/>
          <w:lang w:val="en-US" w:eastAsia="zh-CN"/>
        </w:rPr>
        <w:t>〕</w:t>
      </w:r>
      <w:r>
        <w:rPr>
          <w:rFonts w:hint="default" w:ascii="Times New Roman" w:hAnsi="Times New Roman" w:eastAsia="宋体" w:cs="Times New Roman"/>
          <w:color w:val="auto"/>
          <w:sz w:val="24"/>
          <w:lang w:val="en-US" w:eastAsia="zh-CN"/>
        </w:rPr>
        <w:t>23</w:t>
      </w:r>
      <w:r>
        <w:rPr>
          <w:rFonts w:hint="eastAsia" w:ascii="宋体" w:hAnsi="宋体" w:eastAsia="宋体" w:cs="宋体"/>
          <w:color w:val="auto"/>
          <w:sz w:val="24"/>
          <w:lang w:val="en-US" w:eastAsia="zh-CN"/>
        </w:rPr>
        <w:t>号</w:t>
      </w:r>
      <w:r>
        <w:rPr>
          <w:rFonts w:hint="eastAsia" w:eastAsia="宋体"/>
          <w:color w:val="auto"/>
          <w:sz w:val="24"/>
          <w:lang w:val="en-US" w:eastAsia="zh-CN"/>
        </w:rPr>
        <w:t>）</w:t>
      </w:r>
      <w:r>
        <w:rPr>
          <w:rFonts w:hint="eastAsia" w:eastAsia="宋体"/>
          <w:color w:val="auto"/>
          <w:sz w:val="24"/>
        </w:rPr>
        <w:t>。</w:t>
      </w:r>
    </w:p>
    <w:p w14:paraId="13FF2195">
      <w:pPr>
        <w:pStyle w:val="61"/>
        <w:numPr>
          <w:ilvl w:val="0"/>
          <w:numId w:val="0"/>
        </w:numPr>
        <w:spacing w:before="0" w:after="0"/>
        <w:rPr>
          <w:rFonts w:eastAsia="宋体"/>
          <w:color w:val="auto"/>
        </w:rPr>
      </w:pPr>
      <w:r>
        <w:rPr>
          <w:rFonts w:hint="eastAsia" w:eastAsia="宋体"/>
          <w:color w:val="auto"/>
        </w:rPr>
        <w:t>2</w:t>
      </w:r>
      <w:r>
        <w:rPr>
          <w:rFonts w:eastAsia="宋体"/>
          <w:color w:val="auto"/>
        </w:rPr>
        <w:t>.1.</w:t>
      </w:r>
      <w:r>
        <w:rPr>
          <w:rFonts w:hint="eastAsia" w:eastAsia="宋体"/>
          <w:color w:val="auto"/>
          <w:lang w:val="en-US" w:eastAsia="zh-CN"/>
        </w:rPr>
        <w:t>2</w:t>
      </w:r>
      <w:r>
        <w:rPr>
          <w:rFonts w:eastAsia="宋体"/>
          <w:color w:val="auto"/>
        </w:rPr>
        <w:t>项目基本情况</w:t>
      </w:r>
    </w:p>
    <w:p w14:paraId="347513EF">
      <w:pPr>
        <w:pStyle w:val="46"/>
        <w:ind w:firstLine="480"/>
        <w:rPr>
          <w:rFonts w:hint="default" w:eastAsia="宋体"/>
          <w:color w:val="auto"/>
          <w:sz w:val="24"/>
          <w:lang w:val="en-US" w:eastAsia="zh-CN"/>
        </w:rPr>
      </w:pPr>
      <w:r>
        <w:rPr>
          <w:rFonts w:hint="eastAsia" w:eastAsia="宋体"/>
          <w:b/>
          <w:bCs/>
          <w:color w:val="auto"/>
          <w:sz w:val="24"/>
        </w:rPr>
        <w:t>项目名称：</w:t>
      </w:r>
      <w:r>
        <w:rPr>
          <w:rFonts w:hint="eastAsia" w:eastAsia="宋体"/>
          <w:color w:val="auto"/>
          <w:sz w:val="24"/>
          <w:lang w:val="en-US" w:eastAsia="zh-CN"/>
        </w:rPr>
        <w:t>西安市西南郊水厂近期工程第一阶段项目</w:t>
      </w:r>
    </w:p>
    <w:p w14:paraId="775C74A8">
      <w:pPr>
        <w:pStyle w:val="46"/>
        <w:ind w:firstLine="480"/>
        <w:rPr>
          <w:rFonts w:hint="default" w:eastAsia="宋体"/>
          <w:color w:val="auto"/>
          <w:sz w:val="24"/>
          <w:lang w:val="en-US" w:eastAsia="zh-CN"/>
        </w:rPr>
      </w:pPr>
      <w:r>
        <w:rPr>
          <w:rFonts w:hint="eastAsia" w:eastAsia="宋体"/>
          <w:b/>
          <w:bCs/>
          <w:color w:val="auto"/>
          <w:sz w:val="24"/>
        </w:rPr>
        <w:t>建设单位：</w:t>
      </w:r>
      <w:r>
        <w:rPr>
          <w:rFonts w:hint="eastAsia" w:eastAsia="宋体"/>
          <w:b w:val="0"/>
          <w:bCs w:val="0"/>
          <w:color w:val="auto"/>
          <w:sz w:val="24"/>
        </w:rPr>
        <w:t>西安市自来水有限公司</w:t>
      </w:r>
      <w:r>
        <w:rPr>
          <w:rFonts w:hint="eastAsia" w:eastAsia="宋体"/>
          <w:b w:val="0"/>
          <w:bCs w:val="0"/>
          <w:color w:val="auto"/>
          <w:sz w:val="24"/>
          <w:lang w:eastAsia="zh-CN"/>
        </w:rPr>
        <w:t>（</w:t>
      </w:r>
      <w:r>
        <w:rPr>
          <w:rFonts w:hint="eastAsia" w:eastAsia="宋体"/>
          <w:b w:val="0"/>
          <w:bCs w:val="0"/>
          <w:color w:val="auto"/>
          <w:sz w:val="24"/>
          <w:lang w:val="en-US" w:eastAsia="zh-CN"/>
        </w:rPr>
        <w:t>即</w:t>
      </w:r>
      <w:r>
        <w:rPr>
          <w:rFonts w:hint="eastAsia" w:eastAsia="宋体"/>
          <w:b w:val="0"/>
          <w:bCs w:val="0"/>
          <w:color w:val="auto"/>
          <w:sz w:val="24"/>
        </w:rPr>
        <w:t>西安排水集团有限公司</w:t>
      </w:r>
      <w:r>
        <w:rPr>
          <w:rFonts w:hint="eastAsia" w:eastAsia="宋体"/>
          <w:b w:val="0"/>
          <w:bCs w:val="0"/>
          <w:color w:val="auto"/>
          <w:sz w:val="24"/>
          <w:lang w:val="en-US" w:eastAsia="zh-CN"/>
        </w:rPr>
        <w:t>将军山水厂</w:t>
      </w:r>
      <w:r>
        <w:rPr>
          <w:rFonts w:hint="eastAsia" w:eastAsia="宋体"/>
          <w:b w:val="0"/>
          <w:bCs w:val="0"/>
          <w:color w:val="auto"/>
          <w:sz w:val="24"/>
          <w:lang w:eastAsia="zh-CN"/>
        </w:rPr>
        <w:t>）</w:t>
      </w:r>
    </w:p>
    <w:p w14:paraId="7AE06964">
      <w:pPr>
        <w:pStyle w:val="46"/>
        <w:ind w:firstLine="480"/>
        <w:rPr>
          <w:rFonts w:eastAsia="宋体"/>
          <w:color w:val="auto"/>
          <w:sz w:val="24"/>
        </w:rPr>
      </w:pPr>
      <w:r>
        <w:rPr>
          <w:rFonts w:hint="eastAsia" w:eastAsia="宋体"/>
          <w:b/>
          <w:bCs/>
          <w:color w:val="auto"/>
          <w:sz w:val="24"/>
        </w:rPr>
        <w:t>项目性质：</w:t>
      </w:r>
      <w:r>
        <w:rPr>
          <w:rFonts w:hint="eastAsia" w:eastAsia="宋体"/>
          <w:color w:val="auto"/>
          <w:sz w:val="24"/>
        </w:rPr>
        <w:t>新建</w:t>
      </w:r>
    </w:p>
    <w:p w14:paraId="29EAD548">
      <w:pPr>
        <w:pStyle w:val="46"/>
        <w:ind w:firstLine="480"/>
        <w:rPr>
          <w:rFonts w:eastAsia="宋体"/>
          <w:color w:val="auto"/>
          <w:sz w:val="24"/>
        </w:rPr>
      </w:pPr>
      <w:r>
        <w:rPr>
          <w:rFonts w:hint="eastAsia" w:eastAsia="宋体"/>
          <w:b/>
          <w:bCs/>
          <w:color w:val="auto"/>
          <w:sz w:val="24"/>
        </w:rPr>
        <w:t>建设地点：</w:t>
      </w:r>
      <w:r>
        <w:rPr>
          <w:rFonts w:hint="eastAsia" w:eastAsia="宋体"/>
          <w:color w:val="auto"/>
          <w:sz w:val="24"/>
        </w:rPr>
        <w:t>陕西省西安市鄠邑区环山公路以北、新河以东、马家河村以南</w:t>
      </w:r>
    </w:p>
    <w:p w14:paraId="1C8A3734">
      <w:pPr>
        <w:pStyle w:val="46"/>
        <w:ind w:firstLine="480"/>
        <w:rPr>
          <w:rFonts w:eastAsia="宋体"/>
          <w:color w:val="auto"/>
          <w:sz w:val="24"/>
        </w:rPr>
      </w:pPr>
      <w:r>
        <w:rPr>
          <w:rFonts w:hint="eastAsia" w:eastAsia="宋体"/>
          <w:b/>
          <w:bCs/>
          <w:color w:val="auto"/>
          <w:sz w:val="24"/>
        </w:rPr>
        <w:t>行业类别：</w:t>
      </w:r>
      <w:r>
        <w:rPr>
          <w:rFonts w:hint="eastAsia" w:eastAsia="宋体"/>
          <w:color w:val="auto"/>
          <w:sz w:val="24"/>
        </w:rPr>
        <w:t>D4610 自来水生产和供应</w:t>
      </w:r>
    </w:p>
    <w:p w14:paraId="6B1DE078">
      <w:pPr>
        <w:pStyle w:val="46"/>
        <w:ind w:firstLine="480"/>
        <w:rPr>
          <w:rFonts w:hint="eastAsia" w:ascii="Times New Roman" w:hAnsi="Times New Roman" w:eastAsia="宋体" w:cs="Times New Roman"/>
          <w:color w:val="auto"/>
          <w:sz w:val="24"/>
        </w:rPr>
      </w:pPr>
      <w:r>
        <w:rPr>
          <w:rFonts w:hint="eastAsia" w:eastAsia="宋体"/>
          <w:b/>
          <w:bCs/>
          <w:color w:val="auto"/>
          <w:sz w:val="24"/>
        </w:rPr>
        <w:t>投资总额</w:t>
      </w:r>
      <w:r>
        <w:rPr>
          <w:rFonts w:hint="eastAsia" w:ascii="Times New Roman" w:hAnsi="Times New Roman" w:eastAsia="宋体" w:cs="Times New Roman"/>
          <w:b/>
          <w:bCs/>
          <w:color w:val="auto"/>
          <w:sz w:val="24"/>
        </w:rPr>
        <w:t>：</w:t>
      </w:r>
      <w:r>
        <w:rPr>
          <w:rFonts w:hint="eastAsia" w:ascii="Times New Roman" w:hAnsi="Times New Roman" w:eastAsia="宋体" w:cs="Times New Roman"/>
          <w:color w:val="auto"/>
          <w:sz w:val="24"/>
        </w:rPr>
        <w:t>近期工程总投资132537.66万元</w:t>
      </w:r>
    </w:p>
    <w:p w14:paraId="74EDBFF1">
      <w:pPr>
        <w:pStyle w:val="46"/>
        <w:ind w:firstLine="480"/>
        <w:rPr>
          <w:rFonts w:hint="eastAsia" w:ascii="Times New Roman" w:hAnsi="Times New Roman" w:eastAsia="宋体" w:cs="Times New Roman"/>
          <w:color w:val="auto"/>
          <w:sz w:val="24"/>
        </w:rPr>
      </w:pPr>
      <w:r>
        <w:rPr>
          <w:rFonts w:hint="eastAsia" w:ascii="Times New Roman" w:hAnsi="Times New Roman" w:eastAsia="宋体" w:cs="Times New Roman"/>
          <w:b/>
          <w:bCs/>
          <w:color w:val="auto"/>
          <w:sz w:val="24"/>
        </w:rPr>
        <w:t>占地面积：</w:t>
      </w:r>
      <w:r>
        <w:rPr>
          <w:rFonts w:hint="eastAsia" w:ascii="Times New Roman" w:hAnsi="Times New Roman" w:eastAsia="宋体" w:cs="Times New Roman"/>
          <w:color w:val="auto"/>
          <w:sz w:val="24"/>
        </w:rPr>
        <w:t>近期建设用地119784.4</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rPr>
        <w:t>，（总用地面积209986.75</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rPr>
        <w:t>，其中二期（远期）预留地90202.65</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rPr>
        <w:t>）</w:t>
      </w:r>
    </w:p>
    <w:p w14:paraId="7A9503E0">
      <w:pPr>
        <w:pStyle w:val="46"/>
        <w:ind w:firstLine="480"/>
        <w:rPr>
          <w:rFonts w:eastAsia="宋体"/>
          <w:color w:val="auto"/>
          <w:sz w:val="24"/>
        </w:rPr>
      </w:pPr>
      <w:r>
        <w:rPr>
          <w:rFonts w:hint="eastAsia" w:eastAsia="宋体"/>
          <w:b/>
          <w:bCs/>
          <w:color w:val="auto"/>
          <w:sz w:val="24"/>
        </w:rPr>
        <w:t>劳动定员</w:t>
      </w:r>
      <w:r>
        <w:rPr>
          <w:rFonts w:hint="eastAsia" w:eastAsia="宋体"/>
          <w:b/>
          <w:bCs/>
          <w:color w:val="auto"/>
          <w:sz w:val="24"/>
          <w:lang w:val="en-US" w:eastAsia="zh-CN"/>
        </w:rPr>
        <w:t>及工作制度</w:t>
      </w:r>
      <w:r>
        <w:rPr>
          <w:rFonts w:hint="eastAsia" w:eastAsia="宋体"/>
          <w:b/>
          <w:bCs/>
          <w:color w:val="auto"/>
          <w:sz w:val="24"/>
        </w:rPr>
        <w:t>：</w:t>
      </w:r>
      <w:r>
        <w:rPr>
          <w:rFonts w:hint="eastAsia" w:eastAsia="宋体"/>
          <w:color w:val="auto"/>
          <w:sz w:val="24"/>
        </w:rPr>
        <w:t>劳动定员78人，两班制</w:t>
      </w:r>
      <w:r>
        <w:rPr>
          <w:rFonts w:hint="eastAsia" w:eastAsia="宋体"/>
          <w:color w:val="auto"/>
          <w:sz w:val="24"/>
          <w:lang w:eastAsia="zh-CN"/>
        </w:rPr>
        <w:t>（</w:t>
      </w:r>
      <w:r>
        <w:rPr>
          <w:rFonts w:hint="eastAsia" w:eastAsia="宋体"/>
          <w:color w:val="auto"/>
          <w:sz w:val="24"/>
        </w:rPr>
        <w:t>白班9h</w:t>
      </w:r>
      <w:r>
        <w:rPr>
          <w:rFonts w:hint="eastAsia" w:eastAsia="宋体"/>
          <w:color w:val="auto"/>
          <w:sz w:val="24"/>
          <w:lang w:eastAsia="zh-CN"/>
        </w:rPr>
        <w:t>；</w:t>
      </w:r>
      <w:r>
        <w:rPr>
          <w:rFonts w:hint="eastAsia" w:eastAsia="宋体"/>
          <w:color w:val="auto"/>
          <w:sz w:val="24"/>
        </w:rPr>
        <w:t>夜班15h</w:t>
      </w:r>
      <w:r>
        <w:rPr>
          <w:rFonts w:hint="eastAsia" w:eastAsia="宋体"/>
          <w:color w:val="auto"/>
          <w:sz w:val="24"/>
          <w:lang w:eastAsia="zh-CN"/>
        </w:rPr>
        <w:t>）</w:t>
      </w:r>
      <w:r>
        <w:rPr>
          <w:rFonts w:hint="eastAsia" w:eastAsia="宋体"/>
          <w:color w:val="auto"/>
          <w:sz w:val="24"/>
        </w:rPr>
        <w:t>，年工作365天</w:t>
      </w:r>
    </w:p>
    <w:p w14:paraId="4EA148F6">
      <w:pPr>
        <w:pStyle w:val="61"/>
        <w:numPr>
          <w:ilvl w:val="0"/>
          <w:numId w:val="0"/>
        </w:numPr>
        <w:spacing w:before="0" w:after="0"/>
        <w:rPr>
          <w:rFonts w:hint="eastAsia" w:eastAsia="宋体"/>
          <w:color w:val="auto"/>
          <w:lang w:eastAsia="zh-CN"/>
        </w:rPr>
      </w:pPr>
      <w:bookmarkStart w:id="18" w:name="_Toc512677587"/>
      <w:r>
        <w:rPr>
          <w:rFonts w:hint="eastAsia" w:eastAsia="宋体"/>
          <w:color w:val="auto"/>
        </w:rPr>
        <w:t>2</w:t>
      </w:r>
      <w:r>
        <w:rPr>
          <w:rFonts w:eastAsia="宋体"/>
          <w:color w:val="auto"/>
        </w:rPr>
        <w:t>.1.2项目建设内容</w:t>
      </w:r>
      <w:bookmarkEnd w:id="18"/>
    </w:p>
    <w:p w14:paraId="3C84D2B6">
      <w:pPr>
        <w:pStyle w:val="69"/>
        <w:rPr>
          <w:color w:val="auto"/>
        </w:rPr>
      </w:pPr>
      <w:r>
        <w:rPr>
          <w:rFonts w:hint="eastAsia"/>
          <w:color w:val="auto"/>
        </w:rPr>
        <w:t>2</w:t>
      </w:r>
      <w:r>
        <w:rPr>
          <w:color w:val="auto"/>
        </w:rPr>
        <w:t>.1.2.1</w:t>
      </w:r>
      <w:r>
        <w:rPr>
          <w:rFonts w:hint="eastAsia"/>
          <w:color w:val="auto"/>
        </w:rPr>
        <w:t>建设</w:t>
      </w:r>
      <w:r>
        <w:rPr>
          <w:color w:val="auto"/>
        </w:rPr>
        <w:t>规模</w:t>
      </w:r>
    </w:p>
    <w:p w14:paraId="1124274E">
      <w:pPr>
        <w:pStyle w:val="46"/>
        <w:ind w:firstLine="480"/>
        <w:rPr>
          <w:rFonts w:hint="eastAsia" w:eastAsia="宋体"/>
          <w:color w:val="auto"/>
          <w:sz w:val="24"/>
        </w:rPr>
      </w:pPr>
      <w:r>
        <w:rPr>
          <w:rFonts w:hint="eastAsia" w:eastAsia="宋体"/>
          <w:color w:val="auto"/>
          <w:sz w:val="24"/>
        </w:rPr>
        <w:t>西安市西南郊水厂近期工程第一阶段项目包括净水厂、取水管线和配水管网。其中净水厂近期设计规模40万m</w:t>
      </w:r>
      <w:r>
        <w:rPr>
          <w:rFonts w:hint="eastAsia" w:eastAsia="宋体"/>
          <w:color w:val="auto"/>
          <w:sz w:val="24"/>
          <w:vertAlign w:val="superscript"/>
        </w:rPr>
        <w:t>3</w:t>
      </w:r>
      <w:r>
        <w:rPr>
          <w:rFonts w:hint="eastAsia" w:eastAsia="宋体"/>
          <w:color w:val="auto"/>
          <w:sz w:val="24"/>
        </w:rPr>
        <w:t>/d，二期（远期）设计规模为60万m</w:t>
      </w:r>
      <w:r>
        <w:rPr>
          <w:rFonts w:hint="eastAsia" w:eastAsia="宋体"/>
          <w:color w:val="auto"/>
          <w:sz w:val="24"/>
          <w:vertAlign w:val="superscript"/>
        </w:rPr>
        <w:t>3</w:t>
      </w:r>
      <w:r>
        <w:rPr>
          <w:rFonts w:hint="eastAsia" w:eastAsia="宋体"/>
          <w:color w:val="auto"/>
          <w:sz w:val="24"/>
        </w:rPr>
        <w:t>/d，本次</w:t>
      </w:r>
      <w:r>
        <w:rPr>
          <w:rFonts w:hint="eastAsia" w:eastAsia="宋体"/>
          <w:color w:val="auto"/>
          <w:sz w:val="24"/>
          <w:lang w:val="en-US" w:eastAsia="zh-CN"/>
        </w:rPr>
        <w:t>范围</w:t>
      </w:r>
      <w:r>
        <w:rPr>
          <w:rFonts w:hint="eastAsia" w:eastAsia="宋体"/>
          <w:color w:val="auto"/>
          <w:sz w:val="24"/>
        </w:rPr>
        <w:t>仅包括近期供水规模，二期规模</w:t>
      </w:r>
      <w:r>
        <w:rPr>
          <w:rFonts w:hint="eastAsia" w:eastAsia="宋体"/>
          <w:color w:val="auto"/>
          <w:sz w:val="24"/>
          <w:lang w:val="en-US" w:eastAsia="zh-CN"/>
        </w:rPr>
        <w:t>待定</w:t>
      </w:r>
      <w:r>
        <w:rPr>
          <w:rFonts w:hint="eastAsia" w:eastAsia="宋体"/>
          <w:color w:val="auto"/>
          <w:sz w:val="24"/>
        </w:rPr>
        <w:t>。</w:t>
      </w:r>
    </w:p>
    <w:p w14:paraId="51FF148E">
      <w:pPr>
        <w:pStyle w:val="69"/>
        <w:rPr>
          <w:color w:val="auto"/>
        </w:rPr>
      </w:pPr>
      <w:r>
        <w:rPr>
          <w:rFonts w:hint="eastAsia"/>
          <w:color w:val="auto"/>
        </w:rPr>
        <w:t>2</w:t>
      </w:r>
      <w:r>
        <w:rPr>
          <w:color w:val="auto"/>
        </w:rPr>
        <w:t>.1.2.2</w:t>
      </w:r>
      <w:r>
        <w:rPr>
          <w:rFonts w:hint="eastAsia"/>
          <w:color w:val="auto"/>
        </w:rPr>
        <w:t>服务范围</w:t>
      </w:r>
    </w:p>
    <w:p w14:paraId="32E306C7">
      <w:pPr>
        <w:pStyle w:val="46"/>
        <w:ind w:firstLine="480"/>
        <w:rPr>
          <w:rFonts w:eastAsia="宋体"/>
          <w:color w:val="auto"/>
          <w:sz w:val="24"/>
        </w:rPr>
      </w:pPr>
      <w:r>
        <w:rPr>
          <w:rFonts w:hint="eastAsia" w:eastAsia="宋体"/>
          <w:color w:val="auto"/>
          <w:sz w:val="24"/>
        </w:rPr>
        <w:t>本项目服务范围包括主要解决三星工业园、长安通讯园、高新区扩区和主城区的用水需求。</w:t>
      </w:r>
    </w:p>
    <w:p w14:paraId="1DF19B31">
      <w:pPr>
        <w:pStyle w:val="69"/>
        <w:rPr>
          <w:color w:val="auto"/>
        </w:rPr>
      </w:pPr>
      <w:r>
        <w:rPr>
          <w:rFonts w:hint="eastAsia"/>
          <w:color w:val="auto"/>
        </w:rPr>
        <w:t>2</w:t>
      </w:r>
      <w:r>
        <w:rPr>
          <w:color w:val="auto"/>
        </w:rPr>
        <w:t>.1.2.3处理工艺流程</w:t>
      </w:r>
    </w:p>
    <w:p w14:paraId="6188DDC8">
      <w:pPr>
        <w:pStyle w:val="46"/>
        <w:ind w:firstLine="480"/>
        <w:rPr>
          <w:rFonts w:hint="eastAsia" w:eastAsia="宋体"/>
          <w:color w:val="auto"/>
          <w:sz w:val="24"/>
          <w:lang w:val="en-US" w:eastAsia="zh-CN"/>
        </w:rPr>
      </w:pPr>
      <w:r>
        <w:rPr>
          <w:rFonts w:hint="eastAsia" w:eastAsia="宋体"/>
          <w:b/>
          <w:bCs/>
          <w:color w:val="auto"/>
          <w:sz w:val="24"/>
        </w:rPr>
        <w:t>净水生产</w:t>
      </w:r>
      <w:r>
        <w:rPr>
          <w:rFonts w:hint="eastAsia" w:eastAsia="宋体"/>
          <w:b/>
          <w:bCs/>
          <w:color w:val="auto"/>
          <w:sz w:val="24"/>
          <w:lang w:eastAsia="zh-CN"/>
        </w:rPr>
        <w:t>：</w:t>
      </w:r>
      <w:r>
        <w:rPr>
          <w:rFonts w:hint="eastAsia" w:eastAsia="宋体"/>
          <w:color w:val="auto"/>
          <w:sz w:val="24"/>
          <w:lang w:val="en-US" w:eastAsia="zh-CN"/>
        </w:rPr>
        <w:t>采用</w:t>
      </w:r>
      <w:r>
        <w:rPr>
          <w:rFonts w:hint="eastAsia" w:eastAsia="宋体"/>
          <w:color w:val="auto"/>
          <w:sz w:val="24"/>
          <w:lang w:eastAsia="zh-CN"/>
        </w:rPr>
        <w:t>“</w:t>
      </w:r>
      <w:r>
        <w:rPr>
          <w:rFonts w:hint="eastAsia" w:eastAsia="宋体"/>
          <w:color w:val="auto"/>
          <w:sz w:val="24"/>
        </w:rPr>
        <w:t>预加氯+沉砂+混凝+沉淀及砂滤+次氯酸钠消毒</w:t>
      </w:r>
      <w:r>
        <w:rPr>
          <w:rFonts w:hint="eastAsia" w:eastAsia="宋体"/>
          <w:color w:val="auto"/>
          <w:sz w:val="24"/>
          <w:lang w:eastAsia="zh-CN"/>
        </w:rPr>
        <w:t>”</w:t>
      </w:r>
      <w:r>
        <w:rPr>
          <w:rFonts w:hint="eastAsia" w:eastAsia="宋体"/>
          <w:color w:val="auto"/>
          <w:sz w:val="24"/>
          <w:lang w:val="en-US" w:eastAsia="zh-CN"/>
        </w:rPr>
        <w:t>工艺。</w:t>
      </w:r>
    </w:p>
    <w:p w14:paraId="0DBE9073">
      <w:pPr>
        <w:pStyle w:val="46"/>
        <w:ind w:firstLine="480"/>
        <w:rPr>
          <w:rFonts w:hint="eastAsia" w:eastAsia="宋体"/>
          <w:color w:val="auto"/>
          <w:sz w:val="24"/>
          <w:lang w:val="en-US" w:eastAsia="zh-CN"/>
        </w:rPr>
      </w:pPr>
      <w:r>
        <w:rPr>
          <w:rFonts w:hint="eastAsia" w:eastAsia="宋体"/>
          <w:b/>
          <w:bCs/>
          <w:color w:val="auto"/>
          <w:sz w:val="24"/>
          <w:lang w:val="en-US" w:eastAsia="zh-CN"/>
        </w:rPr>
        <w:t>生活污水：</w:t>
      </w:r>
      <w:r>
        <w:rPr>
          <w:rFonts w:hint="eastAsia" w:eastAsia="宋体"/>
          <w:color w:val="auto"/>
          <w:sz w:val="24"/>
          <w:lang w:val="en-US" w:eastAsia="zh-CN"/>
        </w:rPr>
        <w:t>食堂废水经油水分离器隔油处理后与其它生活污水混合进入化粪池，进入生活污水一体化处理装置处理（</w:t>
      </w:r>
      <w:r>
        <w:rPr>
          <w:rFonts w:hint="eastAsia" w:eastAsia="宋体"/>
          <w:color w:val="auto"/>
          <w:sz w:val="24"/>
        </w:rPr>
        <w:t>A/O+MBR工艺+消毒工艺处理</w:t>
      </w:r>
      <w:r>
        <w:rPr>
          <w:rFonts w:hint="eastAsia" w:eastAsia="宋体"/>
          <w:color w:val="auto"/>
          <w:sz w:val="24"/>
          <w:lang w:val="en-US" w:eastAsia="zh-CN"/>
        </w:rPr>
        <w:t>），处理规模为30m</w:t>
      </w:r>
      <w:r>
        <w:rPr>
          <w:rFonts w:hint="eastAsia" w:eastAsia="宋体"/>
          <w:color w:val="auto"/>
          <w:sz w:val="24"/>
          <w:vertAlign w:val="superscript"/>
          <w:lang w:val="en-US" w:eastAsia="zh-CN"/>
        </w:rPr>
        <w:t>3</w:t>
      </w:r>
      <w:r>
        <w:rPr>
          <w:rFonts w:hint="eastAsia" w:eastAsia="宋体"/>
          <w:color w:val="auto"/>
          <w:sz w:val="24"/>
          <w:lang w:val="en-US" w:eastAsia="zh-CN"/>
        </w:rPr>
        <w:t>/d，达标后由厂区西北角总排放口DW001排放至新河。</w:t>
      </w:r>
    </w:p>
    <w:p w14:paraId="337582A9">
      <w:pPr>
        <w:pStyle w:val="46"/>
        <w:ind w:firstLine="480"/>
        <w:rPr>
          <w:rFonts w:hint="eastAsia" w:eastAsia="宋体"/>
          <w:color w:val="auto"/>
          <w:sz w:val="24"/>
        </w:rPr>
      </w:pPr>
      <w:r>
        <w:rPr>
          <w:rFonts w:hint="eastAsia" w:eastAsia="宋体"/>
          <w:b/>
          <w:bCs/>
          <w:color w:val="auto"/>
          <w:sz w:val="24"/>
          <w:lang w:val="en-US" w:eastAsia="zh-CN"/>
        </w:rPr>
        <w:t>生产废水：</w:t>
      </w:r>
      <w:r>
        <w:rPr>
          <w:rFonts w:hint="eastAsia" w:eastAsia="宋体"/>
          <w:color w:val="auto"/>
          <w:sz w:val="24"/>
        </w:rPr>
        <w:t>主要为污泥的压滤液，离心脱水机进泥含水率约为98%，压滤后的泥饼含水率＜80%，离心脱水机分离效率约为98%，进入生产废水一体化处理装置处理</w:t>
      </w:r>
      <w:r>
        <w:rPr>
          <w:rFonts w:hint="eastAsia" w:eastAsia="宋体"/>
          <w:color w:val="auto"/>
          <w:sz w:val="24"/>
          <w:lang w:eastAsia="zh-CN"/>
        </w:rPr>
        <w:t>（混凝沉淀+曝气生物滤池+消毒工艺处理）</w:t>
      </w:r>
      <w:r>
        <w:rPr>
          <w:rFonts w:hint="eastAsia" w:eastAsia="宋体"/>
          <w:color w:val="auto"/>
          <w:sz w:val="24"/>
        </w:rPr>
        <w:t>，处理规模为1200m³/d，达标后由厂区西北角总排放口DW001排放至新河。</w:t>
      </w:r>
    </w:p>
    <w:p w14:paraId="0E3018F9">
      <w:pPr>
        <w:pStyle w:val="46"/>
        <w:ind w:firstLine="480"/>
        <w:rPr>
          <w:rFonts w:eastAsia="宋体"/>
          <w:color w:val="auto"/>
          <w:sz w:val="24"/>
        </w:rPr>
      </w:pPr>
      <w:r>
        <w:rPr>
          <w:rFonts w:hint="eastAsia" w:eastAsia="宋体"/>
          <w:color w:val="auto"/>
          <w:sz w:val="24"/>
        </w:rPr>
        <w:t>处理后</w:t>
      </w:r>
      <w:r>
        <w:rPr>
          <w:rFonts w:hint="eastAsia" w:eastAsia="宋体"/>
          <w:color w:val="auto"/>
          <w:sz w:val="24"/>
          <w:lang w:val="en-US" w:eastAsia="zh-CN"/>
        </w:rPr>
        <w:t>综合废水</w:t>
      </w:r>
      <w:r>
        <w:rPr>
          <w:rFonts w:hint="eastAsia" w:eastAsia="宋体"/>
          <w:color w:val="auto"/>
          <w:sz w:val="24"/>
        </w:rPr>
        <w:t>达到《陕西省黄河流域污水综合排放标准》（DB61/224-2018）中表2的标准限值（其中悬浮物参照表1中标准）后排入</w:t>
      </w:r>
      <w:r>
        <w:rPr>
          <w:rFonts w:hint="eastAsia" w:eastAsia="宋体"/>
          <w:color w:val="auto"/>
          <w:sz w:val="24"/>
          <w:lang w:val="en-US" w:eastAsia="zh-CN"/>
        </w:rPr>
        <w:t>新</w:t>
      </w:r>
      <w:r>
        <w:rPr>
          <w:rFonts w:hint="eastAsia" w:eastAsia="宋体"/>
          <w:color w:val="auto"/>
          <w:sz w:val="24"/>
        </w:rPr>
        <w:t>河。</w:t>
      </w:r>
      <w:r>
        <w:rPr>
          <w:rFonts w:hint="eastAsia" w:eastAsia="宋体"/>
          <w:color w:val="auto"/>
          <w:sz w:val="24"/>
          <w:lang w:val="en-US" w:eastAsia="zh-CN"/>
        </w:rPr>
        <w:t>净水厂生产工艺流程及产污环节图</w:t>
      </w:r>
      <w:r>
        <w:rPr>
          <w:rFonts w:eastAsia="宋体"/>
          <w:color w:val="auto"/>
          <w:sz w:val="24"/>
        </w:rPr>
        <w:t>见图2.1-3。</w:t>
      </w:r>
    </w:p>
    <w:p w14:paraId="65CB37A1">
      <w:pPr>
        <w:widowControl/>
        <w:adjustRightInd w:val="0"/>
        <w:snapToGrid w:val="0"/>
        <w:jc w:val="center"/>
        <w:rPr>
          <w:color w:val="auto"/>
          <w:sz w:val="21"/>
          <w:szCs w:val="24"/>
        </w:rPr>
      </w:pPr>
      <w:r>
        <w:rPr>
          <w:rFonts w:hint="eastAsia"/>
          <w:color w:val="auto"/>
        </w:rPr>
        <mc:AlternateContent>
          <mc:Choice Requires="wpc">
            <w:drawing>
              <wp:inline distT="0" distB="0" distL="114300" distR="114300">
                <wp:extent cx="5765165" cy="4818380"/>
                <wp:effectExtent l="4445" t="0" r="21590" b="1270"/>
                <wp:docPr id="76" name="画布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a:noFill/>
                        </a:ln>
                      </wpc:whole>
                      <wps:wsp>
                        <wps:cNvPr id="10" name="文本框 10"/>
                        <wps:cNvSpPr txBox="1"/>
                        <wps:spPr>
                          <a:xfrm>
                            <a:off x="0" y="111125"/>
                            <a:ext cx="1776730" cy="498475"/>
                          </a:xfrm>
                          <a:prstGeom prst="rect">
                            <a:avLst/>
                          </a:prstGeom>
                          <a:solidFill>
                            <a:srgbClr val="FFFFFF"/>
                          </a:solidFill>
                          <a:ln w="9525" cap="flat" cmpd="sng">
                            <a:noFill/>
                            <a:prstDash val="solid"/>
                            <a:miter/>
                            <a:headEnd type="none" w="med" len="med"/>
                            <a:tailEnd type="none" w="med" len="med"/>
                          </a:ln>
                        </wps:spPr>
                        <wps:txbx>
                          <w:txbxContent>
                            <w:p w14:paraId="11CEAB86">
                              <w:pPr>
                                <w:jc w:val="center"/>
                                <w:rPr>
                                  <w:rFonts w:hint="eastAsia"/>
                                  <w:sz w:val="21"/>
                                  <w:szCs w:val="21"/>
                                  <w:lang w:val="en-US" w:eastAsia="zh-CN"/>
                                </w:rPr>
                              </w:pPr>
                              <w:r>
                                <w:rPr>
                                  <w:rFonts w:hint="eastAsia"/>
                                  <w:sz w:val="21"/>
                                  <w:szCs w:val="21"/>
                                  <w:lang w:val="en-US" w:eastAsia="zh-CN"/>
                                </w:rPr>
                                <w:t>西南郊引水管网20万m</w:t>
                              </w:r>
                              <w:r>
                                <w:rPr>
                                  <w:rFonts w:hint="eastAsia"/>
                                  <w:sz w:val="21"/>
                                  <w:szCs w:val="21"/>
                                  <w:vertAlign w:val="superscript"/>
                                  <w:lang w:val="en-US" w:eastAsia="zh-CN"/>
                                </w:rPr>
                                <w:t>3</w:t>
                              </w:r>
                              <w:r>
                                <w:rPr>
                                  <w:rFonts w:hint="eastAsia"/>
                                  <w:sz w:val="21"/>
                                  <w:szCs w:val="21"/>
                                  <w:lang w:val="en-US" w:eastAsia="zh-CN"/>
                                </w:rPr>
                                <w:t>/d</w:t>
                              </w:r>
                            </w:p>
                            <w:p w14:paraId="20209687">
                              <w:pPr>
                                <w:jc w:val="center"/>
                                <w:rPr>
                                  <w:rFonts w:hint="eastAsia"/>
                                  <w:sz w:val="21"/>
                                  <w:szCs w:val="21"/>
                                  <w:lang w:val="en-US" w:eastAsia="zh-CN"/>
                                </w:rPr>
                              </w:pPr>
                              <w:r>
                                <w:rPr>
                                  <w:rFonts w:hint="eastAsia"/>
                                  <w:sz w:val="21"/>
                                  <w:szCs w:val="21"/>
                                  <w:lang w:val="en-US" w:eastAsia="zh-CN"/>
                                </w:rPr>
                                <w:t>黑河渠道20万m</w:t>
                              </w:r>
                              <w:r>
                                <w:rPr>
                                  <w:rFonts w:hint="eastAsia"/>
                                  <w:sz w:val="21"/>
                                  <w:szCs w:val="21"/>
                                  <w:vertAlign w:val="superscript"/>
                                  <w:lang w:val="en-US" w:eastAsia="zh-CN"/>
                                </w:rPr>
                                <w:t>3</w:t>
                              </w:r>
                              <w:r>
                                <w:rPr>
                                  <w:rFonts w:hint="eastAsia"/>
                                  <w:sz w:val="21"/>
                                  <w:szCs w:val="21"/>
                                  <w:lang w:val="en-US" w:eastAsia="zh-CN"/>
                                </w:rPr>
                                <w:t>/d</w:t>
                              </w:r>
                            </w:p>
                          </w:txbxContent>
                        </wps:txbx>
                        <wps:bodyPr upright="1"/>
                      </wps:wsp>
                      <wps:wsp>
                        <wps:cNvPr id="11" name="直接连接符 11"/>
                        <wps:cNvCnPr/>
                        <wps:spPr>
                          <a:xfrm flipH="1" flipV="1">
                            <a:off x="3494405" y="1973580"/>
                            <a:ext cx="318770" cy="4445"/>
                          </a:xfrm>
                          <a:prstGeom prst="line">
                            <a:avLst/>
                          </a:prstGeom>
                          <a:ln w="9525" cap="flat" cmpd="sng">
                            <a:solidFill>
                              <a:srgbClr val="000000"/>
                            </a:solidFill>
                            <a:prstDash val="solid"/>
                            <a:headEnd type="none" w="med" len="med"/>
                            <a:tailEnd type="triangle" w="med" len="lg"/>
                          </a:ln>
                        </wps:spPr>
                        <wps:bodyPr upright="1"/>
                      </wps:wsp>
                      <wps:wsp>
                        <wps:cNvPr id="13" name="文本框 13"/>
                        <wps:cNvSpPr txBox="1"/>
                        <wps:spPr>
                          <a:xfrm>
                            <a:off x="118110" y="1019810"/>
                            <a:ext cx="7562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616911">
                              <w:pPr>
                                <w:jc w:val="center"/>
                                <w:rPr>
                                  <w:rFonts w:hint="default" w:eastAsia="宋体"/>
                                  <w:sz w:val="21"/>
                                  <w:szCs w:val="21"/>
                                  <w:lang w:val="en-US" w:eastAsia="zh-CN"/>
                                </w:rPr>
                              </w:pPr>
                              <w:r>
                                <w:rPr>
                                  <w:rFonts w:hint="eastAsia" w:eastAsia="宋体"/>
                                  <w:sz w:val="21"/>
                                  <w:szCs w:val="21"/>
                                  <w:lang w:val="en-US" w:eastAsia="zh-CN"/>
                                </w:rPr>
                                <w:t>总进水井</w:t>
                              </w:r>
                            </w:p>
                          </w:txbxContent>
                        </wps:txbx>
                        <wps:bodyPr upright="1"/>
                      </wps:wsp>
                      <wps:wsp>
                        <wps:cNvPr id="19" name="文本框 19"/>
                        <wps:cNvSpPr txBox="1"/>
                        <wps:spPr>
                          <a:xfrm>
                            <a:off x="5162550" y="2361565"/>
                            <a:ext cx="361315" cy="647065"/>
                          </a:xfrm>
                          <a:prstGeom prst="rect">
                            <a:avLst/>
                          </a:prstGeom>
                          <a:noFill/>
                          <a:ln>
                            <a:noFill/>
                          </a:ln>
                        </wps:spPr>
                        <wps:txbx>
                          <w:txbxContent>
                            <w:p w14:paraId="5C444B58">
                              <w:pPr>
                                <w:jc w:val="center"/>
                                <w:rPr>
                                  <w:rFonts w:hint="default" w:eastAsia="宋体"/>
                                  <w:sz w:val="21"/>
                                  <w:szCs w:val="21"/>
                                  <w:lang w:val="en-US" w:eastAsia="zh-CN"/>
                                </w:rPr>
                              </w:pPr>
                              <w:r>
                                <w:rPr>
                                  <w:rFonts w:hint="eastAsia" w:eastAsia="宋体"/>
                                  <w:sz w:val="21"/>
                                  <w:szCs w:val="21"/>
                                  <w:lang w:val="en-US" w:eastAsia="zh-CN"/>
                                </w:rPr>
                                <w:t>初滤水</w:t>
                              </w:r>
                            </w:p>
                          </w:txbxContent>
                        </wps:txbx>
                        <wps:bodyPr upright="1"/>
                      </wps:wsp>
                      <wps:wsp>
                        <wps:cNvPr id="20" name="直接连接符 20"/>
                        <wps:cNvCnPr/>
                        <wps:spPr>
                          <a:xfrm flipV="1">
                            <a:off x="879475" y="1147445"/>
                            <a:ext cx="571500" cy="0"/>
                          </a:xfrm>
                          <a:prstGeom prst="line">
                            <a:avLst/>
                          </a:prstGeom>
                          <a:ln w="9525" cap="flat" cmpd="sng">
                            <a:solidFill>
                              <a:srgbClr val="000000"/>
                            </a:solidFill>
                            <a:prstDash val="solid"/>
                            <a:headEnd type="none" w="med" len="med"/>
                            <a:tailEnd type="triangle" w="med" len="lg"/>
                          </a:ln>
                        </wps:spPr>
                        <wps:bodyPr upright="1"/>
                      </wps:wsp>
                      <wps:wsp>
                        <wps:cNvPr id="23" name="直接连接符 23"/>
                        <wps:cNvCnPr/>
                        <wps:spPr>
                          <a:xfrm flipV="1">
                            <a:off x="2567305" y="1139825"/>
                            <a:ext cx="571500" cy="0"/>
                          </a:xfrm>
                          <a:prstGeom prst="line">
                            <a:avLst/>
                          </a:prstGeom>
                          <a:ln w="9525" cap="flat" cmpd="sng">
                            <a:solidFill>
                              <a:srgbClr val="000000"/>
                            </a:solidFill>
                            <a:prstDash val="solid"/>
                            <a:headEnd type="none" w="med" len="med"/>
                            <a:tailEnd type="triangle" w="med" len="lg"/>
                          </a:ln>
                        </wps:spPr>
                        <wps:bodyPr upright="1"/>
                      </wps:wsp>
                      <wps:wsp>
                        <wps:cNvPr id="29" name="直接连接符 29"/>
                        <wps:cNvCnPr/>
                        <wps:spPr>
                          <a:xfrm flipH="1">
                            <a:off x="5662295" y="1558290"/>
                            <a:ext cx="12065" cy="1818640"/>
                          </a:xfrm>
                          <a:prstGeom prst="line">
                            <a:avLst/>
                          </a:prstGeom>
                          <a:ln w="9525" cap="flat" cmpd="sng">
                            <a:solidFill>
                              <a:srgbClr val="000000"/>
                            </a:solidFill>
                            <a:prstDash val="solid"/>
                            <a:headEnd type="none" w="med" len="med"/>
                            <a:tailEnd type="triangle" w="med" len="lg"/>
                          </a:ln>
                        </wps:spPr>
                        <wps:bodyPr upright="1"/>
                      </wps:wsp>
                      <wps:wsp>
                        <wps:cNvPr id="34" name="文本框 34"/>
                        <wps:cNvSpPr txBox="1"/>
                        <wps:spPr>
                          <a:xfrm>
                            <a:off x="4723130" y="706120"/>
                            <a:ext cx="1041400" cy="838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769E75">
                              <w:pPr>
                                <w:jc w:val="center"/>
                                <w:rPr>
                                  <w:rFonts w:hint="default"/>
                                  <w:sz w:val="21"/>
                                  <w:szCs w:val="21"/>
                                  <w:lang w:val="en-US" w:eastAsia="zh-CN"/>
                                </w:rPr>
                              </w:pPr>
                              <w:r>
                                <w:rPr>
                                  <w:rFonts w:hint="eastAsia"/>
                                  <w:sz w:val="21"/>
                                  <w:szCs w:val="21"/>
                                  <w:lang w:val="en-US" w:eastAsia="zh-CN"/>
                                </w:rPr>
                                <w:t>机械混合池、折板絮凝池、平流沉淀段+斜管沉淀池</w:t>
                              </w:r>
                            </w:p>
                          </w:txbxContent>
                        </wps:txbx>
                        <wps:bodyPr upright="1"/>
                      </wps:wsp>
                      <wps:wsp>
                        <wps:cNvPr id="35" name="直接连接符 35"/>
                        <wps:cNvCnPr/>
                        <wps:spPr>
                          <a:xfrm rot="7200000" flipV="1">
                            <a:off x="965835" y="895985"/>
                            <a:ext cx="292100" cy="165100"/>
                          </a:xfrm>
                          <a:prstGeom prst="line">
                            <a:avLst/>
                          </a:prstGeom>
                          <a:ln w="9525" cap="flat" cmpd="sng">
                            <a:solidFill>
                              <a:srgbClr val="000000"/>
                            </a:solidFill>
                            <a:prstDash val="dash"/>
                            <a:headEnd type="none" w="med" len="med"/>
                            <a:tailEnd type="triangle" w="med" len="lg"/>
                          </a:ln>
                        </wps:spPr>
                        <wps:bodyPr upright="1"/>
                      </wps:wsp>
                      <wps:wsp>
                        <wps:cNvPr id="40" name="文本框 40"/>
                        <wps:cNvSpPr txBox="1"/>
                        <wps:spPr>
                          <a:xfrm>
                            <a:off x="19050" y="633095"/>
                            <a:ext cx="506730" cy="266700"/>
                          </a:xfrm>
                          <a:prstGeom prst="rect">
                            <a:avLst/>
                          </a:prstGeom>
                          <a:noFill/>
                          <a:ln>
                            <a:noFill/>
                          </a:ln>
                        </wps:spPr>
                        <wps:txbx>
                          <w:txbxContent>
                            <w:p w14:paraId="6D490294">
                              <w:pPr>
                                <w:rPr>
                                  <w:rFonts w:hint="default" w:eastAsia="宋体"/>
                                  <w:sz w:val="21"/>
                                  <w:szCs w:val="21"/>
                                  <w:lang w:val="en-US" w:eastAsia="zh-CN"/>
                                </w:rPr>
                              </w:pPr>
                              <w:r>
                                <w:rPr>
                                  <w:rFonts w:hint="eastAsia" w:eastAsia="宋体"/>
                                  <w:sz w:val="21"/>
                                  <w:szCs w:val="21"/>
                                  <w:lang w:val="en-US" w:eastAsia="zh-CN"/>
                                </w:rPr>
                                <w:t>原水</w:t>
                              </w:r>
                            </w:p>
                          </w:txbxContent>
                        </wps:txbx>
                        <wps:bodyPr upright="1"/>
                      </wps:wsp>
                      <wps:wsp>
                        <wps:cNvPr id="42" name="文本框 42"/>
                        <wps:cNvSpPr txBox="1"/>
                        <wps:spPr>
                          <a:xfrm>
                            <a:off x="3435985" y="1730375"/>
                            <a:ext cx="518160" cy="266700"/>
                          </a:xfrm>
                          <a:prstGeom prst="rect">
                            <a:avLst/>
                          </a:prstGeom>
                          <a:noFill/>
                          <a:ln>
                            <a:noFill/>
                          </a:ln>
                        </wps:spPr>
                        <wps:txbx>
                          <w:txbxContent>
                            <w:p w14:paraId="7707FF0D">
                              <w:pPr>
                                <w:rPr>
                                  <w:rFonts w:hint="default" w:eastAsia="宋体"/>
                                  <w:sz w:val="21"/>
                                  <w:szCs w:val="21"/>
                                  <w:lang w:val="en-US" w:eastAsia="zh-CN"/>
                                </w:rPr>
                              </w:pPr>
                              <w:r>
                                <w:rPr>
                                  <w:rFonts w:hint="eastAsia" w:eastAsia="宋体"/>
                                  <w:sz w:val="21"/>
                                  <w:szCs w:val="21"/>
                                  <w:lang w:val="en-US" w:eastAsia="zh-CN"/>
                                </w:rPr>
                                <w:t>底泥</w:t>
                              </w:r>
                            </w:p>
                          </w:txbxContent>
                        </wps:txbx>
                        <wps:bodyPr upright="1"/>
                      </wps:wsp>
                      <wps:wsp>
                        <wps:cNvPr id="43" name="文本框 43"/>
                        <wps:cNvSpPr txBox="1"/>
                        <wps:spPr>
                          <a:xfrm>
                            <a:off x="707390" y="583565"/>
                            <a:ext cx="921385" cy="266700"/>
                          </a:xfrm>
                          <a:prstGeom prst="rect">
                            <a:avLst/>
                          </a:prstGeom>
                          <a:noFill/>
                          <a:ln>
                            <a:noFill/>
                          </a:ln>
                        </wps:spPr>
                        <wps:txbx>
                          <w:txbxContent>
                            <w:p w14:paraId="0C6C0512">
                              <w:pPr>
                                <w:rPr>
                                  <w:rFonts w:hint="default" w:eastAsia="宋体"/>
                                  <w:sz w:val="21"/>
                                  <w:szCs w:val="21"/>
                                  <w:lang w:val="en-US" w:eastAsia="zh-CN"/>
                                </w:rPr>
                              </w:pPr>
                              <w:r>
                                <w:rPr>
                                  <w:rFonts w:hint="eastAsia" w:eastAsia="宋体"/>
                                  <w:sz w:val="21"/>
                                  <w:szCs w:val="21"/>
                                  <w:lang w:val="en-US" w:eastAsia="zh-CN"/>
                                </w:rPr>
                                <w:t>预加NaClO</w:t>
                              </w:r>
                            </w:p>
                          </w:txbxContent>
                        </wps:txbx>
                        <wps:bodyPr upright="1"/>
                      </wps:wsp>
                      <wps:wsp>
                        <wps:cNvPr id="44" name="文本框 44"/>
                        <wps:cNvSpPr txBox="1"/>
                        <wps:spPr>
                          <a:xfrm>
                            <a:off x="2444115" y="1306195"/>
                            <a:ext cx="539115" cy="261620"/>
                          </a:xfrm>
                          <a:prstGeom prst="rect">
                            <a:avLst/>
                          </a:prstGeom>
                          <a:noFill/>
                          <a:ln>
                            <a:noFill/>
                          </a:ln>
                        </wps:spPr>
                        <wps:txbx>
                          <w:txbxContent>
                            <w:p w14:paraId="3157E387">
                              <w:pPr>
                                <w:rPr>
                                  <w:rFonts w:hint="default" w:eastAsia="宋体"/>
                                  <w:sz w:val="21"/>
                                  <w:szCs w:val="21"/>
                                  <w:lang w:val="en-US" w:eastAsia="zh-CN"/>
                                </w:rPr>
                              </w:pPr>
                              <w:r>
                                <w:rPr>
                                  <w:rFonts w:hint="eastAsia" w:eastAsia="宋体"/>
                                  <w:sz w:val="21"/>
                                  <w:szCs w:val="21"/>
                                  <w:lang w:val="en-US" w:eastAsia="zh-CN"/>
                                </w:rPr>
                                <w:t>回流</w:t>
                              </w:r>
                            </w:p>
                          </w:txbxContent>
                        </wps:txbx>
                        <wps:bodyPr upright="1"/>
                      </wps:wsp>
                      <wps:wsp>
                        <wps:cNvPr id="45" name="文本框 45"/>
                        <wps:cNvSpPr txBox="1"/>
                        <wps:spPr>
                          <a:xfrm>
                            <a:off x="4506595" y="1645285"/>
                            <a:ext cx="723900" cy="266700"/>
                          </a:xfrm>
                          <a:prstGeom prst="rect">
                            <a:avLst/>
                          </a:prstGeom>
                          <a:noFill/>
                          <a:ln>
                            <a:noFill/>
                          </a:ln>
                        </wps:spPr>
                        <wps:txbx>
                          <w:txbxContent>
                            <w:p w14:paraId="70C81CFE">
                              <w:pPr>
                                <w:rPr>
                                  <w:rFonts w:hint="default" w:eastAsia="宋体"/>
                                  <w:sz w:val="21"/>
                                  <w:szCs w:val="21"/>
                                  <w:lang w:val="en-US" w:eastAsia="zh-CN"/>
                                </w:rPr>
                              </w:pPr>
                              <w:r>
                                <w:rPr>
                                  <w:rFonts w:hint="eastAsia" w:eastAsia="宋体"/>
                                  <w:sz w:val="21"/>
                                  <w:szCs w:val="21"/>
                                  <w:lang w:val="en-US" w:eastAsia="zh-CN"/>
                                </w:rPr>
                                <w:t>上清液</w:t>
                              </w:r>
                            </w:p>
                          </w:txbxContent>
                        </wps:txbx>
                        <wps:bodyPr upright="1"/>
                      </wps:wsp>
                      <wps:wsp>
                        <wps:cNvPr id="48" name="文本框 48"/>
                        <wps:cNvSpPr txBox="1"/>
                        <wps:spPr>
                          <a:xfrm>
                            <a:off x="1031240" y="2935605"/>
                            <a:ext cx="789940" cy="266700"/>
                          </a:xfrm>
                          <a:prstGeom prst="rect">
                            <a:avLst/>
                          </a:prstGeom>
                          <a:noFill/>
                          <a:ln>
                            <a:noFill/>
                          </a:ln>
                        </wps:spPr>
                        <wps:txbx>
                          <w:txbxContent>
                            <w:p w14:paraId="69C2119D">
                              <w:pPr>
                                <w:rPr>
                                  <w:rFonts w:hint="default" w:eastAsia="宋体"/>
                                  <w:sz w:val="21"/>
                                  <w:szCs w:val="21"/>
                                  <w:lang w:val="en-US" w:eastAsia="zh-CN"/>
                                </w:rPr>
                              </w:pPr>
                              <w:r>
                                <w:rPr>
                                  <w:rFonts w:hint="eastAsia" w:eastAsia="宋体"/>
                                  <w:sz w:val="21"/>
                                  <w:szCs w:val="21"/>
                                  <w:lang w:val="en-US" w:eastAsia="zh-CN"/>
                                </w:rPr>
                                <w:t>外运处置</w:t>
                              </w:r>
                            </w:p>
                          </w:txbxContent>
                        </wps:txbx>
                        <wps:bodyPr upright="1"/>
                      </wps:wsp>
                      <wps:wsp>
                        <wps:cNvPr id="51" name="文本框 51"/>
                        <wps:cNvSpPr txBox="1"/>
                        <wps:spPr>
                          <a:xfrm>
                            <a:off x="1669415" y="1515110"/>
                            <a:ext cx="621665" cy="266700"/>
                          </a:xfrm>
                          <a:prstGeom prst="rect">
                            <a:avLst/>
                          </a:prstGeom>
                          <a:noFill/>
                          <a:ln>
                            <a:noFill/>
                          </a:ln>
                        </wps:spPr>
                        <wps:txbx>
                          <w:txbxContent>
                            <w:p w14:paraId="014C0ADE">
                              <w:pPr>
                                <w:rPr>
                                  <w:rFonts w:hint="default" w:eastAsia="宋体"/>
                                  <w:sz w:val="21"/>
                                  <w:szCs w:val="21"/>
                                  <w:lang w:val="en-US" w:eastAsia="zh-CN"/>
                                </w:rPr>
                              </w:pPr>
                              <w:r>
                                <w:rPr>
                                  <w:rFonts w:hint="eastAsia" w:eastAsia="宋体"/>
                                  <w:sz w:val="21"/>
                                  <w:szCs w:val="21"/>
                                  <w:lang w:val="en-US" w:eastAsia="zh-CN"/>
                                </w:rPr>
                                <w:t>上清液</w:t>
                              </w:r>
                            </w:p>
                          </w:txbxContent>
                        </wps:txbx>
                        <wps:bodyPr upright="1"/>
                      </wps:wsp>
                      <wps:wsp>
                        <wps:cNvPr id="52" name="文本框 52"/>
                        <wps:cNvSpPr txBox="1"/>
                        <wps:spPr>
                          <a:xfrm>
                            <a:off x="4964430" y="108585"/>
                            <a:ext cx="711200" cy="266700"/>
                          </a:xfrm>
                          <a:prstGeom prst="rect">
                            <a:avLst/>
                          </a:prstGeom>
                          <a:noFill/>
                          <a:ln>
                            <a:noFill/>
                          </a:ln>
                        </wps:spPr>
                        <wps:txbx>
                          <w:txbxContent>
                            <w:p w14:paraId="191BFE2B">
                              <w:pPr>
                                <w:rPr>
                                  <w:rFonts w:hint="default" w:eastAsia="宋体"/>
                                  <w:sz w:val="21"/>
                                  <w:szCs w:val="21"/>
                                  <w:lang w:val="en-US" w:eastAsia="zh-CN"/>
                                </w:rPr>
                              </w:pPr>
                              <w:r>
                                <w:rPr>
                                  <w:rFonts w:hint="eastAsia" w:eastAsia="宋体"/>
                                  <w:sz w:val="21"/>
                                  <w:szCs w:val="21"/>
                                  <w:lang w:val="en-US" w:eastAsia="zh-CN"/>
                                </w:rPr>
                                <w:t>助凝剂</w:t>
                              </w:r>
                            </w:p>
                          </w:txbxContent>
                        </wps:txbx>
                        <wps:bodyPr upright="1"/>
                      </wps:wsp>
                      <wps:wsp>
                        <wps:cNvPr id="54" name="直接连接符 54"/>
                        <wps:cNvCnPr/>
                        <wps:spPr>
                          <a:xfrm rot="10800000" flipV="1">
                            <a:off x="4161155" y="3507740"/>
                            <a:ext cx="571500" cy="0"/>
                          </a:xfrm>
                          <a:prstGeom prst="line">
                            <a:avLst/>
                          </a:prstGeom>
                          <a:ln w="9525" cap="flat" cmpd="sng">
                            <a:solidFill>
                              <a:srgbClr val="000000"/>
                            </a:solidFill>
                            <a:prstDash val="solid"/>
                            <a:headEnd type="none" w="med" len="med"/>
                            <a:tailEnd type="triangle" w="med" len="lg"/>
                          </a:ln>
                        </wps:spPr>
                        <wps:bodyPr upright="1"/>
                      </wps:wsp>
                      <wps:wsp>
                        <wps:cNvPr id="55" name="直接连接符 55"/>
                        <wps:cNvCnPr/>
                        <wps:spPr>
                          <a:xfrm>
                            <a:off x="445770" y="2560955"/>
                            <a:ext cx="665480" cy="0"/>
                          </a:xfrm>
                          <a:prstGeom prst="line">
                            <a:avLst/>
                          </a:prstGeom>
                          <a:ln w="9525" cap="flat" cmpd="sng">
                            <a:solidFill>
                              <a:srgbClr val="000000"/>
                            </a:solidFill>
                            <a:prstDash val="solid"/>
                            <a:headEnd type="none" w="med" len="med"/>
                            <a:tailEnd type="triangle" w="med" len="lg"/>
                          </a:ln>
                        </wps:spPr>
                        <wps:bodyPr upright="1"/>
                      </wps:wsp>
                      <wps:wsp>
                        <wps:cNvPr id="56" name="直接连接符 56"/>
                        <wps:cNvCnPr/>
                        <wps:spPr>
                          <a:xfrm flipH="1" flipV="1">
                            <a:off x="2011680" y="565785"/>
                            <a:ext cx="635" cy="453390"/>
                          </a:xfrm>
                          <a:prstGeom prst="line">
                            <a:avLst/>
                          </a:prstGeom>
                          <a:ln w="9525" cap="flat" cmpd="sng">
                            <a:solidFill>
                              <a:srgbClr val="000000"/>
                            </a:solidFill>
                            <a:prstDash val="solid"/>
                            <a:headEnd type="none" w="med" len="med"/>
                            <a:tailEnd type="triangle" w="med" len="lg"/>
                          </a:ln>
                        </wps:spPr>
                        <wps:bodyPr upright="1"/>
                      </wps:wsp>
                      <wps:wsp>
                        <wps:cNvPr id="57" name="直接连接符 57"/>
                        <wps:cNvCnPr/>
                        <wps:spPr>
                          <a:xfrm flipV="1">
                            <a:off x="4142105" y="1138555"/>
                            <a:ext cx="571500" cy="0"/>
                          </a:xfrm>
                          <a:prstGeom prst="line">
                            <a:avLst/>
                          </a:prstGeom>
                          <a:ln w="9525" cap="flat" cmpd="sng">
                            <a:solidFill>
                              <a:srgbClr val="000000"/>
                            </a:solidFill>
                            <a:prstDash val="solid"/>
                            <a:headEnd type="none" w="med" len="med"/>
                            <a:tailEnd type="triangle" w="med" len="lg"/>
                          </a:ln>
                        </wps:spPr>
                        <wps:bodyPr upright="1"/>
                      </wps:wsp>
                      <wps:wsp>
                        <wps:cNvPr id="58" name="文本框 58"/>
                        <wps:cNvSpPr txBox="1"/>
                        <wps:spPr>
                          <a:xfrm>
                            <a:off x="1001395" y="2436495"/>
                            <a:ext cx="763270" cy="266700"/>
                          </a:xfrm>
                          <a:prstGeom prst="rect">
                            <a:avLst/>
                          </a:prstGeom>
                          <a:noFill/>
                          <a:ln>
                            <a:noFill/>
                          </a:ln>
                        </wps:spPr>
                        <wps:txbx>
                          <w:txbxContent>
                            <w:p w14:paraId="13C2EC67">
                              <w:pPr>
                                <w:rPr>
                                  <w:rFonts w:hint="default" w:eastAsia="宋体"/>
                                  <w:sz w:val="21"/>
                                  <w:szCs w:val="21"/>
                                  <w:lang w:val="en-US" w:eastAsia="zh-CN"/>
                                </w:rPr>
                              </w:pPr>
                              <w:r>
                                <w:rPr>
                                  <w:rFonts w:hint="eastAsia" w:eastAsia="宋体"/>
                                  <w:sz w:val="21"/>
                                  <w:szCs w:val="21"/>
                                  <w:lang w:val="en-US" w:eastAsia="zh-CN"/>
                                </w:rPr>
                                <w:t>脱水污泥</w:t>
                              </w:r>
                            </w:p>
                          </w:txbxContent>
                        </wps:txbx>
                        <wps:bodyPr upright="1"/>
                      </wps:wsp>
                      <wps:wsp>
                        <wps:cNvPr id="59" name="文本框 59"/>
                        <wps:cNvSpPr txBox="1"/>
                        <wps:spPr>
                          <a:xfrm>
                            <a:off x="3790315" y="3652520"/>
                            <a:ext cx="637540" cy="266700"/>
                          </a:xfrm>
                          <a:prstGeom prst="rect">
                            <a:avLst/>
                          </a:prstGeom>
                          <a:noFill/>
                          <a:ln>
                            <a:noFill/>
                          </a:ln>
                        </wps:spPr>
                        <wps:txbx>
                          <w:txbxContent>
                            <w:p w14:paraId="6168E1FA">
                              <w:pPr>
                                <w:rPr>
                                  <w:rFonts w:hint="default" w:eastAsia="宋体"/>
                                  <w:sz w:val="21"/>
                                  <w:szCs w:val="21"/>
                                  <w:lang w:val="en-US" w:eastAsia="zh-CN"/>
                                </w:rPr>
                              </w:pPr>
                              <w:r>
                                <w:rPr>
                                  <w:rFonts w:hint="eastAsia" w:eastAsia="宋体"/>
                                  <w:sz w:val="21"/>
                                  <w:szCs w:val="21"/>
                                  <w:lang w:val="en-US" w:eastAsia="zh-CN"/>
                                </w:rPr>
                                <w:t>溢流</w:t>
                              </w:r>
                            </w:p>
                          </w:txbxContent>
                        </wps:txbx>
                        <wps:bodyPr upright="1"/>
                      </wps:wsp>
                      <wps:wsp>
                        <wps:cNvPr id="60" name="文本框 60"/>
                        <wps:cNvSpPr txBox="1"/>
                        <wps:spPr>
                          <a:xfrm>
                            <a:off x="1619885" y="386080"/>
                            <a:ext cx="799465" cy="266700"/>
                          </a:xfrm>
                          <a:prstGeom prst="rect">
                            <a:avLst/>
                          </a:prstGeom>
                          <a:noFill/>
                          <a:ln>
                            <a:noFill/>
                          </a:ln>
                        </wps:spPr>
                        <wps:txbx>
                          <w:txbxContent>
                            <w:p w14:paraId="0788FB6C">
                              <w:pPr>
                                <w:rPr>
                                  <w:rFonts w:hint="default" w:eastAsia="宋体"/>
                                  <w:sz w:val="21"/>
                                  <w:szCs w:val="21"/>
                                  <w:lang w:val="en-US" w:eastAsia="zh-CN"/>
                                </w:rPr>
                              </w:pPr>
                              <w:r>
                                <w:rPr>
                                  <w:rFonts w:hint="eastAsia" w:eastAsia="宋体"/>
                                  <w:sz w:val="21"/>
                                  <w:szCs w:val="21"/>
                                  <w:lang w:val="en-US" w:eastAsia="zh-CN"/>
                                </w:rPr>
                                <w:t>栅渣、沉砂</w:t>
                              </w:r>
                            </w:p>
                          </w:txbxContent>
                        </wps:txbx>
                        <wps:bodyPr upright="1"/>
                      </wps:wsp>
                      <wps:wsp>
                        <wps:cNvPr id="61" name="文本框 61"/>
                        <wps:cNvSpPr txBox="1"/>
                        <wps:spPr>
                          <a:xfrm>
                            <a:off x="3324860" y="412115"/>
                            <a:ext cx="711200" cy="266700"/>
                          </a:xfrm>
                          <a:prstGeom prst="rect">
                            <a:avLst/>
                          </a:prstGeom>
                          <a:noFill/>
                          <a:ln>
                            <a:noFill/>
                          </a:ln>
                        </wps:spPr>
                        <wps:txbx>
                          <w:txbxContent>
                            <w:p w14:paraId="699D663C">
                              <w:pPr>
                                <w:rPr>
                                  <w:rFonts w:hint="default" w:eastAsia="宋体"/>
                                  <w:sz w:val="21"/>
                                  <w:szCs w:val="21"/>
                                  <w:lang w:val="en-US" w:eastAsia="zh-CN"/>
                                </w:rPr>
                              </w:pPr>
                              <w:r>
                                <w:rPr>
                                  <w:rFonts w:hint="eastAsia" w:eastAsia="宋体"/>
                                  <w:sz w:val="21"/>
                                  <w:szCs w:val="21"/>
                                  <w:lang w:val="en-US" w:eastAsia="zh-CN"/>
                                </w:rPr>
                                <w:t>混凝剂</w:t>
                              </w:r>
                            </w:p>
                          </w:txbxContent>
                        </wps:txbx>
                        <wps:bodyPr upright="1"/>
                      </wps:wsp>
                      <wps:wsp>
                        <wps:cNvPr id="63" name="文本框 63"/>
                        <wps:cNvSpPr txBox="1"/>
                        <wps:spPr>
                          <a:xfrm>
                            <a:off x="3680460" y="1390015"/>
                            <a:ext cx="711200" cy="266700"/>
                          </a:xfrm>
                          <a:prstGeom prst="rect">
                            <a:avLst/>
                          </a:prstGeom>
                          <a:noFill/>
                          <a:ln>
                            <a:noFill/>
                          </a:ln>
                        </wps:spPr>
                        <wps:txbx>
                          <w:txbxContent>
                            <w:p w14:paraId="349EB6CA">
                              <w:pPr>
                                <w:rPr>
                                  <w:rFonts w:hint="default" w:eastAsia="宋体"/>
                                  <w:sz w:val="21"/>
                                  <w:szCs w:val="21"/>
                                  <w:lang w:val="en-US" w:eastAsia="zh-CN"/>
                                </w:rPr>
                              </w:pPr>
                              <w:r>
                                <w:rPr>
                                  <w:rFonts w:hint="eastAsia" w:eastAsia="宋体"/>
                                  <w:sz w:val="21"/>
                                  <w:szCs w:val="21"/>
                                  <w:lang w:val="en-US" w:eastAsia="zh-CN"/>
                                </w:rPr>
                                <w:t>排泥</w:t>
                              </w:r>
                            </w:p>
                          </w:txbxContent>
                        </wps:txbx>
                        <wps:bodyPr upright="1"/>
                      </wps:wsp>
                      <wps:wsp>
                        <wps:cNvPr id="65" name="直接连接符 65"/>
                        <wps:cNvCnPr/>
                        <wps:spPr>
                          <a:xfrm rot="5400000">
                            <a:off x="267970" y="788670"/>
                            <a:ext cx="456565" cy="5715"/>
                          </a:xfrm>
                          <a:prstGeom prst="line">
                            <a:avLst/>
                          </a:prstGeom>
                          <a:ln w="9525" cap="flat" cmpd="sng">
                            <a:solidFill>
                              <a:srgbClr val="000000"/>
                            </a:solidFill>
                            <a:prstDash val="solid"/>
                            <a:headEnd type="none" w="med" len="med"/>
                            <a:tailEnd type="triangle" w="med" len="lg"/>
                          </a:ln>
                        </wps:spPr>
                        <wps:bodyPr upright="1"/>
                      </wps:wsp>
                      <wps:wsp>
                        <wps:cNvPr id="69" name="文本框 69"/>
                        <wps:cNvSpPr txBox="1"/>
                        <wps:spPr>
                          <a:xfrm>
                            <a:off x="4736465" y="3357880"/>
                            <a:ext cx="10287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D8F72A">
                              <w:pPr>
                                <w:jc w:val="center"/>
                                <w:rPr>
                                  <w:rFonts w:hint="default"/>
                                  <w:sz w:val="21"/>
                                  <w:szCs w:val="21"/>
                                  <w:lang w:val="en-US" w:eastAsia="zh-CN"/>
                                </w:rPr>
                              </w:pPr>
                              <w:r>
                                <w:rPr>
                                  <w:rFonts w:hint="eastAsia"/>
                                  <w:sz w:val="21"/>
                                  <w:szCs w:val="21"/>
                                  <w:lang w:val="en-US" w:eastAsia="zh-CN"/>
                                </w:rPr>
                                <w:t>V型滤池</w:t>
                              </w:r>
                            </w:p>
                          </w:txbxContent>
                        </wps:txbx>
                        <wps:bodyPr upright="1"/>
                      </wps:wsp>
                      <wps:wsp>
                        <wps:cNvPr id="77" name="文本框 77"/>
                        <wps:cNvSpPr txBox="1"/>
                        <wps:spPr>
                          <a:xfrm>
                            <a:off x="3145790" y="1002665"/>
                            <a:ext cx="9937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CF84EF">
                              <w:pPr>
                                <w:jc w:val="center"/>
                                <w:rPr>
                                  <w:rFonts w:hint="default" w:eastAsia="宋体"/>
                                  <w:sz w:val="21"/>
                                  <w:szCs w:val="21"/>
                                  <w:lang w:val="en-US" w:eastAsia="zh-CN"/>
                                </w:rPr>
                              </w:pPr>
                              <w:r>
                                <w:rPr>
                                  <w:rFonts w:hint="eastAsia" w:eastAsia="宋体"/>
                                  <w:sz w:val="21"/>
                                  <w:szCs w:val="21"/>
                                  <w:lang w:val="en-US" w:eastAsia="zh-CN"/>
                                </w:rPr>
                                <w:t>静态混合器</w:t>
                              </w:r>
                            </w:p>
                          </w:txbxContent>
                        </wps:txbx>
                        <wps:bodyPr upright="1"/>
                      </wps:wsp>
                      <wps:wsp>
                        <wps:cNvPr id="78" name="文本框 78"/>
                        <wps:cNvSpPr txBox="1"/>
                        <wps:spPr>
                          <a:xfrm>
                            <a:off x="2870200" y="1844675"/>
                            <a:ext cx="63309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5685CF">
                              <w:pPr>
                                <w:jc w:val="center"/>
                                <w:rPr>
                                  <w:rFonts w:hint="eastAsia" w:eastAsia="宋体"/>
                                  <w:sz w:val="21"/>
                                  <w:szCs w:val="21"/>
                                  <w:lang w:val="en-US" w:eastAsia="zh-CN"/>
                                </w:rPr>
                              </w:pPr>
                              <w:r>
                                <w:rPr>
                                  <w:rFonts w:hint="eastAsia" w:eastAsia="宋体"/>
                                  <w:sz w:val="21"/>
                                  <w:szCs w:val="21"/>
                                  <w:lang w:val="en-US" w:eastAsia="zh-CN"/>
                                </w:rPr>
                                <w:t>排泥池</w:t>
                              </w:r>
                            </w:p>
                          </w:txbxContent>
                        </wps:txbx>
                        <wps:bodyPr upright="1"/>
                      </wps:wsp>
                      <wps:wsp>
                        <wps:cNvPr id="79" name="文本框 79"/>
                        <wps:cNvSpPr txBox="1"/>
                        <wps:spPr>
                          <a:xfrm>
                            <a:off x="1447800" y="1012190"/>
                            <a:ext cx="111696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934CD">
                              <w:pPr>
                                <w:jc w:val="center"/>
                                <w:rPr>
                                  <w:rFonts w:hint="eastAsia" w:eastAsia="宋体"/>
                                  <w:sz w:val="21"/>
                                  <w:szCs w:val="21"/>
                                  <w:lang w:val="en-US" w:eastAsia="zh-CN"/>
                                </w:rPr>
                              </w:pPr>
                              <w:r>
                                <w:rPr>
                                  <w:rFonts w:hint="eastAsia" w:eastAsia="宋体"/>
                                  <w:sz w:val="21"/>
                                  <w:szCs w:val="21"/>
                                  <w:lang w:val="en-US" w:eastAsia="zh-CN"/>
                                </w:rPr>
                                <w:t>格栅间、沉砂池</w:t>
                              </w:r>
                            </w:p>
                          </w:txbxContent>
                        </wps:txbx>
                        <wps:bodyPr upright="1"/>
                      </wps:wsp>
                      <wps:wsp>
                        <wps:cNvPr id="80" name="文本框 80"/>
                        <wps:cNvSpPr txBox="1"/>
                        <wps:spPr>
                          <a:xfrm>
                            <a:off x="0" y="1854200"/>
                            <a:ext cx="86169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06C76C">
                              <w:pPr>
                                <w:jc w:val="center"/>
                                <w:rPr>
                                  <w:rFonts w:hint="eastAsia" w:eastAsia="宋体"/>
                                  <w:sz w:val="21"/>
                                  <w:szCs w:val="21"/>
                                  <w:lang w:val="en-US" w:eastAsia="zh-CN"/>
                                </w:rPr>
                              </w:pPr>
                              <w:r>
                                <w:rPr>
                                  <w:rFonts w:hint="eastAsia" w:eastAsia="宋体"/>
                                  <w:sz w:val="21"/>
                                  <w:szCs w:val="21"/>
                                  <w:lang w:val="en-US" w:eastAsia="zh-CN"/>
                                </w:rPr>
                                <w:t>污泥平衡池</w:t>
                              </w:r>
                            </w:p>
                          </w:txbxContent>
                        </wps:txbx>
                        <wps:bodyPr upright="1"/>
                      </wps:wsp>
                      <wps:wsp>
                        <wps:cNvPr id="81" name="直接连接符 81"/>
                        <wps:cNvCnPr/>
                        <wps:spPr>
                          <a:xfrm rot="7200000" flipV="1">
                            <a:off x="3486150" y="751205"/>
                            <a:ext cx="292100" cy="165100"/>
                          </a:xfrm>
                          <a:prstGeom prst="line">
                            <a:avLst/>
                          </a:prstGeom>
                          <a:ln w="9525" cap="flat" cmpd="sng">
                            <a:solidFill>
                              <a:srgbClr val="000000"/>
                            </a:solidFill>
                            <a:prstDash val="dash"/>
                            <a:headEnd type="none" w="med" len="med"/>
                            <a:tailEnd type="triangle" w="med" len="lg"/>
                          </a:ln>
                        </wps:spPr>
                        <wps:bodyPr upright="1"/>
                      </wps:wsp>
                      <wps:wsp>
                        <wps:cNvPr id="82" name="直接连接符 82"/>
                        <wps:cNvCnPr/>
                        <wps:spPr>
                          <a:xfrm rot="7200000" flipV="1">
                            <a:off x="5088255" y="458470"/>
                            <a:ext cx="292100" cy="165100"/>
                          </a:xfrm>
                          <a:prstGeom prst="line">
                            <a:avLst/>
                          </a:prstGeom>
                          <a:ln w="9525" cap="flat" cmpd="sng">
                            <a:solidFill>
                              <a:srgbClr val="000000"/>
                            </a:solidFill>
                            <a:prstDash val="dash"/>
                            <a:headEnd type="none" w="med" len="med"/>
                            <a:tailEnd type="triangle" w="med" len="lg"/>
                          </a:ln>
                        </wps:spPr>
                        <wps:bodyPr upright="1"/>
                      </wps:wsp>
                      <wps:wsp>
                        <wps:cNvPr id="87" name="直接连接符 87"/>
                        <wps:cNvCnPr/>
                        <wps:spPr>
                          <a:xfrm rot="10800000" flipV="1">
                            <a:off x="2952115" y="3517900"/>
                            <a:ext cx="571500" cy="0"/>
                          </a:xfrm>
                          <a:prstGeom prst="line">
                            <a:avLst/>
                          </a:prstGeom>
                          <a:ln w="9525" cap="flat" cmpd="sng">
                            <a:solidFill>
                              <a:srgbClr val="000000"/>
                            </a:solidFill>
                            <a:prstDash val="solid"/>
                            <a:headEnd type="none" w="med" len="med"/>
                            <a:tailEnd type="triangle" w="med" len="lg"/>
                          </a:ln>
                        </wps:spPr>
                        <wps:bodyPr upright="1"/>
                      </wps:wsp>
                      <wps:wsp>
                        <wps:cNvPr id="89" name="文本框 89"/>
                        <wps:cNvSpPr txBox="1"/>
                        <wps:spPr>
                          <a:xfrm>
                            <a:off x="1065530" y="1854835"/>
                            <a:ext cx="622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E763D">
                              <w:pPr>
                                <w:jc w:val="center"/>
                                <w:rPr>
                                  <w:rFonts w:hint="eastAsia" w:eastAsia="宋体"/>
                                  <w:sz w:val="21"/>
                                  <w:szCs w:val="21"/>
                                  <w:lang w:val="en-US" w:eastAsia="zh-CN"/>
                                </w:rPr>
                              </w:pPr>
                              <w:r>
                                <w:rPr>
                                  <w:rFonts w:hint="eastAsia" w:eastAsia="宋体"/>
                                  <w:sz w:val="21"/>
                                  <w:szCs w:val="21"/>
                                  <w:lang w:val="en-US" w:eastAsia="zh-CN"/>
                                </w:rPr>
                                <w:t>浓缩池</w:t>
                              </w:r>
                            </w:p>
                          </w:txbxContent>
                        </wps:txbx>
                        <wps:bodyPr upright="1"/>
                      </wps:wsp>
                      <wps:wsp>
                        <wps:cNvPr id="90" name="文本框 90"/>
                        <wps:cNvSpPr txBox="1"/>
                        <wps:spPr>
                          <a:xfrm>
                            <a:off x="4584700" y="1850390"/>
                            <a:ext cx="7562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C841DD">
                              <w:pPr>
                                <w:jc w:val="center"/>
                                <w:rPr>
                                  <w:rFonts w:hint="eastAsia" w:eastAsia="宋体"/>
                                  <w:sz w:val="21"/>
                                  <w:szCs w:val="21"/>
                                  <w:lang w:val="en-US" w:eastAsia="zh-CN"/>
                                </w:rPr>
                              </w:pPr>
                              <w:r>
                                <w:rPr>
                                  <w:rFonts w:hint="eastAsia" w:eastAsia="宋体"/>
                                  <w:sz w:val="21"/>
                                  <w:szCs w:val="21"/>
                                  <w:lang w:val="en-US" w:eastAsia="zh-CN"/>
                                </w:rPr>
                                <w:t>回流水池</w:t>
                              </w:r>
                            </w:p>
                          </w:txbxContent>
                        </wps:txbx>
                        <wps:bodyPr upright="1"/>
                      </wps:wsp>
                      <wps:wsp>
                        <wps:cNvPr id="91" name="文本框 91"/>
                        <wps:cNvSpPr txBox="1"/>
                        <wps:spPr>
                          <a:xfrm>
                            <a:off x="3829050" y="1851025"/>
                            <a:ext cx="64960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615965">
                              <w:pPr>
                                <w:jc w:val="center"/>
                                <w:rPr>
                                  <w:rFonts w:hint="eastAsia" w:eastAsia="宋体"/>
                                  <w:sz w:val="21"/>
                                  <w:szCs w:val="21"/>
                                  <w:lang w:val="en-US" w:eastAsia="zh-CN"/>
                                </w:rPr>
                              </w:pPr>
                              <w:r>
                                <w:rPr>
                                  <w:rFonts w:hint="eastAsia" w:eastAsia="宋体"/>
                                  <w:sz w:val="21"/>
                                  <w:szCs w:val="21"/>
                                  <w:lang w:val="en-US" w:eastAsia="zh-CN"/>
                                </w:rPr>
                                <w:t>排水池</w:t>
                              </w:r>
                            </w:p>
                          </w:txbxContent>
                        </wps:txbx>
                        <wps:bodyPr upright="1"/>
                      </wps:wsp>
                      <wps:wsp>
                        <wps:cNvPr id="92" name="文本框 92"/>
                        <wps:cNvSpPr txBox="1"/>
                        <wps:spPr>
                          <a:xfrm>
                            <a:off x="1896745" y="1852930"/>
                            <a:ext cx="7562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880D36">
                              <w:pPr>
                                <w:jc w:val="center"/>
                                <w:rPr>
                                  <w:rFonts w:hint="default" w:eastAsia="宋体"/>
                                  <w:sz w:val="21"/>
                                  <w:szCs w:val="21"/>
                                  <w:lang w:val="en-US" w:eastAsia="zh-CN"/>
                                </w:rPr>
                              </w:pPr>
                              <w:r>
                                <w:rPr>
                                  <w:rFonts w:hint="eastAsia" w:eastAsia="宋体"/>
                                  <w:sz w:val="21"/>
                                  <w:szCs w:val="21"/>
                                  <w:lang w:val="en-US" w:eastAsia="zh-CN"/>
                                </w:rPr>
                                <w:t>提升泵房</w:t>
                              </w:r>
                            </w:p>
                          </w:txbxContent>
                        </wps:txbx>
                        <wps:bodyPr upright="1"/>
                      </wps:wsp>
                      <wps:wsp>
                        <wps:cNvPr id="94" name="直接连接符 94"/>
                        <wps:cNvCnPr/>
                        <wps:spPr>
                          <a:xfrm flipH="1">
                            <a:off x="1676400" y="1990090"/>
                            <a:ext cx="219075" cy="5715"/>
                          </a:xfrm>
                          <a:prstGeom prst="line">
                            <a:avLst/>
                          </a:prstGeom>
                          <a:ln w="9525" cap="flat" cmpd="sng">
                            <a:solidFill>
                              <a:srgbClr val="000000"/>
                            </a:solidFill>
                            <a:prstDash val="solid"/>
                            <a:headEnd type="none" w="med" len="med"/>
                            <a:tailEnd type="triangle" w="med" len="lg"/>
                          </a:ln>
                        </wps:spPr>
                        <wps:bodyPr upright="1"/>
                      </wps:wsp>
                      <wps:wsp>
                        <wps:cNvPr id="95" name="直接连接符 95"/>
                        <wps:cNvCnPr/>
                        <wps:spPr>
                          <a:xfrm flipH="1">
                            <a:off x="854710" y="1997075"/>
                            <a:ext cx="219075" cy="5715"/>
                          </a:xfrm>
                          <a:prstGeom prst="line">
                            <a:avLst/>
                          </a:prstGeom>
                          <a:ln w="9525" cap="flat" cmpd="sng">
                            <a:solidFill>
                              <a:srgbClr val="000000"/>
                            </a:solidFill>
                            <a:prstDash val="solid"/>
                            <a:headEnd type="none" w="med" len="med"/>
                            <a:tailEnd type="triangle" w="med" len="lg"/>
                          </a:ln>
                        </wps:spPr>
                        <wps:bodyPr upright="1"/>
                      </wps:wsp>
                      <wps:wsp>
                        <wps:cNvPr id="96" name="直接连接符 96"/>
                        <wps:cNvCnPr/>
                        <wps:spPr>
                          <a:xfrm flipH="1">
                            <a:off x="2644140" y="1976120"/>
                            <a:ext cx="219075" cy="5715"/>
                          </a:xfrm>
                          <a:prstGeom prst="line">
                            <a:avLst/>
                          </a:prstGeom>
                          <a:ln w="9525" cap="flat" cmpd="sng">
                            <a:solidFill>
                              <a:srgbClr val="000000"/>
                            </a:solidFill>
                            <a:prstDash val="solid"/>
                            <a:headEnd type="none" w="med" len="med"/>
                            <a:tailEnd type="triangle" w="med" len="lg"/>
                          </a:ln>
                        </wps:spPr>
                        <wps:bodyPr upright="1"/>
                      </wps:wsp>
                      <wps:wsp>
                        <wps:cNvPr id="99" name="文本框 99"/>
                        <wps:cNvSpPr txBox="1"/>
                        <wps:spPr>
                          <a:xfrm>
                            <a:off x="3530600" y="3373120"/>
                            <a:ext cx="622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425DC7">
                              <w:pPr>
                                <w:jc w:val="center"/>
                                <w:rPr>
                                  <w:rFonts w:hint="eastAsia" w:eastAsia="宋体"/>
                                  <w:sz w:val="21"/>
                                  <w:szCs w:val="21"/>
                                  <w:lang w:val="en-US" w:eastAsia="zh-CN"/>
                                </w:rPr>
                              </w:pPr>
                              <w:r>
                                <w:rPr>
                                  <w:rFonts w:hint="eastAsia" w:eastAsia="宋体"/>
                                  <w:sz w:val="21"/>
                                  <w:szCs w:val="21"/>
                                  <w:lang w:val="en-US" w:eastAsia="zh-CN"/>
                                </w:rPr>
                                <w:t>清水池</w:t>
                              </w:r>
                            </w:p>
                          </w:txbxContent>
                        </wps:txbx>
                        <wps:bodyPr upright="1"/>
                      </wps:wsp>
                      <wps:wsp>
                        <wps:cNvPr id="100" name="文本框 100"/>
                        <wps:cNvSpPr txBox="1"/>
                        <wps:spPr>
                          <a:xfrm>
                            <a:off x="2191385" y="3373755"/>
                            <a:ext cx="75628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D8DD3">
                              <w:pPr>
                                <w:jc w:val="center"/>
                                <w:rPr>
                                  <w:rFonts w:hint="default" w:eastAsia="宋体"/>
                                  <w:sz w:val="21"/>
                                  <w:szCs w:val="21"/>
                                  <w:lang w:val="en-US" w:eastAsia="zh-CN"/>
                                </w:rPr>
                              </w:pPr>
                              <w:r>
                                <w:rPr>
                                  <w:rFonts w:hint="eastAsia" w:eastAsia="宋体"/>
                                  <w:sz w:val="21"/>
                                  <w:szCs w:val="21"/>
                                  <w:lang w:val="en-US" w:eastAsia="zh-CN"/>
                                </w:rPr>
                                <w:t>供水管网</w:t>
                              </w:r>
                            </w:p>
                          </w:txbxContent>
                        </wps:txbx>
                        <wps:bodyPr upright="1"/>
                      </wps:wsp>
                      <wps:wsp>
                        <wps:cNvPr id="101" name="直接连接符 101"/>
                        <wps:cNvCnPr/>
                        <wps:spPr>
                          <a:xfrm flipV="1">
                            <a:off x="3140710" y="1616075"/>
                            <a:ext cx="1883410" cy="190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2" name="直接连接符 102"/>
                        <wps:cNvCnPr/>
                        <wps:spPr>
                          <a:xfrm flipV="1">
                            <a:off x="2531110" y="1680210"/>
                            <a:ext cx="2489835" cy="6985"/>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3" name="直接连接符 103"/>
                        <wps:cNvCnPr/>
                        <wps:spPr>
                          <a:xfrm>
                            <a:off x="5017770" y="1675765"/>
                            <a:ext cx="0" cy="18034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 name="直接连接符 104"/>
                        <wps:cNvCnPr/>
                        <wps:spPr>
                          <a:xfrm>
                            <a:off x="5032375" y="1555115"/>
                            <a:ext cx="0" cy="7366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5" name="直接连接符 105"/>
                        <wps:cNvCnPr/>
                        <wps:spPr>
                          <a:xfrm>
                            <a:off x="3148330" y="1619250"/>
                            <a:ext cx="4445" cy="204470"/>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06" name="直接连接符 106"/>
                        <wps:cNvCnPr/>
                        <wps:spPr>
                          <a:xfrm flipV="1">
                            <a:off x="2520315" y="1276985"/>
                            <a:ext cx="635" cy="41211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07" name="直接连接符 107"/>
                        <wps:cNvCnPr/>
                        <wps:spPr>
                          <a:xfrm flipV="1">
                            <a:off x="4123055" y="1682750"/>
                            <a:ext cx="5080" cy="16827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1376680" y="1718945"/>
                            <a:ext cx="1668145" cy="127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flipV="1">
                            <a:off x="3032760" y="1703705"/>
                            <a:ext cx="3810" cy="13652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flipV="1">
                            <a:off x="1386205" y="1714500"/>
                            <a:ext cx="3810" cy="13652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wps:spPr>
                          <a:xfrm flipH="1" flipV="1">
                            <a:off x="2138045" y="1280160"/>
                            <a:ext cx="635" cy="44386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2" name="文本框 112"/>
                        <wps:cNvSpPr txBox="1"/>
                        <wps:spPr>
                          <a:xfrm>
                            <a:off x="2090420" y="1297940"/>
                            <a:ext cx="348615" cy="402590"/>
                          </a:xfrm>
                          <a:prstGeom prst="rect">
                            <a:avLst/>
                          </a:prstGeom>
                          <a:noFill/>
                          <a:ln>
                            <a:noFill/>
                          </a:ln>
                        </wps:spPr>
                        <wps:txbx>
                          <w:txbxContent>
                            <w:p w14:paraId="72DDF87D">
                              <w:pPr>
                                <w:rPr>
                                  <w:rFonts w:hint="default" w:eastAsia="宋体"/>
                                  <w:sz w:val="21"/>
                                  <w:szCs w:val="21"/>
                                  <w:lang w:val="en-US" w:eastAsia="zh-CN"/>
                                </w:rPr>
                              </w:pPr>
                              <w:r>
                                <w:rPr>
                                  <w:rFonts w:hint="eastAsia" w:eastAsia="宋体"/>
                                  <w:sz w:val="21"/>
                                  <w:szCs w:val="21"/>
                                  <w:lang w:val="en-US" w:eastAsia="zh-CN"/>
                                </w:rPr>
                                <w:t>回流</w:t>
                              </w:r>
                            </w:p>
                          </w:txbxContent>
                        </wps:txbx>
                        <wps:bodyPr upright="1"/>
                      </wps:wsp>
                      <wps:wsp>
                        <wps:cNvPr id="114" name="直接连接符 114"/>
                        <wps:cNvCnPr/>
                        <wps:spPr>
                          <a:xfrm flipH="1">
                            <a:off x="3849370" y="3641725"/>
                            <a:ext cx="2540" cy="299720"/>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17" name="直接连接符 117"/>
                        <wps:cNvCnPr/>
                        <wps:spPr>
                          <a:xfrm>
                            <a:off x="442595" y="2124075"/>
                            <a:ext cx="3175" cy="817880"/>
                          </a:xfrm>
                          <a:prstGeom prst="line">
                            <a:avLst/>
                          </a:prstGeom>
                          <a:ln w="9525" cap="flat" cmpd="sng">
                            <a:solidFill>
                              <a:srgbClr val="000000"/>
                            </a:solidFill>
                            <a:prstDash val="solid"/>
                            <a:headEnd type="none" w="med" len="med"/>
                            <a:tailEnd type="triangle" w="med" len="lg"/>
                          </a:ln>
                        </wps:spPr>
                        <wps:bodyPr upright="1"/>
                      </wps:wsp>
                      <wps:wsp>
                        <wps:cNvPr id="119" name="直接连接符 119"/>
                        <wps:cNvCnPr/>
                        <wps:spPr>
                          <a:xfrm flipH="1">
                            <a:off x="1402080" y="2661285"/>
                            <a:ext cx="2540" cy="308610"/>
                          </a:xfrm>
                          <a:prstGeom prst="line">
                            <a:avLst/>
                          </a:prstGeom>
                          <a:ln w="9525" cap="flat" cmpd="sng">
                            <a:solidFill>
                              <a:srgbClr val="000000"/>
                            </a:solidFill>
                            <a:prstDash val="solid"/>
                            <a:headEnd type="none" w="med" len="med"/>
                            <a:tailEnd type="triangle" w="med" len="lg"/>
                          </a:ln>
                        </wps:spPr>
                        <wps:bodyPr upright="1"/>
                      </wps:wsp>
                      <wps:wsp>
                        <wps:cNvPr id="120" name="文本框 120"/>
                        <wps:cNvSpPr txBox="1"/>
                        <wps:spPr>
                          <a:xfrm>
                            <a:off x="0" y="2956560"/>
                            <a:ext cx="101473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1A7D9F">
                              <w:pPr>
                                <w:jc w:val="center"/>
                                <w:rPr>
                                  <w:rFonts w:hint="default" w:eastAsia="宋体"/>
                                  <w:sz w:val="21"/>
                                  <w:szCs w:val="21"/>
                                  <w:lang w:val="en-US" w:eastAsia="zh-CN"/>
                                </w:rPr>
                              </w:pPr>
                              <w:r>
                                <w:rPr>
                                  <w:rFonts w:hint="eastAsia" w:eastAsia="宋体"/>
                                  <w:sz w:val="21"/>
                                  <w:szCs w:val="21"/>
                                  <w:lang w:val="en-US" w:eastAsia="zh-CN"/>
                                </w:rPr>
                                <w:t>生产废水一体化处理装置</w:t>
                              </w:r>
                            </w:p>
                          </w:txbxContent>
                        </wps:txbx>
                        <wps:bodyPr upright="1"/>
                      </wps:wsp>
                      <wps:wsp>
                        <wps:cNvPr id="121" name="直接连接符 121"/>
                        <wps:cNvCnPr/>
                        <wps:spPr>
                          <a:xfrm flipH="1">
                            <a:off x="455295" y="3475990"/>
                            <a:ext cx="2540" cy="308610"/>
                          </a:xfrm>
                          <a:prstGeom prst="line">
                            <a:avLst/>
                          </a:prstGeom>
                          <a:ln w="9525" cap="flat" cmpd="sng">
                            <a:solidFill>
                              <a:srgbClr val="000000"/>
                            </a:solidFill>
                            <a:prstDash val="solid"/>
                            <a:headEnd type="none" w="med" len="med"/>
                            <a:tailEnd type="triangle" w="med" len="lg"/>
                          </a:ln>
                        </wps:spPr>
                        <wps:bodyPr upright="1"/>
                      </wps:wsp>
                      <wps:wsp>
                        <wps:cNvPr id="122" name="文本框 122"/>
                        <wps:cNvSpPr txBox="1"/>
                        <wps:spPr>
                          <a:xfrm>
                            <a:off x="222250" y="3756660"/>
                            <a:ext cx="789940" cy="266700"/>
                          </a:xfrm>
                          <a:prstGeom prst="rect">
                            <a:avLst/>
                          </a:prstGeom>
                          <a:noFill/>
                          <a:ln>
                            <a:noFill/>
                          </a:ln>
                        </wps:spPr>
                        <wps:txbx>
                          <w:txbxContent>
                            <w:p w14:paraId="09A404D2">
                              <w:pPr>
                                <w:rPr>
                                  <w:rFonts w:hint="default" w:eastAsia="宋体"/>
                                  <w:sz w:val="21"/>
                                  <w:szCs w:val="21"/>
                                  <w:lang w:val="en-US" w:eastAsia="zh-CN"/>
                                </w:rPr>
                              </w:pPr>
                              <w:r>
                                <w:rPr>
                                  <w:rFonts w:hint="eastAsia" w:eastAsia="宋体"/>
                                  <w:sz w:val="21"/>
                                  <w:szCs w:val="21"/>
                                  <w:lang w:val="en-US" w:eastAsia="zh-CN"/>
                                </w:rPr>
                                <w:t>新河</w:t>
                              </w:r>
                            </w:p>
                          </w:txbxContent>
                        </wps:txbx>
                        <wps:bodyPr upright="1"/>
                      </wps:wsp>
                      <wps:wsp>
                        <wps:cNvPr id="123" name="直接连接符 123"/>
                        <wps:cNvCnPr/>
                        <wps:spPr>
                          <a:xfrm rot="7200000" flipV="1">
                            <a:off x="3116580" y="3264535"/>
                            <a:ext cx="292100" cy="165100"/>
                          </a:xfrm>
                          <a:prstGeom prst="line">
                            <a:avLst/>
                          </a:prstGeom>
                          <a:ln w="9525" cap="flat" cmpd="sng">
                            <a:solidFill>
                              <a:srgbClr val="000000"/>
                            </a:solidFill>
                            <a:prstDash val="dash"/>
                            <a:headEnd type="none" w="med" len="med"/>
                            <a:tailEnd type="triangle" w="med" len="lg"/>
                          </a:ln>
                        </wps:spPr>
                        <wps:bodyPr upright="1"/>
                      </wps:wsp>
                      <wps:wsp>
                        <wps:cNvPr id="124" name="文本框 124"/>
                        <wps:cNvSpPr txBox="1"/>
                        <wps:spPr>
                          <a:xfrm>
                            <a:off x="2841625" y="2968625"/>
                            <a:ext cx="921385" cy="266700"/>
                          </a:xfrm>
                          <a:prstGeom prst="rect">
                            <a:avLst/>
                          </a:prstGeom>
                          <a:noFill/>
                          <a:ln>
                            <a:noFill/>
                          </a:ln>
                        </wps:spPr>
                        <wps:txbx>
                          <w:txbxContent>
                            <w:p w14:paraId="4F5BEEB0">
                              <w:pPr>
                                <w:rPr>
                                  <w:rFonts w:hint="default" w:eastAsia="宋体"/>
                                  <w:sz w:val="21"/>
                                  <w:szCs w:val="21"/>
                                  <w:lang w:val="en-US" w:eastAsia="zh-CN"/>
                                </w:rPr>
                              </w:pPr>
                              <w:r>
                                <w:rPr>
                                  <w:rFonts w:hint="eastAsia" w:eastAsia="宋体"/>
                                  <w:sz w:val="21"/>
                                  <w:szCs w:val="21"/>
                                  <w:lang w:val="en-US" w:eastAsia="zh-CN"/>
                                </w:rPr>
                                <w:t>补加NaClO</w:t>
                              </w:r>
                            </w:p>
                          </w:txbxContent>
                        </wps:txbx>
                        <wps:bodyPr upright="1"/>
                      </wps:wsp>
                      <wps:wsp>
                        <wps:cNvPr id="125" name="直接连接符 125"/>
                        <wps:cNvCnPr/>
                        <wps:spPr>
                          <a:xfrm rot="7200000" flipV="1">
                            <a:off x="4312920" y="3249295"/>
                            <a:ext cx="292100" cy="165100"/>
                          </a:xfrm>
                          <a:prstGeom prst="line">
                            <a:avLst/>
                          </a:prstGeom>
                          <a:ln w="9525" cap="flat" cmpd="sng">
                            <a:solidFill>
                              <a:srgbClr val="000000"/>
                            </a:solidFill>
                            <a:prstDash val="dash"/>
                            <a:headEnd type="none" w="med" len="med"/>
                            <a:tailEnd type="triangle" w="med" len="lg"/>
                          </a:ln>
                        </wps:spPr>
                        <wps:bodyPr upright="1"/>
                      </wps:wsp>
                      <wps:wsp>
                        <wps:cNvPr id="126" name="文本框 126"/>
                        <wps:cNvSpPr txBox="1"/>
                        <wps:spPr>
                          <a:xfrm>
                            <a:off x="3994785" y="2910205"/>
                            <a:ext cx="921385" cy="266700"/>
                          </a:xfrm>
                          <a:prstGeom prst="rect">
                            <a:avLst/>
                          </a:prstGeom>
                          <a:noFill/>
                          <a:ln>
                            <a:noFill/>
                          </a:ln>
                        </wps:spPr>
                        <wps:txbx>
                          <w:txbxContent>
                            <w:p w14:paraId="1F8EC2EF">
                              <w:pPr>
                                <w:rPr>
                                  <w:rFonts w:hint="default" w:eastAsia="宋体"/>
                                  <w:sz w:val="21"/>
                                  <w:szCs w:val="21"/>
                                  <w:lang w:val="en-US" w:eastAsia="zh-CN"/>
                                </w:rPr>
                              </w:pPr>
                              <w:r>
                                <w:rPr>
                                  <w:rFonts w:hint="eastAsia" w:eastAsia="宋体"/>
                                  <w:sz w:val="21"/>
                                  <w:szCs w:val="21"/>
                                  <w:lang w:val="en-US" w:eastAsia="zh-CN"/>
                                </w:rPr>
                                <w:t>主加NaClO</w:t>
                              </w:r>
                            </w:p>
                          </w:txbxContent>
                        </wps:txbx>
                        <wps:bodyPr upright="1"/>
                      </wps:wsp>
                      <wps:wsp>
                        <wps:cNvPr id="127" name="直接连接符 127"/>
                        <wps:cNvCnPr/>
                        <wps:spPr>
                          <a:xfrm flipV="1">
                            <a:off x="5255895" y="2125980"/>
                            <a:ext cx="0" cy="1238250"/>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28" name="直接连接符 128"/>
                        <wps:cNvCnPr/>
                        <wps:spPr>
                          <a:xfrm flipH="1" flipV="1">
                            <a:off x="4163695" y="2131695"/>
                            <a:ext cx="635" cy="44386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29" name="直接连接符 129"/>
                        <wps:cNvCnPr/>
                        <wps:spPr>
                          <a:xfrm flipH="1" flipV="1">
                            <a:off x="5034280" y="2560320"/>
                            <a:ext cx="4445" cy="794385"/>
                          </a:xfrm>
                          <a:prstGeom prst="line">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130" name="直接连接符 130"/>
                        <wps:cNvCnPr/>
                        <wps:spPr>
                          <a:xfrm>
                            <a:off x="4164965" y="2564765"/>
                            <a:ext cx="87884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31" name="文本框 131"/>
                        <wps:cNvSpPr txBox="1"/>
                        <wps:spPr>
                          <a:xfrm>
                            <a:off x="4132580" y="2333625"/>
                            <a:ext cx="921385" cy="266700"/>
                          </a:xfrm>
                          <a:prstGeom prst="rect">
                            <a:avLst/>
                          </a:prstGeom>
                          <a:noFill/>
                          <a:ln>
                            <a:noFill/>
                          </a:ln>
                        </wps:spPr>
                        <wps:txbx>
                          <w:txbxContent>
                            <w:p w14:paraId="28AD08D6">
                              <w:pPr>
                                <w:rPr>
                                  <w:rFonts w:hint="default" w:eastAsia="宋体"/>
                                  <w:sz w:val="21"/>
                                  <w:szCs w:val="21"/>
                                  <w:lang w:val="en-US" w:eastAsia="zh-CN"/>
                                </w:rPr>
                              </w:pPr>
                              <w:r>
                                <w:rPr>
                                  <w:rFonts w:hint="eastAsia" w:eastAsia="宋体"/>
                                  <w:sz w:val="21"/>
                                  <w:szCs w:val="21"/>
                                  <w:lang w:val="en-US" w:eastAsia="zh-CN"/>
                                </w:rPr>
                                <w:t>反冲洗水</w:t>
                              </w:r>
                            </w:p>
                          </w:txbxContent>
                        </wps:txbx>
                        <wps:bodyPr upright="1"/>
                      </wps:wsp>
                      <wps:wsp>
                        <wps:cNvPr id="260" name="文本框 260"/>
                        <wps:cNvSpPr txBox="1"/>
                        <wps:spPr>
                          <a:xfrm>
                            <a:off x="2776220" y="4418330"/>
                            <a:ext cx="85979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72C06">
                              <w:pPr>
                                <w:rPr>
                                  <w:rFonts w:hint="eastAsia" w:eastAsia="宋体"/>
                                  <w:sz w:val="21"/>
                                  <w:szCs w:val="21"/>
                                  <w:lang w:val="en-US" w:eastAsia="zh-CN"/>
                                </w:rPr>
                              </w:pPr>
                              <w:r>
                                <w:rPr>
                                  <w:rFonts w:hint="eastAsia" w:eastAsia="宋体"/>
                                  <w:sz w:val="21"/>
                                  <w:szCs w:val="21"/>
                                  <w:lang w:val="en-US" w:eastAsia="zh-CN"/>
                                </w:rPr>
                                <w:t>油水分离器</w:t>
                              </w:r>
                            </w:p>
                          </w:txbxContent>
                        </wps:txbx>
                        <wps:bodyPr upright="1"/>
                      </wps:wsp>
                      <wps:wsp>
                        <wps:cNvPr id="261" name="文本框 261"/>
                        <wps:cNvSpPr txBox="1"/>
                        <wps:spPr>
                          <a:xfrm>
                            <a:off x="4189730" y="4385310"/>
                            <a:ext cx="921385" cy="266700"/>
                          </a:xfrm>
                          <a:prstGeom prst="rect">
                            <a:avLst/>
                          </a:prstGeom>
                          <a:noFill/>
                          <a:ln>
                            <a:noFill/>
                          </a:ln>
                        </wps:spPr>
                        <wps:txbx>
                          <w:txbxContent>
                            <w:p w14:paraId="4E14D4FD">
                              <w:pPr>
                                <w:rPr>
                                  <w:rFonts w:hint="default" w:eastAsia="宋体"/>
                                  <w:sz w:val="21"/>
                                  <w:szCs w:val="21"/>
                                  <w:lang w:val="en-US" w:eastAsia="zh-CN"/>
                                </w:rPr>
                              </w:pPr>
                              <w:r>
                                <w:rPr>
                                  <w:rFonts w:hint="eastAsia" w:eastAsia="宋体"/>
                                  <w:sz w:val="21"/>
                                  <w:szCs w:val="21"/>
                                  <w:lang w:val="en-US" w:eastAsia="zh-CN"/>
                                </w:rPr>
                                <w:t>食堂废水</w:t>
                              </w:r>
                            </w:p>
                          </w:txbxContent>
                        </wps:txbx>
                        <wps:bodyPr upright="1"/>
                      </wps:wsp>
                      <wps:wsp>
                        <wps:cNvPr id="262" name="直接连接符 262"/>
                        <wps:cNvCnPr/>
                        <wps:spPr>
                          <a:xfrm rot="10800000" flipV="1">
                            <a:off x="997585" y="4537075"/>
                            <a:ext cx="571500" cy="0"/>
                          </a:xfrm>
                          <a:prstGeom prst="line">
                            <a:avLst/>
                          </a:prstGeom>
                          <a:ln w="9525" cap="flat" cmpd="sng">
                            <a:solidFill>
                              <a:srgbClr val="000000"/>
                            </a:solidFill>
                            <a:prstDash val="solid"/>
                            <a:headEnd type="none" w="med" len="med"/>
                            <a:tailEnd type="triangle" w="med" len="lg"/>
                          </a:ln>
                        </wps:spPr>
                        <wps:bodyPr upright="1"/>
                      </wps:wsp>
                      <wps:wsp>
                        <wps:cNvPr id="263" name="文本框 263"/>
                        <wps:cNvSpPr txBox="1"/>
                        <wps:spPr>
                          <a:xfrm>
                            <a:off x="0" y="4307205"/>
                            <a:ext cx="1014730" cy="4781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FE577D">
                              <w:pPr>
                                <w:jc w:val="center"/>
                                <w:rPr>
                                  <w:rFonts w:hint="eastAsia" w:eastAsia="宋体"/>
                                  <w:sz w:val="21"/>
                                  <w:szCs w:val="21"/>
                                  <w:lang w:val="en-US" w:eastAsia="zh-CN"/>
                                </w:rPr>
                              </w:pPr>
                              <w:r>
                                <w:rPr>
                                  <w:rFonts w:hint="eastAsia" w:eastAsia="宋体"/>
                                  <w:sz w:val="21"/>
                                  <w:szCs w:val="21"/>
                                  <w:lang w:val="en-US" w:eastAsia="zh-CN"/>
                                </w:rPr>
                                <w:t>生活污水一体化处理装置</w:t>
                              </w:r>
                            </w:p>
                          </w:txbxContent>
                        </wps:txbx>
                        <wps:bodyPr upright="1"/>
                      </wps:wsp>
                      <wps:wsp>
                        <wps:cNvPr id="264" name="直接连接符 264"/>
                        <wps:cNvCnPr/>
                        <wps:spPr>
                          <a:xfrm flipV="1">
                            <a:off x="459105" y="3972560"/>
                            <a:ext cx="6350" cy="325755"/>
                          </a:xfrm>
                          <a:prstGeom prst="line">
                            <a:avLst/>
                          </a:prstGeom>
                          <a:ln w="9525" cap="flat" cmpd="sng">
                            <a:solidFill>
                              <a:srgbClr val="000000"/>
                            </a:solidFill>
                            <a:prstDash val="solid"/>
                            <a:headEnd type="none" w="med" len="med"/>
                            <a:tailEnd type="triangle" w="med" len="lg"/>
                          </a:ln>
                        </wps:spPr>
                        <wps:bodyPr upright="1"/>
                      </wps:wsp>
                      <wps:wsp>
                        <wps:cNvPr id="265" name="文本框 265"/>
                        <wps:cNvSpPr txBox="1"/>
                        <wps:spPr>
                          <a:xfrm>
                            <a:off x="2037080" y="3941445"/>
                            <a:ext cx="1003300" cy="266700"/>
                          </a:xfrm>
                          <a:prstGeom prst="rect">
                            <a:avLst/>
                          </a:prstGeom>
                          <a:solidFill>
                            <a:srgbClr val="FFFFFF"/>
                          </a:solidFill>
                          <a:ln w="9525" cap="flat" cmpd="sng">
                            <a:noFill/>
                            <a:prstDash val="solid"/>
                            <a:miter/>
                            <a:headEnd type="none" w="med" len="med"/>
                            <a:tailEnd type="none" w="med" len="med"/>
                          </a:ln>
                        </wps:spPr>
                        <wps:txbx>
                          <w:txbxContent>
                            <w:p w14:paraId="4F5C66E9">
                              <w:pPr>
                                <w:rPr>
                                  <w:rFonts w:hint="eastAsia" w:eastAsia="宋体"/>
                                  <w:sz w:val="21"/>
                                  <w:szCs w:val="21"/>
                                  <w:lang w:val="en-US" w:eastAsia="zh-CN"/>
                                </w:rPr>
                              </w:pPr>
                              <w:r>
                                <w:rPr>
                                  <w:rFonts w:hint="eastAsia" w:eastAsia="宋体"/>
                                  <w:sz w:val="21"/>
                                  <w:szCs w:val="21"/>
                                  <w:lang w:val="en-US" w:eastAsia="zh-CN"/>
                                </w:rPr>
                                <w:t>其它生活污水</w:t>
                              </w:r>
                            </w:p>
                          </w:txbxContent>
                        </wps:txbx>
                        <wps:bodyPr upright="1"/>
                      </wps:wsp>
                      <wps:wsp>
                        <wps:cNvPr id="266" name="文本框 266"/>
                        <wps:cNvSpPr txBox="1"/>
                        <wps:spPr>
                          <a:xfrm>
                            <a:off x="1586230" y="4419600"/>
                            <a:ext cx="6223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1E7D05">
                              <w:pPr>
                                <w:jc w:val="center"/>
                                <w:rPr>
                                  <w:rFonts w:hint="default" w:eastAsia="宋体"/>
                                  <w:sz w:val="21"/>
                                  <w:szCs w:val="21"/>
                                  <w:lang w:val="en-US" w:eastAsia="zh-CN"/>
                                </w:rPr>
                              </w:pPr>
                              <w:r>
                                <w:rPr>
                                  <w:rFonts w:hint="eastAsia" w:eastAsia="宋体"/>
                                  <w:sz w:val="21"/>
                                  <w:szCs w:val="21"/>
                                  <w:lang w:val="en-US" w:eastAsia="zh-CN"/>
                                </w:rPr>
                                <w:t>化粪池</w:t>
                              </w:r>
                            </w:p>
                          </w:txbxContent>
                        </wps:txbx>
                        <wps:bodyPr upright="1"/>
                      </wps:wsp>
                      <wps:wsp>
                        <wps:cNvPr id="267" name="直接连接符 267"/>
                        <wps:cNvCnPr/>
                        <wps:spPr>
                          <a:xfrm rot="10800000" flipV="1">
                            <a:off x="2204085" y="4553585"/>
                            <a:ext cx="571500" cy="0"/>
                          </a:xfrm>
                          <a:prstGeom prst="line">
                            <a:avLst/>
                          </a:prstGeom>
                          <a:ln w="9525" cap="flat" cmpd="sng">
                            <a:solidFill>
                              <a:srgbClr val="000000"/>
                            </a:solidFill>
                            <a:prstDash val="solid"/>
                            <a:headEnd type="none" w="med" len="med"/>
                            <a:tailEnd type="triangle" w="med" len="lg"/>
                          </a:ln>
                        </wps:spPr>
                        <wps:bodyPr upright="1"/>
                      </wps:wsp>
                      <wps:wsp>
                        <wps:cNvPr id="268" name="直接连接符 268"/>
                        <wps:cNvCnPr/>
                        <wps:spPr>
                          <a:xfrm>
                            <a:off x="2497455" y="4180205"/>
                            <a:ext cx="1270" cy="347980"/>
                          </a:xfrm>
                          <a:prstGeom prst="line">
                            <a:avLst/>
                          </a:prstGeom>
                          <a:ln w="9525" cap="flat" cmpd="sng">
                            <a:solidFill>
                              <a:srgbClr val="000000"/>
                            </a:solidFill>
                            <a:prstDash val="solid"/>
                            <a:headEnd type="none" w="med" len="med"/>
                            <a:tailEnd type="triangle" w="med" len="lg"/>
                          </a:ln>
                        </wps:spPr>
                        <wps:bodyPr upright="1"/>
                      </wps:wsp>
                      <wps:wsp>
                        <wps:cNvPr id="269" name="直接连接符 269"/>
                        <wps:cNvCnPr/>
                        <wps:spPr>
                          <a:xfrm rot="10800000" flipV="1">
                            <a:off x="3635375" y="4530725"/>
                            <a:ext cx="571500" cy="0"/>
                          </a:xfrm>
                          <a:prstGeom prst="line">
                            <a:avLst/>
                          </a:prstGeom>
                          <a:ln w="9525" cap="flat" cmpd="sng">
                            <a:solidFill>
                              <a:srgbClr val="000000"/>
                            </a:solidFill>
                            <a:prstDash val="solid"/>
                            <a:headEnd type="none" w="med" len="med"/>
                            <a:tailEnd type="triangle" w="med" len="lg"/>
                          </a:ln>
                        </wps:spPr>
                        <wps:bodyPr upright="1"/>
                      </wps:wsp>
                      <wps:wsp>
                        <wps:cNvPr id="64" name="文本框 64"/>
                        <wps:cNvSpPr txBox="1"/>
                        <wps:spPr>
                          <a:xfrm>
                            <a:off x="3589655" y="3919855"/>
                            <a:ext cx="637540" cy="266700"/>
                          </a:xfrm>
                          <a:prstGeom prst="rect">
                            <a:avLst/>
                          </a:prstGeom>
                          <a:noFill/>
                          <a:ln>
                            <a:noFill/>
                          </a:ln>
                        </wps:spPr>
                        <wps:txbx>
                          <w:txbxContent>
                            <w:p w14:paraId="64C0253F">
                              <w:pPr>
                                <w:rPr>
                                  <w:rFonts w:hint="default" w:eastAsia="宋体"/>
                                  <w:sz w:val="21"/>
                                  <w:szCs w:val="21"/>
                                  <w:lang w:val="en-US" w:eastAsia="zh-CN"/>
                                </w:rPr>
                              </w:pPr>
                              <w:r>
                                <w:rPr>
                                  <w:rFonts w:hint="eastAsia"/>
                                  <w:sz w:val="21"/>
                                  <w:szCs w:val="21"/>
                                  <w:lang w:val="en-US" w:eastAsia="zh-CN"/>
                                </w:rPr>
                                <w:t>雨水井</w:t>
                              </w:r>
                            </w:p>
                          </w:txbxContent>
                        </wps:txbx>
                        <wps:bodyPr upright="1"/>
                      </wps:wsp>
                    </wpc:wpc>
                  </a:graphicData>
                </a:graphic>
              </wp:inline>
            </w:drawing>
          </mc:Choice>
          <mc:Fallback>
            <w:pict>
              <v:group id="_x0000_s1026" o:spid="_x0000_s1026" o:spt="203" style="height:379.4pt;width:453.95pt;" coordsize="5765165,4818380" editas="canvas" o:gfxdata="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">
                <o:lock v:ext="edit" aspectratio="f"/>
                <v:shape id="_x0000_s1026" o:spid="_x0000_s1026" style="position:absolute;left:0;top:0;height:4818380;width:5765165;" filled="f" stroked="f" coordsize="21600,21600" o:gfxdata="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">
                  <v:fill on="f" focussize="0,0"/>
                  <v:stroke on="f" weight="0.5pt"/>
                  <v:imagedata o:title=""/>
                  <o:lock v:ext="edit" aspectratio="t"/>
                </v:shape>
                <v:shape id="_x0000_s1026" o:spid="_x0000_s1026" o:spt="202" type="#_x0000_t202" style="position:absolute;left:0;top:111125;height:498475;width:1776730;" fillcolor="#FFFFFF" filled="t" stroked="f" coordsize="21600,21600" o:gfxdata="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vZWq1AAAAAUBAAAPAAAAAAAAAAEAIAAAACIAAABk&#10;cnMvZG93bnJldi54bWxQSwECFAAUAAAACACHTuJAUbd1JgoCAAAUBAAADgAAAAAAAAABACAAAAAj&#10;AQAAZHJzL2Uyb0RvYy54bWxQSwUGAAAAAAYABgBZAQAAnwUAAAAA&#10;">
                  <v:fill on="t" focussize="0,0"/>
                  <v:stroke on="f" joinstyle="miter"/>
                  <v:imagedata o:title=""/>
                  <o:lock v:ext="edit" aspectratio="f"/>
                  <v:textbox>
                    <w:txbxContent>
                      <w:p w14:paraId="11CEAB86">
                        <w:pPr>
                          <w:jc w:val="center"/>
                          <w:rPr>
                            <w:rFonts w:hint="eastAsia"/>
                            <w:sz w:val="21"/>
                            <w:szCs w:val="21"/>
                            <w:lang w:val="en-US" w:eastAsia="zh-CN"/>
                          </w:rPr>
                        </w:pPr>
                        <w:r>
                          <w:rPr>
                            <w:rFonts w:hint="eastAsia"/>
                            <w:sz w:val="21"/>
                            <w:szCs w:val="21"/>
                            <w:lang w:val="en-US" w:eastAsia="zh-CN"/>
                          </w:rPr>
                          <w:t>西南郊引水管网20万m</w:t>
                        </w:r>
                        <w:r>
                          <w:rPr>
                            <w:rFonts w:hint="eastAsia"/>
                            <w:sz w:val="21"/>
                            <w:szCs w:val="21"/>
                            <w:vertAlign w:val="superscript"/>
                            <w:lang w:val="en-US" w:eastAsia="zh-CN"/>
                          </w:rPr>
                          <w:t>3</w:t>
                        </w:r>
                        <w:r>
                          <w:rPr>
                            <w:rFonts w:hint="eastAsia"/>
                            <w:sz w:val="21"/>
                            <w:szCs w:val="21"/>
                            <w:lang w:val="en-US" w:eastAsia="zh-CN"/>
                          </w:rPr>
                          <w:t>/d</w:t>
                        </w:r>
                      </w:p>
                      <w:p w14:paraId="20209687">
                        <w:pPr>
                          <w:jc w:val="center"/>
                          <w:rPr>
                            <w:rFonts w:hint="eastAsia"/>
                            <w:sz w:val="21"/>
                            <w:szCs w:val="21"/>
                            <w:lang w:val="en-US" w:eastAsia="zh-CN"/>
                          </w:rPr>
                        </w:pPr>
                        <w:r>
                          <w:rPr>
                            <w:rFonts w:hint="eastAsia"/>
                            <w:sz w:val="21"/>
                            <w:szCs w:val="21"/>
                            <w:lang w:val="en-US" w:eastAsia="zh-CN"/>
                          </w:rPr>
                          <w:t>黑河渠道20万m</w:t>
                        </w:r>
                        <w:r>
                          <w:rPr>
                            <w:rFonts w:hint="eastAsia"/>
                            <w:sz w:val="21"/>
                            <w:szCs w:val="21"/>
                            <w:vertAlign w:val="superscript"/>
                            <w:lang w:val="en-US" w:eastAsia="zh-CN"/>
                          </w:rPr>
                          <w:t>3</w:t>
                        </w:r>
                        <w:r>
                          <w:rPr>
                            <w:rFonts w:hint="eastAsia"/>
                            <w:sz w:val="21"/>
                            <w:szCs w:val="21"/>
                            <w:lang w:val="en-US" w:eastAsia="zh-CN"/>
                          </w:rPr>
                          <w:t>/d</w:t>
                        </w:r>
                      </w:p>
                    </w:txbxContent>
                  </v:textbox>
                </v:shape>
                <v:line id="_x0000_s1026" o:spid="_x0000_s1026" o:spt="20" style="position:absolute;left:3494405;top:1973580;flip:x y;height:4445;width:318770;" filled="f" stroked="t" coordsize="21600,21600" o:gfxdata="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RUB6a1gAAAAUBAAAPAAAA&#10;AAAAAAEAIAAAACIAAABkcnMvZG93bnJldi54bWxQSwECFAAUAAAACACHTuJAzLVv7hcCAAALBAAA&#10;DgAAAAAAAAABACAAAAAlAQAAZHJzL2Uyb0RvYy54bWxQSwUGAAAAAAYABgBZAQAArgUAAAAA&#10;">
                  <v:fill on="f" focussize="0,0"/>
                  <v:stroke color="#000000" joinstyle="round" endarrow="block" endarrowlength="long"/>
                  <v:imagedata o:title=""/>
                  <o:lock v:ext="edit" aspectratio="f"/>
                </v:line>
                <v:shape id="_x0000_s1026" o:spid="_x0000_s1026" o:spt="202" type="#_x0000_t202" style="position:absolute;left:118110;top:1019810;height:266700;width:75628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9tKd1gAAAAUBAAAPAAAAAAAA&#10;AAEAIAAAACIAAABkcnMvZG93bnJldi54bWxQSwECFAAUAAAACACHTuJAYGvtCRQCAABCBAAADgAA&#10;AAAAAAABACAAAAAlAQAAZHJzL2Uyb0RvYy54bWxQSwUGAAAAAAYABgBZAQAAqwUAAAAA&#10;">
                  <v:fill on="t" focussize="0,0"/>
                  <v:stroke color="#000000" joinstyle="miter"/>
                  <v:imagedata o:title=""/>
                  <o:lock v:ext="edit" aspectratio="f"/>
                  <v:textbox>
                    <w:txbxContent>
                      <w:p w14:paraId="25616911">
                        <w:pPr>
                          <w:jc w:val="center"/>
                          <w:rPr>
                            <w:rFonts w:hint="default" w:eastAsia="宋体"/>
                            <w:sz w:val="21"/>
                            <w:szCs w:val="21"/>
                            <w:lang w:val="en-US" w:eastAsia="zh-CN"/>
                          </w:rPr>
                        </w:pPr>
                        <w:r>
                          <w:rPr>
                            <w:rFonts w:hint="eastAsia" w:eastAsia="宋体"/>
                            <w:sz w:val="21"/>
                            <w:szCs w:val="21"/>
                            <w:lang w:val="en-US" w:eastAsia="zh-CN"/>
                          </w:rPr>
                          <w:t>总进水井</w:t>
                        </w:r>
                      </w:p>
                    </w:txbxContent>
                  </v:textbox>
                </v:shape>
                <v:shape id="_x0000_s1026" o:spid="_x0000_s1026" o:spt="202" type="#_x0000_t202" style="position:absolute;left:5162550;top:2361565;height:647065;width:36131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Bi4PJG4AQAAWwMAAA4AAAAAAAAAAQAgAAAAIgEAAGRycy9lMm9Eb2MueG1sUEsFBgAAAAAG&#10;AAYAWQEAAEwFAAAAAA==&#10;">
                  <v:fill on="f" focussize="0,0"/>
                  <v:stroke on="f"/>
                  <v:imagedata o:title=""/>
                  <o:lock v:ext="edit" aspectratio="f"/>
                  <v:textbox>
                    <w:txbxContent>
                      <w:p w14:paraId="5C444B58">
                        <w:pPr>
                          <w:jc w:val="center"/>
                          <w:rPr>
                            <w:rFonts w:hint="default" w:eastAsia="宋体"/>
                            <w:sz w:val="21"/>
                            <w:szCs w:val="21"/>
                            <w:lang w:val="en-US" w:eastAsia="zh-CN"/>
                          </w:rPr>
                        </w:pPr>
                        <w:r>
                          <w:rPr>
                            <w:rFonts w:hint="eastAsia" w:eastAsia="宋体"/>
                            <w:sz w:val="21"/>
                            <w:szCs w:val="21"/>
                            <w:lang w:val="en-US" w:eastAsia="zh-CN"/>
                          </w:rPr>
                          <w:t>初滤水</w:t>
                        </w:r>
                      </w:p>
                    </w:txbxContent>
                  </v:textbox>
                </v:shape>
                <v:line id="_x0000_s1026" o:spid="_x0000_s1026" o:spt="20" style="position:absolute;left:879475;top:1147445;flip:y;height:0;width:57150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MUsd9YAAAAFAQAADwAAAAAAAAAB&#10;ACAAAAAiAAAAZHJzL2Rvd25yZXYueG1sUEsBAhQAFAAAAAgAh07iQAH84TgSAgAA/QMAAA4AAAAA&#10;AAAAAQAgAAAAJQEAAGRycy9lMm9Eb2MueG1sUEsFBgAAAAAGAAYAWQEAAKkFAAAAAA==&#10;">
                  <v:fill on="f" focussize="0,0"/>
                  <v:stroke color="#000000" joinstyle="round" endarrow="block" endarrowlength="long"/>
                  <v:imagedata o:title=""/>
                  <o:lock v:ext="edit" aspectratio="f"/>
                </v:line>
                <v:line id="_x0000_s1026" o:spid="_x0000_s1026" o:spt="20" style="position:absolute;left:2567305;top:1139825;flip:y;height:0;width:57150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xSx31gAAAAUBAAAPAAAAAAAA&#10;AAEAIAAAACIAAABkcnMvZG93bnJldi54bWxQSwECFAAUAAAACACHTuJAxStMNBQCAAD+AwAADgAA&#10;AAAAAAABACAAAAAlAQAAZHJzL2Uyb0RvYy54bWxQSwUGAAAAAAYABgBZAQAAqwUAAAAA&#10;">
                  <v:fill on="f" focussize="0,0"/>
                  <v:stroke color="#000000" joinstyle="round" endarrow="block" endarrowlength="long"/>
                  <v:imagedata o:title=""/>
                  <o:lock v:ext="edit" aspectratio="f"/>
                </v:line>
                <v:line id="_x0000_s1026" o:spid="_x0000_s1026" o:spt="20" style="position:absolute;left:5662295;top:1558290;flip:x;height:1818640;width:12065;"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MUsd9YAAAAFAQAADwAAAAAA&#10;AAABACAAAAAiAAAAZHJzL2Rvd25yZXYueG1sUEsBAhQAFAAAAAgAh07iQCzhezcVAgAAAwQAAA4A&#10;AAAAAAAAAQAgAAAAJQEAAGRycy9lMm9Eb2MueG1sUEsFBgAAAAAGAAYAWQEAAKwFAAAAAA==&#10;">
                  <v:fill on="f" focussize="0,0"/>
                  <v:stroke color="#000000" joinstyle="round" endarrow="block" endarrowlength="long"/>
                  <v:imagedata o:title=""/>
                  <o:lock v:ext="edit" aspectratio="f"/>
                </v:line>
                <v:shape id="_x0000_s1026" o:spid="_x0000_s1026" o:spt="202" type="#_x0000_t202" style="position:absolute;left:4723130;top:706120;height:838200;width:104140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fbSndYAAAAFAQAADwAAAAAA&#10;AAABACAAAAAiAAAAZHJzL2Rvd25yZXYueG1sUEsBAhQAFAAAAAgAh07iQLQ7LxYVAgAAQwQAAA4A&#10;AAAAAAAAAQAgAAAAJQEAAGRycy9lMm9Eb2MueG1sUEsFBgAAAAAGAAYAWQEAAKwFAAAAAA==&#10;">
                  <v:fill on="t" focussize="0,0"/>
                  <v:stroke color="#000000" joinstyle="miter"/>
                  <v:imagedata o:title=""/>
                  <o:lock v:ext="edit" aspectratio="f"/>
                  <v:textbox>
                    <w:txbxContent>
                      <w:p w14:paraId="52769E75">
                        <w:pPr>
                          <w:jc w:val="center"/>
                          <w:rPr>
                            <w:rFonts w:hint="default"/>
                            <w:sz w:val="21"/>
                            <w:szCs w:val="21"/>
                            <w:lang w:val="en-US" w:eastAsia="zh-CN"/>
                          </w:rPr>
                        </w:pPr>
                        <w:r>
                          <w:rPr>
                            <w:rFonts w:hint="eastAsia"/>
                            <w:sz w:val="21"/>
                            <w:szCs w:val="21"/>
                            <w:lang w:val="en-US" w:eastAsia="zh-CN"/>
                          </w:rPr>
                          <w:t>机械混合池、折板絮凝池、平流沉淀段+斜管沉淀池</w:t>
                        </w:r>
                      </w:p>
                    </w:txbxContent>
                  </v:textbox>
                </v:shape>
                <v:line id="_x0000_s1026" o:spid="_x0000_s1026" o:spt="20" style="position:absolute;left:965835;top:895985;flip:y;height:165100;width:292100;rotation:-7864320f;" filled="f" stroked="t" coordsize="21600,21600" o:gfxdata="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lE28v1gAAAAUBAAAP&#10;AAAAAAAAAAEAIAAAACIAAABkcnMvZG93bnJldi54bWxQSwECFAAUAAAACACHTuJA/oIcVxoCAAAO&#10;BAAADgAAAAAAAAABACAAAAAlAQAAZHJzL2Uyb0RvYy54bWxQSwUGAAAAAAYABgBZAQAAsQUAAAAA&#10;">
                  <v:fill on="f" focussize="0,0"/>
                  <v:stroke color="#000000" joinstyle="round" dashstyle="dash" endarrow="block" endarrowlength="long"/>
                  <v:imagedata o:title=""/>
                  <o:lock v:ext="edit" aspectratio="f"/>
                </v:line>
                <v:shape id="_x0000_s1026" o:spid="_x0000_s1026" o:spt="202" type="#_x0000_t202" style="position:absolute;left:19050;top:633095;height:266700;width:50673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LF&#10;jiDTAAAABQEAAA8AAAAAAAAAAQAgAAAAIgAAAGRycy9kb3ducmV2LnhtbFBLAQIUABQAAAAIAIdO&#10;4kCgdXedtgEAAFgDAAAOAAAAAAAAAAEAIAAAACIBAABkcnMvZTJvRG9jLnhtbFBLBQYAAAAABgAG&#10;AFkBAABKBQAAAAA=&#10;">
                  <v:fill on="f" focussize="0,0"/>
                  <v:stroke on="f"/>
                  <v:imagedata o:title=""/>
                  <o:lock v:ext="edit" aspectratio="f"/>
                  <v:textbox>
                    <w:txbxContent>
                      <w:p w14:paraId="6D490294">
                        <w:pPr>
                          <w:rPr>
                            <w:rFonts w:hint="default" w:eastAsia="宋体"/>
                            <w:sz w:val="21"/>
                            <w:szCs w:val="21"/>
                            <w:lang w:val="en-US" w:eastAsia="zh-CN"/>
                          </w:rPr>
                        </w:pPr>
                        <w:r>
                          <w:rPr>
                            <w:rFonts w:hint="eastAsia" w:eastAsia="宋体"/>
                            <w:sz w:val="21"/>
                            <w:szCs w:val="21"/>
                            <w:lang w:val="en-US" w:eastAsia="zh-CN"/>
                          </w:rPr>
                          <w:t>原水</w:t>
                        </w:r>
                      </w:p>
                    </w:txbxContent>
                  </v:textbox>
                </v:shape>
                <v:shape id="_x0000_s1026" o:spid="_x0000_s1026" o:spt="202" type="#_x0000_t202" style="position:absolute;left:3435985;top:1730375;height:266700;width:51816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LFjiDTAAAABQEAAA8AAAAAAAAAAQAgAAAAIgAAAGRycy9kb3ducmV2LnhtbFBLAQIUABQA&#10;AAAIAIdO4kBfpK8zvAEAAFsDAAAOAAAAAAAAAAEAIAAAACIBAABkcnMvZTJvRG9jLnhtbFBLBQYA&#10;AAAABgAGAFkBAABQBQAAAAA=&#10;">
                  <v:fill on="f" focussize="0,0"/>
                  <v:stroke on="f"/>
                  <v:imagedata o:title=""/>
                  <o:lock v:ext="edit" aspectratio="f"/>
                  <v:textbox>
                    <w:txbxContent>
                      <w:p w14:paraId="7707FF0D">
                        <w:pPr>
                          <w:rPr>
                            <w:rFonts w:hint="default" w:eastAsia="宋体"/>
                            <w:sz w:val="21"/>
                            <w:szCs w:val="21"/>
                            <w:lang w:val="en-US" w:eastAsia="zh-CN"/>
                          </w:rPr>
                        </w:pPr>
                        <w:r>
                          <w:rPr>
                            <w:rFonts w:hint="eastAsia" w:eastAsia="宋体"/>
                            <w:sz w:val="21"/>
                            <w:szCs w:val="21"/>
                            <w:lang w:val="en-US" w:eastAsia="zh-CN"/>
                          </w:rPr>
                          <w:t>底泥</w:t>
                        </w:r>
                      </w:p>
                    </w:txbxContent>
                  </v:textbox>
                </v:shape>
                <v:shape id="_x0000_s1026" o:spid="_x0000_s1026" o:spt="202" type="#_x0000_t202" style="position:absolute;left:707390;top:583565;height:266700;width:92138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CiO+h5uQEAAFkDAAAOAAAAAAAAAAEAIAAAACIBAABkcnMvZTJvRG9jLnhtbFBLBQYAAAAA&#10;BgAGAFkBAABNBQAAAAA=&#10;">
                  <v:fill on="f" focussize="0,0"/>
                  <v:stroke on="f"/>
                  <v:imagedata o:title=""/>
                  <o:lock v:ext="edit" aspectratio="f"/>
                  <v:textbox>
                    <w:txbxContent>
                      <w:p w14:paraId="0C6C0512">
                        <w:pPr>
                          <w:rPr>
                            <w:rFonts w:hint="default" w:eastAsia="宋体"/>
                            <w:sz w:val="21"/>
                            <w:szCs w:val="21"/>
                            <w:lang w:val="en-US" w:eastAsia="zh-CN"/>
                          </w:rPr>
                        </w:pPr>
                        <w:r>
                          <w:rPr>
                            <w:rFonts w:hint="eastAsia" w:eastAsia="宋体"/>
                            <w:sz w:val="21"/>
                            <w:szCs w:val="21"/>
                            <w:lang w:val="en-US" w:eastAsia="zh-CN"/>
                          </w:rPr>
                          <w:t>预加NaClO</w:t>
                        </w:r>
                      </w:p>
                    </w:txbxContent>
                  </v:textbox>
                </v:shape>
                <v:shape id="_x0000_s1026" o:spid="_x0000_s1026" o:spt="202" type="#_x0000_t202" style="position:absolute;left:2444115;top:1306195;height:261620;width:53911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CFM+w2uQEAAFsDAAAOAAAAAAAAAAEAIAAAACIBAABkcnMvZTJvRG9jLnhtbFBLBQYAAAAA&#10;BgAGAFkBAABNBQAAAAA=&#10;">
                  <v:fill on="f" focussize="0,0"/>
                  <v:stroke on="f"/>
                  <v:imagedata o:title=""/>
                  <o:lock v:ext="edit" aspectratio="f"/>
                  <v:textbox>
                    <w:txbxContent>
                      <w:p w14:paraId="3157E387">
                        <w:pPr>
                          <w:rPr>
                            <w:rFonts w:hint="default" w:eastAsia="宋体"/>
                            <w:sz w:val="21"/>
                            <w:szCs w:val="21"/>
                            <w:lang w:val="en-US" w:eastAsia="zh-CN"/>
                          </w:rPr>
                        </w:pPr>
                        <w:r>
                          <w:rPr>
                            <w:rFonts w:hint="eastAsia" w:eastAsia="宋体"/>
                            <w:sz w:val="21"/>
                            <w:szCs w:val="21"/>
                            <w:lang w:val="en-US" w:eastAsia="zh-CN"/>
                          </w:rPr>
                          <w:t>回流</w:t>
                        </w:r>
                      </w:p>
                    </w:txbxContent>
                  </v:textbox>
                </v:shape>
                <v:shape id="_x0000_s1026" o:spid="_x0000_s1026" o:spt="202" type="#_x0000_t202" style="position:absolute;left:4506595;top:1645285;height:266700;width:72390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D/5DCyuQEAAFsDAAAOAAAAAAAAAAEAIAAAACIBAABkcnMvZTJvRG9jLnhtbFBLBQYAAAAA&#10;BgAGAFkBAABNBQAAAAA=&#10;">
                  <v:fill on="f" focussize="0,0"/>
                  <v:stroke on="f"/>
                  <v:imagedata o:title=""/>
                  <o:lock v:ext="edit" aspectratio="f"/>
                  <v:textbox>
                    <w:txbxContent>
                      <w:p w14:paraId="70C81CFE">
                        <w:pPr>
                          <w:rPr>
                            <w:rFonts w:hint="default" w:eastAsia="宋体"/>
                            <w:sz w:val="21"/>
                            <w:szCs w:val="21"/>
                            <w:lang w:val="en-US" w:eastAsia="zh-CN"/>
                          </w:rPr>
                        </w:pPr>
                        <w:r>
                          <w:rPr>
                            <w:rFonts w:hint="eastAsia" w:eastAsia="宋体"/>
                            <w:sz w:val="21"/>
                            <w:szCs w:val="21"/>
                            <w:lang w:val="en-US" w:eastAsia="zh-CN"/>
                          </w:rPr>
                          <w:t>上清液</w:t>
                        </w:r>
                      </w:p>
                    </w:txbxContent>
                  </v:textbox>
                </v:shape>
                <v:shape id="_x0000_s1026" o:spid="_x0000_s1026" o:spt="202" type="#_x0000_t202" style="position:absolute;left:1031240;top:2935605;height:266700;width:78994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BP8v6y4AQAAWwMAAA4AAAAAAAAAAQAgAAAAIgEAAGRycy9lMm9Eb2MueG1sUEsFBgAAAAAG&#10;AAYAWQEAAEwFAAAAAA==&#10;">
                  <v:fill on="f" focussize="0,0"/>
                  <v:stroke on="f"/>
                  <v:imagedata o:title=""/>
                  <o:lock v:ext="edit" aspectratio="f"/>
                  <v:textbox>
                    <w:txbxContent>
                      <w:p w14:paraId="69C2119D">
                        <w:pPr>
                          <w:rPr>
                            <w:rFonts w:hint="default" w:eastAsia="宋体"/>
                            <w:sz w:val="21"/>
                            <w:szCs w:val="21"/>
                            <w:lang w:val="en-US" w:eastAsia="zh-CN"/>
                          </w:rPr>
                        </w:pPr>
                        <w:r>
                          <w:rPr>
                            <w:rFonts w:hint="eastAsia" w:eastAsia="宋体"/>
                            <w:sz w:val="21"/>
                            <w:szCs w:val="21"/>
                            <w:lang w:val="en-US" w:eastAsia="zh-CN"/>
                          </w:rPr>
                          <w:t>外运处置</w:t>
                        </w:r>
                      </w:p>
                    </w:txbxContent>
                  </v:textbox>
                </v:shape>
                <v:shape id="_x0000_s1026" o:spid="_x0000_s1026" o:spt="202" type="#_x0000_t202" style="position:absolute;left:1669415;top:1515110;height:266700;width:62166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sWO&#10;INMAAAAFAQAADwAAAAAAAAABACAAAAAiAAAAZHJzL2Rvd25yZXYueG1sUEsBAhQAFAAAAAgAh07i&#10;QGJ2EMu1AQAAWwMAAA4AAAAAAAAAAQAgAAAAIgEAAGRycy9lMm9Eb2MueG1sUEsFBgAAAAAGAAYA&#10;WQEAAEkFAAAAAA==&#10;">
                  <v:fill on="f" focussize="0,0"/>
                  <v:stroke on="f"/>
                  <v:imagedata o:title=""/>
                  <o:lock v:ext="edit" aspectratio="f"/>
                  <v:textbox>
                    <w:txbxContent>
                      <w:p w14:paraId="014C0ADE">
                        <w:pPr>
                          <w:rPr>
                            <w:rFonts w:hint="default" w:eastAsia="宋体"/>
                            <w:sz w:val="21"/>
                            <w:szCs w:val="21"/>
                            <w:lang w:val="en-US" w:eastAsia="zh-CN"/>
                          </w:rPr>
                        </w:pPr>
                        <w:r>
                          <w:rPr>
                            <w:rFonts w:hint="eastAsia" w:eastAsia="宋体"/>
                            <w:sz w:val="21"/>
                            <w:szCs w:val="21"/>
                            <w:lang w:val="en-US" w:eastAsia="zh-CN"/>
                          </w:rPr>
                          <w:t>上清液</w:t>
                        </w:r>
                      </w:p>
                    </w:txbxContent>
                  </v:textbox>
                </v:shape>
                <v:shape id="_x0000_s1026" o:spid="_x0000_s1026" o:spt="202" type="#_x0000_t202" style="position:absolute;left:4964430;top:108585;height:266700;width:71120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EBHhRS4AQAAWgMAAA4AAAAAAAAAAQAgAAAAIgEAAGRycy9lMm9Eb2MueG1sUEsFBgAAAAAG&#10;AAYAWQEAAEwFAAAAAA==&#10;">
                  <v:fill on="f" focussize="0,0"/>
                  <v:stroke on="f"/>
                  <v:imagedata o:title=""/>
                  <o:lock v:ext="edit" aspectratio="f"/>
                  <v:textbox>
                    <w:txbxContent>
                      <w:p w14:paraId="191BFE2B">
                        <w:pPr>
                          <w:rPr>
                            <w:rFonts w:hint="default" w:eastAsia="宋体"/>
                            <w:sz w:val="21"/>
                            <w:szCs w:val="21"/>
                            <w:lang w:val="en-US" w:eastAsia="zh-CN"/>
                          </w:rPr>
                        </w:pPr>
                        <w:r>
                          <w:rPr>
                            <w:rFonts w:hint="eastAsia" w:eastAsia="宋体"/>
                            <w:sz w:val="21"/>
                            <w:szCs w:val="21"/>
                            <w:lang w:val="en-US" w:eastAsia="zh-CN"/>
                          </w:rPr>
                          <w:t>助凝剂</w:t>
                        </w:r>
                      </w:p>
                    </w:txbxContent>
                  </v:textbox>
                </v:shape>
                <v:line id="_x0000_s1026" o:spid="_x0000_s1026" o:spt="20" style="position:absolute;left:4161155;top:3507740;flip:y;height:0;width:571500;rotation:11796480f;" filled="f" stroked="t" coordsize="21600,21600" o:gfxdata="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WCeRtYAAAAFAQAA&#10;DwAAAAAAAAABACAAAAAiAAAAZHJzL2Rvd25yZXYueG1sUEsBAhQAFAAAAAgAh07iQG0qBN8bAgAA&#10;DQQAAA4AAAAAAAAAAQAgAAAAJQEAAGRycy9lMm9Eb2MueG1sUEsFBgAAAAAGAAYAWQEAALIFAAAA&#10;AA==&#10;">
                  <v:fill on="f" focussize="0,0"/>
                  <v:stroke color="#000000" joinstyle="round" endarrow="block" endarrowlength="long"/>
                  <v:imagedata o:title=""/>
                  <o:lock v:ext="edit" aspectratio="f"/>
                </v:line>
                <v:line id="_x0000_s1026" o:spid="_x0000_s1026" o:spt="20" style="position:absolute;left:445770;top:2560955;height:0;width:665480;" filled="f" stroked="t" coordsize="21600,21600" o:gfxdata="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HlIOvUAAAABQEAAA8AAAAAAAAAAQAgAAAAIgAA&#10;AGRycy9kb3ducmV2LnhtbFBLAQIUABQAAAAIAIdO4kBGh6XRDAIAAPMDAAAOAAAAAAAAAAEAIAAA&#10;ACMBAABkcnMvZTJvRG9jLnhtbFBLBQYAAAAABgAGAFkBAAChBQAAAAA=&#10;">
                  <v:fill on="f" focussize="0,0"/>
                  <v:stroke color="#000000" joinstyle="round" endarrow="block" endarrowlength="long"/>
                  <v:imagedata o:title=""/>
                  <o:lock v:ext="edit" aspectratio="f"/>
                </v:line>
                <v:line id="_x0000_s1026" o:spid="_x0000_s1026" o:spt="20" style="position:absolute;left:2011680;top:565785;flip:x y;height:453390;width:635;" filled="f" stroked="t" coordsize="21600,21600" o:gfxdata="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VAemtYAAAAFAQAADwAA&#10;AAAAAAABACAAAAAiAAAAZHJzL2Rvd25yZXYueG1sUEsBAhQAFAAAAAgAh07iQAdhG64YAgAACQQA&#10;AA4AAAAAAAAAAQAgAAAAJQEAAGRycy9lMm9Eb2MueG1sUEsFBgAAAAAGAAYAWQEAAK8FAAAAAA==&#10;">
                  <v:fill on="f" focussize="0,0"/>
                  <v:stroke color="#000000" joinstyle="round" endarrow="block" endarrowlength="long"/>
                  <v:imagedata o:title=""/>
                  <o:lock v:ext="edit" aspectratio="f"/>
                </v:line>
                <v:line id="_x0000_s1026" o:spid="_x0000_s1026" o:spt="20" style="position:absolute;left:4142105;top:1138555;flip:y;height:0;width:57150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MxSx31gAAAAUBAAAPAAAAAAAA&#10;AAEAIAAAACIAAABkcnMvZG93bnJldi54bWxQSwECFAAUAAAACACHTuJAwscwhhQCAAD+AwAADgAA&#10;AAAAAAABACAAAAAlAQAAZHJzL2Uyb0RvYy54bWxQSwUGAAAAAAYABgBZAQAAqwUAAAAA&#10;">
                  <v:fill on="f" focussize="0,0"/>
                  <v:stroke color="#000000" joinstyle="round" endarrow="block" endarrowlength="long"/>
                  <v:imagedata o:title=""/>
                  <o:lock v:ext="edit" aspectratio="f"/>
                </v:line>
                <v:shape id="_x0000_s1026" o:spid="_x0000_s1026" o:spt="202" type="#_x0000_t202" style="position:absolute;left:1001395;top:2436495;height:266700;width:76327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DG2fUAuQEAAFsDAAAOAAAAAAAAAAEAIAAAACIBAABkcnMvZTJvRG9jLnhtbFBLBQYAAAAA&#10;BgAGAFkBAABNBQAAAAA=&#10;">
                  <v:fill on="f" focussize="0,0"/>
                  <v:stroke on="f"/>
                  <v:imagedata o:title=""/>
                  <o:lock v:ext="edit" aspectratio="f"/>
                  <v:textbox>
                    <w:txbxContent>
                      <w:p w14:paraId="13C2EC67">
                        <w:pPr>
                          <w:rPr>
                            <w:rFonts w:hint="default" w:eastAsia="宋体"/>
                            <w:sz w:val="21"/>
                            <w:szCs w:val="21"/>
                            <w:lang w:val="en-US" w:eastAsia="zh-CN"/>
                          </w:rPr>
                        </w:pPr>
                        <w:r>
                          <w:rPr>
                            <w:rFonts w:hint="eastAsia" w:eastAsia="宋体"/>
                            <w:sz w:val="21"/>
                            <w:szCs w:val="21"/>
                            <w:lang w:val="en-US" w:eastAsia="zh-CN"/>
                          </w:rPr>
                          <w:t>脱水污泥</w:t>
                        </w:r>
                      </w:p>
                    </w:txbxContent>
                  </v:textbox>
                </v:shape>
                <v:shape id="_x0000_s1026" o:spid="_x0000_s1026" o:spt="202" type="#_x0000_t202" style="position:absolute;left:3790315;top:3652520;height:266700;width:63754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AKoqLpuQEAAFsDAAAOAAAAAAAAAAEAIAAAACIBAABkcnMvZTJvRG9jLnhtbFBLBQYAAAAA&#10;BgAGAFkBAABNBQAAAAA=&#10;">
                  <v:fill on="f" focussize="0,0"/>
                  <v:stroke on="f"/>
                  <v:imagedata o:title=""/>
                  <o:lock v:ext="edit" aspectratio="f"/>
                  <v:textbox>
                    <w:txbxContent>
                      <w:p w14:paraId="6168E1FA">
                        <w:pPr>
                          <w:rPr>
                            <w:rFonts w:hint="default" w:eastAsia="宋体"/>
                            <w:sz w:val="21"/>
                            <w:szCs w:val="21"/>
                            <w:lang w:val="en-US" w:eastAsia="zh-CN"/>
                          </w:rPr>
                        </w:pPr>
                        <w:r>
                          <w:rPr>
                            <w:rFonts w:hint="eastAsia" w:eastAsia="宋体"/>
                            <w:sz w:val="21"/>
                            <w:szCs w:val="21"/>
                            <w:lang w:val="en-US" w:eastAsia="zh-CN"/>
                          </w:rPr>
                          <w:t>溢流</w:t>
                        </w:r>
                      </w:p>
                    </w:txbxContent>
                  </v:textbox>
                </v:shape>
                <v:shape id="_x0000_s1026" o:spid="_x0000_s1026" o:spt="202" type="#_x0000_t202" style="position:absolute;left:1619885;top:386080;height:266700;width:79946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CWZK4K4AQAAWgMAAA4AAAAAAAAAAQAgAAAAIgEAAGRycy9lMm9Eb2MueG1sUEsFBgAAAAAG&#10;AAYAWQEAAEwFAAAAAA==&#10;">
                  <v:fill on="f" focussize="0,0"/>
                  <v:stroke on="f"/>
                  <v:imagedata o:title=""/>
                  <o:lock v:ext="edit" aspectratio="f"/>
                  <v:textbox>
                    <w:txbxContent>
                      <w:p w14:paraId="0788FB6C">
                        <w:pPr>
                          <w:rPr>
                            <w:rFonts w:hint="default" w:eastAsia="宋体"/>
                            <w:sz w:val="21"/>
                            <w:szCs w:val="21"/>
                            <w:lang w:val="en-US" w:eastAsia="zh-CN"/>
                          </w:rPr>
                        </w:pPr>
                        <w:r>
                          <w:rPr>
                            <w:rFonts w:hint="eastAsia" w:eastAsia="宋体"/>
                            <w:sz w:val="21"/>
                            <w:szCs w:val="21"/>
                            <w:lang w:val="en-US" w:eastAsia="zh-CN"/>
                          </w:rPr>
                          <w:t>栅渣、沉砂</w:t>
                        </w:r>
                      </w:p>
                    </w:txbxContent>
                  </v:textbox>
                </v:shape>
                <v:shape id="_x0000_s1026" o:spid="_x0000_s1026" o:spt="202" type="#_x0000_t202" style="position:absolute;left:3324860;top:412115;height:266700;width:71120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A63LXC4AQAAWgMAAA4AAAAAAAAAAQAgAAAAIgEAAGRycy9lMm9Eb2MueG1sUEsFBgAAAAAG&#10;AAYAWQEAAEwFAAAAAA==&#10;">
                  <v:fill on="f" focussize="0,0"/>
                  <v:stroke on="f"/>
                  <v:imagedata o:title=""/>
                  <o:lock v:ext="edit" aspectratio="f"/>
                  <v:textbox>
                    <w:txbxContent>
                      <w:p w14:paraId="699D663C">
                        <w:pPr>
                          <w:rPr>
                            <w:rFonts w:hint="default" w:eastAsia="宋体"/>
                            <w:sz w:val="21"/>
                            <w:szCs w:val="21"/>
                            <w:lang w:val="en-US" w:eastAsia="zh-CN"/>
                          </w:rPr>
                        </w:pPr>
                        <w:r>
                          <w:rPr>
                            <w:rFonts w:hint="eastAsia" w:eastAsia="宋体"/>
                            <w:sz w:val="21"/>
                            <w:szCs w:val="21"/>
                            <w:lang w:val="en-US" w:eastAsia="zh-CN"/>
                          </w:rPr>
                          <w:t>混凝剂</w:t>
                        </w:r>
                      </w:p>
                    </w:txbxContent>
                  </v:textbox>
                </v:shape>
                <v:shape id="_x0000_s1026" o:spid="_x0000_s1026" o:spt="202" type="#_x0000_t202" style="position:absolute;left:3680460;top:1390015;height:266700;width:71120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CxUB26uQEAAFsDAAAOAAAAAAAAAAEAIAAAACIBAABkcnMvZTJvRG9jLnhtbFBLBQYAAAAA&#10;BgAGAFkBAABNBQAAAAA=&#10;">
                  <v:fill on="f" focussize="0,0"/>
                  <v:stroke on="f"/>
                  <v:imagedata o:title=""/>
                  <o:lock v:ext="edit" aspectratio="f"/>
                  <v:textbox>
                    <w:txbxContent>
                      <w:p w14:paraId="349EB6CA">
                        <w:pPr>
                          <w:rPr>
                            <w:rFonts w:hint="default" w:eastAsia="宋体"/>
                            <w:sz w:val="21"/>
                            <w:szCs w:val="21"/>
                            <w:lang w:val="en-US" w:eastAsia="zh-CN"/>
                          </w:rPr>
                        </w:pPr>
                        <w:r>
                          <w:rPr>
                            <w:rFonts w:hint="eastAsia" w:eastAsia="宋体"/>
                            <w:sz w:val="21"/>
                            <w:szCs w:val="21"/>
                            <w:lang w:val="en-US" w:eastAsia="zh-CN"/>
                          </w:rPr>
                          <w:t>排泥</w:t>
                        </w:r>
                      </w:p>
                    </w:txbxContent>
                  </v:textbox>
                </v:shape>
                <v:line id="_x0000_s1026" o:spid="_x0000_s1026" o:spt="20" style="position:absolute;left:267970;top:788670;height:5715;width:456565;rotation:5898240f;" filled="f" stroked="t" coordsize="21600,21600" o:gfxdata="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m1ijtcAAAAFAQAADwAAAAAA&#10;AAABACAAAAAiAAAAZHJzL2Rvd25yZXYueG1sUEsBAhQAFAAAAAgAh07iQJjo80kUAgAAAwQAAA4A&#10;AAAAAAAAAQAgAAAAJgEAAGRycy9lMm9Eb2MueG1sUEsFBgAAAAAGAAYAWQEAAKwFAAAAAA==&#10;">
                  <v:fill on="f" focussize="0,0"/>
                  <v:stroke color="#000000" joinstyle="round" endarrow="block" endarrowlength="long"/>
                  <v:imagedata o:title=""/>
                  <o:lock v:ext="edit" aspectratio="f"/>
                </v:line>
                <v:shape id="_x0000_s1026" o:spid="_x0000_s1026" o:spt="202" type="#_x0000_t202" style="position:absolute;left:4736465;top:3357880;height:266700;width:102870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9tKd1gAAAAUBAAAPAAAA&#10;AAAAAAEAIAAAACIAAABkcnMvZG93bnJldi54bWxQSwECFAAUAAAACACHTuJA1T2BxRcCAABEBAAA&#10;DgAAAAAAAAABACAAAAAlAQAAZHJzL2Uyb0RvYy54bWxQSwUGAAAAAAYABgBZAQAArgUAAAAA&#10;">
                  <v:fill on="t" focussize="0,0"/>
                  <v:stroke color="#000000" joinstyle="miter"/>
                  <v:imagedata o:title=""/>
                  <o:lock v:ext="edit" aspectratio="f"/>
                  <v:textbox>
                    <w:txbxContent>
                      <w:p w14:paraId="6ED8F72A">
                        <w:pPr>
                          <w:jc w:val="center"/>
                          <w:rPr>
                            <w:rFonts w:hint="default"/>
                            <w:sz w:val="21"/>
                            <w:szCs w:val="21"/>
                            <w:lang w:val="en-US" w:eastAsia="zh-CN"/>
                          </w:rPr>
                        </w:pPr>
                        <w:r>
                          <w:rPr>
                            <w:rFonts w:hint="eastAsia"/>
                            <w:sz w:val="21"/>
                            <w:szCs w:val="21"/>
                            <w:lang w:val="en-US" w:eastAsia="zh-CN"/>
                          </w:rPr>
                          <w:t>V型滤池</w:t>
                        </w:r>
                      </w:p>
                    </w:txbxContent>
                  </v:textbox>
                </v:shape>
                <v:shape id="_x0000_s1026" o:spid="_x0000_s1026" o:spt="202" type="#_x0000_t202" style="position:absolute;left:3145790;top:1002665;height:266700;width:99377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20p3WAAAABQEAAA8AAAAA&#10;AAAAAQAgAAAAIgAAAGRycy9kb3ducmV2LnhtbFBLAQIUABQAAAAIAIdO4kApHcY7FgIAAEMEAAAO&#10;AAAAAAAAAAEAIAAAACUBAABkcnMvZTJvRG9jLnhtbFBLBQYAAAAABgAGAFkBAACtBQAAAAA=&#10;">
                  <v:fill on="t" focussize="0,0"/>
                  <v:stroke color="#000000" joinstyle="miter"/>
                  <v:imagedata o:title=""/>
                  <o:lock v:ext="edit" aspectratio="f"/>
                  <v:textbox>
                    <w:txbxContent>
                      <w:p w14:paraId="4FCF84EF">
                        <w:pPr>
                          <w:jc w:val="center"/>
                          <w:rPr>
                            <w:rFonts w:hint="default" w:eastAsia="宋体"/>
                            <w:sz w:val="21"/>
                            <w:szCs w:val="21"/>
                            <w:lang w:val="en-US" w:eastAsia="zh-CN"/>
                          </w:rPr>
                        </w:pPr>
                        <w:r>
                          <w:rPr>
                            <w:rFonts w:hint="eastAsia" w:eastAsia="宋体"/>
                            <w:sz w:val="21"/>
                            <w:szCs w:val="21"/>
                            <w:lang w:val="en-US" w:eastAsia="zh-CN"/>
                          </w:rPr>
                          <w:t>静态混合器</w:t>
                        </w:r>
                      </w:p>
                    </w:txbxContent>
                  </v:textbox>
                </v:shape>
                <v:shape id="_x0000_s1026" o:spid="_x0000_s1026" o:spt="202" type="#_x0000_t202" style="position:absolute;left:2870200;top:1844675;height:266700;width:63309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20p3WAAAABQEAAA8AAAAA&#10;AAAAAQAgAAAAIgAAAGRycy9kb3ducmV2LnhtbFBLAQIUABQAAAAIAIdO4kABXnrUFgIAAEMEAAAO&#10;AAAAAAAAAAEAIAAAACUBAABkcnMvZTJvRG9jLnhtbFBLBQYAAAAABgAGAFkBAACtBQAAAAA=&#10;">
                  <v:fill on="t" focussize="0,0"/>
                  <v:stroke color="#000000" joinstyle="miter"/>
                  <v:imagedata o:title=""/>
                  <o:lock v:ext="edit" aspectratio="f"/>
                  <v:textbox>
                    <w:txbxContent>
                      <w:p w14:paraId="7D5685CF">
                        <w:pPr>
                          <w:jc w:val="center"/>
                          <w:rPr>
                            <w:rFonts w:hint="eastAsia" w:eastAsia="宋体"/>
                            <w:sz w:val="21"/>
                            <w:szCs w:val="21"/>
                            <w:lang w:val="en-US" w:eastAsia="zh-CN"/>
                          </w:rPr>
                        </w:pPr>
                        <w:r>
                          <w:rPr>
                            <w:rFonts w:hint="eastAsia" w:eastAsia="宋体"/>
                            <w:sz w:val="21"/>
                            <w:szCs w:val="21"/>
                            <w:lang w:val="en-US" w:eastAsia="zh-CN"/>
                          </w:rPr>
                          <w:t>排泥池</w:t>
                        </w:r>
                      </w:p>
                    </w:txbxContent>
                  </v:textbox>
                </v:shape>
                <v:shape id="_x0000_s1026" o:spid="_x0000_s1026" o:spt="202" type="#_x0000_t202" style="position:absolute;left:1447800;top:1012190;height:266700;width:111696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fbSndYAAAAFAQAADwAAAAAA&#10;AAABACAAAAAiAAAAZHJzL2Rvd25yZXYueG1sUEsBAhQAFAAAAAgAh07iQM1pcnkVAgAARAQAAA4A&#10;AAAAAAAAAQAgAAAAJQEAAGRycy9lMm9Eb2MueG1sUEsFBgAAAAAGAAYAWQEAAKwFAAAAAA==&#10;">
                  <v:fill on="t" focussize="0,0"/>
                  <v:stroke color="#000000" joinstyle="miter"/>
                  <v:imagedata o:title=""/>
                  <o:lock v:ext="edit" aspectratio="f"/>
                  <v:textbox>
                    <w:txbxContent>
                      <w:p w14:paraId="557934CD">
                        <w:pPr>
                          <w:jc w:val="center"/>
                          <w:rPr>
                            <w:rFonts w:hint="eastAsia" w:eastAsia="宋体"/>
                            <w:sz w:val="21"/>
                            <w:szCs w:val="21"/>
                            <w:lang w:val="en-US" w:eastAsia="zh-CN"/>
                          </w:rPr>
                        </w:pPr>
                        <w:r>
                          <w:rPr>
                            <w:rFonts w:hint="eastAsia" w:eastAsia="宋体"/>
                            <w:sz w:val="21"/>
                            <w:szCs w:val="21"/>
                            <w:lang w:val="en-US" w:eastAsia="zh-CN"/>
                          </w:rPr>
                          <w:t>格栅间、沉砂池</w:t>
                        </w:r>
                      </w:p>
                    </w:txbxContent>
                  </v:textbox>
                </v:shape>
                <v:shape id="_x0000_s1026" o:spid="_x0000_s1026" o:spt="202" type="#_x0000_t202" style="position:absolute;left:0;top:1854200;height:266700;width:86169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H20p3WAAAABQEAAA8AAAAAAAAAAQAg&#10;AAAAIgAAAGRycy9kb3ducmV2LnhtbFBLAQIUABQAAAAIAIdO4kD5npf4EAIAAD0EAAAOAAAAAAAA&#10;AAEAIAAAACUBAABkcnMvZTJvRG9jLnhtbFBLBQYAAAAABgAGAFkBAACnBQAAAAA=&#10;">
                  <v:fill on="t" focussize="0,0"/>
                  <v:stroke color="#000000" joinstyle="miter"/>
                  <v:imagedata o:title=""/>
                  <o:lock v:ext="edit" aspectratio="f"/>
                  <v:textbox>
                    <w:txbxContent>
                      <w:p w14:paraId="1906C76C">
                        <w:pPr>
                          <w:jc w:val="center"/>
                          <w:rPr>
                            <w:rFonts w:hint="eastAsia" w:eastAsia="宋体"/>
                            <w:sz w:val="21"/>
                            <w:szCs w:val="21"/>
                            <w:lang w:val="en-US" w:eastAsia="zh-CN"/>
                          </w:rPr>
                        </w:pPr>
                        <w:r>
                          <w:rPr>
                            <w:rFonts w:hint="eastAsia" w:eastAsia="宋体"/>
                            <w:sz w:val="21"/>
                            <w:szCs w:val="21"/>
                            <w:lang w:val="en-US" w:eastAsia="zh-CN"/>
                          </w:rPr>
                          <w:t>污泥平衡池</w:t>
                        </w:r>
                      </w:p>
                    </w:txbxContent>
                  </v:textbox>
                </v:shape>
                <v:line id="_x0000_s1026" o:spid="_x0000_s1026" o:spt="20" style="position:absolute;left:3486150;top:751205;flip:y;height:165100;width:292100;rotation:-7864320f;" filled="f" stroked="t" coordsize="21600,21600" o:gfxdata="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RNvL9YAAAAFAQAA&#10;DwAAAAAAAAABACAAAAAiAAAAZHJzL2Rvd25yZXYueG1sUEsBAhQAFAAAAAgAh07iQOD0+fwbAgAA&#10;DwQAAA4AAAAAAAAAAQAgAAAAJQEAAGRycy9lMm9Eb2MueG1sUEsFBgAAAAAGAAYAWQEAALIFAAAA&#10;AA==&#10;">
                  <v:fill on="f" focussize="0,0"/>
                  <v:stroke color="#000000" joinstyle="round" dashstyle="dash" endarrow="block" endarrowlength="long"/>
                  <v:imagedata o:title=""/>
                  <o:lock v:ext="edit" aspectratio="f"/>
                </v:line>
                <v:line id="_x0000_s1026" o:spid="_x0000_s1026" o:spt="20" style="position:absolute;left:5088255;top:458470;flip:y;height:165100;width:292100;rotation:-7864320f;" filled="f" stroked="t" coordsize="21600,21600" o:gfxdata="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lE28v1gAAAAUB&#10;AAAPAAAAAAAAAAEAIAAAACIAAABkcnMvZG93bnJldi54bWxQSwECFAAUAAAACACHTuJALBpmzh0C&#10;AAAPBAAADgAAAAAAAAABACAAAAAlAQAAZHJzL2Uyb0RvYy54bWxQSwUGAAAAAAYABgBZAQAAtAUA&#10;AAAA&#10;">
                  <v:fill on="f" focussize="0,0"/>
                  <v:stroke color="#000000" joinstyle="round" dashstyle="dash" endarrow="block" endarrowlength="long"/>
                  <v:imagedata o:title=""/>
                  <o:lock v:ext="edit" aspectratio="f"/>
                </v:line>
                <v:line id="_x0000_s1026" o:spid="_x0000_s1026" o:spt="20" style="position:absolute;left:2952115;top:3517900;flip:y;height:0;width:571500;rotation:11796480f;" filled="f" stroked="t" coordsize="21600,21600" o:gfxdata="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WCeRtYAAAAFAQAADwAA&#10;AAAAAAABACAAAAAiAAAAZHJzL2Rvd25yZXYueG1sUEsBAhQAFAAAAAgAh07iQMumtZYYAgAADQQA&#10;AA4AAAAAAAAAAQAgAAAAJQEAAGRycy9lMm9Eb2MueG1sUEsFBgAAAAAGAAYAWQEAAK8FAAAAAA==&#10;">
                  <v:fill on="f" focussize="0,0"/>
                  <v:stroke color="#000000" joinstyle="round" endarrow="block" endarrowlength="long"/>
                  <v:imagedata o:title=""/>
                  <o:lock v:ext="edit" aspectratio="f"/>
                </v:line>
                <v:shape id="_x0000_s1026" o:spid="_x0000_s1026" o:spt="202" type="#_x0000_t202" style="position:absolute;left:1065530;top:1854835;height:266700;width:62230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fbSndYAAAAFAQAADwAAAAAA&#10;AAABACAAAAAiAAAAZHJzL2Rvd25yZXYueG1sUEsBAhQAFAAAAAgAh07iQJyjcFkVAgAAQwQAAA4A&#10;AAAAAAAAAQAgAAAAJQEAAGRycy9lMm9Eb2MueG1sUEsFBgAAAAAGAAYAWQEAAKwFAAAAAA==&#10;">
                  <v:fill on="t" focussize="0,0"/>
                  <v:stroke color="#000000" joinstyle="miter"/>
                  <v:imagedata o:title=""/>
                  <o:lock v:ext="edit" aspectratio="f"/>
                  <v:textbox>
                    <w:txbxContent>
                      <w:p w14:paraId="07EE763D">
                        <w:pPr>
                          <w:jc w:val="center"/>
                          <w:rPr>
                            <w:rFonts w:hint="eastAsia" w:eastAsia="宋体"/>
                            <w:sz w:val="21"/>
                            <w:szCs w:val="21"/>
                            <w:lang w:val="en-US" w:eastAsia="zh-CN"/>
                          </w:rPr>
                        </w:pPr>
                        <w:r>
                          <w:rPr>
                            <w:rFonts w:hint="eastAsia" w:eastAsia="宋体"/>
                            <w:sz w:val="21"/>
                            <w:szCs w:val="21"/>
                            <w:lang w:val="en-US" w:eastAsia="zh-CN"/>
                          </w:rPr>
                          <w:t>浓缩池</w:t>
                        </w:r>
                      </w:p>
                    </w:txbxContent>
                  </v:textbox>
                </v:shape>
                <v:shape id="_x0000_s1026" o:spid="_x0000_s1026" o:spt="202" type="#_x0000_t202" style="position:absolute;left:4584700;top:1850390;height:266700;width:75628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H20p3WAAAABQEAAA8AAAAAAAAA&#10;AQAgAAAAIgAAAGRycy9kb3ducmV2LnhtbFBLAQIUABQAAAAIAIdO4kA1attSEwIAAEMEAAAOAAAA&#10;AAAAAAEAIAAAACUBAABkcnMvZTJvRG9jLnhtbFBLBQYAAAAABgAGAFkBAACqBQAAAAA=&#10;">
                  <v:fill on="t" focussize="0,0"/>
                  <v:stroke color="#000000" joinstyle="miter"/>
                  <v:imagedata o:title=""/>
                  <o:lock v:ext="edit" aspectratio="f"/>
                  <v:textbox>
                    <w:txbxContent>
                      <w:p w14:paraId="4EC841DD">
                        <w:pPr>
                          <w:jc w:val="center"/>
                          <w:rPr>
                            <w:rFonts w:hint="eastAsia" w:eastAsia="宋体"/>
                            <w:sz w:val="21"/>
                            <w:szCs w:val="21"/>
                            <w:lang w:val="en-US" w:eastAsia="zh-CN"/>
                          </w:rPr>
                        </w:pPr>
                        <w:r>
                          <w:rPr>
                            <w:rFonts w:hint="eastAsia" w:eastAsia="宋体"/>
                            <w:sz w:val="21"/>
                            <w:szCs w:val="21"/>
                            <w:lang w:val="en-US" w:eastAsia="zh-CN"/>
                          </w:rPr>
                          <w:t>回流水池</w:t>
                        </w:r>
                      </w:p>
                    </w:txbxContent>
                  </v:textbox>
                </v:shape>
                <v:shape id="_x0000_s1026" o:spid="_x0000_s1026" o:spt="202" type="#_x0000_t202" style="position:absolute;left:3829050;top:1851025;height:266700;width:64960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9tKd1gAAAAUBAAAPAAAA&#10;AAAAAAEAIAAAACIAAABkcnMvZG93bnJldi54bWxQSwECFAAUAAAACACHTuJAB/aobBcCAABDBAAA&#10;DgAAAAAAAAABACAAAAAlAQAAZHJzL2Uyb0RvYy54bWxQSwUGAAAAAAYABgBZAQAArgUAAAAA&#10;">
                  <v:fill on="t" focussize="0,0"/>
                  <v:stroke color="#000000" joinstyle="miter"/>
                  <v:imagedata o:title=""/>
                  <o:lock v:ext="edit" aspectratio="f"/>
                  <v:textbox>
                    <w:txbxContent>
                      <w:p w14:paraId="1D615965">
                        <w:pPr>
                          <w:jc w:val="center"/>
                          <w:rPr>
                            <w:rFonts w:hint="eastAsia" w:eastAsia="宋体"/>
                            <w:sz w:val="21"/>
                            <w:szCs w:val="21"/>
                            <w:lang w:val="en-US" w:eastAsia="zh-CN"/>
                          </w:rPr>
                        </w:pPr>
                        <w:r>
                          <w:rPr>
                            <w:rFonts w:hint="eastAsia" w:eastAsia="宋体"/>
                            <w:sz w:val="21"/>
                            <w:szCs w:val="21"/>
                            <w:lang w:val="en-US" w:eastAsia="zh-CN"/>
                          </w:rPr>
                          <w:t>排水池</w:t>
                        </w:r>
                      </w:p>
                    </w:txbxContent>
                  </v:textbox>
                </v:shape>
                <v:shape id="_x0000_s1026" o:spid="_x0000_s1026" o:spt="202" type="#_x0000_t202" style="position:absolute;left:1896745;top:1852930;height:266700;width:75628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9tKd1gAAAAUBAAAPAAAAAAAA&#10;AAEAIAAAACIAAABkcnMvZG93bnJldi54bWxQSwECFAAUAAAACACHTuJAloGvlRQCAABDBAAADgAA&#10;AAAAAAABACAAAAAlAQAAZHJzL2Uyb0RvYy54bWxQSwUGAAAAAAYABgBZAQAAqwUAAAAA&#10;">
                  <v:fill on="t" focussize="0,0"/>
                  <v:stroke color="#000000" joinstyle="miter"/>
                  <v:imagedata o:title=""/>
                  <o:lock v:ext="edit" aspectratio="f"/>
                  <v:textbox>
                    <w:txbxContent>
                      <w:p w14:paraId="4B880D36">
                        <w:pPr>
                          <w:jc w:val="center"/>
                          <w:rPr>
                            <w:rFonts w:hint="default" w:eastAsia="宋体"/>
                            <w:sz w:val="21"/>
                            <w:szCs w:val="21"/>
                            <w:lang w:val="en-US" w:eastAsia="zh-CN"/>
                          </w:rPr>
                        </w:pPr>
                        <w:r>
                          <w:rPr>
                            <w:rFonts w:hint="eastAsia" w:eastAsia="宋体"/>
                            <w:sz w:val="21"/>
                            <w:szCs w:val="21"/>
                            <w:lang w:val="en-US" w:eastAsia="zh-CN"/>
                          </w:rPr>
                          <w:t>提升泵房</w:t>
                        </w:r>
                      </w:p>
                    </w:txbxContent>
                  </v:textbox>
                </v:shape>
                <v:line id="_x0000_s1026" o:spid="_x0000_s1026" o:spt="20" style="position:absolute;left:1676400;top:1990090;flip:x;height:5715;width:219075;"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MxSx31gAAAAUBAAAPAAAAAAAAAAEA&#10;IAAAACIAAABkcnMvZG93bnJldi54bWxQSwECFAAUAAAACACHTuJABpeGEhECAAABBAAADgAAAAAA&#10;AAABACAAAAAlAQAAZHJzL2Uyb0RvYy54bWxQSwUGAAAAAAYABgBZAQAAqAUAAAAA&#10;">
                  <v:fill on="f" focussize="0,0"/>
                  <v:stroke color="#000000" joinstyle="round" endarrow="block" endarrowlength="long"/>
                  <v:imagedata o:title=""/>
                  <o:lock v:ext="edit" aspectratio="f"/>
                </v:line>
                <v:line id="_x0000_s1026" o:spid="_x0000_s1026" o:spt="20" style="position:absolute;left:854710;top:1997075;flip:x;height:5715;width:219075;"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MUsd9YAAAAFAQAADwAAAAAAAAAB&#10;ACAAAAAiAAAAZHJzL2Rvd25yZXYueG1sUEsBAhQAFAAAAAgAh07iQCXsAnoSAgAAAAQAAA4AAAAA&#10;AAAAAQAgAAAAJQEAAGRycy9lMm9Eb2MueG1sUEsFBgAAAAAGAAYAWQEAAKkFAAAAAA==&#10;">
                  <v:fill on="f" focussize="0,0"/>
                  <v:stroke color="#000000" joinstyle="round" endarrow="block" endarrowlength="long"/>
                  <v:imagedata o:title=""/>
                  <o:lock v:ext="edit" aspectratio="f"/>
                </v:line>
                <v:line id="_x0000_s1026" o:spid="_x0000_s1026" o:spt="20" style="position:absolute;left:2644140;top:1976120;flip:x;height:5715;width:219075;"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MUsd9YAAAAFAQAADwAAAAAAAAAB&#10;ACAAAAAiAAAAZHJzL2Rvd25yZXYueG1sUEsBAhQAFAAAAAgAh07iQNvj29ASAgAAAQQAAA4AAAAA&#10;AAAAAQAgAAAAJQEAAGRycy9lMm9Eb2MueG1sUEsFBgAAAAAGAAYAWQEAAKkFAAAAAA==&#10;">
                  <v:fill on="f" focussize="0,0"/>
                  <v:stroke color="#000000" joinstyle="round" endarrow="block" endarrowlength="long"/>
                  <v:imagedata o:title=""/>
                  <o:lock v:ext="edit" aspectratio="f"/>
                </v:line>
                <v:shape id="_x0000_s1026" o:spid="_x0000_s1026" o:spt="202" type="#_x0000_t202" style="position:absolute;left:3530600;top:3373120;height:266700;width:62230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H20p3WAAAABQEAAA8AAAAAAAAA&#10;AQAgAAAAIgAAAGRycy9kb3ducmV2LnhtbFBLAQIUABQAAAAIAIdO4kC86zx+EwIAAEMEAAAOAAAA&#10;AAAAAAEAIAAAACUBAABkcnMvZTJvRG9jLnhtbFBLBQYAAAAABgAGAFkBAACqBQAAAAA=&#10;">
                  <v:fill on="t" focussize="0,0"/>
                  <v:stroke color="#000000" joinstyle="miter"/>
                  <v:imagedata o:title=""/>
                  <o:lock v:ext="edit" aspectratio="f"/>
                  <v:textbox>
                    <w:txbxContent>
                      <w:p w14:paraId="35425DC7">
                        <w:pPr>
                          <w:jc w:val="center"/>
                          <w:rPr>
                            <w:rFonts w:hint="eastAsia" w:eastAsia="宋体"/>
                            <w:sz w:val="21"/>
                            <w:szCs w:val="21"/>
                            <w:lang w:val="en-US" w:eastAsia="zh-CN"/>
                          </w:rPr>
                        </w:pPr>
                        <w:r>
                          <w:rPr>
                            <w:rFonts w:hint="eastAsia" w:eastAsia="宋体"/>
                            <w:sz w:val="21"/>
                            <w:szCs w:val="21"/>
                            <w:lang w:val="en-US" w:eastAsia="zh-CN"/>
                          </w:rPr>
                          <w:t>清水池</w:t>
                        </w:r>
                      </w:p>
                    </w:txbxContent>
                  </v:textbox>
                </v:shape>
                <v:shape id="_x0000_s1026" o:spid="_x0000_s1026" o:spt="202" type="#_x0000_t202" style="position:absolute;left:2191385;top:3373755;height:266700;width:756285;"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9tKd1gAAAAUBAAAPAAAA&#10;AAAAAAEAIAAAACIAAABkcnMvZG93bnJldi54bWxQSwECFAAUAAAACACHTuJAbey3xRcCAABFBAAA&#10;DgAAAAAAAAABACAAAAAlAQAAZHJzL2Uyb0RvYy54bWxQSwUGAAAAAAYABgBZAQAArgUAAAAA&#10;">
                  <v:fill on="t" focussize="0,0"/>
                  <v:stroke color="#000000" joinstyle="miter"/>
                  <v:imagedata o:title=""/>
                  <o:lock v:ext="edit" aspectratio="f"/>
                  <v:textbox>
                    <w:txbxContent>
                      <w:p w14:paraId="65FD8DD3">
                        <w:pPr>
                          <w:jc w:val="center"/>
                          <w:rPr>
                            <w:rFonts w:hint="default" w:eastAsia="宋体"/>
                            <w:sz w:val="21"/>
                            <w:szCs w:val="21"/>
                            <w:lang w:val="en-US" w:eastAsia="zh-CN"/>
                          </w:rPr>
                        </w:pPr>
                        <w:r>
                          <w:rPr>
                            <w:rFonts w:hint="eastAsia" w:eastAsia="宋体"/>
                            <w:sz w:val="21"/>
                            <w:szCs w:val="21"/>
                            <w:lang w:val="en-US" w:eastAsia="zh-CN"/>
                          </w:rPr>
                          <w:t>供水管网</w:t>
                        </w:r>
                      </w:p>
                    </w:txbxContent>
                  </v:textbox>
                </v:shape>
                <v:line id="_x0000_s1026" o:spid="_x0000_s1026" o:spt="20" style="position:absolute;left:3140710;top:1616075;flip:y;height:1905;width:1883410;" filled="f" stroked="t" coordsize="21600,21600" o:gfxdata="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2+jcdYAAAAFAQAADwAAAAAAAAABACAAAAAiAAAAZHJzL2Rvd25yZXYu&#10;eG1sUEsBAhQAFAAAAAgAh07iQBjoID79AQAA0AMAAA4AAAAAAAAAAQAgAAAAJQEAAGRycy9lMm9E&#10;b2MueG1sUEsFBgAAAAAGAAYAWQEAAJQFAAAAAA==&#10;">
                  <v:fill on="f" focussize="0,0"/>
                  <v:stroke weight="0.5pt" color="#000000 [3213]" miterlimit="8" joinstyle="miter" dashstyle="3 1"/>
                  <v:imagedata o:title=""/>
                  <o:lock v:ext="edit" aspectratio="f"/>
                </v:line>
                <v:line id="_x0000_s1026" o:spid="_x0000_s1026" o:spt="20" style="position:absolute;left:2531110;top:1680210;flip:y;height:6985;width:2489835;" filled="f" stroked="t" coordsize="21600,21600" o:gfxdata="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dvo3HWAAAABQEAAA8AAAAAAAAAAQAgAAAAIgAAAGRycy9kb3ducmV2Lnht&#10;bFBLAQIUABQAAAAIAIdO4kC8/E8J+wEAANADAAAOAAAAAAAAAAEAIAAAACUBAABkcnMvZTJvRG9j&#10;LnhtbFBLBQYAAAAABgAGAFkBAACSBQAAAAA=&#10;">
                  <v:fill on="f" focussize="0,0"/>
                  <v:stroke weight="0.5pt" color="#000000 [3213]" miterlimit="8" joinstyle="miter" dashstyle="3 1"/>
                  <v:imagedata o:title=""/>
                  <o:lock v:ext="edit" aspectratio="f"/>
                </v:line>
                <v:line id="_x0000_s1026" o:spid="_x0000_s1026" o:spt="20" style="position:absolute;left:5017770;top:1675765;height:180340;width:0;" filled="f" stroked="t" coordsize="21600,21600" o:gfxdata="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8jpyzVAAAABQEAAA8AAAAAAAAAAQAgAAAAIgAAAGRycy9kb3ducmV2LnhtbFBLAQIUABQA&#10;AAAIAIdO4kAPMcJ28wEAAMIDAAAOAAAAAAAAAAEAIAAAACQBAABkcnMvZTJvRG9jLnhtbFBLBQYA&#10;AAAABgAGAFkBAACJBQAAAAA=&#10;">
                  <v:fill on="f" focussize="0,0"/>
                  <v:stroke weight="0.5pt" color="#000000 [3213]" miterlimit="8" joinstyle="miter" dashstyle="3 1"/>
                  <v:imagedata o:title=""/>
                  <o:lock v:ext="edit" aspectratio="f"/>
                </v:line>
                <v:line id="_x0000_s1026" o:spid="_x0000_s1026" o:spt="20" style="position:absolute;left:5032375;top:1555115;height:73660;width:0;" filled="f" stroked="t" coordsize="21600,21600" o:gfxdata="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I6cs1QAAAAUBAAAPAAAAAAAAAAEAIAAAACIAAABkcnMvZG93bnJldi54bWxQSwECFAAU&#10;AAAACACHTuJAZzoJofQBAADBAwAADgAAAAAAAAABACAAAAAkAQAAZHJzL2Uyb0RvYy54bWxQSwUG&#10;AAAAAAYABgBZAQAAigUAAAAA&#10;">
                  <v:fill on="f" focussize="0,0"/>
                  <v:stroke weight="0.5pt" color="#000000 [3213]" miterlimit="8" joinstyle="miter" dashstyle="3 1"/>
                  <v:imagedata o:title=""/>
                  <o:lock v:ext="edit" aspectratio="f"/>
                </v:line>
                <v:line id="_x0000_s1026" o:spid="_x0000_s1026" o:spt="20" style="position:absolute;left:3148330;top:1619250;height:204470;width:4445;" filled="f" stroked="t" coordsize="21600,21600" o:gfxdata="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Sghx7SAAAABQEAAA8AAAAAAAAAAQAgAAAAIgAAAGRycy9k&#10;b3ducmV2LnhtbFBLAQIUABQAAAAIAIdO4kDO8nZoCAIAAOEDAAAOAAAAAAAAAAEAIAAAACEBAABk&#10;cnMvZTJvRG9jLnhtbFBLBQYAAAAABgAGAFkBAACbBQAAAAA=&#10;">
                  <v:fill on="f" focussize="0,0"/>
                  <v:stroke weight="0.5pt" color="#000000 [3213]" miterlimit="8" joinstyle="miter" dashstyle="3 1" endarrow="block"/>
                  <v:imagedata o:title=""/>
                  <o:lock v:ext="edit" aspectratio="f"/>
                </v:line>
                <v:line id="_x0000_s1026" o:spid="_x0000_s1026" o:spt="20" style="position:absolute;left:2520315;top:1276985;flip:y;height:412115;width:635;"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VmCU2AAAAAUBAAAPAAAAAAAAAAEAIAAAACIA&#10;AABkcnMvZG93bnJldi54bWxQSwECFAAUAAAACACHTuJA2zB3yAkCAADqAwAADgAAAAAAAAABACAA&#10;AAAnAQAAZHJzL2Uyb0RvYy54bWxQSwUGAAAAAAYABgBZAQAAogUAAAAA&#10;">
                  <v:fill on="f" focussize="0,0"/>
                  <v:stroke weight="0.5pt" color="#000000 [3213]" miterlimit="8" joinstyle="miter" dashstyle="3 1" endarrow="block"/>
                  <v:imagedata o:title=""/>
                  <o:lock v:ext="edit" aspectratio="f"/>
                </v:line>
                <v:line id="_x0000_s1026" o:spid="_x0000_s1026" o:spt="20" style="position:absolute;left:4123055;top:1682750;flip:y;height:168275;width:5080;"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VmCU2AAAAAUBAAAPAAAAAAAAAAEAIAAAACIA&#10;AABkcnMvZG93bnJldi54bWxQSwECFAAUAAAACACHTuJARUZGmQkCAADrAwAADgAAAAAAAAABACAA&#10;AAAnAQAAZHJzL2Uyb0RvYy54bWxQSwUGAAAAAAYABgBZAQAAogUAAAAA&#10;">
                  <v:fill on="f" focussize="0,0"/>
                  <v:stroke weight="0.5pt" color="#000000 [3213]" miterlimit="8" joinstyle="miter" dashstyle="3 1" endarrow="block"/>
                  <v:imagedata o:title=""/>
                  <o:lock v:ext="edit" aspectratio="f"/>
                </v:line>
                <v:line id="_x0000_s1026" o:spid="_x0000_s1026" o:spt="20" style="position:absolute;left:1376680;top:1718945;height:1270;width:1668145;" filled="f" stroked="t" coordsize="21600,21600" o:gfxdata="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I6cs1QAAAAUBAAAPAAAAAAAAAAEAIAAAACIAAABkcnMvZG93bnJldi54bWxQSwECFAAU&#10;AAAACACHTuJA2NuTvvQBAADGAwAADgAAAAAAAAABACAAAAAkAQAAZHJzL2Uyb0RvYy54bWxQSwUG&#10;AAAAAAYABgBZAQAAigUAAAAA&#10;">
                  <v:fill on="f" focussize="0,0"/>
                  <v:stroke weight="0.5pt" color="#000000 [3213]" miterlimit="8" joinstyle="miter" dashstyle="3 1"/>
                  <v:imagedata o:title=""/>
                  <o:lock v:ext="edit" aspectratio="f"/>
                </v:line>
                <v:line id="_x0000_s1026" o:spid="_x0000_s1026" o:spt="20" style="position:absolute;left:3032760;top:1703705;flip:y;height:136525;width:3810;"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mVmCU2AAAAAUBAAAPAAAAAAAAAAEAIAAA&#10;ACIAAABkcnMvZG93bnJldi54bWxQSwECFAAUAAAACACHTuJA5lLVuQwCAADrAwAADgAAAAAAAAAB&#10;ACAAAAAnAQAAZHJzL2Uyb0RvYy54bWxQSwUGAAAAAAYABgBZAQAApQUAAAAA&#10;">
                  <v:fill on="f" focussize="0,0"/>
                  <v:stroke weight="0.5pt" color="#000000 [3213]" miterlimit="8" joinstyle="miter" dashstyle="3 1" endarrow="block"/>
                  <v:imagedata o:title=""/>
                  <o:lock v:ext="edit" aspectratio="f"/>
                </v:line>
                <v:line id="_x0000_s1026" o:spid="_x0000_s1026" o:spt="20" style="position:absolute;left:1386205;top:1714500;flip:y;height:136525;width:3810;"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WYJTYAAAABQEAAA8AAAAAAAAAAQAgAAAA&#10;IgAAAGRycy9kb3ducmV2LnhtbFBLAQIUABQAAAAIAIdO4kBSS5pvCwIAAOsDAAAOAAAAAAAAAAEA&#10;IAAAACcBAABkcnMvZTJvRG9jLnhtbFBLBQYAAAAABgAGAFkBAACkBQAAAAA=&#10;">
                  <v:fill on="f" focussize="0,0"/>
                  <v:stroke weight="0.5pt" color="#000000 [3213]" miterlimit="8" joinstyle="miter" dashstyle="3 1" endarrow="block"/>
                  <v:imagedata o:title=""/>
                  <o:lock v:ext="edit" aspectratio="f"/>
                </v:line>
                <v:line id="_x0000_s1026" o:spid="_x0000_s1026" o:spt="20" style="position:absolute;left:2138045;top:1280160;flip:x y;height:443865;width:635;" filled="f" stroked="t" coordsize="21600,21600" o:gfxdata="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PA2tMAAAAFAQAADwAAAAAAAAABACAAAAAi&#10;AAAAZHJzL2Rvd25yZXYueG1sUEsBAhQAFAAAAAgAh07iQI1HensPAgAA9AMAAA4AAAAAAAAAAQAg&#10;AAAAIgEAAGRycy9lMm9Eb2MueG1sUEsFBgAAAAAGAAYAWQEAAKMFAAAAAA==&#10;">
                  <v:fill on="f" focussize="0,0"/>
                  <v:stroke weight="0.5pt" color="#000000 [3213]" miterlimit="8" joinstyle="miter" dashstyle="3 1" endarrow="block"/>
                  <v:imagedata o:title=""/>
                  <o:lock v:ext="edit" aspectratio="f"/>
                </v:line>
                <v:shape id="_x0000_s1026" o:spid="_x0000_s1026" o:spt="202" type="#_x0000_t202" style="position:absolute;left:2090420;top:1297940;height:402590;width:34861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LFjiDTAAAABQEAAA8AAAAAAAAAAQAgAAAAIgAAAGRycy9kb3ducmV2LnhtbFBLAQIUABQAAAAI&#10;AIdO4kAsGWXDuQEAAF0DAAAOAAAAAAAAAAEAIAAAACIBAABkcnMvZTJvRG9jLnhtbFBLBQYAAAAA&#10;BgAGAFkBAABNBQAAAAA=&#10;">
                  <v:fill on="f" focussize="0,0"/>
                  <v:stroke on="f"/>
                  <v:imagedata o:title=""/>
                  <o:lock v:ext="edit" aspectratio="f"/>
                  <v:textbox>
                    <w:txbxContent>
                      <w:p w14:paraId="72DDF87D">
                        <w:pPr>
                          <w:rPr>
                            <w:rFonts w:hint="default" w:eastAsia="宋体"/>
                            <w:sz w:val="21"/>
                            <w:szCs w:val="21"/>
                            <w:lang w:val="en-US" w:eastAsia="zh-CN"/>
                          </w:rPr>
                        </w:pPr>
                        <w:r>
                          <w:rPr>
                            <w:rFonts w:hint="eastAsia" w:eastAsia="宋体"/>
                            <w:sz w:val="21"/>
                            <w:szCs w:val="21"/>
                            <w:lang w:val="en-US" w:eastAsia="zh-CN"/>
                          </w:rPr>
                          <w:t>回流</w:t>
                        </w:r>
                      </w:p>
                    </w:txbxContent>
                  </v:textbox>
                </v:shape>
                <v:line id="_x0000_s1026" o:spid="_x0000_s1026" o:spt="20" style="position:absolute;left:3849370;top:3641725;flip:x;height:299720;width:2540;"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mVmCU2AAAAAUBAAAPAAAAAAAAAAEA&#10;IAAAACIAAABkcnMvZG93bnJldi54bWxQSwECFAAUAAAACACHTuJANCUrHA8CAADrAwAADgAAAAAA&#10;AAABACAAAAAnAQAAZHJzL2Uyb0RvYy54bWxQSwUGAAAAAAYABgBZAQAAqAUAAAAA&#10;">
                  <v:fill on="f" focussize="0,0"/>
                  <v:stroke weight="0.5pt" color="#000000 [3213]" miterlimit="8" joinstyle="miter" dashstyle="3 1" endarrow="block"/>
                  <v:imagedata o:title=""/>
                  <o:lock v:ext="edit" aspectratio="f"/>
                </v:line>
                <v:line id="_x0000_s1026" o:spid="_x0000_s1026" o:spt="20" style="position:absolute;left:442595;top:2124075;height:817880;width:3175;" filled="f" stroked="t" coordsize="21600,21600" o:gfxdata="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HlIOvUAAAABQEAAA8AAAAAAAAAAQAgAAAA&#10;IgAAAGRycy9kb3ducmV2LnhtbFBLAQIUABQAAAAIAIdO4kDMWR8XDwIAAPgDAAAOAAAAAAAAAAEA&#10;IAAAACMBAABkcnMvZTJvRG9jLnhtbFBLBQYAAAAABgAGAFkBAACkBQAAAAA=&#10;">
                  <v:fill on="f" focussize="0,0"/>
                  <v:stroke color="#000000" joinstyle="round" endarrow="block" endarrowlength="long"/>
                  <v:imagedata o:title=""/>
                  <o:lock v:ext="edit" aspectratio="f"/>
                </v:line>
                <v:line id="_x0000_s1026" o:spid="_x0000_s1026" o:spt="20" style="position:absolute;left:1402080;top:2661285;flip:x;height:308610;width:254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xSx31gAAAAUBAAAPAAAA&#10;AAAAAAEAIAAAACIAAABkcnMvZG93bnJldi54bWxQSwECFAAUAAAACACHTuJAomXfMBcCAAADBAAA&#10;DgAAAAAAAAABACAAAAAlAQAAZHJzL2Uyb0RvYy54bWxQSwUGAAAAAAYABgBZAQAArgUAAAAA&#10;">
                  <v:fill on="f" focussize="0,0"/>
                  <v:stroke color="#000000" joinstyle="round" endarrow="block" endarrowlength="long"/>
                  <v:imagedata o:title=""/>
                  <o:lock v:ext="edit" aspectratio="f"/>
                </v:line>
                <v:shape id="_x0000_s1026" o:spid="_x0000_s1026" o:spt="202" type="#_x0000_t202" style="position:absolute;left:0;top:2956560;height:478155;width:101473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9tKd1gAAAAUBAAAPAAAAAAAAAAEA&#10;IAAAACIAAABkcnMvZG93bnJldi54bWxQSwECFAAUAAAACACHTuJArMPIVxECAABABAAADgAAAAAA&#10;AAABACAAAAAlAQAAZHJzL2Uyb0RvYy54bWxQSwUGAAAAAAYABgBZAQAAqAUAAAAA&#10;">
                  <v:fill on="t" focussize="0,0"/>
                  <v:stroke color="#000000" joinstyle="miter"/>
                  <v:imagedata o:title=""/>
                  <o:lock v:ext="edit" aspectratio="f"/>
                  <v:textbox>
                    <w:txbxContent>
                      <w:p w14:paraId="411A7D9F">
                        <w:pPr>
                          <w:jc w:val="center"/>
                          <w:rPr>
                            <w:rFonts w:hint="default" w:eastAsia="宋体"/>
                            <w:sz w:val="21"/>
                            <w:szCs w:val="21"/>
                            <w:lang w:val="en-US" w:eastAsia="zh-CN"/>
                          </w:rPr>
                        </w:pPr>
                        <w:r>
                          <w:rPr>
                            <w:rFonts w:hint="eastAsia" w:eastAsia="宋体"/>
                            <w:sz w:val="21"/>
                            <w:szCs w:val="21"/>
                            <w:lang w:val="en-US" w:eastAsia="zh-CN"/>
                          </w:rPr>
                          <w:t>生产废水一体化处理装置</w:t>
                        </w:r>
                      </w:p>
                    </w:txbxContent>
                  </v:textbox>
                </v:shape>
                <v:line id="_x0000_s1026" o:spid="_x0000_s1026" o:spt="20" style="position:absolute;left:455295;top:3475990;flip:x;height:308610;width:254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zFLHfWAAAABQEAAA8AAAAA&#10;AAAAAQAgAAAAIgAAAGRycy9kb3ducmV2LnhtbFBLAQIUABQAAAAIAIdO4kBcCjxXFgIAAAIEAAAO&#10;AAAAAAAAAAEAIAAAACUBAABkcnMvZTJvRG9jLnhtbFBLBQYAAAAABgAGAFkBAACtBQAAAAA=&#10;">
                  <v:fill on="f" focussize="0,0"/>
                  <v:stroke color="#000000" joinstyle="round" endarrow="block" endarrowlength="long"/>
                  <v:imagedata o:title=""/>
                  <o:lock v:ext="edit" aspectratio="f"/>
                </v:line>
                <v:shape id="_x0000_s1026" o:spid="_x0000_s1026" o:spt="202" type="#_x0000_t202" style="position:absolute;left:222250;top:3756660;height:266700;width:78994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xY4g0wAAAAUBAAAPAAAAAAAAAAEAIAAAACIAAABkcnMvZG93bnJldi54bWxQSwECFAAUAAAACACH&#10;TuJAPFS5ircBAABcAwAADgAAAAAAAAABACAAAAAiAQAAZHJzL2Uyb0RvYy54bWxQSwUGAAAAAAYA&#10;BgBZAQAASwUAAAAA&#10;">
                  <v:fill on="f" focussize="0,0"/>
                  <v:stroke on="f"/>
                  <v:imagedata o:title=""/>
                  <o:lock v:ext="edit" aspectratio="f"/>
                  <v:textbox>
                    <w:txbxContent>
                      <w:p w14:paraId="09A404D2">
                        <w:pPr>
                          <w:rPr>
                            <w:rFonts w:hint="default" w:eastAsia="宋体"/>
                            <w:sz w:val="21"/>
                            <w:szCs w:val="21"/>
                            <w:lang w:val="en-US" w:eastAsia="zh-CN"/>
                          </w:rPr>
                        </w:pPr>
                        <w:r>
                          <w:rPr>
                            <w:rFonts w:hint="eastAsia" w:eastAsia="宋体"/>
                            <w:sz w:val="21"/>
                            <w:szCs w:val="21"/>
                            <w:lang w:val="en-US" w:eastAsia="zh-CN"/>
                          </w:rPr>
                          <w:t>新河</w:t>
                        </w:r>
                      </w:p>
                    </w:txbxContent>
                  </v:textbox>
                </v:shape>
                <v:line id="_x0000_s1026" o:spid="_x0000_s1026" o:spt="20" style="position:absolute;left:3116580;top:3264535;flip:y;height:165100;width:292100;rotation:-7864320f;" filled="f" stroked="t" coordsize="21600,21600" o:gfxdata="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RNvL9YAAAAFAQAA&#10;DwAAAAAAAAABACAAAAAiAAAAZHJzL2Rvd25yZXYueG1sUEsBAhQAFAAAAAgAh07iQB113LAbAgAA&#10;EgQAAA4AAAAAAAAAAQAgAAAAJQEAAGRycy9lMm9Eb2MueG1sUEsFBgAAAAAGAAYAWQEAALIFAAAA&#10;AA==&#10;">
                  <v:fill on="f" focussize="0,0"/>
                  <v:stroke color="#000000" joinstyle="round" dashstyle="dash" endarrow="block" endarrowlength="long"/>
                  <v:imagedata o:title=""/>
                  <o:lock v:ext="edit" aspectratio="f"/>
                </v:line>
                <v:shape id="_x0000_s1026" o:spid="_x0000_s1026" o:spt="202" type="#_x0000_t202" style="position:absolute;left:2841625;top:2968625;height:266700;width:92138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xY4g0wAAAAUBAAAPAAAAAAAAAAEAIAAAACIAAABkcnMvZG93bnJldi54bWxQSwECFAAUAAAACACH&#10;TuJAtL0VxLcBAABdAwAADgAAAAAAAAABACAAAAAiAQAAZHJzL2Uyb0RvYy54bWxQSwUGAAAAAAYA&#10;BgBZAQAASwUAAAAA&#10;">
                  <v:fill on="f" focussize="0,0"/>
                  <v:stroke on="f"/>
                  <v:imagedata o:title=""/>
                  <o:lock v:ext="edit" aspectratio="f"/>
                  <v:textbox>
                    <w:txbxContent>
                      <w:p w14:paraId="4F5BEEB0">
                        <w:pPr>
                          <w:rPr>
                            <w:rFonts w:hint="default" w:eastAsia="宋体"/>
                            <w:sz w:val="21"/>
                            <w:szCs w:val="21"/>
                            <w:lang w:val="en-US" w:eastAsia="zh-CN"/>
                          </w:rPr>
                        </w:pPr>
                        <w:r>
                          <w:rPr>
                            <w:rFonts w:hint="eastAsia" w:eastAsia="宋体"/>
                            <w:sz w:val="21"/>
                            <w:szCs w:val="21"/>
                            <w:lang w:val="en-US" w:eastAsia="zh-CN"/>
                          </w:rPr>
                          <w:t>补加NaClO</w:t>
                        </w:r>
                      </w:p>
                    </w:txbxContent>
                  </v:textbox>
                </v:shape>
                <v:line id="_x0000_s1026" o:spid="_x0000_s1026" o:spt="20" style="position:absolute;left:4312920;top:3249295;flip:y;height:165100;width:292100;rotation:-7864320f;" filled="f" stroked="t" coordsize="21600,21600" o:gfxdata="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UTby/WAAAABQEA&#10;AA8AAAAAAAAAAQAgAAAAIgAAAGRycy9kb3ducmV2LnhtbFBLAQIUABQAAAAIAIdO4kBJq9bRHAIA&#10;ABIEAAAOAAAAAAAAAAEAIAAAACUBAABkcnMvZTJvRG9jLnhtbFBLBQYAAAAABgAGAFkBAACzBQAA&#10;AAA=&#10;">
                  <v:fill on="f" focussize="0,0"/>
                  <v:stroke color="#000000" joinstyle="round" dashstyle="dash" endarrow="block" endarrowlength="long"/>
                  <v:imagedata o:title=""/>
                  <o:lock v:ext="edit" aspectratio="f"/>
                </v:line>
                <v:shape id="_x0000_s1026" o:spid="_x0000_s1026" o:spt="202" type="#_x0000_t202" style="position:absolute;left:3994785;top:2910205;height:266700;width:92138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xY4g0wAAAAUBAAAPAAAAAAAAAAEAIAAAACIAAABkcnMvZG93bnJldi54bWxQSwECFAAUAAAA&#10;CACHTuJAu4QktboBAABdAwAADgAAAAAAAAABACAAAAAiAQAAZHJzL2Uyb0RvYy54bWxQSwUGAAAA&#10;AAYABgBZAQAATgUAAAAA&#10;">
                  <v:fill on="f" focussize="0,0"/>
                  <v:stroke on="f"/>
                  <v:imagedata o:title=""/>
                  <o:lock v:ext="edit" aspectratio="f"/>
                  <v:textbox>
                    <w:txbxContent>
                      <w:p w14:paraId="1F8EC2EF">
                        <w:pPr>
                          <w:rPr>
                            <w:rFonts w:hint="default" w:eastAsia="宋体"/>
                            <w:sz w:val="21"/>
                            <w:szCs w:val="21"/>
                            <w:lang w:val="en-US" w:eastAsia="zh-CN"/>
                          </w:rPr>
                        </w:pPr>
                        <w:r>
                          <w:rPr>
                            <w:rFonts w:hint="eastAsia" w:eastAsia="宋体"/>
                            <w:sz w:val="21"/>
                            <w:szCs w:val="21"/>
                            <w:lang w:val="en-US" w:eastAsia="zh-CN"/>
                          </w:rPr>
                          <w:t>主加NaClO</w:t>
                        </w:r>
                      </w:p>
                    </w:txbxContent>
                  </v:textbox>
                </v:shape>
                <v:line id="_x0000_s1026" o:spid="_x0000_s1026" o:spt="20" style="position:absolute;left:5255895;top:2125980;flip:y;height:1238250;width:0;" filled="f" stroked="t" coordsize="21600,21600" o:gfxdata="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ZWYJTYAAAABQEAAA8AAAAAAAAAAQAg&#10;AAAAIgAAAGRycy9kb3ducmV2LnhtbFBLAQIUABQAAAAIAIdO4kDE4wulDgIAAOkDAAAOAAAAAAAA&#10;AAEAIAAAACcBAABkcnMvZTJvRG9jLnhtbFBLBQYAAAAABgAGAFkBAACnBQAAAAA=&#10;">
                  <v:fill on="f" focussize="0,0"/>
                  <v:stroke weight="0.5pt" color="#000000 [3213]" miterlimit="8" joinstyle="miter" dashstyle="3 1" endarrow="block"/>
                  <v:imagedata o:title=""/>
                  <o:lock v:ext="edit" aspectratio="f"/>
                </v:line>
                <v:line id="_x0000_s1026" o:spid="_x0000_s1026" o:spt="20" style="position:absolute;left:4163695;top:2131695;flip:x y;height:443865;width:635;" filled="f" stroked="t" coordsize="21600,21600" o:gfxdata="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PA2tMAAAAFAQAADwAAAAAAAAABACAAAAAi&#10;AAAAZHJzL2Rvd25yZXYueG1sUEsBAhQAFAAAAAgAh07iQFdrHJkPAgAA9AMAAA4AAAAAAAAAAQAg&#10;AAAAIgEAAGRycy9lMm9Eb2MueG1sUEsFBgAAAAAGAAYAWQEAAKMFAAAAAA==&#10;">
                  <v:fill on="f" focussize="0,0"/>
                  <v:stroke weight="0.5pt" color="#000000 [3213]" miterlimit="8" joinstyle="miter" dashstyle="3 1" endarrow="block"/>
                  <v:imagedata o:title=""/>
                  <o:lock v:ext="edit" aspectratio="f"/>
                </v:line>
                <v:line id="_x0000_s1026" o:spid="_x0000_s1026" o:spt="20" style="position:absolute;left:5034280;top:2560320;flip:x y;height:794385;width:4445;" filled="f" stroked="t" coordsize="21600,21600" o:gfxdata="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VA8Da0wAAAAUBAAAPAAAAAAAAAAEA&#10;IAAAACIAAABkcnMvZG93bnJldi54bWxQSwECFAAUAAAACACHTuJAPuAjKBQCAAD1AwAADgAAAAAA&#10;AAABACAAAAAiAQAAZHJzL2Uyb0RvYy54bWxQSwUGAAAAAAYABgBZAQAAqAUAAAAA&#10;">
                  <v:fill on="f" focussize="0,0"/>
                  <v:stroke weight="0.5pt" color="#000000 [3213]" miterlimit="8" joinstyle="miter" dashstyle="3 1" endarrow="block"/>
                  <v:imagedata o:title=""/>
                  <o:lock v:ext="edit" aspectratio="f"/>
                </v:line>
                <v:line id="_x0000_s1026" o:spid="_x0000_s1026" o:spt="20" style="position:absolute;left:4164965;top:2564765;height:0;width:878840;" filled="f" stroked="t" coordsize="21600,21600" o:gfxdata="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I6cs1QAAAAUBAAAPAAAAAAAAAAEAIAAAACIAAABkcnMvZG93bnJldi54bWxQSwECFAAU&#10;AAAACACHTuJAlhYKZ/QBAADCAwAADgAAAAAAAAABACAAAAAkAQAAZHJzL2Uyb0RvYy54bWxQSwUG&#10;AAAAAAYABgBZAQAAigUAAAAA&#10;">
                  <v:fill on="f" focussize="0,0"/>
                  <v:stroke weight="0.5pt" color="#000000 [3213]" miterlimit="8" joinstyle="miter" dashstyle="3 1"/>
                  <v:imagedata o:title=""/>
                  <o:lock v:ext="edit" aspectratio="f"/>
                </v:line>
                <v:shape id="_x0000_s1026" o:spid="_x0000_s1026" o:spt="202" type="#_x0000_t202" style="position:absolute;left:4132580;top:2333625;height:266700;width:92138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xY4g0wAAAAUBAAAPAAAAAAAAAAEAIAAAACIAAABkcnMvZG93bnJldi54bWxQSwECFAAUAAAA&#10;CACHTuJAPMjAFLoBAABdAwAADgAAAAAAAAABACAAAAAiAQAAZHJzL2Uyb0RvYy54bWxQSwUGAAAA&#10;AAYABgBZAQAATgUAAAAA&#10;">
                  <v:fill on="f" focussize="0,0"/>
                  <v:stroke on="f"/>
                  <v:imagedata o:title=""/>
                  <o:lock v:ext="edit" aspectratio="f"/>
                  <v:textbox>
                    <w:txbxContent>
                      <w:p w14:paraId="28AD08D6">
                        <w:pPr>
                          <w:rPr>
                            <w:rFonts w:hint="default" w:eastAsia="宋体"/>
                            <w:sz w:val="21"/>
                            <w:szCs w:val="21"/>
                            <w:lang w:val="en-US" w:eastAsia="zh-CN"/>
                          </w:rPr>
                        </w:pPr>
                        <w:r>
                          <w:rPr>
                            <w:rFonts w:hint="eastAsia" w:eastAsia="宋体"/>
                            <w:sz w:val="21"/>
                            <w:szCs w:val="21"/>
                            <w:lang w:val="en-US" w:eastAsia="zh-CN"/>
                          </w:rPr>
                          <w:t>反冲洗水</w:t>
                        </w:r>
                      </w:p>
                    </w:txbxContent>
                  </v:textbox>
                </v:shape>
                <v:shape id="_x0000_s1026" o:spid="_x0000_s1026" o:spt="202" type="#_x0000_t202" style="position:absolute;left:2776220;top:4418330;height:266700;width:85979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H20p3WAAAABQEAAA8A&#10;AAAAAAAAAQAgAAAAIgAAAGRycy9kb3ducmV2LnhtbFBLAQIUABQAAAAIAIdO4kCxG50nGQIAAEUE&#10;AAAOAAAAAAAAAAEAIAAAACUBAABkcnMvZTJvRG9jLnhtbFBLBQYAAAAABgAGAFkBAACwBQAAAAA=&#10;">
                  <v:fill on="t" focussize="0,0"/>
                  <v:stroke color="#000000" joinstyle="miter"/>
                  <v:imagedata o:title=""/>
                  <o:lock v:ext="edit" aspectratio="f"/>
                  <v:textbox>
                    <w:txbxContent>
                      <w:p w14:paraId="4A172C06">
                        <w:pPr>
                          <w:rPr>
                            <w:rFonts w:hint="eastAsia" w:eastAsia="宋体"/>
                            <w:sz w:val="21"/>
                            <w:szCs w:val="21"/>
                            <w:lang w:val="en-US" w:eastAsia="zh-CN"/>
                          </w:rPr>
                        </w:pPr>
                        <w:r>
                          <w:rPr>
                            <w:rFonts w:hint="eastAsia" w:eastAsia="宋体"/>
                            <w:sz w:val="21"/>
                            <w:szCs w:val="21"/>
                            <w:lang w:val="en-US" w:eastAsia="zh-CN"/>
                          </w:rPr>
                          <w:t>油水分离器</w:t>
                        </w:r>
                      </w:p>
                    </w:txbxContent>
                  </v:textbox>
                </v:shape>
                <v:shape id="_x0000_s1026" o:spid="_x0000_s1026" o:spt="202" type="#_x0000_t202" style="position:absolute;left:4189730;top:4385310;height:266700;width:921385;"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WOINMAAAAFAQAADwAAAAAAAAABACAAAAAiAAAAZHJzL2Rvd25yZXYueG1sUEsBAhQAFAAAAAgA&#10;h07iQIO8JDG4AQAAXQMAAA4AAAAAAAAAAQAgAAAAIgEAAGRycy9lMm9Eb2MueG1sUEsFBgAAAAAG&#10;AAYAWQEAAEwFAAAAAA==&#10;">
                  <v:fill on="f" focussize="0,0"/>
                  <v:stroke on="f"/>
                  <v:imagedata o:title=""/>
                  <o:lock v:ext="edit" aspectratio="f"/>
                  <v:textbox>
                    <w:txbxContent>
                      <w:p w14:paraId="4E14D4FD">
                        <w:pPr>
                          <w:rPr>
                            <w:rFonts w:hint="default" w:eastAsia="宋体"/>
                            <w:sz w:val="21"/>
                            <w:szCs w:val="21"/>
                            <w:lang w:val="en-US" w:eastAsia="zh-CN"/>
                          </w:rPr>
                        </w:pPr>
                        <w:r>
                          <w:rPr>
                            <w:rFonts w:hint="eastAsia" w:eastAsia="宋体"/>
                            <w:sz w:val="21"/>
                            <w:szCs w:val="21"/>
                            <w:lang w:val="en-US" w:eastAsia="zh-CN"/>
                          </w:rPr>
                          <w:t>食堂废水</w:t>
                        </w:r>
                      </w:p>
                    </w:txbxContent>
                  </v:textbox>
                </v:shape>
                <v:line id="_x0000_s1026" o:spid="_x0000_s1026" o:spt="20" style="position:absolute;left:997585;top:4537075;flip:y;height:0;width:571500;rotation:11796480f;" filled="f" stroked="t" coordsize="21600,21600" o:gfxdata="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VgnkbWAAAABQEA&#10;AA8AAAAAAAAAAQAgAAAAIgAAAGRycy9kb3ducmV2LnhtbFBLAQIUABQAAAAIAIdO4kANs9u5HAIA&#10;AA4EAAAOAAAAAAAAAAEAIAAAACUBAABkcnMvZTJvRG9jLnhtbFBLBQYAAAAABgAGAFkBAACzBQAA&#10;AAA=&#10;">
                  <v:fill on="f" focussize="0,0"/>
                  <v:stroke color="#000000" joinstyle="round" endarrow="block" endarrowlength="long"/>
                  <v:imagedata o:title=""/>
                  <o:lock v:ext="edit" aspectratio="f"/>
                </v:line>
                <v:shape id="_x0000_s1026" o:spid="_x0000_s1026" o:spt="202" type="#_x0000_t202" style="position:absolute;left:0;top:4307205;height:478155;width:101473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9tKd1gAAAAUBAAAPAAAAAAAA&#10;AAEAIAAAACIAAABkcnMvZG93bnJldi54bWxQSwECFAAUAAAACACHTuJADY7guRQCAABABAAADgAA&#10;AAAAAAABACAAAAAlAQAAZHJzL2Uyb0RvYy54bWxQSwUGAAAAAAYABgBZAQAAqwUAAAAA&#10;">
                  <v:fill on="t" focussize="0,0"/>
                  <v:stroke color="#000000" joinstyle="miter"/>
                  <v:imagedata o:title=""/>
                  <o:lock v:ext="edit" aspectratio="f"/>
                  <v:textbox>
                    <w:txbxContent>
                      <w:p w14:paraId="75FE577D">
                        <w:pPr>
                          <w:jc w:val="center"/>
                          <w:rPr>
                            <w:rFonts w:hint="eastAsia" w:eastAsia="宋体"/>
                            <w:sz w:val="21"/>
                            <w:szCs w:val="21"/>
                            <w:lang w:val="en-US" w:eastAsia="zh-CN"/>
                          </w:rPr>
                        </w:pPr>
                        <w:r>
                          <w:rPr>
                            <w:rFonts w:hint="eastAsia" w:eastAsia="宋体"/>
                            <w:sz w:val="21"/>
                            <w:szCs w:val="21"/>
                            <w:lang w:val="en-US" w:eastAsia="zh-CN"/>
                          </w:rPr>
                          <w:t>生活污水一体化处理装置</w:t>
                        </w:r>
                      </w:p>
                    </w:txbxContent>
                  </v:textbox>
                </v:shape>
                <v:line id="_x0000_s1026" o:spid="_x0000_s1026" o:spt="20" style="position:absolute;left:459105;top:3972560;flip:y;height:325755;width:6350;" filled="f" stroked="t" coordsize="21600,21600" o:gfxdata="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MUsd9YAAAAFAQAADwAAAAAA&#10;AAABACAAAAAiAAAAZHJzL2Rvd25yZXYueG1sUEsBAhQAFAAAAAgAh07iQEuqc2kVAgAAAgQAAA4A&#10;AAAAAAAAAQAgAAAAJQEAAGRycy9lMm9Eb2MueG1sUEsFBgAAAAAGAAYAWQEAAKwFAAAAAA==&#10;">
                  <v:fill on="f" focussize="0,0"/>
                  <v:stroke color="#000000" joinstyle="round" endarrow="block" endarrowlength="long"/>
                  <v:imagedata o:title=""/>
                  <o:lock v:ext="edit" aspectratio="f"/>
                </v:line>
                <v:shape id="_x0000_s1026" o:spid="_x0000_s1026" o:spt="202" type="#_x0000_t202" style="position:absolute;left:2037080;top:3941445;height:266700;width:1003300;" fillcolor="#FFFFFF" filled="t" stroked="f" coordsize="21600,21600" o:gfxdata="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PvZWq1AAAAAUBAAAPAAAAAAAAAAEA&#10;IAAAACIAAABkcnMvZG93bnJldi54bWxQSwECFAAUAAAACACHTuJAFueuFRMCAAAdBAAADgAAAAAA&#10;AAABACAAAAAjAQAAZHJzL2Uyb0RvYy54bWxQSwUGAAAAAAYABgBZAQAAqAUAAAAA&#10;">
                  <v:fill on="t" focussize="0,0"/>
                  <v:stroke on="f" joinstyle="miter"/>
                  <v:imagedata o:title=""/>
                  <o:lock v:ext="edit" aspectratio="f"/>
                  <v:textbox>
                    <w:txbxContent>
                      <w:p w14:paraId="4F5C66E9">
                        <w:pPr>
                          <w:rPr>
                            <w:rFonts w:hint="eastAsia" w:eastAsia="宋体"/>
                            <w:sz w:val="21"/>
                            <w:szCs w:val="21"/>
                            <w:lang w:val="en-US" w:eastAsia="zh-CN"/>
                          </w:rPr>
                        </w:pPr>
                        <w:r>
                          <w:rPr>
                            <w:rFonts w:hint="eastAsia" w:eastAsia="宋体"/>
                            <w:sz w:val="21"/>
                            <w:szCs w:val="21"/>
                            <w:lang w:val="en-US" w:eastAsia="zh-CN"/>
                          </w:rPr>
                          <w:t>其它生活污水</w:t>
                        </w:r>
                      </w:p>
                    </w:txbxContent>
                  </v:textbox>
                </v:shape>
                <v:shape id="_x0000_s1026" o:spid="_x0000_s1026" o:spt="202" type="#_x0000_t202" style="position:absolute;left:1586230;top:4419600;height:266700;width:622300;" fillcolor="#FFFFFF" filled="t" stroked="t" coordsize="21600,21600" o:gfxdata="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20p3WAAAABQEAAA8AAAAA&#10;AAAAAQAgAAAAIgAAAGRycy9kb3ducmV2LnhtbFBLAQIUABQAAAAIAIdO4kD9NJ20FgIAAEUEAAAO&#10;AAAAAAAAAAEAIAAAACUBAABkcnMvZTJvRG9jLnhtbFBLBQYAAAAABgAGAFkBAACtBQAAAAA=&#10;">
                  <v:fill on="t" focussize="0,0"/>
                  <v:stroke color="#000000" joinstyle="miter"/>
                  <v:imagedata o:title=""/>
                  <o:lock v:ext="edit" aspectratio="f"/>
                  <v:textbox>
                    <w:txbxContent>
                      <w:p w14:paraId="571E7D05">
                        <w:pPr>
                          <w:jc w:val="center"/>
                          <w:rPr>
                            <w:rFonts w:hint="default" w:eastAsia="宋体"/>
                            <w:sz w:val="21"/>
                            <w:szCs w:val="21"/>
                            <w:lang w:val="en-US" w:eastAsia="zh-CN"/>
                          </w:rPr>
                        </w:pPr>
                        <w:r>
                          <w:rPr>
                            <w:rFonts w:hint="eastAsia" w:eastAsia="宋体"/>
                            <w:sz w:val="21"/>
                            <w:szCs w:val="21"/>
                            <w:lang w:val="en-US" w:eastAsia="zh-CN"/>
                          </w:rPr>
                          <w:t>化粪池</w:t>
                        </w:r>
                      </w:p>
                    </w:txbxContent>
                  </v:textbox>
                </v:shape>
                <v:line id="_x0000_s1026" o:spid="_x0000_s1026" o:spt="20" style="position:absolute;left:2204085;top:4553585;flip:y;height:0;width:571500;rotation:11796480f;" filled="f" stroked="t" coordsize="21600,21600" o:gfxdata="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WCeRtYAAAAFAQAA&#10;DwAAAAAAAAABACAAAAAiAAAAZHJzL2Rvd25yZXYueG1sUEsBAhQAFAAAAAgAh07iQAnCiXYbAgAA&#10;DwQAAA4AAAAAAAAAAQAgAAAAJQEAAGRycy9lMm9Eb2MueG1sUEsFBgAAAAAGAAYAWQEAALIFAAAA&#10;AA==&#10;">
                  <v:fill on="f" focussize="0,0"/>
                  <v:stroke color="#000000" joinstyle="round" endarrow="block" endarrowlength="long"/>
                  <v:imagedata o:title=""/>
                  <o:lock v:ext="edit" aspectratio="f"/>
                </v:line>
                <v:line id="_x0000_s1026" o:spid="_x0000_s1026" o:spt="20" style="position:absolute;left:2497455;top:4180205;height:347980;width:1270;" filled="f" stroked="t" coordsize="21600,21600" o:gfxdata="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eUg69QAAAAFAQAADwAAAAAAAAABACAA&#10;AAAiAAAAZHJzL2Rvd25yZXYueG1sUEsBAhQAFAAAAAgAh07iQNC1lt4RAgAA+QMAAA4AAAAAAAAA&#10;AQAgAAAAIwEAAGRycy9lMm9Eb2MueG1sUEsFBgAAAAAGAAYAWQEAAKYFAAAAAA==&#10;">
                  <v:fill on="f" focussize="0,0"/>
                  <v:stroke color="#000000" joinstyle="round" endarrow="block" endarrowlength="long"/>
                  <v:imagedata o:title=""/>
                  <o:lock v:ext="edit" aspectratio="f"/>
                </v:line>
                <v:line id="_x0000_s1026" o:spid="_x0000_s1026" o:spt="20" style="position:absolute;left:3635375;top:4530725;flip:y;height:0;width:571500;rotation:11796480f;" filled="f" stroked="t" coordsize="21600,21600" o:gfxdata="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YJ5G1gAAAAUB&#10;AAAPAAAAAAAAAAEAIAAAACIAAABkcnMvZG93bnJldi54bWxQSwECFAAUAAAACACHTuJAuJdJ+x0C&#10;AAAPBAAADgAAAAAAAAABACAAAAAlAQAAZHJzL2Uyb0RvYy54bWxQSwUGAAAAAAYABgBZAQAAtAUA&#10;AAAA&#10;">
                  <v:fill on="f" focussize="0,0"/>
                  <v:stroke color="#000000" joinstyle="round" endarrow="block" endarrowlength="long"/>
                  <v:imagedata o:title=""/>
                  <o:lock v:ext="edit" aspectratio="f"/>
                </v:line>
                <v:shape id="_x0000_s1026" o:spid="_x0000_s1026" o:spt="202" type="#_x0000_t202" style="position:absolute;left:3589655;top:3919855;height:266700;width:637540;" filled="f" stroked="f" coordsize="21600,21600" o:gfxdata="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xY4g0wAAAAUBAAAPAAAAAAAAAAEAIAAAACIAAABkcnMvZG93bnJldi54bWxQSwECFAAUAAAA&#10;CACHTuJA1Zkk/roBAABbAwAADgAAAAAAAAABACAAAAAiAQAAZHJzL2Uyb0RvYy54bWxQSwUGAAAA&#10;AAYABgBZAQAATgUAAAAA&#10;">
                  <v:fill on="f" focussize="0,0"/>
                  <v:stroke on="f"/>
                  <v:imagedata o:title=""/>
                  <o:lock v:ext="edit" aspectratio="f"/>
                  <v:textbox>
                    <w:txbxContent>
                      <w:p w14:paraId="64C0253F">
                        <w:pPr>
                          <w:rPr>
                            <w:rFonts w:hint="default" w:eastAsia="宋体"/>
                            <w:sz w:val="21"/>
                            <w:szCs w:val="21"/>
                            <w:lang w:val="en-US" w:eastAsia="zh-CN"/>
                          </w:rPr>
                        </w:pPr>
                        <w:r>
                          <w:rPr>
                            <w:rFonts w:hint="eastAsia"/>
                            <w:sz w:val="21"/>
                            <w:szCs w:val="21"/>
                            <w:lang w:val="en-US" w:eastAsia="zh-CN"/>
                          </w:rPr>
                          <w:t>雨水井</w:t>
                        </w:r>
                      </w:p>
                    </w:txbxContent>
                  </v:textbox>
                </v:shape>
                <w10:wrap type="none"/>
                <w10:anchorlock/>
              </v:group>
            </w:pict>
          </mc:Fallback>
        </mc:AlternateContent>
      </w:r>
    </w:p>
    <w:p w14:paraId="57FDE7DF">
      <w:pPr>
        <w:adjustRightInd w:val="0"/>
        <w:snapToGrid w:val="0"/>
        <w:spacing w:line="500" w:lineRule="exact"/>
        <w:jc w:val="center"/>
        <w:rPr>
          <w:rFonts w:hint="eastAsia"/>
          <w:b/>
          <w:color w:val="auto"/>
          <w:kern w:val="2"/>
          <w:szCs w:val="24"/>
          <w:lang w:val="en-US" w:eastAsia="zh-CN"/>
        </w:rPr>
      </w:pPr>
      <w:r>
        <w:rPr>
          <w:b/>
          <w:color w:val="auto"/>
          <w:kern w:val="2"/>
          <w:szCs w:val="24"/>
        </w:rPr>
        <w:t>图2.1-3</w:t>
      </w:r>
      <w:r>
        <w:rPr>
          <w:rFonts w:hint="eastAsia"/>
          <w:b/>
          <w:color w:val="auto"/>
          <w:kern w:val="2"/>
          <w:szCs w:val="24"/>
          <w:lang w:val="en-US" w:eastAsia="zh-CN"/>
        </w:rPr>
        <w:t xml:space="preserve">    净水厂生产</w:t>
      </w:r>
      <w:r>
        <w:rPr>
          <w:b/>
          <w:color w:val="auto"/>
          <w:kern w:val="2"/>
          <w:szCs w:val="24"/>
        </w:rPr>
        <w:t>工艺流程</w:t>
      </w:r>
      <w:r>
        <w:rPr>
          <w:rFonts w:hint="eastAsia"/>
          <w:b/>
          <w:color w:val="auto"/>
          <w:kern w:val="2"/>
          <w:szCs w:val="24"/>
          <w:lang w:val="en-US" w:eastAsia="zh-CN"/>
        </w:rPr>
        <w:t>及产污环节图</w:t>
      </w:r>
    </w:p>
    <w:p w14:paraId="4072758E">
      <w:pPr>
        <w:pStyle w:val="69"/>
        <w:rPr>
          <w:rFonts w:hint="default" w:eastAsia="宋体"/>
          <w:color w:val="auto"/>
          <w:lang w:val="en-US" w:eastAsia="zh-CN"/>
        </w:rPr>
      </w:pPr>
      <w:r>
        <w:rPr>
          <w:rFonts w:hint="eastAsia"/>
          <w:color w:val="auto"/>
        </w:rPr>
        <w:t>2</w:t>
      </w:r>
      <w:r>
        <w:rPr>
          <w:color w:val="auto"/>
        </w:rPr>
        <w:t>.1.2.</w:t>
      </w:r>
      <w:r>
        <w:rPr>
          <w:rFonts w:hint="eastAsia"/>
          <w:color w:val="auto"/>
          <w:lang w:val="en-US" w:eastAsia="zh-CN"/>
        </w:rPr>
        <w:t>4</w:t>
      </w:r>
      <w:r>
        <w:rPr>
          <w:rFonts w:hint="eastAsia"/>
          <w:color w:val="auto"/>
        </w:rPr>
        <w:t>主要建（构）筑物</w:t>
      </w:r>
      <w:r>
        <w:rPr>
          <w:rFonts w:hint="eastAsia"/>
          <w:color w:val="auto"/>
          <w:lang w:val="en-US" w:eastAsia="zh-CN"/>
        </w:rPr>
        <w:t>及经济指标</w:t>
      </w:r>
    </w:p>
    <w:p w14:paraId="0EA43784">
      <w:pPr>
        <w:pStyle w:val="46"/>
        <w:ind w:firstLine="480"/>
        <w:rPr>
          <w:rFonts w:eastAsia="宋体"/>
          <w:color w:val="auto"/>
          <w:sz w:val="24"/>
        </w:rPr>
      </w:pPr>
      <w:r>
        <w:rPr>
          <w:rFonts w:hint="eastAsia" w:eastAsia="宋体"/>
          <w:color w:val="auto"/>
          <w:sz w:val="24"/>
        </w:rPr>
        <w:t>本项目近期技术经济指标下表2</w:t>
      </w:r>
      <w:r>
        <w:rPr>
          <w:rFonts w:hint="eastAsia" w:eastAsia="宋体"/>
          <w:color w:val="auto"/>
          <w:sz w:val="24"/>
          <w:lang w:val="en-US" w:eastAsia="zh-CN"/>
        </w:rPr>
        <w:t>.1</w:t>
      </w:r>
      <w:r>
        <w:rPr>
          <w:rFonts w:hint="eastAsia" w:eastAsia="宋体"/>
          <w:color w:val="auto"/>
          <w:sz w:val="24"/>
        </w:rPr>
        <w:t>-2，项目</w:t>
      </w:r>
      <w:r>
        <w:rPr>
          <w:rFonts w:hint="eastAsia" w:eastAsia="宋体"/>
          <w:color w:val="auto"/>
          <w:sz w:val="24"/>
          <w:lang w:val="en-US" w:eastAsia="zh-CN"/>
        </w:rPr>
        <w:t>近期</w:t>
      </w:r>
      <w:r>
        <w:rPr>
          <w:rFonts w:hint="eastAsia" w:eastAsia="宋体"/>
          <w:color w:val="auto"/>
          <w:sz w:val="24"/>
        </w:rPr>
        <w:t>主要建（构）筑物一览表见下表2</w:t>
      </w:r>
      <w:r>
        <w:rPr>
          <w:rFonts w:hint="eastAsia" w:eastAsia="宋体"/>
          <w:color w:val="auto"/>
          <w:sz w:val="24"/>
          <w:lang w:val="en-US" w:eastAsia="zh-CN"/>
        </w:rPr>
        <w:t>.1</w:t>
      </w:r>
      <w:r>
        <w:rPr>
          <w:rFonts w:hint="eastAsia" w:eastAsia="宋体"/>
          <w:color w:val="auto"/>
          <w:sz w:val="24"/>
        </w:rPr>
        <w:t>-3</w:t>
      </w:r>
      <w:r>
        <w:rPr>
          <w:rFonts w:hint="eastAsia" w:eastAsia="宋体"/>
          <w:color w:val="auto"/>
          <w:sz w:val="24"/>
          <w:lang w:eastAsia="zh-CN"/>
        </w:rPr>
        <w:t>。</w:t>
      </w:r>
    </w:p>
    <w:p w14:paraId="3C7DB67B">
      <w:pPr>
        <w:pStyle w:val="63"/>
        <w:spacing w:before="0" w:beforeLines="0" w:after="0" w:afterLines="0"/>
        <w:rPr>
          <w:rFonts w:eastAsia="宋体"/>
          <w:color w:val="auto"/>
        </w:rPr>
      </w:pPr>
      <w:r>
        <w:rPr>
          <w:rFonts w:eastAsia="宋体"/>
          <w:color w:val="auto"/>
        </w:rPr>
        <w:t>表2.1-1</w:t>
      </w:r>
      <w:r>
        <w:rPr>
          <w:rFonts w:hint="eastAsia" w:eastAsia="宋体"/>
          <w:color w:val="auto"/>
          <w:lang w:val="en-US" w:eastAsia="zh-CN"/>
        </w:rPr>
        <w:t xml:space="preserve">    </w:t>
      </w:r>
      <w:r>
        <w:rPr>
          <w:rFonts w:hint="eastAsia" w:eastAsia="宋体"/>
          <w:color w:val="auto"/>
        </w:rPr>
        <w:t>近期技术经济指标一览表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2954"/>
        <w:gridCol w:w="2296"/>
      </w:tblGrid>
      <w:tr w14:paraId="4E8ECE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294DF007">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名称</w:t>
            </w:r>
          </w:p>
        </w:tc>
        <w:tc>
          <w:tcPr>
            <w:tcW w:w="1598" w:type="pct"/>
            <w:vAlign w:val="center"/>
          </w:tcPr>
          <w:p w14:paraId="6963DC84">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面积</w:t>
            </w:r>
          </w:p>
        </w:tc>
        <w:tc>
          <w:tcPr>
            <w:tcW w:w="1242" w:type="pct"/>
            <w:vAlign w:val="center"/>
          </w:tcPr>
          <w:p w14:paraId="1362502C">
            <w:pPr>
              <w:adjustRightInd w:val="0"/>
              <w:snapToGrid w:val="0"/>
              <w:jc w:val="center"/>
              <w:rPr>
                <w:b/>
                <w:bCs/>
                <w:color w:val="auto"/>
                <w:sz w:val="21"/>
                <w:szCs w:val="21"/>
              </w:rPr>
            </w:pPr>
            <w:r>
              <w:rPr>
                <w:rFonts w:hint="eastAsia"/>
                <w:b/>
                <w:bCs/>
                <w:color w:val="auto"/>
                <w:sz w:val="21"/>
                <w:szCs w:val="21"/>
                <w:lang w:val="en-US" w:eastAsia="zh-CN"/>
              </w:rPr>
              <w:t>数值</w:t>
            </w:r>
          </w:p>
        </w:tc>
      </w:tr>
      <w:tr w14:paraId="4E5B1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52928F39">
            <w:pPr>
              <w:adjustRightInd w:val="0"/>
              <w:snapToGrid w:val="0"/>
              <w:jc w:val="center"/>
              <w:rPr>
                <w:color w:val="auto"/>
                <w:sz w:val="21"/>
                <w:szCs w:val="21"/>
              </w:rPr>
            </w:pPr>
            <w:r>
              <w:rPr>
                <w:rFonts w:hint="eastAsia"/>
                <w:color w:val="auto"/>
                <w:sz w:val="21"/>
                <w:szCs w:val="21"/>
              </w:rPr>
              <w:t>近期建设用地</w:t>
            </w:r>
          </w:p>
        </w:tc>
        <w:tc>
          <w:tcPr>
            <w:tcW w:w="1598" w:type="pct"/>
            <w:vAlign w:val="center"/>
          </w:tcPr>
          <w:p w14:paraId="472E7C6A">
            <w:pPr>
              <w:adjustRightInd w:val="0"/>
              <w:snapToGrid w:val="0"/>
              <w:jc w:val="center"/>
              <w:rPr>
                <w:color w:val="auto"/>
                <w:sz w:val="21"/>
                <w:szCs w:val="21"/>
              </w:rPr>
            </w:pPr>
            <w:r>
              <w:rPr>
                <w:rFonts w:hint="eastAsia"/>
                <w:color w:val="auto"/>
                <w:sz w:val="21"/>
                <w:szCs w:val="21"/>
              </w:rPr>
              <w:t>119784.1</w:t>
            </w:r>
          </w:p>
        </w:tc>
        <w:tc>
          <w:tcPr>
            <w:tcW w:w="1242" w:type="pct"/>
            <w:vAlign w:val="center"/>
          </w:tcPr>
          <w:p w14:paraId="4F296989">
            <w:pPr>
              <w:adjustRightInd w:val="0"/>
              <w:snapToGrid w:val="0"/>
              <w:jc w:val="center"/>
              <w:rPr>
                <w:color w:val="auto"/>
                <w:sz w:val="21"/>
                <w:szCs w:val="21"/>
              </w:rPr>
            </w:pPr>
            <w:r>
              <w:rPr>
                <w:rFonts w:hint="eastAsia"/>
                <w:color w:val="auto"/>
                <w:sz w:val="21"/>
                <w:szCs w:val="21"/>
              </w:rPr>
              <w:t>100%</w:t>
            </w:r>
          </w:p>
        </w:tc>
      </w:tr>
      <w:tr w14:paraId="62E38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7D3961E5">
            <w:pPr>
              <w:adjustRightInd w:val="0"/>
              <w:snapToGrid w:val="0"/>
              <w:jc w:val="center"/>
              <w:rPr>
                <w:color w:val="auto"/>
                <w:sz w:val="21"/>
                <w:szCs w:val="21"/>
              </w:rPr>
            </w:pPr>
            <w:r>
              <w:rPr>
                <w:rFonts w:hint="eastAsia"/>
                <w:color w:val="auto"/>
                <w:sz w:val="21"/>
                <w:szCs w:val="21"/>
              </w:rPr>
              <w:t>近期建构筑物占地面积</w:t>
            </w:r>
          </w:p>
        </w:tc>
        <w:tc>
          <w:tcPr>
            <w:tcW w:w="1598" w:type="pct"/>
            <w:vAlign w:val="center"/>
          </w:tcPr>
          <w:p w14:paraId="3303BA6D">
            <w:pPr>
              <w:adjustRightInd w:val="0"/>
              <w:snapToGrid w:val="0"/>
              <w:jc w:val="center"/>
              <w:rPr>
                <w:color w:val="auto"/>
                <w:sz w:val="21"/>
                <w:szCs w:val="21"/>
              </w:rPr>
            </w:pPr>
            <w:r>
              <w:rPr>
                <w:rFonts w:hint="eastAsia"/>
                <w:color w:val="auto"/>
                <w:sz w:val="21"/>
                <w:szCs w:val="21"/>
              </w:rPr>
              <w:t>36640.77</w:t>
            </w:r>
          </w:p>
        </w:tc>
        <w:tc>
          <w:tcPr>
            <w:tcW w:w="1242" w:type="pct"/>
            <w:vAlign w:val="center"/>
          </w:tcPr>
          <w:p w14:paraId="26AF34C3">
            <w:pPr>
              <w:adjustRightInd w:val="0"/>
              <w:snapToGrid w:val="0"/>
              <w:jc w:val="center"/>
              <w:rPr>
                <w:color w:val="auto"/>
                <w:sz w:val="21"/>
                <w:szCs w:val="21"/>
              </w:rPr>
            </w:pPr>
            <w:r>
              <w:rPr>
                <w:rFonts w:hint="eastAsia"/>
                <w:color w:val="auto"/>
                <w:sz w:val="21"/>
                <w:szCs w:val="21"/>
              </w:rPr>
              <w:t>30.6%</w:t>
            </w:r>
          </w:p>
        </w:tc>
      </w:tr>
      <w:tr w14:paraId="3F8D6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0401AF11">
            <w:pPr>
              <w:adjustRightInd w:val="0"/>
              <w:snapToGrid w:val="0"/>
              <w:jc w:val="center"/>
              <w:rPr>
                <w:rFonts w:hint="eastAsia"/>
                <w:color w:val="auto"/>
                <w:sz w:val="21"/>
                <w:szCs w:val="21"/>
              </w:rPr>
            </w:pPr>
            <w:r>
              <w:rPr>
                <w:rFonts w:hint="eastAsia"/>
                <w:color w:val="auto"/>
                <w:sz w:val="21"/>
                <w:szCs w:val="21"/>
              </w:rPr>
              <w:t>近期道路广场用地</w:t>
            </w:r>
          </w:p>
        </w:tc>
        <w:tc>
          <w:tcPr>
            <w:tcW w:w="1598" w:type="pct"/>
            <w:vAlign w:val="center"/>
          </w:tcPr>
          <w:p w14:paraId="295C81CB">
            <w:pPr>
              <w:adjustRightInd w:val="0"/>
              <w:snapToGrid w:val="0"/>
              <w:jc w:val="center"/>
              <w:rPr>
                <w:color w:val="auto"/>
                <w:sz w:val="21"/>
                <w:szCs w:val="21"/>
              </w:rPr>
            </w:pPr>
            <w:r>
              <w:rPr>
                <w:rFonts w:hint="eastAsia"/>
                <w:color w:val="auto"/>
                <w:sz w:val="21"/>
                <w:szCs w:val="21"/>
              </w:rPr>
              <w:t>34561.21</w:t>
            </w:r>
          </w:p>
        </w:tc>
        <w:tc>
          <w:tcPr>
            <w:tcW w:w="1242" w:type="pct"/>
            <w:vAlign w:val="center"/>
          </w:tcPr>
          <w:p w14:paraId="3A31A39F">
            <w:pPr>
              <w:adjustRightInd w:val="0"/>
              <w:snapToGrid w:val="0"/>
              <w:jc w:val="center"/>
              <w:rPr>
                <w:color w:val="auto"/>
                <w:sz w:val="21"/>
                <w:szCs w:val="21"/>
              </w:rPr>
            </w:pPr>
            <w:r>
              <w:rPr>
                <w:rFonts w:hint="eastAsia"/>
                <w:color w:val="auto"/>
                <w:sz w:val="21"/>
                <w:szCs w:val="21"/>
              </w:rPr>
              <w:t>28.8%</w:t>
            </w:r>
          </w:p>
        </w:tc>
      </w:tr>
      <w:tr w14:paraId="57455B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238D2398">
            <w:pPr>
              <w:adjustRightInd w:val="0"/>
              <w:snapToGrid w:val="0"/>
              <w:jc w:val="center"/>
              <w:rPr>
                <w:rFonts w:hint="eastAsia"/>
                <w:color w:val="auto"/>
                <w:sz w:val="21"/>
                <w:szCs w:val="21"/>
              </w:rPr>
            </w:pPr>
            <w:r>
              <w:rPr>
                <w:rFonts w:hint="eastAsia"/>
                <w:color w:val="auto"/>
                <w:sz w:val="21"/>
                <w:szCs w:val="21"/>
              </w:rPr>
              <w:t>近期缓建用地</w:t>
            </w:r>
          </w:p>
        </w:tc>
        <w:tc>
          <w:tcPr>
            <w:tcW w:w="1598" w:type="pct"/>
            <w:vAlign w:val="center"/>
          </w:tcPr>
          <w:p w14:paraId="33BB41F2">
            <w:pPr>
              <w:adjustRightInd w:val="0"/>
              <w:snapToGrid w:val="0"/>
              <w:jc w:val="center"/>
              <w:rPr>
                <w:color w:val="auto"/>
                <w:sz w:val="21"/>
                <w:szCs w:val="21"/>
              </w:rPr>
            </w:pPr>
            <w:r>
              <w:rPr>
                <w:rFonts w:hint="eastAsia"/>
                <w:color w:val="auto"/>
                <w:sz w:val="21"/>
                <w:szCs w:val="21"/>
              </w:rPr>
              <w:t>12399.2</w:t>
            </w:r>
          </w:p>
        </w:tc>
        <w:tc>
          <w:tcPr>
            <w:tcW w:w="1242" w:type="pct"/>
            <w:vAlign w:val="center"/>
          </w:tcPr>
          <w:p w14:paraId="7B5071F2">
            <w:pPr>
              <w:adjustRightInd w:val="0"/>
              <w:snapToGrid w:val="0"/>
              <w:jc w:val="center"/>
              <w:rPr>
                <w:color w:val="auto"/>
                <w:sz w:val="21"/>
                <w:szCs w:val="21"/>
              </w:rPr>
            </w:pPr>
            <w:r>
              <w:rPr>
                <w:rFonts w:hint="eastAsia"/>
                <w:color w:val="auto"/>
                <w:sz w:val="21"/>
                <w:szCs w:val="21"/>
              </w:rPr>
              <w:t>10.4%</w:t>
            </w:r>
          </w:p>
        </w:tc>
      </w:tr>
      <w:tr w14:paraId="06B30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526CA3B8">
            <w:pPr>
              <w:adjustRightInd w:val="0"/>
              <w:snapToGrid w:val="0"/>
              <w:jc w:val="center"/>
              <w:rPr>
                <w:rFonts w:hint="eastAsia"/>
                <w:color w:val="auto"/>
                <w:sz w:val="21"/>
                <w:szCs w:val="21"/>
              </w:rPr>
            </w:pPr>
            <w:r>
              <w:rPr>
                <w:rFonts w:hint="eastAsia"/>
                <w:color w:val="auto"/>
                <w:sz w:val="21"/>
                <w:szCs w:val="21"/>
              </w:rPr>
              <w:t>近期绿化用地</w:t>
            </w:r>
          </w:p>
        </w:tc>
        <w:tc>
          <w:tcPr>
            <w:tcW w:w="1598" w:type="pct"/>
            <w:vAlign w:val="center"/>
          </w:tcPr>
          <w:p w14:paraId="161EDF1F">
            <w:pPr>
              <w:adjustRightInd w:val="0"/>
              <w:snapToGrid w:val="0"/>
              <w:jc w:val="center"/>
              <w:rPr>
                <w:color w:val="auto"/>
                <w:sz w:val="21"/>
                <w:szCs w:val="21"/>
              </w:rPr>
            </w:pPr>
            <w:r>
              <w:rPr>
                <w:rFonts w:hint="eastAsia"/>
                <w:color w:val="auto"/>
                <w:sz w:val="21"/>
                <w:szCs w:val="21"/>
              </w:rPr>
              <w:t>36182.92</w:t>
            </w:r>
          </w:p>
        </w:tc>
        <w:tc>
          <w:tcPr>
            <w:tcW w:w="1242" w:type="pct"/>
            <w:vAlign w:val="center"/>
          </w:tcPr>
          <w:p w14:paraId="48B0A26F">
            <w:pPr>
              <w:adjustRightInd w:val="0"/>
              <w:snapToGrid w:val="0"/>
              <w:jc w:val="center"/>
              <w:rPr>
                <w:color w:val="auto"/>
                <w:sz w:val="21"/>
                <w:szCs w:val="21"/>
              </w:rPr>
            </w:pPr>
            <w:r>
              <w:rPr>
                <w:rFonts w:hint="eastAsia"/>
                <w:color w:val="auto"/>
                <w:sz w:val="21"/>
                <w:szCs w:val="21"/>
              </w:rPr>
              <w:t>30.2%</w:t>
            </w:r>
          </w:p>
        </w:tc>
      </w:tr>
      <w:tr w14:paraId="1C799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688BB089">
            <w:pPr>
              <w:adjustRightInd w:val="0"/>
              <w:snapToGrid w:val="0"/>
              <w:jc w:val="center"/>
              <w:rPr>
                <w:rFonts w:hint="eastAsia"/>
                <w:color w:val="auto"/>
                <w:sz w:val="21"/>
                <w:szCs w:val="21"/>
              </w:rPr>
            </w:pPr>
            <w:r>
              <w:rPr>
                <w:rFonts w:hint="eastAsia"/>
                <w:color w:val="auto"/>
                <w:sz w:val="21"/>
                <w:szCs w:val="21"/>
              </w:rPr>
              <w:t>近期建筑面积</w:t>
            </w:r>
          </w:p>
        </w:tc>
        <w:tc>
          <w:tcPr>
            <w:tcW w:w="1598" w:type="pct"/>
            <w:vAlign w:val="center"/>
          </w:tcPr>
          <w:p w14:paraId="053B9A00">
            <w:pPr>
              <w:adjustRightInd w:val="0"/>
              <w:snapToGrid w:val="0"/>
              <w:jc w:val="center"/>
              <w:rPr>
                <w:color w:val="auto"/>
                <w:sz w:val="21"/>
                <w:szCs w:val="21"/>
              </w:rPr>
            </w:pPr>
            <w:r>
              <w:rPr>
                <w:rFonts w:hint="eastAsia"/>
                <w:color w:val="auto"/>
                <w:sz w:val="21"/>
                <w:szCs w:val="21"/>
              </w:rPr>
              <w:t>12987.93</w:t>
            </w:r>
          </w:p>
        </w:tc>
        <w:tc>
          <w:tcPr>
            <w:tcW w:w="1242" w:type="pct"/>
            <w:vAlign w:val="center"/>
          </w:tcPr>
          <w:p w14:paraId="3BAF95C0">
            <w:pPr>
              <w:adjustRightInd w:val="0"/>
              <w:snapToGrid w:val="0"/>
              <w:jc w:val="center"/>
              <w:rPr>
                <w:color w:val="auto"/>
                <w:sz w:val="21"/>
                <w:szCs w:val="21"/>
              </w:rPr>
            </w:pPr>
          </w:p>
        </w:tc>
      </w:tr>
      <w:tr w14:paraId="123CD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9" w:type="pct"/>
            <w:vAlign w:val="center"/>
          </w:tcPr>
          <w:p w14:paraId="38FFA26C">
            <w:pPr>
              <w:adjustRightInd w:val="0"/>
              <w:snapToGrid w:val="0"/>
              <w:jc w:val="center"/>
              <w:rPr>
                <w:rFonts w:hint="eastAsia"/>
                <w:color w:val="auto"/>
                <w:sz w:val="21"/>
                <w:szCs w:val="21"/>
              </w:rPr>
            </w:pPr>
            <w:r>
              <w:rPr>
                <w:rFonts w:hint="eastAsia"/>
                <w:color w:val="auto"/>
                <w:sz w:val="21"/>
                <w:szCs w:val="21"/>
              </w:rPr>
              <w:t>建筑密度</w:t>
            </w:r>
          </w:p>
        </w:tc>
        <w:tc>
          <w:tcPr>
            <w:tcW w:w="1598" w:type="pct"/>
            <w:vAlign w:val="center"/>
          </w:tcPr>
          <w:p w14:paraId="430C78A2">
            <w:pPr>
              <w:adjustRightInd w:val="0"/>
              <w:snapToGrid w:val="0"/>
              <w:jc w:val="center"/>
              <w:rPr>
                <w:color w:val="auto"/>
                <w:sz w:val="21"/>
                <w:szCs w:val="21"/>
              </w:rPr>
            </w:pPr>
          </w:p>
        </w:tc>
        <w:tc>
          <w:tcPr>
            <w:tcW w:w="1242" w:type="pct"/>
            <w:vAlign w:val="center"/>
          </w:tcPr>
          <w:p w14:paraId="109D36A1">
            <w:pPr>
              <w:adjustRightInd w:val="0"/>
              <w:snapToGrid w:val="0"/>
              <w:jc w:val="center"/>
              <w:rPr>
                <w:color w:val="auto"/>
                <w:sz w:val="21"/>
                <w:szCs w:val="21"/>
              </w:rPr>
            </w:pPr>
            <w:r>
              <w:rPr>
                <w:rFonts w:hint="eastAsia"/>
                <w:color w:val="auto"/>
                <w:sz w:val="21"/>
                <w:szCs w:val="21"/>
              </w:rPr>
              <w:t>30.6%</w:t>
            </w:r>
          </w:p>
        </w:tc>
      </w:tr>
    </w:tbl>
    <w:p w14:paraId="071F509D">
      <w:pPr>
        <w:pStyle w:val="63"/>
        <w:spacing w:before="0" w:beforeLines="0" w:after="0" w:afterLines="0"/>
        <w:rPr>
          <w:rFonts w:eastAsia="宋体"/>
          <w:color w:val="auto"/>
        </w:rPr>
      </w:pPr>
      <w:r>
        <w:rPr>
          <w:rFonts w:eastAsia="宋体"/>
          <w:color w:val="auto"/>
        </w:rPr>
        <w:t>表2.1-</w:t>
      </w:r>
      <w:r>
        <w:rPr>
          <w:rFonts w:hint="eastAsia" w:eastAsia="宋体"/>
          <w:color w:val="auto"/>
          <w:lang w:val="en-US" w:eastAsia="zh-CN"/>
        </w:rPr>
        <w:t>2    近期</w:t>
      </w:r>
      <w:r>
        <w:rPr>
          <w:rFonts w:eastAsia="宋体"/>
          <w:color w:val="auto"/>
        </w:rPr>
        <w:t>主要建（构）筑物一览表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943"/>
        <w:gridCol w:w="1593"/>
        <w:gridCol w:w="3951"/>
        <w:gridCol w:w="814"/>
        <w:gridCol w:w="1284"/>
      </w:tblGrid>
      <w:tr w14:paraId="4851F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56" w:type="pct"/>
            <w:vAlign w:val="center"/>
          </w:tcPr>
          <w:p w14:paraId="51A78A3A">
            <w:pPr>
              <w:adjustRightInd w:val="0"/>
              <w:snapToGrid w:val="0"/>
              <w:jc w:val="center"/>
              <w:rPr>
                <w:rFonts w:hint="eastAsia" w:eastAsia="宋体"/>
                <w:b/>
                <w:bCs/>
                <w:color w:val="auto"/>
                <w:sz w:val="21"/>
                <w:szCs w:val="21"/>
                <w:lang w:eastAsia="zh-CN"/>
              </w:rPr>
            </w:pPr>
            <w:r>
              <w:rPr>
                <w:rFonts w:hint="eastAsia"/>
                <w:b/>
                <w:bCs/>
                <w:color w:val="auto"/>
                <w:sz w:val="21"/>
                <w:szCs w:val="21"/>
                <w:lang w:val="en-US" w:eastAsia="zh-CN"/>
              </w:rPr>
              <w:t>序号</w:t>
            </w:r>
          </w:p>
        </w:tc>
        <w:tc>
          <w:tcPr>
            <w:tcW w:w="510" w:type="pct"/>
            <w:vAlign w:val="center"/>
          </w:tcPr>
          <w:p w14:paraId="04CC0EE6">
            <w:pPr>
              <w:adjustRightInd w:val="0"/>
              <w:snapToGrid w:val="0"/>
              <w:jc w:val="center"/>
              <w:rPr>
                <w:b/>
                <w:bCs/>
                <w:color w:val="auto"/>
                <w:sz w:val="21"/>
                <w:szCs w:val="21"/>
              </w:rPr>
            </w:pPr>
            <w:r>
              <w:rPr>
                <w:rFonts w:hint="eastAsia"/>
                <w:b/>
                <w:bCs/>
                <w:color w:val="auto"/>
                <w:sz w:val="21"/>
                <w:szCs w:val="21"/>
              </w:rPr>
              <w:t>建构筑物名称</w:t>
            </w:r>
          </w:p>
        </w:tc>
        <w:tc>
          <w:tcPr>
            <w:tcW w:w="861" w:type="pct"/>
            <w:vAlign w:val="center"/>
          </w:tcPr>
          <w:p w14:paraId="4CEB8B3F">
            <w:pPr>
              <w:adjustRightInd w:val="0"/>
              <w:snapToGrid w:val="0"/>
              <w:jc w:val="center"/>
              <w:rPr>
                <w:b/>
                <w:bCs/>
                <w:color w:val="auto"/>
                <w:sz w:val="21"/>
                <w:szCs w:val="21"/>
              </w:rPr>
            </w:pPr>
            <w:r>
              <w:rPr>
                <w:rFonts w:hint="eastAsia"/>
                <w:b/>
                <w:bCs/>
                <w:color w:val="auto"/>
                <w:sz w:val="21"/>
                <w:szCs w:val="21"/>
              </w:rPr>
              <w:t>设备名称</w:t>
            </w:r>
          </w:p>
        </w:tc>
        <w:tc>
          <w:tcPr>
            <w:tcW w:w="2136" w:type="pct"/>
            <w:vAlign w:val="center"/>
          </w:tcPr>
          <w:p w14:paraId="1934D317">
            <w:pPr>
              <w:adjustRightInd w:val="0"/>
              <w:snapToGrid w:val="0"/>
              <w:jc w:val="center"/>
              <w:rPr>
                <w:b/>
                <w:bCs/>
                <w:color w:val="auto"/>
                <w:sz w:val="21"/>
                <w:szCs w:val="21"/>
              </w:rPr>
            </w:pPr>
            <w:r>
              <w:rPr>
                <w:rFonts w:hint="eastAsia"/>
                <w:b/>
                <w:bCs/>
                <w:color w:val="auto"/>
                <w:sz w:val="21"/>
                <w:szCs w:val="21"/>
              </w:rPr>
              <w:t>规格</w:t>
            </w:r>
          </w:p>
        </w:tc>
        <w:tc>
          <w:tcPr>
            <w:tcW w:w="440" w:type="pct"/>
            <w:vAlign w:val="center"/>
          </w:tcPr>
          <w:p w14:paraId="61929D2C">
            <w:pPr>
              <w:adjustRightInd w:val="0"/>
              <w:snapToGrid w:val="0"/>
              <w:jc w:val="center"/>
              <w:rPr>
                <w:rFonts w:hint="eastAsia" w:eastAsia="宋体"/>
                <w:b/>
                <w:bCs/>
                <w:color w:val="auto"/>
                <w:sz w:val="21"/>
                <w:szCs w:val="21"/>
                <w:lang w:val="en-US" w:eastAsia="zh-CN"/>
              </w:rPr>
            </w:pPr>
            <w:r>
              <w:rPr>
                <w:rFonts w:hint="eastAsia"/>
                <w:b/>
                <w:bCs/>
                <w:color w:val="auto"/>
                <w:sz w:val="21"/>
                <w:szCs w:val="21"/>
                <w:lang w:val="en-US" w:eastAsia="zh-CN"/>
              </w:rPr>
              <w:t>数量</w:t>
            </w:r>
          </w:p>
        </w:tc>
        <w:tc>
          <w:tcPr>
            <w:tcW w:w="694" w:type="pct"/>
            <w:vAlign w:val="center"/>
          </w:tcPr>
          <w:p w14:paraId="7B1A9EC7">
            <w:pPr>
              <w:adjustRightInd w:val="0"/>
              <w:snapToGrid w:val="0"/>
              <w:jc w:val="center"/>
              <w:rPr>
                <w:b/>
                <w:bCs/>
                <w:color w:val="auto"/>
                <w:sz w:val="21"/>
                <w:szCs w:val="21"/>
              </w:rPr>
            </w:pPr>
            <w:r>
              <w:rPr>
                <w:rFonts w:hint="eastAsia"/>
                <w:b/>
                <w:bCs/>
                <w:color w:val="auto"/>
                <w:sz w:val="21"/>
                <w:szCs w:val="21"/>
              </w:rPr>
              <w:t>备注</w:t>
            </w:r>
          </w:p>
        </w:tc>
      </w:tr>
      <w:tr w14:paraId="30BA3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0BB243F1">
            <w:pPr>
              <w:adjustRightInd w:val="0"/>
              <w:snapToGrid w:val="0"/>
              <w:jc w:val="center"/>
              <w:rPr>
                <w:color w:val="auto"/>
                <w:sz w:val="21"/>
                <w:szCs w:val="21"/>
              </w:rPr>
            </w:pPr>
            <w:r>
              <w:rPr>
                <w:color w:val="auto"/>
                <w:sz w:val="21"/>
                <w:szCs w:val="21"/>
              </w:rPr>
              <w:t>1</w:t>
            </w:r>
          </w:p>
        </w:tc>
        <w:tc>
          <w:tcPr>
            <w:tcW w:w="510" w:type="pct"/>
            <w:vMerge w:val="restart"/>
            <w:vAlign w:val="center"/>
          </w:tcPr>
          <w:p w14:paraId="73013BA4">
            <w:pPr>
              <w:adjustRightInd w:val="0"/>
              <w:snapToGrid w:val="0"/>
              <w:jc w:val="center"/>
              <w:rPr>
                <w:color w:val="auto"/>
                <w:sz w:val="21"/>
                <w:szCs w:val="21"/>
              </w:rPr>
            </w:pPr>
            <w:r>
              <w:rPr>
                <w:rFonts w:hint="eastAsia"/>
                <w:color w:val="auto"/>
                <w:sz w:val="21"/>
                <w:szCs w:val="21"/>
              </w:rPr>
              <w:t>格栅间、沉砂池</w:t>
            </w:r>
          </w:p>
        </w:tc>
        <w:tc>
          <w:tcPr>
            <w:tcW w:w="861" w:type="pct"/>
            <w:vAlign w:val="center"/>
          </w:tcPr>
          <w:p w14:paraId="08FA755B">
            <w:pPr>
              <w:adjustRightInd w:val="0"/>
              <w:snapToGrid w:val="0"/>
              <w:jc w:val="center"/>
              <w:rPr>
                <w:color w:val="auto"/>
                <w:sz w:val="21"/>
                <w:szCs w:val="21"/>
              </w:rPr>
            </w:pPr>
            <w:r>
              <w:rPr>
                <w:rFonts w:hint="eastAsia"/>
                <w:color w:val="auto"/>
                <w:sz w:val="21"/>
                <w:szCs w:val="21"/>
              </w:rPr>
              <w:t>循环齿耙式格栅</w:t>
            </w:r>
          </w:p>
        </w:tc>
        <w:tc>
          <w:tcPr>
            <w:tcW w:w="2136" w:type="pct"/>
            <w:vAlign w:val="center"/>
          </w:tcPr>
          <w:p w14:paraId="3155EAE8">
            <w:pPr>
              <w:adjustRightInd w:val="0"/>
              <w:snapToGrid w:val="0"/>
              <w:jc w:val="center"/>
              <w:rPr>
                <w:color w:val="auto"/>
                <w:sz w:val="21"/>
                <w:szCs w:val="21"/>
              </w:rPr>
            </w:pPr>
            <w:r>
              <w:rPr>
                <w:rFonts w:hint="eastAsia"/>
                <w:color w:val="auto"/>
                <w:sz w:val="21"/>
                <w:szCs w:val="21"/>
              </w:rPr>
              <w:t>栅面总宽为2.4m，栅条宽度为0.0075m，栅条间隙0.005m，卸渣高度为0.8m，安装倾角70°；过水面有效率为44%。</w:t>
            </w:r>
          </w:p>
        </w:tc>
        <w:tc>
          <w:tcPr>
            <w:tcW w:w="440" w:type="pct"/>
            <w:vAlign w:val="center"/>
          </w:tcPr>
          <w:p w14:paraId="6D23C3E5">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4台</w:t>
            </w:r>
          </w:p>
        </w:tc>
        <w:tc>
          <w:tcPr>
            <w:tcW w:w="694" w:type="pct"/>
            <w:vAlign w:val="center"/>
          </w:tcPr>
          <w:p w14:paraId="7CB024E3">
            <w:pPr>
              <w:adjustRightInd w:val="0"/>
              <w:snapToGrid w:val="0"/>
              <w:jc w:val="center"/>
              <w:rPr>
                <w:color w:val="auto"/>
                <w:sz w:val="21"/>
                <w:szCs w:val="21"/>
              </w:rPr>
            </w:pPr>
            <w:r>
              <w:rPr>
                <w:rFonts w:hint="eastAsia"/>
                <w:color w:val="auto"/>
                <w:sz w:val="21"/>
                <w:szCs w:val="21"/>
                <w:lang w:val="en-US" w:eastAsia="zh-CN"/>
              </w:rPr>
              <w:t>已全</w:t>
            </w:r>
            <w:r>
              <w:rPr>
                <w:rFonts w:hint="eastAsia"/>
                <w:color w:val="auto"/>
                <w:sz w:val="21"/>
                <w:szCs w:val="21"/>
              </w:rPr>
              <w:t>部安装</w:t>
            </w:r>
          </w:p>
        </w:tc>
      </w:tr>
      <w:tr w14:paraId="2087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2111708">
            <w:pPr>
              <w:adjustRightInd w:val="0"/>
              <w:snapToGrid w:val="0"/>
              <w:jc w:val="center"/>
              <w:rPr>
                <w:color w:val="auto"/>
                <w:sz w:val="21"/>
                <w:szCs w:val="21"/>
              </w:rPr>
            </w:pPr>
            <w:r>
              <w:rPr>
                <w:color w:val="auto"/>
                <w:sz w:val="21"/>
                <w:szCs w:val="21"/>
              </w:rPr>
              <w:t>2</w:t>
            </w:r>
          </w:p>
        </w:tc>
        <w:tc>
          <w:tcPr>
            <w:tcW w:w="510" w:type="pct"/>
            <w:vMerge w:val="continue"/>
            <w:vAlign w:val="center"/>
          </w:tcPr>
          <w:p w14:paraId="7607C9DF">
            <w:pPr>
              <w:adjustRightInd w:val="0"/>
              <w:snapToGrid w:val="0"/>
              <w:jc w:val="center"/>
              <w:rPr>
                <w:color w:val="auto"/>
                <w:sz w:val="21"/>
                <w:szCs w:val="21"/>
              </w:rPr>
            </w:pPr>
          </w:p>
        </w:tc>
        <w:tc>
          <w:tcPr>
            <w:tcW w:w="861" w:type="pct"/>
            <w:vAlign w:val="center"/>
          </w:tcPr>
          <w:p w14:paraId="3A5F7E9C">
            <w:pPr>
              <w:adjustRightInd w:val="0"/>
              <w:snapToGrid w:val="0"/>
              <w:jc w:val="center"/>
              <w:rPr>
                <w:color w:val="auto"/>
                <w:sz w:val="21"/>
                <w:szCs w:val="21"/>
              </w:rPr>
            </w:pPr>
            <w:r>
              <w:rPr>
                <w:rFonts w:hint="eastAsia"/>
                <w:color w:val="auto"/>
                <w:sz w:val="21"/>
                <w:szCs w:val="21"/>
              </w:rPr>
              <w:t>螺旋输送机</w:t>
            </w:r>
          </w:p>
        </w:tc>
        <w:tc>
          <w:tcPr>
            <w:tcW w:w="2136" w:type="pct"/>
            <w:vAlign w:val="center"/>
          </w:tcPr>
          <w:p w14:paraId="51FCE71A">
            <w:pPr>
              <w:adjustRightInd w:val="0"/>
              <w:snapToGrid w:val="0"/>
              <w:jc w:val="center"/>
              <w:rPr>
                <w:color w:val="auto"/>
                <w:sz w:val="21"/>
                <w:szCs w:val="21"/>
              </w:rPr>
            </w:pPr>
            <w:r>
              <w:rPr>
                <w:rFonts w:hint="eastAsia"/>
                <w:color w:val="auto"/>
                <w:sz w:val="21"/>
                <w:szCs w:val="21"/>
              </w:rPr>
              <w:t>输送距离 8.5m，内径260mm</w:t>
            </w:r>
          </w:p>
        </w:tc>
        <w:tc>
          <w:tcPr>
            <w:tcW w:w="440" w:type="pct"/>
            <w:vAlign w:val="center"/>
          </w:tcPr>
          <w:p w14:paraId="21387943">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0E064D5A">
            <w:pPr>
              <w:adjustRightInd w:val="0"/>
              <w:snapToGrid w:val="0"/>
              <w:jc w:val="center"/>
              <w:rPr>
                <w:color w:val="auto"/>
                <w:sz w:val="21"/>
                <w:szCs w:val="21"/>
              </w:rPr>
            </w:pPr>
            <w:r>
              <w:rPr>
                <w:rFonts w:hint="eastAsia"/>
                <w:color w:val="auto"/>
                <w:sz w:val="21"/>
                <w:szCs w:val="21"/>
                <w:lang w:val="en-US" w:eastAsia="zh-CN"/>
              </w:rPr>
              <w:t>已全</w:t>
            </w:r>
            <w:r>
              <w:rPr>
                <w:rFonts w:hint="eastAsia"/>
                <w:color w:val="auto"/>
                <w:sz w:val="21"/>
                <w:szCs w:val="21"/>
              </w:rPr>
              <w:t>部安装</w:t>
            </w:r>
          </w:p>
        </w:tc>
      </w:tr>
      <w:tr w14:paraId="1DF54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246CBEAE">
            <w:pPr>
              <w:adjustRightInd w:val="0"/>
              <w:snapToGrid w:val="0"/>
              <w:jc w:val="center"/>
              <w:rPr>
                <w:color w:val="auto"/>
                <w:sz w:val="21"/>
                <w:szCs w:val="21"/>
              </w:rPr>
            </w:pPr>
            <w:r>
              <w:rPr>
                <w:color w:val="auto"/>
                <w:sz w:val="21"/>
                <w:szCs w:val="21"/>
              </w:rPr>
              <w:t>3</w:t>
            </w:r>
          </w:p>
        </w:tc>
        <w:tc>
          <w:tcPr>
            <w:tcW w:w="510" w:type="pct"/>
            <w:vMerge w:val="continue"/>
            <w:vAlign w:val="center"/>
          </w:tcPr>
          <w:p w14:paraId="54C0C5B4">
            <w:pPr>
              <w:adjustRightInd w:val="0"/>
              <w:snapToGrid w:val="0"/>
              <w:jc w:val="center"/>
              <w:rPr>
                <w:color w:val="auto"/>
                <w:sz w:val="21"/>
                <w:szCs w:val="21"/>
              </w:rPr>
            </w:pPr>
          </w:p>
        </w:tc>
        <w:tc>
          <w:tcPr>
            <w:tcW w:w="861" w:type="pct"/>
            <w:vAlign w:val="center"/>
          </w:tcPr>
          <w:p w14:paraId="15DB48F8">
            <w:pPr>
              <w:adjustRightInd w:val="0"/>
              <w:snapToGrid w:val="0"/>
              <w:jc w:val="center"/>
              <w:rPr>
                <w:color w:val="auto"/>
                <w:sz w:val="21"/>
                <w:szCs w:val="21"/>
              </w:rPr>
            </w:pPr>
            <w:r>
              <w:rPr>
                <w:rFonts w:hint="eastAsia"/>
                <w:color w:val="auto"/>
                <w:sz w:val="21"/>
                <w:szCs w:val="21"/>
              </w:rPr>
              <w:t>桥式吸砂机</w:t>
            </w:r>
          </w:p>
        </w:tc>
        <w:tc>
          <w:tcPr>
            <w:tcW w:w="2136" w:type="pct"/>
            <w:vAlign w:val="center"/>
          </w:tcPr>
          <w:p w14:paraId="051FEE69">
            <w:pPr>
              <w:adjustRightInd w:val="0"/>
              <w:snapToGrid w:val="0"/>
              <w:jc w:val="center"/>
              <w:rPr>
                <w:color w:val="auto"/>
                <w:sz w:val="21"/>
                <w:szCs w:val="21"/>
              </w:rPr>
            </w:pPr>
            <w:r>
              <w:rPr>
                <w:rFonts w:hint="eastAsia"/>
                <w:color w:val="auto"/>
                <w:sz w:val="21"/>
                <w:szCs w:val="21"/>
              </w:rPr>
              <w:t>跨度8.7m，配备刮板、潜污泵</w:t>
            </w:r>
          </w:p>
        </w:tc>
        <w:tc>
          <w:tcPr>
            <w:tcW w:w="440" w:type="pct"/>
            <w:vAlign w:val="center"/>
          </w:tcPr>
          <w:p w14:paraId="75EEA85F">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4ACEAB26">
            <w:pPr>
              <w:adjustRightInd w:val="0"/>
              <w:snapToGrid w:val="0"/>
              <w:jc w:val="center"/>
              <w:rPr>
                <w:color w:val="auto"/>
                <w:sz w:val="21"/>
                <w:szCs w:val="21"/>
              </w:rPr>
            </w:pPr>
            <w:r>
              <w:rPr>
                <w:rFonts w:hint="eastAsia"/>
                <w:color w:val="auto"/>
                <w:sz w:val="21"/>
                <w:szCs w:val="21"/>
                <w:lang w:val="en-US" w:eastAsia="zh-CN"/>
              </w:rPr>
              <w:t>已全</w:t>
            </w:r>
            <w:r>
              <w:rPr>
                <w:rFonts w:hint="eastAsia"/>
                <w:color w:val="auto"/>
                <w:sz w:val="21"/>
                <w:szCs w:val="21"/>
              </w:rPr>
              <w:t>部安装</w:t>
            </w:r>
          </w:p>
        </w:tc>
      </w:tr>
      <w:tr w14:paraId="56C10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A8D2CBE">
            <w:pPr>
              <w:adjustRightInd w:val="0"/>
              <w:snapToGrid w:val="0"/>
              <w:jc w:val="center"/>
              <w:rPr>
                <w:color w:val="auto"/>
                <w:sz w:val="21"/>
                <w:szCs w:val="21"/>
              </w:rPr>
            </w:pPr>
            <w:r>
              <w:rPr>
                <w:color w:val="auto"/>
                <w:sz w:val="21"/>
                <w:szCs w:val="21"/>
              </w:rPr>
              <w:t>4</w:t>
            </w:r>
          </w:p>
        </w:tc>
        <w:tc>
          <w:tcPr>
            <w:tcW w:w="510" w:type="pct"/>
            <w:vAlign w:val="center"/>
          </w:tcPr>
          <w:p w14:paraId="1D1F0B25">
            <w:pPr>
              <w:adjustRightInd w:val="0"/>
              <w:snapToGrid w:val="0"/>
              <w:jc w:val="center"/>
              <w:rPr>
                <w:color w:val="auto"/>
                <w:sz w:val="21"/>
                <w:szCs w:val="21"/>
              </w:rPr>
            </w:pPr>
            <w:r>
              <w:rPr>
                <w:rFonts w:hint="eastAsia"/>
                <w:color w:val="auto"/>
                <w:sz w:val="21"/>
                <w:szCs w:val="21"/>
              </w:rPr>
              <w:t>机械混合池</w:t>
            </w:r>
          </w:p>
        </w:tc>
        <w:tc>
          <w:tcPr>
            <w:tcW w:w="861" w:type="pct"/>
            <w:vAlign w:val="center"/>
          </w:tcPr>
          <w:p w14:paraId="26D1D930">
            <w:pPr>
              <w:adjustRightInd w:val="0"/>
              <w:snapToGrid w:val="0"/>
              <w:jc w:val="center"/>
              <w:rPr>
                <w:color w:val="auto"/>
                <w:sz w:val="21"/>
                <w:szCs w:val="21"/>
              </w:rPr>
            </w:pPr>
            <w:r>
              <w:rPr>
                <w:rFonts w:hint="eastAsia"/>
                <w:color w:val="auto"/>
                <w:sz w:val="21"/>
                <w:szCs w:val="21"/>
              </w:rPr>
              <w:t>混合搅拌器</w:t>
            </w:r>
          </w:p>
        </w:tc>
        <w:tc>
          <w:tcPr>
            <w:tcW w:w="2136" w:type="pct"/>
            <w:vAlign w:val="center"/>
          </w:tcPr>
          <w:p w14:paraId="4A10589E">
            <w:pPr>
              <w:adjustRightInd w:val="0"/>
              <w:snapToGrid w:val="0"/>
              <w:jc w:val="center"/>
              <w:rPr>
                <w:color w:val="auto"/>
                <w:sz w:val="21"/>
                <w:szCs w:val="21"/>
              </w:rPr>
            </w:pPr>
            <w:r>
              <w:rPr>
                <w:rFonts w:hint="eastAsia"/>
                <w:color w:val="auto"/>
                <w:sz w:val="21"/>
                <w:szCs w:val="21"/>
              </w:rPr>
              <w:t>单台搅拌器桨叶直径1200mm，N=15km</w:t>
            </w:r>
          </w:p>
        </w:tc>
        <w:tc>
          <w:tcPr>
            <w:tcW w:w="440" w:type="pct"/>
            <w:vAlign w:val="center"/>
          </w:tcPr>
          <w:p w14:paraId="0C6A4DC6">
            <w:pPr>
              <w:adjustRightInd w:val="0"/>
              <w:snapToGrid w:val="0"/>
              <w:jc w:val="center"/>
              <w:rPr>
                <w:color w:val="auto"/>
                <w:sz w:val="21"/>
                <w:szCs w:val="21"/>
              </w:rPr>
            </w:pPr>
            <w:r>
              <w:rPr>
                <w:rFonts w:hint="eastAsia"/>
                <w:color w:val="auto"/>
                <w:sz w:val="21"/>
                <w:szCs w:val="21"/>
                <w:lang w:val="en-US" w:eastAsia="zh-CN"/>
              </w:rPr>
              <w:t>8台</w:t>
            </w:r>
          </w:p>
        </w:tc>
        <w:tc>
          <w:tcPr>
            <w:tcW w:w="694" w:type="pct"/>
            <w:vAlign w:val="center"/>
          </w:tcPr>
          <w:p w14:paraId="61755D8D">
            <w:pPr>
              <w:adjustRightInd w:val="0"/>
              <w:snapToGrid w:val="0"/>
              <w:jc w:val="center"/>
              <w:rPr>
                <w:color w:val="auto"/>
                <w:sz w:val="21"/>
                <w:szCs w:val="21"/>
              </w:rPr>
            </w:pPr>
            <w:r>
              <w:rPr>
                <w:rFonts w:hint="eastAsia"/>
                <w:color w:val="auto"/>
                <w:sz w:val="21"/>
                <w:szCs w:val="21"/>
              </w:rPr>
              <w:t>已安装</w:t>
            </w:r>
            <w:r>
              <w:rPr>
                <w:rFonts w:hint="eastAsia"/>
                <w:color w:val="auto"/>
                <w:sz w:val="21"/>
                <w:szCs w:val="21"/>
                <w:lang w:val="en-US" w:eastAsia="zh-CN"/>
              </w:rPr>
              <w:t>4</w:t>
            </w:r>
            <w:r>
              <w:rPr>
                <w:rFonts w:hint="eastAsia"/>
                <w:color w:val="auto"/>
                <w:sz w:val="21"/>
                <w:szCs w:val="21"/>
              </w:rPr>
              <w:t>台</w:t>
            </w:r>
          </w:p>
        </w:tc>
      </w:tr>
      <w:tr w14:paraId="1EA385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6" w:type="pct"/>
            <w:vAlign w:val="center"/>
          </w:tcPr>
          <w:p w14:paraId="1CEF35FD">
            <w:pPr>
              <w:adjustRightInd w:val="0"/>
              <w:snapToGrid w:val="0"/>
              <w:jc w:val="center"/>
              <w:rPr>
                <w:color w:val="auto"/>
                <w:sz w:val="21"/>
                <w:szCs w:val="21"/>
              </w:rPr>
            </w:pPr>
            <w:r>
              <w:rPr>
                <w:color w:val="auto"/>
                <w:sz w:val="21"/>
                <w:szCs w:val="21"/>
              </w:rPr>
              <w:t>5</w:t>
            </w:r>
          </w:p>
        </w:tc>
        <w:tc>
          <w:tcPr>
            <w:tcW w:w="510" w:type="pct"/>
            <w:vAlign w:val="center"/>
          </w:tcPr>
          <w:p w14:paraId="5A7816C5">
            <w:pPr>
              <w:adjustRightInd w:val="0"/>
              <w:snapToGrid w:val="0"/>
              <w:jc w:val="center"/>
              <w:rPr>
                <w:rFonts w:hint="eastAsia"/>
                <w:color w:val="auto"/>
                <w:sz w:val="21"/>
                <w:szCs w:val="21"/>
              </w:rPr>
            </w:pPr>
            <w:r>
              <w:rPr>
                <w:rFonts w:hint="eastAsia"/>
                <w:color w:val="auto"/>
                <w:sz w:val="21"/>
                <w:szCs w:val="21"/>
                <w:lang w:val="en-US" w:eastAsia="zh-CN"/>
              </w:rPr>
              <w:t>折板絮凝池</w:t>
            </w:r>
          </w:p>
        </w:tc>
        <w:tc>
          <w:tcPr>
            <w:tcW w:w="861" w:type="pct"/>
            <w:vAlign w:val="center"/>
          </w:tcPr>
          <w:p w14:paraId="0C28710B">
            <w:pPr>
              <w:adjustRightInd w:val="0"/>
              <w:snapToGrid w:val="0"/>
              <w:jc w:val="center"/>
              <w:rPr>
                <w:rFonts w:hint="eastAsia"/>
                <w:color w:val="auto"/>
                <w:sz w:val="21"/>
                <w:szCs w:val="21"/>
              </w:rPr>
            </w:pPr>
            <w:r>
              <w:rPr>
                <w:rFonts w:hint="eastAsia"/>
                <w:color w:val="auto"/>
                <w:sz w:val="21"/>
                <w:szCs w:val="21"/>
              </w:rPr>
              <w:t>电动排泥阀</w:t>
            </w:r>
          </w:p>
        </w:tc>
        <w:tc>
          <w:tcPr>
            <w:tcW w:w="2136" w:type="pct"/>
            <w:vAlign w:val="center"/>
          </w:tcPr>
          <w:p w14:paraId="1E53DD32">
            <w:pPr>
              <w:adjustRightInd w:val="0"/>
              <w:snapToGrid w:val="0"/>
              <w:jc w:val="center"/>
              <w:rPr>
                <w:color w:val="auto"/>
                <w:sz w:val="21"/>
                <w:szCs w:val="21"/>
              </w:rPr>
            </w:pPr>
            <w:r>
              <w:rPr>
                <w:rFonts w:hint="eastAsia"/>
                <w:color w:val="auto"/>
                <w:sz w:val="21"/>
                <w:szCs w:val="21"/>
              </w:rPr>
              <w:t>DN200</w:t>
            </w:r>
          </w:p>
        </w:tc>
        <w:tc>
          <w:tcPr>
            <w:tcW w:w="440" w:type="pct"/>
            <w:vAlign w:val="center"/>
          </w:tcPr>
          <w:p w14:paraId="36AADBA3">
            <w:pPr>
              <w:adjustRightInd w:val="0"/>
              <w:snapToGrid w:val="0"/>
              <w:jc w:val="center"/>
              <w:rPr>
                <w:color w:val="auto"/>
                <w:sz w:val="21"/>
                <w:szCs w:val="21"/>
              </w:rPr>
            </w:pPr>
            <w:r>
              <w:rPr>
                <w:rFonts w:hint="eastAsia"/>
                <w:color w:val="auto"/>
                <w:sz w:val="21"/>
                <w:szCs w:val="21"/>
                <w:lang w:val="en-US" w:eastAsia="zh-CN"/>
              </w:rPr>
              <w:t>112套</w:t>
            </w:r>
          </w:p>
        </w:tc>
        <w:tc>
          <w:tcPr>
            <w:tcW w:w="694" w:type="pct"/>
            <w:vAlign w:val="center"/>
          </w:tcPr>
          <w:p w14:paraId="2C924D76">
            <w:pPr>
              <w:adjustRightInd w:val="0"/>
              <w:snapToGrid w:val="0"/>
              <w:jc w:val="center"/>
              <w:rPr>
                <w:color w:val="auto"/>
                <w:sz w:val="21"/>
                <w:szCs w:val="21"/>
              </w:rPr>
            </w:pPr>
            <w:r>
              <w:rPr>
                <w:rFonts w:hint="eastAsia"/>
                <w:color w:val="auto"/>
                <w:sz w:val="21"/>
                <w:szCs w:val="21"/>
                <w:lang w:val="en-US" w:eastAsia="zh-CN"/>
              </w:rPr>
              <w:t>已全</w:t>
            </w:r>
            <w:r>
              <w:rPr>
                <w:rFonts w:hint="eastAsia"/>
                <w:color w:val="auto"/>
                <w:sz w:val="21"/>
                <w:szCs w:val="21"/>
              </w:rPr>
              <w:t>部安装</w:t>
            </w:r>
          </w:p>
        </w:tc>
      </w:tr>
      <w:tr w14:paraId="11ABF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62AE0DF9">
            <w:pPr>
              <w:adjustRightInd w:val="0"/>
              <w:snapToGrid w:val="0"/>
              <w:jc w:val="center"/>
              <w:rPr>
                <w:color w:val="auto"/>
                <w:sz w:val="21"/>
                <w:szCs w:val="21"/>
              </w:rPr>
            </w:pPr>
            <w:r>
              <w:rPr>
                <w:color w:val="auto"/>
                <w:sz w:val="21"/>
                <w:szCs w:val="21"/>
              </w:rPr>
              <w:t>6</w:t>
            </w:r>
          </w:p>
        </w:tc>
        <w:tc>
          <w:tcPr>
            <w:tcW w:w="510" w:type="pct"/>
            <w:vAlign w:val="center"/>
          </w:tcPr>
          <w:p w14:paraId="7DC4973C">
            <w:pPr>
              <w:adjustRightInd w:val="0"/>
              <w:snapToGrid w:val="0"/>
              <w:jc w:val="center"/>
              <w:rPr>
                <w:color w:val="auto"/>
                <w:sz w:val="21"/>
                <w:szCs w:val="21"/>
              </w:rPr>
            </w:pPr>
            <w:r>
              <w:rPr>
                <w:rFonts w:hint="eastAsia"/>
                <w:color w:val="auto"/>
                <w:sz w:val="21"/>
                <w:szCs w:val="21"/>
              </w:rPr>
              <w:t>平流沉淀段</w:t>
            </w:r>
          </w:p>
        </w:tc>
        <w:tc>
          <w:tcPr>
            <w:tcW w:w="861" w:type="pct"/>
            <w:vAlign w:val="center"/>
          </w:tcPr>
          <w:p w14:paraId="5DD31E78">
            <w:pPr>
              <w:adjustRightInd w:val="0"/>
              <w:snapToGrid w:val="0"/>
              <w:jc w:val="center"/>
              <w:rPr>
                <w:color w:val="auto"/>
                <w:sz w:val="21"/>
                <w:szCs w:val="21"/>
              </w:rPr>
            </w:pPr>
            <w:r>
              <w:rPr>
                <w:rFonts w:hint="eastAsia"/>
                <w:color w:val="auto"/>
                <w:sz w:val="21"/>
                <w:szCs w:val="21"/>
              </w:rPr>
              <w:t>桁车式泵吸吸泥机</w:t>
            </w:r>
          </w:p>
        </w:tc>
        <w:tc>
          <w:tcPr>
            <w:tcW w:w="2136" w:type="pct"/>
            <w:vAlign w:val="center"/>
          </w:tcPr>
          <w:p w14:paraId="2B6D5E88">
            <w:pPr>
              <w:adjustRightInd w:val="0"/>
              <w:snapToGrid w:val="0"/>
              <w:jc w:val="center"/>
              <w:rPr>
                <w:color w:val="auto"/>
                <w:sz w:val="21"/>
                <w:szCs w:val="21"/>
              </w:rPr>
            </w:pPr>
            <w:r>
              <w:rPr>
                <w:rFonts w:hint="eastAsia"/>
                <w:color w:val="auto"/>
                <w:sz w:val="21"/>
                <w:szCs w:val="21"/>
              </w:rPr>
              <w:t>跨度12.05m</w:t>
            </w:r>
          </w:p>
        </w:tc>
        <w:tc>
          <w:tcPr>
            <w:tcW w:w="440" w:type="pct"/>
            <w:vAlign w:val="center"/>
          </w:tcPr>
          <w:p w14:paraId="4E043B54">
            <w:pPr>
              <w:adjustRightInd w:val="0"/>
              <w:snapToGrid w:val="0"/>
              <w:jc w:val="center"/>
              <w:rPr>
                <w:color w:val="auto"/>
                <w:sz w:val="21"/>
                <w:szCs w:val="21"/>
              </w:rPr>
            </w:pPr>
            <w:r>
              <w:rPr>
                <w:rFonts w:hint="eastAsia"/>
                <w:color w:val="auto"/>
                <w:sz w:val="21"/>
                <w:szCs w:val="21"/>
                <w:lang w:val="en-US" w:eastAsia="zh-CN"/>
              </w:rPr>
              <w:t>8台</w:t>
            </w:r>
          </w:p>
        </w:tc>
        <w:tc>
          <w:tcPr>
            <w:tcW w:w="694" w:type="pct"/>
            <w:vAlign w:val="center"/>
          </w:tcPr>
          <w:p w14:paraId="4306B14A">
            <w:pPr>
              <w:adjustRightInd w:val="0"/>
              <w:snapToGrid w:val="0"/>
              <w:jc w:val="center"/>
              <w:rPr>
                <w:color w:val="auto"/>
                <w:sz w:val="21"/>
                <w:szCs w:val="21"/>
              </w:rPr>
            </w:pPr>
            <w:r>
              <w:rPr>
                <w:rFonts w:hint="eastAsia"/>
                <w:color w:val="auto"/>
                <w:sz w:val="21"/>
                <w:szCs w:val="21"/>
                <w:lang w:val="en-US" w:eastAsia="zh-CN"/>
              </w:rPr>
              <w:t>已全</w:t>
            </w:r>
            <w:r>
              <w:rPr>
                <w:rFonts w:hint="eastAsia"/>
                <w:color w:val="auto"/>
                <w:sz w:val="21"/>
                <w:szCs w:val="21"/>
              </w:rPr>
              <w:t>部安装</w:t>
            </w:r>
          </w:p>
        </w:tc>
      </w:tr>
      <w:tr w14:paraId="350A8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109C78FA">
            <w:pPr>
              <w:adjustRightInd w:val="0"/>
              <w:snapToGrid w:val="0"/>
              <w:jc w:val="center"/>
              <w:rPr>
                <w:color w:val="auto"/>
                <w:sz w:val="21"/>
                <w:szCs w:val="21"/>
              </w:rPr>
            </w:pPr>
            <w:r>
              <w:rPr>
                <w:color w:val="auto"/>
                <w:sz w:val="21"/>
                <w:szCs w:val="21"/>
              </w:rPr>
              <w:t>7</w:t>
            </w:r>
          </w:p>
        </w:tc>
        <w:tc>
          <w:tcPr>
            <w:tcW w:w="510" w:type="pct"/>
            <w:vAlign w:val="center"/>
          </w:tcPr>
          <w:p w14:paraId="62504EE8">
            <w:pPr>
              <w:adjustRightInd w:val="0"/>
              <w:snapToGrid w:val="0"/>
              <w:jc w:val="center"/>
              <w:rPr>
                <w:color w:val="auto"/>
                <w:sz w:val="21"/>
                <w:szCs w:val="21"/>
              </w:rPr>
            </w:pPr>
            <w:r>
              <w:rPr>
                <w:rFonts w:hint="eastAsia"/>
                <w:color w:val="auto"/>
                <w:sz w:val="21"/>
                <w:szCs w:val="21"/>
              </w:rPr>
              <w:t>斜管沉淀池</w:t>
            </w:r>
          </w:p>
        </w:tc>
        <w:tc>
          <w:tcPr>
            <w:tcW w:w="861" w:type="pct"/>
            <w:vAlign w:val="center"/>
          </w:tcPr>
          <w:p w14:paraId="0C8E81EB">
            <w:pPr>
              <w:adjustRightInd w:val="0"/>
              <w:snapToGrid w:val="0"/>
              <w:jc w:val="center"/>
              <w:rPr>
                <w:color w:val="auto"/>
                <w:sz w:val="21"/>
                <w:szCs w:val="21"/>
              </w:rPr>
            </w:pPr>
            <w:r>
              <w:rPr>
                <w:rFonts w:hint="eastAsia"/>
                <w:color w:val="auto"/>
                <w:sz w:val="21"/>
                <w:szCs w:val="21"/>
              </w:rPr>
              <w:t>电动排泥阀</w:t>
            </w:r>
          </w:p>
        </w:tc>
        <w:tc>
          <w:tcPr>
            <w:tcW w:w="2136" w:type="pct"/>
            <w:vAlign w:val="center"/>
          </w:tcPr>
          <w:p w14:paraId="39FCB07C">
            <w:pPr>
              <w:adjustRightInd w:val="0"/>
              <w:snapToGrid w:val="0"/>
              <w:jc w:val="center"/>
              <w:rPr>
                <w:color w:val="auto"/>
                <w:sz w:val="21"/>
                <w:szCs w:val="21"/>
              </w:rPr>
            </w:pPr>
            <w:r>
              <w:rPr>
                <w:rFonts w:hint="eastAsia"/>
                <w:color w:val="auto"/>
                <w:sz w:val="21"/>
                <w:szCs w:val="21"/>
              </w:rPr>
              <w:t>DN200</w:t>
            </w:r>
          </w:p>
        </w:tc>
        <w:tc>
          <w:tcPr>
            <w:tcW w:w="440" w:type="pct"/>
            <w:vAlign w:val="center"/>
          </w:tcPr>
          <w:p w14:paraId="456AA859">
            <w:pPr>
              <w:adjustRightInd w:val="0"/>
              <w:snapToGrid w:val="0"/>
              <w:jc w:val="center"/>
              <w:rPr>
                <w:rFonts w:hint="default"/>
                <w:color w:val="auto"/>
                <w:sz w:val="21"/>
                <w:szCs w:val="21"/>
                <w:lang w:val="en-US"/>
              </w:rPr>
            </w:pPr>
            <w:r>
              <w:rPr>
                <w:rFonts w:hint="eastAsia"/>
                <w:color w:val="auto"/>
                <w:sz w:val="21"/>
                <w:szCs w:val="21"/>
                <w:lang w:val="en-US" w:eastAsia="zh-CN"/>
              </w:rPr>
              <w:t>80套</w:t>
            </w:r>
          </w:p>
        </w:tc>
        <w:tc>
          <w:tcPr>
            <w:tcW w:w="694" w:type="pct"/>
            <w:vAlign w:val="center"/>
          </w:tcPr>
          <w:p w14:paraId="4CE6ED57">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已全</w:t>
            </w:r>
            <w:r>
              <w:rPr>
                <w:rFonts w:hint="eastAsia"/>
                <w:color w:val="auto"/>
                <w:sz w:val="21"/>
                <w:szCs w:val="21"/>
              </w:rPr>
              <w:t>部安装</w:t>
            </w:r>
          </w:p>
        </w:tc>
      </w:tr>
      <w:tr w14:paraId="4A057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16E20A74">
            <w:pPr>
              <w:adjustRightInd w:val="0"/>
              <w:snapToGrid w:val="0"/>
              <w:jc w:val="center"/>
              <w:rPr>
                <w:color w:val="auto"/>
                <w:sz w:val="21"/>
                <w:szCs w:val="21"/>
              </w:rPr>
            </w:pPr>
            <w:r>
              <w:rPr>
                <w:color w:val="auto"/>
                <w:sz w:val="21"/>
                <w:szCs w:val="21"/>
              </w:rPr>
              <w:t>8</w:t>
            </w:r>
          </w:p>
        </w:tc>
        <w:tc>
          <w:tcPr>
            <w:tcW w:w="510" w:type="pct"/>
            <w:vAlign w:val="center"/>
          </w:tcPr>
          <w:p w14:paraId="33BFFEA0">
            <w:pPr>
              <w:adjustRightInd w:val="0"/>
              <w:snapToGrid w:val="0"/>
              <w:jc w:val="center"/>
              <w:rPr>
                <w:color w:val="auto"/>
                <w:sz w:val="21"/>
                <w:szCs w:val="21"/>
              </w:rPr>
            </w:pPr>
            <w:r>
              <w:rPr>
                <w:rFonts w:hint="eastAsia"/>
                <w:color w:val="auto"/>
                <w:sz w:val="21"/>
                <w:szCs w:val="21"/>
              </w:rPr>
              <w:t>V型滤池</w:t>
            </w:r>
          </w:p>
        </w:tc>
        <w:tc>
          <w:tcPr>
            <w:tcW w:w="861" w:type="pct"/>
            <w:vAlign w:val="center"/>
          </w:tcPr>
          <w:p w14:paraId="17DC336A">
            <w:pPr>
              <w:adjustRightInd w:val="0"/>
              <w:snapToGrid w:val="0"/>
              <w:jc w:val="center"/>
              <w:rPr>
                <w:color w:val="auto"/>
                <w:sz w:val="21"/>
                <w:szCs w:val="21"/>
              </w:rPr>
            </w:pPr>
            <w:r>
              <w:rPr>
                <w:rFonts w:hint="eastAsia"/>
                <w:color w:val="auto"/>
                <w:sz w:val="21"/>
                <w:szCs w:val="21"/>
              </w:rPr>
              <w:t>蝶阀</w:t>
            </w:r>
          </w:p>
        </w:tc>
        <w:tc>
          <w:tcPr>
            <w:tcW w:w="2136" w:type="pct"/>
            <w:vAlign w:val="center"/>
          </w:tcPr>
          <w:p w14:paraId="2D186CFC">
            <w:pPr>
              <w:adjustRightInd w:val="0"/>
              <w:snapToGrid w:val="0"/>
              <w:jc w:val="center"/>
              <w:rPr>
                <w:color w:val="auto"/>
                <w:sz w:val="21"/>
                <w:szCs w:val="21"/>
              </w:rPr>
            </w:pPr>
            <w:r>
              <w:rPr>
                <w:rFonts w:hint="eastAsia"/>
                <w:color w:val="auto"/>
                <w:sz w:val="21"/>
                <w:szCs w:val="21"/>
              </w:rPr>
              <w:t>DN500气动出水调节蝶阀20个，DN50气动蝶阀20个（排气用）</w:t>
            </w:r>
          </w:p>
        </w:tc>
        <w:tc>
          <w:tcPr>
            <w:tcW w:w="440" w:type="pct"/>
            <w:vAlign w:val="center"/>
          </w:tcPr>
          <w:p w14:paraId="7F1E16ED">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120个</w:t>
            </w:r>
          </w:p>
        </w:tc>
        <w:tc>
          <w:tcPr>
            <w:tcW w:w="694" w:type="pct"/>
            <w:vAlign w:val="center"/>
          </w:tcPr>
          <w:p w14:paraId="1F303686">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已全</w:t>
            </w:r>
            <w:r>
              <w:rPr>
                <w:rFonts w:hint="eastAsia"/>
                <w:color w:val="auto"/>
                <w:sz w:val="21"/>
                <w:szCs w:val="21"/>
              </w:rPr>
              <w:t>部安装</w:t>
            </w:r>
          </w:p>
        </w:tc>
      </w:tr>
      <w:tr w14:paraId="5A0A3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50FCA8A2">
            <w:pPr>
              <w:adjustRightInd w:val="0"/>
              <w:snapToGrid w:val="0"/>
              <w:jc w:val="center"/>
              <w:rPr>
                <w:color w:val="auto"/>
                <w:sz w:val="21"/>
                <w:szCs w:val="21"/>
              </w:rPr>
            </w:pPr>
            <w:r>
              <w:rPr>
                <w:color w:val="auto"/>
                <w:sz w:val="21"/>
                <w:szCs w:val="21"/>
              </w:rPr>
              <w:t>9</w:t>
            </w:r>
          </w:p>
        </w:tc>
        <w:tc>
          <w:tcPr>
            <w:tcW w:w="510" w:type="pct"/>
            <w:vMerge w:val="restart"/>
            <w:vAlign w:val="center"/>
          </w:tcPr>
          <w:p w14:paraId="0092FF9D">
            <w:pPr>
              <w:adjustRightInd w:val="0"/>
              <w:snapToGrid w:val="0"/>
              <w:jc w:val="center"/>
              <w:rPr>
                <w:rFonts w:hint="eastAsia"/>
                <w:color w:val="auto"/>
                <w:sz w:val="21"/>
                <w:szCs w:val="21"/>
              </w:rPr>
            </w:pPr>
            <w:r>
              <w:rPr>
                <w:rFonts w:hint="eastAsia"/>
                <w:color w:val="auto"/>
                <w:sz w:val="21"/>
                <w:szCs w:val="21"/>
              </w:rPr>
              <w:t>反冲洗</w:t>
            </w:r>
          </w:p>
          <w:p w14:paraId="037531CC">
            <w:pPr>
              <w:adjustRightInd w:val="0"/>
              <w:snapToGrid w:val="0"/>
              <w:jc w:val="center"/>
              <w:rPr>
                <w:color w:val="auto"/>
                <w:sz w:val="21"/>
                <w:szCs w:val="21"/>
              </w:rPr>
            </w:pPr>
            <w:r>
              <w:rPr>
                <w:rFonts w:hint="eastAsia"/>
                <w:color w:val="auto"/>
                <w:sz w:val="21"/>
                <w:szCs w:val="21"/>
              </w:rPr>
              <w:t>设备间</w:t>
            </w:r>
          </w:p>
        </w:tc>
        <w:tc>
          <w:tcPr>
            <w:tcW w:w="861" w:type="pct"/>
            <w:vAlign w:val="center"/>
          </w:tcPr>
          <w:p w14:paraId="0F84E618">
            <w:pPr>
              <w:adjustRightInd w:val="0"/>
              <w:snapToGrid w:val="0"/>
              <w:jc w:val="center"/>
              <w:rPr>
                <w:color w:val="auto"/>
                <w:sz w:val="21"/>
                <w:szCs w:val="21"/>
              </w:rPr>
            </w:pPr>
            <w:r>
              <w:rPr>
                <w:rFonts w:hint="eastAsia"/>
                <w:color w:val="auto"/>
                <w:sz w:val="21"/>
                <w:szCs w:val="21"/>
              </w:rPr>
              <w:t>反冲洗水泵</w:t>
            </w:r>
          </w:p>
        </w:tc>
        <w:tc>
          <w:tcPr>
            <w:tcW w:w="2136" w:type="pct"/>
            <w:vAlign w:val="center"/>
          </w:tcPr>
          <w:p w14:paraId="7A6AD5C9">
            <w:pPr>
              <w:adjustRightInd w:val="0"/>
              <w:snapToGrid w:val="0"/>
              <w:jc w:val="center"/>
              <w:rPr>
                <w:color w:val="auto"/>
                <w:sz w:val="21"/>
                <w:szCs w:val="21"/>
              </w:rPr>
            </w:pPr>
            <w:r>
              <w:rPr>
                <w:rFonts w:hint="eastAsia"/>
                <w:color w:val="auto"/>
                <w:sz w:val="21"/>
                <w:szCs w:val="21"/>
              </w:rPr>
              <w:t>3台小泵，2台大泵；单台大泵流量Q=990m</w:t>
            </w:r>
            <w:r>
              <w:rPr>
                <w:rFonts w:hint="eastAsia"/>
                <w:color w:val="auto"/>
                <w:sz w:val="21"/>
                <w:szCs w:val="21"/>
                <w:vertAlign w:val="superscript"/>
              </w:rPr>
              <w:t>3</w:t>
            </w:r>
            <w:r>
              <w:rPr>
                <w:rFonts w:hint="eastAsia"/>
                <w:color w:val="auto"/>
                <w:sz w:val="21"/>
                <w:szCs w:val="21"/>
              </w:rPr>
              <w:t>/h，扬程H=10m，电机功率N=55kW</w:t>
            </w:r>
            <w:r>
              <w:rPr>
                <w:rFonts w:hint="eastAsia"/>
                <w:color w:val="auto"/>
                <w:sz w:val="21"/>
                <w:szCs w:val="21"/>
                <w:lang w:eastAsia="zh-CN"/>
              </w:rPr>
              <w:t>；</w:t>
            </w:r>
            <w:r>
              <w:rPr>
                <w:rFonts w:hint="eastAsia"/>
                <w:color w:val="auto"/>
                <w:sz w:val="21"/>
                <w:szCs w:val="21"/>
              </w:rPr>
              <w:t>单台小泵流量Q=299m</w:t>
            </w:r>
            <w:r>
              <w:rPr>
                <w:rFonts w:hint="eastAsia"/>
                <w:color w:val="auto"/>
                <w:sz w:val="21"/>
                <w:szCs w:val="21"/>
                <w:vertAlign w:val="superscript"/>
              </w:rPr>
              <w:t>3</w:t>
            </w:r>
            <w:r>
              <w:rPr>
                <w:rFonts w:hint="eastAsia"/>
                <w:color w:val="auto"/>
                <w:sz w:val="21"/>
                <w:szCs w:val="21"/>
              </w:rPr>
              <w:t>/h，扬程H=10m，电机功率N=18.5kW</w:t>
            </w:r>
          </w:p>
        </w:tc>
        <w:tc>
          <w:tcPr>
            <w:tcW w:w="440" w:type="pct"/>
            <w:vAlign w:val="center"/>
          </w:tcPr>
          <w:p w14:paraId="038BF961">
            <w:pPr>
              <w:adjustRightInd w:val="0"/>
              <w:snapToGrid w:val="0"/>
              <w:jc w:val="center"/>
              <w:rPr>
                <w:color w:val="auto"/>
                <w:sz w:val="21"/>
                <w:szCs w:val="21"/>
              </w:rPr>
            </w:pPr>
            <w:r>
              <w:rPr>
                <w:rFonts w:hint="eastAsia"/>
                <w:color w:val="auto"/>
                <w:sz w:val="21"/>
                <w:szCs w:val="21"/>
                <w:lang w:val="en-US" w:eastAsia="zh-CN"/>
              </w:rPr>
              <w:t>5台</w:t>
            </w:r>
          </w:p>
        </w:tc>
        <w:tc>
          <w:tcPr>
            <w:tcW w:w="694" w:type="pct"/>
            <w:vAlign w:val="center"/>
          </w:tcPr>
          <w:p w14:paraId="1CA0F82F">
            <w:pPr>
              <w:adjustRightInd w:val="0"/>
              <w:snapToGrid w:val="0"/>
              <w:jc w:val="center"/>
              <w:rPr>
                <w:color w:val="auto"/>
                <w:sz w:val="21"/>
                <w:szCs w:val="21"/>
              </w:rPr>
            </w:pPr>
            <w:r>
              <w:rPr>
                <w:rFonts w:hint="eastAsia"/>
                <w:color w:val="auto"/>
                <w:sz w:val="21"/>
                <w:szCs w:val="21"/>
              </w:rPr>
              <w:t>3用2备</w:t>
            </w:r>
          </w:p>
        </w:tc>
      </w:tr>
      <w:tr w14:paraId="6A500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366C0F43">
            <w:pPr>
              <w:adjustRightInd w:val="0"/>
              <w:snapToGrid w:val="0"/>
              <w:jc w:val="center"/>
              <w:rPr>
                <w:color w:val="auto"/>
                <w:sz w:val="21"/>
                <w:szCs w:val="21"/>
              </w:rPr>
            </w:pPr>
            <w:r>
              <w:rPr>
                <w:color w:val="auto"/>
                <w:sz w:val="21"/>
                <w:szCs w:val="21"/>
              </w:rPr>
              <w:t>10</w:t>
            </w:r>
          </w:p>
        </w:tc>
        <w:tc>
          <w:tcPr>
            <w:tcW w:w="510" w:type="pct"/>
            <w:vMerge w:val="continue"/>
            <w:vAlign w:val="center"/>
          </w:tcPr>
          <w:p w14:paraId="650CD8DC">
            <w:pPr>
              <w:adjustRightInd w:val="0"/>
              <w:snapToGrid w:val="0"/>
              <w:jc w:val="center"/>
              <w:rPr>
                <w:color w:val="auto"/>
                <w:sz w:val="21"/>
                <w:szCs w:val="21"/>
              </w:rPr>
            </w:pPr>
          </w:p>
        </w:tc>
        <w:tc>
          <w:tcPr>
            <w:tcW w:w="861" w:type="pct"/>
            <w:vAlign w:val="center"/>
          </w:tcPr>
          <w:p w14:paraId="67D6308A">
            <w:pPr>
              <w:adjustRightInd w:val="0"/>
              <w:snapToGrid w:val="0"/>
              <w:jc w:val="center"/>
              <w:rPr>
                <w:color w:val="auto"/>
                <w:sz w:val="21"/>
                <w:szCs w:val="21"/>
              </w:rPr>
            </w:pPr>
            <w:r>
              <w:rPr>
                <w:rFonts w:hint="eastAsia"/>
                <w:color w:val="auto"/>
                <w:sz w:val="21"/>
                <w:szCs w:val="21"/>
              </w:rPr>
              <w:t>加氯水泵</w:t>
            </w:r>
          </w:p>
        </w:tc>
        <w:tc>
          <w:tcPr>
            <w:tcW w:w="2136" w:type="pct"/>
            <w:vAlign w:val="center"/>
          </w:tcPr>
          <w:p w14:paraId="76B171DE">
            <w:pPr>
              <w:adjustRightInd w:val="0"/>
              <w:snapToGrid w:val="0"/>
              <w:jc w:val="center"/>
              <w:rPr>
                <w:color w:val="auto"/>
                <w:sz w:val="21"/>
                <w:szCs w:val="21"/>
              </w:rPr>
            </w:pPr>
            <w:r>
              <w:rPr>
                <w:rFonts w:hint="eastAsia"/>
                <w:color w:val="auto"/>
                <w:sz w:val="21"/>
                <w:szCs w:val="21"/>
              </w:rPr>
              <w:t>单泵流量Q=18m</w:t>
            </w:r>
            <w:r>
              <w:rPr>
                <w:rFonts w:hint="eastAsia"/>
                <w:color w:val="auto"/>
                <w:sz w:val="21"/>
                <w:szCs w:val="21"/>
                <w:vertAlign w:val="superscript"/>
              </w:rPr>
              <w:t>3</w:t>
            </w:r>
            <w:r>
              <w:rPr>
                <w:rFonts w:hint="eastAsia"/>
                <w:color w:val="auto"/>
                <w:sz w:val="21"/>
                <w:szCs w:val="21"/>
              </w:rPr>
              <w:t>/h，扬程H=37m，电机功率N=5.5kW</w:t>
            </w:r>
          </w:p>
        </w:tc>
        <w:tc>
          <w:tcPr>
            <w:tcW w:w="440" w:type="pct"/>
            <w:vAlign w:val="center"/>
          </w:tcPr>
          <w:p w14:paraId="480C00C1">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3608AF6E">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42D1EC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07E38023">
            <w:pPr>
              <w:adjustRightInd w:val="0"/>
              <w:snapToGrid w:val="0"/>
              <w:jc w:val="center"/>
              <w:rPr>
                <w:color w:val="auto"/>
                <w:sz w:val="21"/>
                <w:szCs w:val="21"/>
              </w:rPr>
            </w:pPr>
            <w:r>
              <w:rPr>
                <w:color w:val="auto"/>
                <w:sz w:val="21"/>
                <w:szCs w:val="21"/>
              </w:rPr>
              <w:t>11</w:t>
            </w:r>
          </w:p>
        </w:tc>
        <w:tc>
          <w:tcPr>
            <w:tcW w:w="510" w:type="pct"/>
            <w:vMerge w:val="continue"/>
            <w:vAlign w:val="center"/>
          </w:tcPr>
          <w:p w14:paraId="28885A51">
            <w:pPr>
              <w:adjustRightInd w:val="0"/>
              <w:snapToGrid w:val="0"/>
              <w:jc w:val="center"/>
              <w:rPr>
                <w:color w:val="auto"/>
                <w:sz w:val="21"/>
                <w:szCs w:val="21"/>
              </w:rPr>
            </w:pPr>
          </w:p>
        </w:tc>
        <w:tc>
          <w:tcPr>
            <w:tcW w:w="861" w:type="pct"/>
            <w:vAlign w:val="center"/>
          </w:tcPr>
          <w:p w14:paraId="02E2B3CD">
            <w:pPr>
              <w:adjustRightInd w:val="0"/>
              <w:snapToGrid w:val="0"/>
              <w:jc w:val="center"/>
              <w:rPr>
                <w:color w:val="auto"/>
                <w:sz w:val="21"/>
                <w:szCs w:val="21"/>
              </w:rPr>
            </w:pPr>
            <w:r>
              <w:rPr>
                <w:rFonts w:hint="eastAsia"/>
                <w:color w:val="auto"/>
                <w:sz w:val="21"/>
                <w:szCs w:val="21"/>
              </w:rPr>
              <w:t>鼓风机</w:t>
            </w:r>
          </w:p>
        </w:tc>
        <w:tc>
          <w:tcPr>
            <w:tcW w:w="2136" w:type="pct"/>
            <w:vAlign w:val="center"/>
          </w:tcPr>
          <w:p w14:paraId="2A50F2C3">
            <w:pPr>
              <w:adjustRightInd w:val="0"/>
              <w:snapToGrid w:val="0"/>
              <w:jc w:val="center"/>
              <w:rPr>
                <w:color w:val="auto"/>
                <w:sz w:val="21"/>
                <w:szCs w:val="21"/>
              </w:rPr>
            </w:pPr>
            <w:r>
              <w:rPr>
                <w:rFonts w:hint="eastAsia"/>
                <w:color w:val="auto"/>
                <w:sz w:val="21"/>
                <w:szCs w:val="21"/>
              </w:rPr>
              <w:t>单台风量Q=50.8m</w:t>
            </w:r>
            <w:r>
              <w:rPr>
                <w:rFonts w:hint="eastAsia"/>
                <w:color w:val="auto"/>
                <w:sz w:val="21"/>
                <w:szCs w:val="21"/>
                <w:vertAlign w:val="superscript"/>
              </w:rPr>
              <w:t>3</w:t>
            </w:r>
            <w:r>
              <w:rPr>
                <w:rFonts w:hint="eastAsia"/>
                <w:color w:val="auto"/>
                <w:sz w:val="21"/>
                <w:szCs w:val="21"/>
              </w:rPr>
              <w:t>/m，压力49kpa，电机功率N=75kW</w:t>
            </w:r>
          </w:p>
        </w:tc>
        <w:tc>
          <w:tcPr>
            <w:tcW w:w="440" w:type="pct"/>
            <w:vAlign w:val="center"/>
          </w:tcPr>
          <w:p w14:paraId="5733E025">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10D778F2">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3F9DF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2424E2D9">
            <w:pPr>
              <w:adjustRightInd w:val="0"/>
              <w:snapToGrid w:val="0"/>
              <w:jc w:val="center"/>
              <w:rPr>
                <w:color w:val="auto"/>
                <w:sz w:val="21"/>
                <w:szCs w:val="21"/>
              </w:rPr>
            </w:pPr>
            <w:r>
              <w:rPr>
                <w:color w:val="auto"/>
                <w:sz w:val="21"/>
                <w:szCs w:val="21"/>
              </w:rPr>
              <w:t>12</w:t>
            </w:r>
          </w:p>
        </w:tc>
        <w:tc>
          <w:tcPr>
            <w:tcW w:w="510" w:type="pct"/>
            <w:vMerge w:val="continue"/>
            <w:vAlign w:val="center"/>
          </w:tcPr>
          <w:p w14:paraId="0089B995">
            <w:pPr>
              <w:adjustRightInd w:val="0"/>
              <w:snapToGrid w:val="0"/>
              <w:jc w:val="center"/>
              <w:rPr>
                <w:color w:val="auto"/>
                <w:sz w:val="21"/>
                <w:szCs w:val="21"/>
              </w:rPr>
            </w:pPr>
          </w:p>
        </w:tc>
        <w:tc>
          <w:tcPr>
            <w:tcW w:w="861" w:type="pct"/>
            <w:vAlign w:val="center"/>
          </w:tcPr>
          <w:p w14:paraId="5D59059D">
            <w:pPr>
              <w:adjustRightInd w:val="0"/>
              <w:snapToGrid w:val="0"/>
              <w:jc w:val="center"/>
              <w:rPr>
                <w:color w:val="auto"/>
                <w:sz w:val="21"/>
                <w:szCs w:val="21"/>
              </w:rPr>
            </w:pPr>
            <w:r>
              <w:rPr>
                <w:rFonts w:hint="eastAsia"/>
                <w:color w:val="auto"/>
                <w:sz w:val="21"/>
                <w:szCs w:val="21"/>
              </w:rPr>
              <w:t>空压机</w:t>
            </w:r>
          </w:p>
        </w:tc>
        <w:tc>
          <w:tcPr>
            <w:tcW w:w="2136" w:type="pct"/>
            <w:vAlign w:val="center"/>
          </w:tcPr>
          <w:p w14:paraId="75ADD160">
            <w:pPr>
              <w:adjustRightInd w:val="0"/>
              <w:snapToGrid w:val="0"/>
              <w:jc w:val="center"/>
              <w:rPr>
                <w:color w:val="auto"/>
                <w:sz w:val="21"/>
                <w:szCs w:val="21"/>
              </w:rPr>
            </w:pPr>
            <w:r>
              <w:rPr>
                <w:rFonts w:hint="eastAsia"/>
                <w:color w:val="auto"/>
                <w:sz w:val="21"/>
                <w:szCs w:val="21"/>
              </w:rPr>
              <w:t>流量Q=3m</w:t>
            </w:r>
            <w:r>
              <w:rPr>
                <w:rFonts w:hint="eastAsia"/>
                <w:color w:val="auto"/>
                <w:sz w:val="21"/>
                <w:szCs w:val="21"/>
                <w:vertAlign w:val="superscript"/>
              </w:rPr>
              <w:t>3</w:t>
            </w:r>
            <w:r>
              <w:rPr>
                <w:rFonts w:hint="eastAsia"/>
                <w:color w:val="auto"/>
                <w:sz w:val="21"/>
                <w:szCs w:val="21"/>
              </w:rPr>
              <w:t>/min，压力1.0MPa，电机功率N=22kW</w:t>
            </w:r>
          </w:p>
        </w:tc>
        <w:tc>
          <w:tcPr>
            <w:tcW w:w="440" w:type="pct"/>
            <w:vAlign w:val="center"/>
          </w:tcPr>
          <w:p w14:paraId="4A4C93F2">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0CF5D514">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0F215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5086E443">
            <w:pPr>
              <w:adjustRightInd w:val="0"/>
              <w:snapToGrid w:val="0"/>
              <w:jc w:val="center"/>
              <w:rPr>
                <w:color w:val="auto"/>
                <w:sz w:val="21"/>
                <w:szCs w:val="21"/>
              </w:rPr>
            </w:pPr>
            <w:r>
              <w:rPr>
                <w:color w:val="auto"/>
                <w:sz w:val="21"/>
                <w:szCs w:val="21"/>
              </w:rPr>
              <w:t>13</w:t>
            </w:r>
          </w:p>
        </w:tc>
        <w:tc>
          <w:tcPr>
            <w:tcW w:w="510" w:type="pct"/>
            <w:vMerge w:val="restart"/>
            <w:vAlign w:val="center"/>
          </w:tcPr>
          <w:p w14:paraId="4E3F46B9">
            <w:pPr>
              <w:adjustRightInd w:val="0"/>
              <w:snapToGrid w:val="0"/>
              <w:jc w:val="center"/>
              <w:rPr>
                <w:rFonts w:hint="eastAsia"/>
                <w:color w:val="auto"/>
                <w:sz w:val="21"/>
                <w:szCs w:val="21"/>
              </w:rPr>
            </w:pPr>
            <w:r>
              <w:rPr>
                <w:rFonts w:hint="eastAsia"/>
                <w:color w:val="auto"/>
                <w:sz w:val="21"/>
                <w:szCs w:val="21"/>
              </w:rPr>
              <w:t>回流水</w:t>
            </w:r>
          </w:p>
          <w:p w14:paraId="14D6D6EE">
            <w:pPr>
              <w:adjustRightInd w:val="0"/>
              <w:snapToGrid w:val="0"/>
              <w:jc w:val="center"/>
              <w:rPr>
                <w:color w:val="auto"/>
                <w:sz w:val="21"/>
                <w:szCs w:val="21"/>
              </w:rPr>
            </w:pPr>
            <w:r>
              <w:rPr>
                <w:rFonts w:hint="eastAsia"/>
                <w:color w:val="auto"/>
                <w:sz w:val="21"/>
                <w:szCs w:val="21"/>
              </w:rPr>
              <w:t>池</w:t>
            </w:r>
          </w:p>
        </w:tc>
        <w:tc>
          <w:tcPr>
            <w:tcW w:w="861" w:type="pct"/>
            <w:vAlign w:val="center"/>
          </w:tcPr>
          <w:p w14:paraId="42950E75">
            <w:pPr>
              <w:adjustRightInd w:val="0"/>
              <w:snapToGrid w:val="0"/>
              <w:jc w:val="center"/>
              <w:rPr>
                <w:color w:val="auto"/>
                <w:sz w:val="21"/>
                <w:szCs w:val="21"/>
              </w:rPr>
            </w:pPr>
            <w:r>
              <w:rPr>
                <w:rFonts w:hint="eastAsia"/>
                <w:color w:val="auto"/>
                <w:sz w:val="21"/>
                <w:szCs w:val="21"/>
              </w:rPr>
              <w:t>提升泵</w:t>
            </w:r>
          </w:p>
        </w:tc>
        <w:tc>
          <w:tcPr>
            <w:tcW w:w="2136" w:type="pct"/>
            <w:vAlign w:val="center"/>
          </w:tcPr>
          <w:p w14:paraId="18A0ED43">
            <w:pPr>
              <w:adjustRightInd w:val="0"/>
              <w:snapToGrid w:val="0"/>
              <w:jc w:val="center"/>
              <w:rPr>
                <w:color w:val="auto"/>
                <w:sz w:val="21"/>
                <w:szCs w:val="21"/>
              </w:rPr>
            </w:pPr>
            <w:r>
              <w:rPr>
                <w:rFonts w:hint="eastAsia"/>
                <w:color w:val="auto"/>
                <w:sz w:val="21"/>
                <w:szCs w:val="21"/>
              </w:rPr>
              <w:t>Q=400m</w:t>
            </w:r>
            <w:r>
              <w:rPr>
                <w:rFonts w:hint="eastAsia"/>
                <w:color w:val="auto"/>
                <w:sz w:val="21"/>
                <w:szCs w:val="21"/>
                <w:vertAlign w:val="superscript"/>
              </w:rPr>
              <w:t>3</w:t>
            </w:r>
            <w:r>
              <w:rPr>
                <w:rFonts w:hint="eastAsia"/>
                <w:color w:val="auto"/>
                <w:sz w:val="21"/>
                <w:szCs w:val="21"/>
              </w:rPr>
              <w:t>/h，H=21m，N=40kW</w:t>
            </w:r>
          </w:p>
        </w:tc>
        <w:tc>
          <w:tcPr>
            <w:tcW w:w="440" w:type="pct"/>
            <w:vAlign w:val="center"/>
          </w:tcPr>
          <w:p w14:paraId="663AA2BB">
            <w:pPr>
              <w:adjustRightInd w:val="0"/>
              <w:snapToGrid w:val="0"/>
              <w:jc w:val="center"/>
              <w:rPr>
                <w:color w:val="auto"/>
                <w:sz w:val="21"/>
                <w:szCs w:val="21"/>
              </w:rPr>
            </w:pPr>
            <w:r>
              <w:rPr>
                <w:rFonts w:hint="eastAsia"/>
                <w:color w:val="auto"/>
                <w:sz w:val="21"/>
                <w:szCs w:val="21"/>
                <w:lang w:val="en-US" w:eastAsia="zh-CN"/>
              </w:rPr>
              <w:t>4台</w:t>
            </w:r>
          </w:p>
        </w:tc>
        <w:tc>
          <w:tcPr>
            <w:tcW w:w="694" w:type="pct"/>
            <w:vAlign w:val="center"/>
          </w:tcPr>
          <w:p w14:paraId="0788E627">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用2备</w:t>
            </w:r>
          </w:p>
        </w:tc>
      </w:tr>
      <w:tr w14:paraId="76D59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6227B255">
            <w:pPr>
              <w:adjustRightInd w:val="0"/>
              <w:snapToGrid w:val="0"/>
              <w:jc w:val="center"/>
              <w:rPr>
                <w:color w:val="auto"/>
                <w:sz w:val="21"/>
                <w:szCs w:val="21"/>
              </w:rPr>
            </w:pPr>
            <w:r>
              <w:rPr>
                <w:color w:val="auto"/>
                <w:sz w:val="21"/>
                <w:szCs w:val="21"/>
              </w:rPr>
              <w:t>14</w:t>
            </w:r>
          </w:p>
        </w:tc>
        <w:tc>
          <w:tcPr>
            <w:tcW w:w="510" w:type="pct"/>
            <w:vMerge w:val="continue"/>
            <w:vAlign w:val="center"/>
          </w:tcPr>
          <w:p w14:paraId="5E53C3E3">
            <w:pPr>
              <w:adjustRightInd w:val="0"/>
              <w:snapToGrid w:val="0"/>
              <w:jc w:val="center"/>
              <w:rPr>
                <w:color w:val="auto"/>
                <w:sz w:val="21"/>
                <w:szCs w:val="21"/>
              </w:rPr>
            </w:pPr>
          </w:p>
        </w:tc>
        <w:tc>
          <w:tcPr>
            <w:tcW w:w="861" w:type="pct"/>
            <w:vAlign w:val="center"/>
          </w:tcPr>
          <w:p w14:paraId="27D1DCCC">
            <w:pPr>
              <w:adjustRightInd w:val="0"/>
              <w:snapToGrid w:val="0"/>
              <w:jc w:val="center"/>
              <w:rPr>
                <w:color w:val="auto"/>
                <w:sz w:val="21"/>
                <w:szCs w:val="21"/>
              </w:rPr>
            </w:pPr>
            <w:r>
              <w:rPr>
                <w:rFonts w:hint="eastAsia"/>
                <w:color w:val="auto"/>
                <w:sz w:val="21"/>
                <w:szCs w:val="21"/>
              </w:rPr>
              <w:t>潜水搅拌机</w:t>
            </w:r>
          </w:p>
        </w:tc>
        <w:tc>
          <w:tcPr>
            <w:tcW w:w="2136" w:type="pct"/>
            <w:vAlign w:val="center"/>
          </w:tcPr>
          <w:p w14:paraId="133D1531">
            <w:pPr>
              <w:adjustRightInd w:val="0"/>
              <w:snapToGrid w:val="0"/>
              <w:jc w:val="center"/>
              <w:rPr>
                <w:color w:val="auto"/>
                <w:sz w:val="21"/>
                <w:szCs w:val="21"/>
              </w:rPr>
            </w:pPr>
            <w:r>
              <w:rPr>
                <w:rFonts w:hint="eastAsia"/>
                <w:color w:val="auto"/>
                <w:sz w:val="21"/>
                <w:szCs w:val="21"/>
              </w:rPr>
              <w:t>单台功率N=40kW</w:t>
            </w:r>
          </w:p>
        </w:tc>
        <w:tc>
          <w:tcPr>
            <w:tcW w:w="440" w:type="pct"/>
            <w:vAlign w:val="center"/>
          </w:tcPr>
          <w:p w14:paraId="569061FD">
            <w:pPr>
              <w:adjustRightInd w:val="0"/>
              <w:snapToGrid w:val="0"/>
              <w:jc w:val="center"/>
              <w:rPr>
                <w:color w:val="auto"/>
                <w:sz w:val="21"/>
                <w:szCs w:val="21"/>
              </w:rPr>
            </w:pPr>
            <w:r>
              <w:rPr>
                <w:rFonts w:hint="eastAsia"/>
                <w:color w:val="auto"/>
                <w:sz w:val="21"/>
                <w:szCs w:val="21"/>
                <w:lang w:val="en-US" w:eastAsia="zh-CN"/>
              </w:rPr>
              <w:t>4台</w:t>
            </w:r>
          </w:p>
        </w:tc>
        <w:tc>
          <w:tcPr>
            <w:tcW w:w="694" w:type="pct"/>
            <w:vAlign w:val="center"/>
          </w:tcPr>
          <w:p w14:paraId="75C49142">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w:t>
            </w:r>
          </w:p>
        </w:tc>
      </w:tr>
      <w:tr w14:paraId="4F87D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26D91C92">
            <w:pPr>
              <w:adjustRightInd w:val="0"/>
              <w:snapToGrid w:val="0"/>
              <w:jc w:val="center"/>
              <w:rPr>
                <w:color w:val="auto"/>
                <w:sz w:val="21"/>
                <w:szCs w:val="21"/>
              </w:rPr>
            </w:pPr>
            <w:r>
              <w:rPr>
                <w:color w:val="auto"/>
                <w:sz w:val="21"/>
                <w:szCs w:val="21"/>
              </w:rPr>
              <w:t>15</w:t>
            </w:r>
          </w:p>
        </w:tc>
        <w:tc>
          <w:tcPr>
            <w:tcW w:w="510" w:type="pct"/>
            <w:vMerge w:val="restart"/>
            <w:vAlign w:val="center"/>
          </w:tcPr>
          <w:p w14:paraId="1A80CC07">
            <w:pPr>
              <w:adjustRightInd w:val="0"/>
              <w:snapToGrid w:val="0"/>
              <w:jc w:val="center"/>
              <w:rPr>
                <w:color w:val="auto"/>
                <w:sz w:val="21"/>
                <w:szCs w:val="21"/>
              </w:rPr>
            </w:pPr>
            <w:r>
              <w:rPr>
                <w:rFonts w:hint="eastAsia"/>
                <w:color w:val="auto"/>
                <w:sz w:val="21"/>
                <w:szCs w:val="21"/>
              </w:rPr>
              <w:t>排水池</w:t>
            </w:r>
          </w:p>
        </w:tc>
        <w:tc>
          <w:tcPr>
            <w:tcW w:w="861" w:type="pct"/>
            <w:vAlign w:val="center"/>
          </w:tcPr>
          <w:p w14:paraId="481EEB8B">
            <w:pPr>
              <w:adjustRightInd w:val="0"/>
              <w:snapToGrid w:val="0"/>
              <w:jc w:val="center"/>
              <w:rPr>
                <w:color w:val="auto"/>
                <w:sz w:val="21"/>
                <w:szCs w:val="21"/>
              </w:rPr>
            </w:pPr>
            <w:r>
              <w:rPr>
                <w:rFonts w:hint="eastAsia"/>
                <w:color w:val="auto"/>
                <w:sz w:val="21"/>
                <w:szCs w:val="21"/>
              </w:rPr>
              <w:t>上清液回流泵</w:t>
            </w:r>
          </w:p>
        </w:tc>
        <w:tc>
          <w:tcPr>
            <w:tcW w:w="2136" w:type="pct"/>
            <w:vAlign w:val="center"/>
          </w:tcPr>
          <w:p w14:paraId="6C1D4310">
            <w:pPr>
              <w:adjustRightInd w:val="0"/>
              <w:snapToGrid w:val="0"/>
              <w:jc w:val="center"/>
              <w:rPr>
                <w:color w:val="auto"/>
                <w:sz w:val="21"/>
                <w:szCs w:val="21"/>
              </w:rPr>
            </w:pPr>
            <w:r>
              <w:rPr>
                <w:rFonts w:hint="eastAsia"/>
                <w:color w:val="auto"/>
                <w:sz w:val="21"/>
                <w:szCs w:val="21"/>
              </w:rPr>
              <w:t>Q=160m</w:t>
            </w:r>
            <w:r>
              <w:rPr>
                <w:rFonts w:hint="eastAsia"/>
                <w:color w:val="auto"/>
                <w:sz w:val="21"/>
                <w:szCs w:val="21"/>
                <w:vertAlign w:val="superscript"/>
              </w:rPr>
              <w:t>3</w:t>
            </w:r>
            <w:r>
              <w:rPr>
                <w:rFonts w:hint="eastAsia"/>
                <w:color w:val="auto"/>
                <w:sz w:val="21"/>
                <w:szCs w:val="21"/>
              </w:rPr>
              <w:t>/h，H=15m，N=12kW</w:t>
            </w:r>
          </w:p>
        </w:tc>
        <w:tc>
          <w:tcPr>
            <w:tcW w:w="440" w:type="pct"/>
            <w:vAlign w:val="center"/>
          </w:tcPr>
          <w:p w14:paraId="3CA109B6">
            <w:pPr>
              <w:adjustRightInd w:val="0"/>
              <w:snapToGrid w:val="0"/>
              <w:jc w:val="center"/>
              <w:rPr>
                <w:color w:val="auto"/>
                <w:sz w:val="21"/>
                <w:szCs w:val="21"/>
              </w:rPr>
            </w:pPr>
            <w:r>
              <w:rPr>
                <w:rFonts w:hint="eastAsia"/>
                <w:color w:val="auto"/>
                <w:sz w:val="21"/>
                <w:szCs w:val="21"/>
                <w:lang w:val="en-US" w:eastAsia="zh-CN"/>
              </w:rPr>
              <w:t>5台</w:t>
            </w:r>
          </w:p>
        </w:tc>
        <w:tc>
          <w:tcPr>
            <w:tcW w:w="694" w:type="pct"/>
            <w:vAlign w:val="center"/>
          </w:tcPr>
          <w:p w14:paraId="229C90C4">
            <w:pPr>
              <w:adjustRightInd w:val="0"/>
              <w:snapToGrid w:val="0"/>
              <w:jc w:val="center"/>
              <w:rPr>
                <w:color w:val="auto"/>
                <w:sz w:val="21"/>
                <w:szCs w:val="21"/>
              </w:rPr>
            </w:pPr>
            <w:r>
              <w:rPr>
                <w:rFonts w:hint="eastAsia"/>
                <w:color w:val="auto"/>
                <w:sz w:val="21"/>
                <w:szCs w:val="21"/>
                <w:lang w:val="en-US" w:eastAsia="zh-CN"/>
              </w:rPr>
              <w:t>4</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2B4657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30A4FB64">
            <w:pPr>
              <w:adjustRightInd w:val="0"/>
              <w:snapToGrid w:val="0"/>
              <w:jc w:val="center"/>
              <w:rPr>
                <w:color w:val="auto"/>
                <w:sz w:val="21"/>
                <w:szCs w:val="21"/>
              </w:rPr>
            </w:pPr>
            <w:r>
              <w:rPr>
                <w:rFonts w:hint="eastAsia"/>
                <w:color w:val="auto"/>
                <w:sz w:val="21"/>
                <w:szCs w:val="21"/>
              </w:rPr>
              <w:t>1</w:t>
            </w:r>
            <w:r>
              <w:rPr>
                <w:color w:val="auto"/>
                <w:sz w:val="21"/>
                <w:szCs w:val="21"/>
              </w:rPr>
              <w:t>6</w:t>
            </w:r>
          </w:p>
        </w:tc>
        <w:tc>
          <w:tcPr>
            <w:tcW w:w="510" w:type="pct"/>
            <w:vMerge w:val="continue"/>
            <w:vAlign w:val="center"/>
          </w:tcPr>
          <w:p w14:paraId="26979996">
            <w:pPr>
              <w:adjustRightInd w:val="0"/>
              <w:snapToGrid w:val="0"/>
              <w:jc w:val="center"/>
              <w:rPr>
                <w:color w:val="auto"/>
                <w:sz w:val="21"/>
                <w:szCs w:val="21"/>
              </w:rPr>
            </w:pPr>
          </w:p>
        </w:tc>
        <w:tc>
          <w:tcPr>
            <w:tcW w:w="861" w:type="pct"/>
            <w:vAlign w:val="center"/>
          </w:tcPr>
          <w:p w14:paraId="36FE39F4">
            <w:pPr>
              <w:adjustRightInd w:val="0"/>
              <w:snapToGrid w:val="0"/>
              <w:jc w:val="center"/>
              <w:rPr>
                <w:color w:val="auto"/>
                <w:sz w:val="21"/>
                <w:szCs w:val="21"/>
              </w:rPr>
            </w:pPr>
            <w:r>
              <w:rPr>
                <w:rFonts w:hint="eastAsia"/>
                <w:color w:val="auto"/>
                <w:sz w:val="21"/>
                <w:szCs w:val="21"/>
              </w:rPr>
              <w:t>底泥泵</w:t>
            </w:r>
          </w:p>
        </w:tc>
        <w:tc>
          <w:tcPr>
            <w:tcW w:w="2136" w:type="pct"/>
            <w:vAlign w:val="center"/>
          </w:tcPr>
          <w:p w14:paraId="7D319CBD">
            <w:pPr>
              <w:adjustRightInd w:val="0"/>
              <w:snapToGrid w:val="0"/>
              <w:jc w:val="center"/>
              <w:rPr>
                <w:color w:val="auto"/>
                <w:sz w:val="21"/>
                <w:szCs w:val="21"/>
              </w:rPr>
            </w:pPr>
            <w:r>
              <w:rPr>
                <w:rFonts w:hint="eastAsia"/>
                <w:color w:val="auto"/>
                <w:sz w:val="21"/>
                <w:szCs w:val="21"/>
              </w:rPr>
              <w:t>Q=10m</w:t>
            </w:r>
            <w:r>
              <w:rPr>
                <w:rFonts w:hint="eastAsia"/>
                <w:color w:val="auto"/>
                <w:sz w:val="21"/>
                <w:szCs w:val="21"/>
                <w:vertAlign w:val="superscript"/>
              </w:rPr>
              <w:t>3</w:t>
            </w:r>
            <w:r>
              <w:rPr>
                <w:rFonts w:hint="eastAsia"/>
                <w:color w:val="auto"/>
                <w:sz w:val="21"/>
                <w:szCs w:val="21"/>
              </w:rPr>
              <w:t>/h，H=10m，N=75kW</w:t>
            </w:r>
          </w:p>
        </w:tc>
        <w:tc>
          <w:tcPr>
            <w:tcW w:w="440" w:type="pct"/>
            <w:vAlign w:val="center"/>
          </w:tcPr>
          <w:p w14:paraId="40F98615">
            <w:pPr>
              <w:adjustRightInd w:val="0"/>
              <w:snapToGrid w:val="0"/>
              <w:jc w:val="center"/>
              <w:rPr>
                <w:color w:val="auto"/>
                <w:sz w:val="21"/>
                <w:szCs w:val="21"/>
              </w:rPr>
            </w:pPr>
            <w:r>
              <w:rPr>
                <w:rFonts w:hint="eastAsia"/>
                <w:color w:val="auto"/>
                <w:sz w:val="21"/>
                <w:szCs w:val="21"/>
                <w:lang w:val="en-US" w:eastAsia="zh-CN"/>
              </w:rPr>
              <w:t>5台</w:t>
            </w:r>
          </w:p>
        </w:tc>
        <w:tc>
          <w:tcPr>
            <w:tcW w:w="694" w:type="pct"/>
            <w:vAlign w:val="center"/>
          </w:tcPr>
          <w:p w14:paraId="589B9D51">
            <w:pPr>
              <w:adjustRightInd w:val="0"/>
              <w:snapToGrid w:val="0"/>
              <w:jc w:val="center"/>
              <w:rPr>
                <w:color w:val="auto"/>
                <w:sz w:val="21"/>
                <w:szCs w:val="21"/>
              </w:rPr>
            </w:pPr>
            <w:r>
              <w:rPr>
                <w:rFonts w:hint="eastAsia"/>
                <w:color w:val="auto"/>
                <w:sz w:val="21"/>
                <w:szCs w:val="21"/>
                <w:lang w:val="en-US" w:eastAsia="zh-CN"/>
              </w:rPr>
              <w:t>4</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0B7496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60ABAFBE">
            <w:pPr>
              <w:adjustRightInd w:val="0"/>
              <w:snapToGrid w:val="0"/>
              <w:jc w:val="center"/>
              <w:rPr>
                <w:color w:val="auto"/>
                <w:sz w:val="21"/>
                <w:szCs w:val="21"/>
              </w:rPr>
            </w:pPr>
            <w:r>
              <w:rPr>
                <w:color w:val="auto"/>
                <w:sz w:val="21"/>
                <w:szCs w:val="21"/>
              </w:rPr>
              <w:t>17</w:t>
            </w:r>
          </w:p>
        </w:tc>
        <w:tc>
          <w:tcPr>
            <w:tcW w:w="510" w:type="pct"/>
            <w:vMerge w:val="restart"/>
            <w:vAlign w:val="center"/>
          </w:tcPr>
          <w:p w14:paraId="6706FA18">
            <w:pPr>
              <w:adjustRightInd w:val="0"/>
              <w:snapToGrid w:val="0"/>
              <w:jc w:val="center"/>
              <w:rPr>
                <w:color w:val="auto"/>
                <w:sz w:val="21"/>
                <w:szCs w:val="21"/>
              </w:rPr>
            </w:pPr>
            <w:r>
              <w:rPr>
                <w:rFonts w:hint="eastAsia"/>
                <w:color w:val="auto"/>
                <w:sz w:val="21"/>
                <w:szCs w:val="21"/>
              </w:rPr>
              <w:t>排泥池</w:t>
            </w:r>
          </w:p>
        </w:tc>
        <w:tc>
          <w:tcPr>
            <w:tcW w:w="861" w:type="pct"/>
            <w:vAlign w:val="center"/>
          </w:tcPr>
          <w:p w14:paraId="1912001C">
            <w:pPr>
              <w:adjustRightInd w:val="0"/>
              <w:snapToGrid w:val="0"/>
              <w:jc w:val="center"/>
              <w:rPr>
                <w:color w:val="auto"/>
                <w:sz w:val="21"/>
                <w:szCs w:val="21"/>
              </w:rPr>
            </w:pPr>
            <w:r>
              <w:rPr>
                <w:rFonts w:hint="eastAsia"/>
                <w:color w:val="auto"/>
                <w:sz w:val="21"/>
                <w:szCs w:val="21"/>
              </w:rPr>
              <w:t>刮泥机</w:t>
            </w:r>
          </w:p>
        </w:tc>
        <w:tc>
          <w:tcPr>
            <w:tcW w:w="2136" w:type="pct"/>
            <w:vAlign w:val="center"/>
          </w:tcPr>
          <w:p w14:paraId="3377987B">
            <w:pPr>
              <w:adjustRightInd w:val="0"/>
              <w:snapToGrid w:val="0"/>
              <w:jc w:val="center"/>
              <w:rPr>
                <w:color w:val="auto"/>
                <w:sz w:val="21"/>
                <w:szCs w:val="21"/>
              </w:rPr>
            </w:pPr>
            <w:r>
              <w:rPr>
                <w:rFonts w:hint="eastAsia"/>
                <w:color w:val="auto"/>
                <w:sz w:val="21"/>
                <w:szCs w:val="21"/>
              </w:rPr>
              <w:t>D=25m悬挂式中心驱动刮泥机</w:t>
            </w:r>
          </w:p>
        </w:tc>
        <w:tc>
          <w:tcPr>
            <w:tcW w:w="440" w:type="pct"/>
            <w:vAlign w:val="center"/>
          </w:tcPr>
          <w:p w14:paraId="00261861">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6381CEEF">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7CA5A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03A87343">
            <w:pPr>
              <w:adjustRightInd w:val="0"/>
              <w:snapToGrid w:val="0"/>
              <w:jc w:val="center"/>
              <w:rPr>
                <w:color w:val="auto"/>
                <w:sz w:val="21"/>
                <w:szCs w:val="21"/>
              </w:rPr>
            </w:pPr>
            <w:r>
              <w:rPr>
                <w:color w:val="auto"/>
                <w:sz w:val="21"/>
                <w:szCs w:val="21"/>
              </w:rPr>
              <w:t>18</w:t>
            </w:r>
          </w:p>
        </w:tc>
        <w:tc>
          <w:tcPr>
            <w:tcW w:w="510" w:type="pct"/>
            <w:vMerge w:val="continue"/>
            <w:vAlign w:val="center"/>
          </w:tcPr>
          <w:p w14:paraId="2A40ABB0">
            <w:pPr>
              <w:adjustRightInd w:val="0"/>
              <w:snapToGrid w:val="0"/>
              <w:jc w:val="center"/>
              <w:rPr>
                <w:color w:val="auto"/>
                <w:sz w:val="21"/>
                <w:szCs w:val="21"/>
              </w:rPr>
            </w:pPr>
          </w:p>
        </w:tc>
        <w:tc>
          <w:tcPr>
            <w:tcW w:w="861" w:type="pct"/>
            <w:vAlign w:val="center"/>
          </w:tcPr>
          <w:p w14:paraId="7EA4369A">
            <w:pPr>
              <w:adjustRightInd w:val="0"/>
              <w:snapToGrid w:val="0"/>
              <w:jc w:val="center"/>
              <w:rPr>
                <w:color w:val="auto"/>
                <w:sz w:val="21"/>
                <w:szCs w:val="21"/>
              </w:rPr>
            </w:pPr>
            <w:r>
              <w:rPr>
                <w:rFonts w:hint="eastAsia"/>
                <w:color w:val="auto"/>
                <w:sz w:val="21"/>
                <w:szCs w:val="21"/>
              </w:rPr>
              <w:t>浮动槽</w:t>
            </w:r>
          </w:p>
        </w:tc>
        <w:tc>
          <w:tcPr>
            <w:tcW w:w="2136" w:type="pct"/>
            <w:vAlign w:val="center"/>
          </w:tcPr>
          <w:p w14:paraId="63FAF61F">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c>
          <w:tcPr>
            <w:tcW w:w="440" w:type="pct"/>
            <w:vAlign w:val="center"/>
          </w:tcPr>
          <w:p w14:paraId="73588FB5">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18584B39">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240204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1F744A87">
            <w:pPr>
              <w:adjustRightInd w:val="0"/>
              <w:snapToGrid w:val="0"/>
              <w:jc w:val="center"/>
              <w:rPr>
                <w:rFonts w:hint="default" w:eastAsia="宋体"/>
                <w:color w:val="auto"/>
                <w:sz w:val="21"/>
                <w:szCs w:val="21"/>
                <w:lang w:val="en-US" w:eastAsia="zh-CN"/>
              </w:rPr>
            </w:pPr>
            <w:r>
              <w:rPr>
                <w:color w:val="auto"/>
                <w:sz w:val="21"/>
                <w:szCs w:val="21"/>
              </w:rPr>
              <w:t>19</w:t>
            </w:r>
          </w:p>
        </w:tc>
        <w:tc>
          <w:tcPr>
            <w:tcW w:w="510" w:type="pct"/>
            <w:vAlign w:val="center"/>
          </w:tcPr>
          <w:p w14:paraId="17716F07">
            <w:pPr>
              <w:adjustRightInd w:val="0"/>
              <w:snapToGrid w:val="0"/>
              <w:jc w:val="center"/>
              <w:rPr>
                <w:color w:val="auto"/>
                <w:sz w:val="21"/>
                <w:szCs w:val="21"/>
              </w:rPr>
            </w:pPr>
            <w:r>
              <w:rPr>
                <w:rFonts w:hint="eastAsia"/>
                <w:color w:val="auto"/>
                <w:sz w:val="21"/>
                <w:szCs w:val="21"/>
              </w:rPr>
              <w:t>浓缩池</w:t>
            </w:r>
          </w:p>
        </w:tc>
        <w:tc>
          <w:tcPr>
            <w:tcW w:w="861" w:type="pct"/>
            <w:vAlign w:val="center"/>
          </w:tcPr>
          <w:p w14:paraId="787FD80C">
            <w:pPr>
              <w:adjustRightInd w:val="0"/>
              <w:snapToGrid w:val="0"/>
              <w:jc w:val="center"/>
              <w:rPr>
                <w:rFonts w:hint="eastAsia"/>
                <w:color w:val="auto"/>
                <w:sz w:val="21"/>
                <w:szCs w:val="21"/>
              </w:rPr>
            </w:pPr>
            <w:r>
              <w:rPr>
                <w:rFonts w:hint="eastAsia"/>
                <w:color w:val="auto"/>
                <w:sz w:val="21"/>
                <w:szCs w:val="21"/>
              </w:rPr>
              <w:t>刮泥机</w:t>
            </w:r>
          </w:p>
        </w:tc>
        <w:tc>
          <w:tcPr>
            <w:tcW w:w="2136" w:type="pct"/>
            <w:vAlign w:val="center"/>
          </w:tcPr>
          <w:p w14:paraId="57CF1362">
            <w:pPr>
              <w:adjustRightInd w:val="0"/>
              <w:snapToGrid w:val="0"/>
              <w:jc w:val="center"/>
              <w:rPr>
                <w:rFonts w:hint="eastAsia"/>
                <w:color w:val="auto"/>
                <w:sz w:val="21"/>
                <w:szCs w:val="21"/>
                <w:lang w:val="en-US" w:eastAsia="zh-CN"/>
              </w:rPr>
            </w:pPr>
            <w:r>
              <w:rPr>
                <w:rFonts w:hint="eastAsia"/>
                <w:color w:val="auto"/>
                <w:sz w:val="21"/>
                <w:szCs w:val="21"/>
                <w:lang w:val="en-US" w:eastAsia="zh-CN"/>
              </w:rPr>
              <w:t>D=25m悬挂式中心驱动刮泥机</w:t>
            </w:r>
          </w:p>
        </w:tc>
        <w:tc>
          <w:tcPr>
            <w:tcW w:w="440" w:type="pct"/>
            <w:vAlign w:val="center"/>
          </w:tcPr>
          <w:p w14:paraId="412F0089">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0A574836">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498F8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70173AB">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20</w:t>
            </w:r>
          </w:p>
        </w:tc>
        <w:tc>
          <w:tcPr>
            <w:tcW w:w="510" w:type="pct"/>
            <w:vAlign w:val="center"/>
          </w:tcPr>
          <w:p w14:paraId="18B65585">
            <w:pPr>
              <w:adjustRightInd w:val="0"/>
              <w:snapToGrid w:val="0"/>
              <w:jc w:val="center"/>
              <w:rPr>
                <w:color w:val="auto"/>
                <w:sz w:val="21"/>
                <w:szCs w:val="21"/>
              </w:rPr>
            </w:pPr>
            <w:r>
              <w:rPr>
                <w:rFonts w:hint="eastAsia"/>
                <w:color w:val="auto"/>
                <w:sz w:val="21"/>
                <w:szCs w:val="21"/>
              </w:rPr>
              <w:t>污泥平衡池</w:t>
            </w:r>
          </w:p>
        </w:tc>
        <w:tc>
          <w:tcPr>
            <w:tcW w:w="861" w:type="pct"/>
            <w:vAlign w:val="center"/>
          </w:tcPr>
          <w:p w14:paraId="0D9B5A59">
            <w:pPr>
              <w:adjustRightInd w:val="0"/>
              <w:snapToGrid w:val="0"/>
              <w:jc w:val="center"/>
              <w:rPr>
                <w:rFonts w:hint="eastAsia"/>
                <w:color w:val="auto"/>
                <w:sz w:val="21"/>
                <w:szCs w:val="21"/>
              </w:rPr>
            </w:pPr>
            <w:r>
              <w:rPr>
                <w:rFonts w:hint="eastAsia"/>
                <w:color w:val="auto"/>
                <w:sz w:val="21"/>
                <w:szCs w:val="21"/>
              </w:rPr>
              <w:t>潜水搅拌机</w:t>
            </w:r>
          </w:p>
        </w:tc>
        <w:tc>
          <w:tcPr>
            <w:tcW w:w="2136" w:type="pct"/>
            <w:vAlign w:val="center"/>
          </w:tcPr>
          <w:p w14:paraId="0FA80C59">
            <w:pPr>
              <w:adjustRightInd w:val="0"/>
              <w:snapToGrid w:val="0"/>
              <w:jc w:val="center"/>
              <w:rPr>
                <w:rFonts w:hint="eastAsia"/>
                <w:color w:val="auto"/>
                <w:sz w:val="21"/>
                <w:szCs w:val="21"/>
                <w:lang w:val="en-US" w:eastAsia="zh-CN"/>
              </w:rPr>
            </w:pPr>
            <w:r>
              <w:rPr>
                <w:rFonts w:hint="eastAsia"/>
                <w:color w:val="auto"/>
                <w:sz w:val="21"/>
                <w:szCs w:val="21"/>
                <w:lang w:val="en-US" w:eastAsia="zh-CN"/>
              </w:rPr>
              <w:t>单台功率N=2.5kW</w:t>
            </w:r>
          </w:p>
        </w:tc>
        <w:tc>
          <w:tcPr>
            <w:tcW w:w="440" w:type="pct"/>
            <w:vAlign w:val="center"/>
          </w:tcPr>
          <w:p w14:paraId="1CF01253">
            <w:pPr>
              <w:adjustRightInd w:val="0"/>
              <w:snapToGrid w:val="0"/>
              <w:jc w:val="center"/>
              <w:rPr>
                <w:color w:val="auto"/>
                <w:sz w:val="21"/>
                <w:szCs w:val="21"/>
              </w:rPr>
            </w:pPr>
            <w:r>
              <w:rPr>
                <w:rFonts w:hint="eastAsia"/>
                <w:color w:val="auto"/>
                <w:sz w:val="21"/>
                <w:szCs w:val="21"/>
                <w:lang w:val="en-US" w:eastAsia="zh-CN"/>
              </w:rPr>
              <w:t>4台</w:t>
            </w:r>
          </w:p>
        </w:tc>
        <w:tc>
          <w:tcPr>
            <w:tcW w:w="694" w:type="pct"/>
            <w:vAlign w:val="center"/>
          </w:tcPr>
          <w:p w14:paraId="3CDD8F79">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49891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268161E6">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21</w:t>
            </w:r>
          </w:p>
        </w:tc>
        <w:tc>
          <w:tcPr>
            <w:tcW w:w="510" w:type="pct"/>
            <w:vMerge w:val="restart"/>
            <w:vAlign w:val="center"/>
          </w:tcPr>
          <w:p w14:paraId="26216611">
            <w:pPr>
              <w:adjustRightInd w:val="0"/>
              <w:snapToGrid w:val="0"/>
              <w:jc w:val="center"/>
              <w:rPr>
                <w:color w:val="auto"/>
                <w:sz w:val="21"/>
                <w:szCs w:val="21"/>
              </w:rPr>
            </w:pPr>
            <w:r>
              <w:rPr>
                <w:rFonts w:hint="eastAsia"/>
                <w:color w:val="auto"/>
                <w:sz w:val="21"/>
                <w:szCs w:val="21"/>
              </w:rPr>
              <w:t>脱水机房</w:t>
            </w:r>
          </w:p>
        </w:tc>
        <w:tc>
          <w:tcPr>
            <w:tcW w:w="861" w:type="pct"/>
            <w:vAlign w:val="center"/>
          </w:tcPr>
          <w:p w14:paraId="58559327">
            <w:pPr>
              <w:adjustRightInd w:val="0"/>
              <w:snapToGrid w:val="0"/>
              <w:jc w:val="center"/>
              <w:rPr>
                <w:rFonts w:hint="eastAsia"/>
                <w:color w:val="auto"/>
                <w:sz w:val="21"/>
                <w:szCs w:val="21"/>
              </w:rPr>
            </w:pPr>
            <w:r>
              <w:rPr>
                <w:rFonts w:hint="eastAsia"/>
                <w:color w:val="auto"/>
                <w:sz w:val="21"/>
                <w:szCs w:val="21"/>
              </w:rPr>
              <w:t>离心脱水机</w:t>
            </w:r>
          </w:p>
        </w:tc>
        <w:tc>
          <w:tcPr>
            <w:tcW w:w="2136" w:type="pct"/>
            <w:vAlign w:val="center"/>
          </w:tcPr>
          <w:p w14:paraId="4AF6289B">
            <w:pPr>
              <w:adjustRightInd w:val="0"/>
              <w:snapToGrid w:val="0"/>
              <w:jc w:val="center"/>
              <w:rPr>
                <w:rFonts w:hint="eastAsia"/>
                <w:color w:val="auto"/>
                <w:sz w:val="21"/>
                <w:szCs w:val="21"/>
                <w:lang w:val="en-US" w:eastAsia="zh-CN"/>
              </w:rPr>
            </w:pPr>
            <w:r>
              <w:rPr>
                <w:rFonts w:hint="eastAsia"/>
                <w:color w:val="auto"/>
                <w:sz w:val="21"/>
                <w:szCs w:val="21"/>
                <w:lang w:val="en-US" w:eastAsia="zh-CN"/>
              </w:rPr>
              <w:t>单台处理泥量为1.0tDs/h，Q=50m</w:t>
            </w:r>
            <w:r>
              <w:rPr>
                <w:rFonts w:hint="eastAsia"/>
                <w:color w:val="auto"/>
                <w:sz w:val="21"/>
                <w:szCs w:val="21"/>
                <w:vertAlign w:val="superscript"/>
                <w:lang w:val="en-US" w:eastAsia="zh-CN"/>
              </w:rPr>
              <w:t>3</w:t>
            </w:r>
            <w:r>
              <w:rPr>
                <w:rFonts w:hint="eastAsia"/>
                <w:color w:val="auto"/>
                <w:sz w:val="21"/>
                <w:szCs w:val="21"/>
                <w:lang w:val="en-US" w:eastAsia="zh-CN"/>
              </w:rPr>
              <w:t>/h，N=37kW，出泥含水率＜80％</w:t>
            </w:r>
          </w:p>
        </w:tc>
        <w:tc>
          <w:tcPr>
            <w:tcW w:w="440" w:type="pct"/>
            <w:vAlign w:val="center"/>
          </w:tcPr>
          <w:p w14:paraId="4DCBD750">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4A949E45">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03757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3CF739C0">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22</w:t>
            </w:r>
          </w:p>
        </w:tc>
        <w:tc>
          <w:tcPr>
            <w:tcW w:w="510" w:type="pct"/>
            <w:vMerge w:val="continue"/>
            <w:vAlign w:val="center"/>
          </w:tcPr>
          <w:p w14:paraId="6FDF6C11">
            <w:pPr>
              <w:adjustRightInd w:val="0"/>
              <w:snapToGrid w:val="0"/>
              <w:jc w:val="center"/>
              <w:rPr>
                <w:color w:val="auto"/>
                <w:sz w:val="21"/>
                <w:szCs w:val="21"/>
              </w:rPr>
            </w:pPr>
          </w:p>
        </w:tc>
        <w:tc>
          <w:tcPr>
            <w:tcW w:w="861" w:type="pct"/>
            <w:vAlign w:val="center"/>
          </w:tcPr>
          <w:p w14:paraId="48195454">
            <w:pPr>
              <w:adjustRightInd w:val="0"/>
              <w:snapToGrid w:val="0"/>
              <w:jc w:val="center"/>
              <w:rPr>
                <w:rFonts w:hint="eastAsia"/>
                <w:color w:val="auto"/>
                <w:sz w:val="21"/>
                <w:szCs w:val="21"/>
              </w:rPr>
            </w:pPr>
            <w:r>
              <w:rPr>
                <w:rFonts w:hint="eastAsia"/>
                <w:color w:val="auto"/>
                <w:sz w:val="21"/>
                <w:szCs w:val="21"/>
                <w:lang w:val="en-US" w:eastAsia="zh-CN"/>
              </w:rPr>
              <w:t>污泥切割机</w:t>
            </w:r>
          </w:p>
        </w:tc>
        <w:tc>
          <w:tcPr>
            <w:tcW w:w="2136" w:type="pct"/>
            <w:vAlign w:val="center"/>
          </w:tcPr>
          <w:p w14:paraId="43C47B85">
            <w:pPr>
              <w:adjustRightInd w:val="0"/>
              <w:snapToGrid w:val="0"/>
              <w:jc w:val="center"/>
              <w:rPr>
                <w:rFonts w:hint="eastAsia"/>
                <w:color w:val="auto"/>
                <w:sz w:val="21"/>
                <w:szCs w:val="21"/>
                <w:lang w:val="en-US" w:eastAsia="zh-CN"/>
              </w:rPr>
            </w:pPr>
            <w:r>
              <w:rPr>
                <w:rFonts w:hint="eastAsia"/>
                <w:color w:val="auto"/>
                <w:sz w:val="21"/>
                <w:szCs w:val="21"/>
                <w:lang w:val="en-US" w:eastAsia="zh-CN"/>
              </w:rPr>
              <w:t>Q=30m</w:t>
            </w:r>
            <w:r>
              <w:rPr>
                <w:rFonts w:hint="eastAsia"/>
                <w:color w:val="auto"/>
                <w:sz w:val="21"/>
                <w:szCs w:val="21"/>
                <w:vertAlign w:val="superscript"/>
                <w:lang w:val="en-US" w:eastAsia="zh-CN"/>
              </w:rPr>
              <w:t>3</w:t>
            </w:r>
            <w:r>
              <w:rPr>
                <w:rFonts w:hint="eastAsia"/>
                <w:color w:val="auto"/>
                <w:sz w:val="21"/>
                <w:szCs w:val="21"/>
                <w:lang w:val="en-US" w:eastAsia="zh-CN"/>
              </w:rPr>
              <w:t>/h，N=5.5kW</w:t>
            </w:r>
          </w:p>
        </w:tc>
        <w:tc>
          <w:tcPr>
            <w:tcW w:w="440" w:type="pct"/>
            <w:vAlign w:val="center"/>
          </w:tcPr>
          <w:p w14:paraId="1050DC19">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567B618D">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52782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C4351A5">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23</w:t>
            </w:r>
          </w:p>
        </w:tc>
        <w:tc>
          <w:tcPr>
            <w:tcW w:w="510" w:type="pct"/>
            <w:vMerge w:val="continue"/>
            <w:vAlign w:val="center"/>
          </w:tcPr>
          <w:p w14:paraId="22097421">
            <w:pPr>
              <w:adjustRightInd w:val="0"/>
              <w:snapToGrid w:val="0"/>
              <w:jc w:val="center"/>
              <w:rPr>
                <w:color w:val="auto"/>
                <w:sz w:val="21"/>
                <w:szCs w:val="21"/>
              </w:rPr>
            </w:pPr>
          </w:p>
        </w:tc>
        <w:tc>
          <w:tcPr>
            <w:tcW w:w="861" w:type="pct"/>
            <w:vAlign w:val="center"/>
          </w:tcPr>
          <w:p w14:paraId="3C0EF03E">
            <w:pPr>
              <w:adjustRightInd w:val="0"/>
              <w:snapToGrid w:val="0"/>
              <w:jc w:val="center"/>
              <w:rPr>
                <w:rFonts w:hint="eastAsia"/>
                <w:color w:val="auto"/>
                <w:sz w:val="21"/>
                <w:szCs w:val="21"/>
              </w:rPr>
            </w:pPr>
            <w:r>
              <w:rPr>
                <w:rFonts w:hint="eastAsia"/>
                <w:color w:val="auto"/>
                <w:sz w:val="21"/>
                <w:szCs w:val="21"/>
                <w:lang w:val="en-US" w:eastAsia="zh-CN"/>
              </w:rPr>
              <w:t>进泥泵</w:t>
            </w:r>
          </w:p>
        </w:tc>
        <w:tc>
          <w:tcPr>
            <w:tcW w:w="2136" w:type="pct"/>
            <w:vAlign w:val="center"/>
          </w:tcPr>
          <w:p w14:paraId="4EF60E07">
            <w:pPr>
              <w:adjustRightInd w:val="0"/>
              <w:snapToGrid w:val="0"/>
              <w:jc w:val="center"/>
              <w:rPr>
                <w:rFonts w:hint="eastAsia"/>
                <w:color w:val="auto"/>
                <w:sz w:val="21"/>
                <w:szCs w:val="21"/>
                <w:lang w:val="en-US" w:eastAsia="zh-CN"/>
              </w:rPr>
            </w:pPr>
            <w:r>
              <w:rPr>
                <w:rFonts w:hint="eastAsia"/>
                <w:color w:val="auto"/>
                <w:sz w:val="21"/>
                <w:szCs w:val="21"/>
                <w:lang w:val="en-US" w:eastAsia="zh-CN"/>
              </w:rPr>
              <w:t>采用螺杆泵，单台流量Q=35m</w:t>
            </w:r>
            <w:r>
              <w:rPr>
                <w:rFonts w:hint="eastAsia"/>
                <w:color w:val="auto"/>
                <w:sz w:val="21"/>
                <w:szCs w:val="21"/>
                <w:vertAlign w:val="superscript"/>
                <w:lang w:val="en-US" w:eastAsia="zh-CN"/>
              </w:rPr>
              <w:t>3</w:t>
            </w:r>
            <w:r>
              <w:rPr>
                <w:rFonts w:hint="eastAsia"/>
                <w:color w:val="auto"/>
                <w:sz w:val="21"/>
                <w:szCs w:val="21"/>
                <w:lang w:val="en-US" w:eastAsia="zh-CN"/>
              </w:rPr>
              <w:t>/h，H=3bar，N=11kW</w:t>
            </w:r>
          </w:p>
        </w:tc>
        <w:tc>
          <w:tcPr>
            <w:tcW w:w="440" w:type="pct"/>
            <w:vAlign w:val="center"/>
          </w:tcPr>
          <w:p w14:paraId="1AFEB7A6">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0D88936E">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6F055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74793855">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24</w:t>
            </w:r>
          </w:p>
        </w:tc>
        <w:tc>
          <w:tcPr>
            <w:tcW w:w="510" w:type="pct"/>
            <w:vMerge w:val="continue"/>
            <w:vAlign w:val="center"/>
          </w:tcPr>
          <w:p w14:paraId="5915A32B">
            <w:pPr>
              <w:adjustRightInd w:val="0"/>
              <w:snapToGrid w:val="0"/>
              <w:jc w:val="center"/>
              <w:rPr>
                <w:color w:val="auto"/>
                <w:sz w:val="21"/>
                <w:szCs w:val="21"/>
              </w:rPr>
            </w:pPr>
          </w:p>
        </w:tc>
        <w:tc>
          <w:tcPr>
            <w:tcW w:w="861" w:type="pct"/>
            <w:vAlign w:val="center"/>
          </w:tcPr>
          <w:p w14:paraId="4BA7D853">
            <w:pPr>
              <w:adjustRightInd w:val="0"/>
              <w:snapToGrid w:val="0"/>
              <w:jc w:val="center"/>
              <w:rPr>
                <w:rFonts w:hint="eastAsia"/>
                <w:color w:val="auto"/>
                <w:sz w:val="21"/>
                <w:szCs w:val="21"/>
              </w:rPr>
            </w:pPr>
            <w:r>
              <w:rPr>
                <w:rFonts w:hint="eastAsia"/>
                <w:color w:val="auto"/>
                <w:sz w:val="21"/>
                <w:szCs w:val="21"/>
                <w:lang w:val="en-US" w:eastAsia="zh-CN"/>
              </w:rPr>
              <w:t>加药泵</w:t>
            </w:r>
          </w:p>
        </w:tc>
        <w:tc>
          <w:tcPr>
            <w:tcW w:w="2136" w:type="pct"/>
            <w:vAlign w:val="center"/>
          </w:tcPr>
          <w:p w14:paraId="2256909A">
            <w:pPr>
              <w:adjustRightInd w:val="0"/>
              <w:snapToGrid w:val="0"/>
              <w:jc w:val="center"/>
              <w:rPr>
                <w:rFonts w:hint="eastAsia"/>
                <w:color w:val="auto"/>
                <w:sz w:val="21"/>
                <w:szCs w:val="21"/>
                <w:lang w:val="en-US" w:eastAsia="zh-CN"/>
              </w:rPr>
            </w:pPr>
            <w:r>
              <w:rPr>
                <w:rFonts w:hint="eastAsia"/>
                <w:color w:val="auto"/>
                <w:sz w:val="21"/>
                <w:szCs w:val="21"/>
                <w:lang w:val="en-US" w:eastAsia="zh-CN"/>
              </w:rPr>
              <w:t>单台流量Q=3m</w:t>
            </w:r>
            <w:r>
              <w:rPr>
                <w:rFonts w:hint="eastAsia"/>
                <w:color w:val="auto"/>
                <w:sz w:val="21"/>
                <w:szCs w:val="21"/>
                <w:vertAlign w:val="superscript"/>
                <w:lang w:val="en-US" w:eastAsia="zh-CN"/>
              </w:rPr>
              <w:t>3</w:t>
            </w:r>
            <w:r>
              <w:rPr>
                <w:rFonts w:hint="eastAsia"/>
                <w:color w:val="auto"/>
                <w:sz w:val="21"/>
                <w:szCs w:val="21"/>
                <w:lang w:val="en-US" w:eastAsia="zh-CN"/>
              </w:rPr>
              <w:t>/h，H=3bar，N=4.5kW</w:t>
            </w:r>
          </w:p>
        </w:tc>
        <w:tc>
          <w:tcPr>
            <w:tcW w:w="440" w:type="pct"/>
            <w:vAlign w:val="center"/>
          </w:tcPr>
          <w:p w14:paraId="2037E488">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1A7B8FED">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241D6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65C3EFA8">
            <w:pPr>
              <w:adjustRightInd w:val="0"/>
              <w:snapToGrid w:val="0"/>
              <w:jc w:val="center"/>
              <w:rPr>
                <w:rFonts w:hint="default"/>
                <w:color w:val="auto"/>
                <w:sz w:val="21"/>
                <w:szCs w:val="21"/>
                <w:lang w:val="en-US" w:eastAsia="zh-CN"/>
              </w:rPr>
            </w:pPr>
            <w:r>
              <w:rPr>
                <w:rFonts w:hint="eastAsia"/>
                <w:color w:val="auto"/>
                <w:sz w:val="21"/>
                <w:szCs w:val="21"/>
                <w:lang w:val="en-US" w:eastAsia="zh-CN"/>
              </w:rPr>
              <w:t>25</w:t>
            </w:r>
          </w:p>
        </w:tc>
        <w:tc>
          <w:tcPr>
            <w:tcW w:w="510" w:type="pct"/>
            <w:vMerge w:val="continue"/>
            <w:vAlign w:val="center"/>
          </w:tcPr>
          <w:p w14:paraId="20395492">
            <w:pPr>
              <w:adjustRightInd w:val="0"/>
              <w:snapToGrid w:val="0"/>
              <w:jc w:val="center"/>
              <w:rPr>
                <w:color w:val="auto"/>
                <w:sz w:val="21"/>
                <w:szCs w:val="21"/>
              </w:rPr>
            </w:pPr>
          </w:p>
        </w:tc>
        <w:tc>
          <w:tcPr>
            <w:tcW w:w="861" w:type="pct"/>
            <w:vAlign w:val="center"/>
          </w:tcPr>
          <w:p w14:paraId="717487F6">
            <w:pPr>
              <w:adjustRightInd w:val="0"/>
              <w:snapToGrid w:val="0"/>
              <w:jc w:val="center"/>
              <w:rPr>
                <w:rFonts w:hint="eastAsia"/>
                <w:color w:val="auto"/>
                <w:sz w:val="21"/>
                <w:szCs w:val="21"/>
              </w:rPr>
            </w:pPr>
            <w:r>
              <w:rPr>
                <w:rFonts w:hint="eastAsia"/>
                <w:color w:val="auto"/>
                <w:sz w:val="21"/>
                <w:szCs w:val="21"/>
                <w:lang w:val="en-US" w:eastAsia="zh-CN"/>
              </w:rPr>
              <w:t>清洗水泵</w:t>
            </w:r>
          </w:p>
        </w:tc>
        <w:tc>
          <w:tcPr>
            <w:tcW w:w="2136" w:type="pct"/>
            <w:vAlign w:val="center"/>
          </w:tcPr>
          <w:p w14:paraId="26FB9EE7">
            <w:pPr>
              <w:adjustRightInd w:val="0"/>
              <w:snapToGrid w:val="0"/>
              <w:jc w:val="center"/>
              <w:rPr>
                <w:rFonts w:hint="eastAsia"/>
                <w:color w:val="auto"/>
                <w:sz w:val="21"/>
                <w:szCs w:val="21"/>
                <w:lang w:val="en-US" w:eastAsia="zh-CN"/>
              </w:rPr>
            </w:pPr>
            <w:r>
              <w:rPr>
                <w:rFonts w:hint="eastAsia"/>
                <w:color w:val="auto"/>
                <w:sz w:val="21"/>
                <w:szCs w:val="21"/>
                <w:lang w:val="en-US" w:eastAsia="zh-CN"/>
              </w:rPr>
              <w:t>单台流量Q=18m</w:t>
            </w:r>
            <w:r>
              <w:rPr>
                <w:rFonts w:hint="eastAsia"/>
                <w:color w:val="auto"/>
                <w:sz w:val="21"/>
                <w:szCs w:val="21"/>
                <w:vertAlign w:val="superscript"/>
                <w:lang w:val="en-US" w:eastAsia="zh-CN"/>
              </w:rPr>
              <w:t>3</w:t>
            </w:r>
            <w:r>
              <w:rPr>
                <w:rFonts w:hint="eastAsia"/>
                <w:color w:val="auto"/>
                <w:sz w:val="21"/>
                <w:szCs w:val="21"/>
                <w:lang w:val="en-US" w:eastAsia="zh-CN"/>
              </w:rPr>
              <w:t>/h，H=37m，N=5.5kW</w:t>
            </w:r>
          </w:p>
        </w:tc>
        <w:tc>
          <w:tcPr>
            <w:tcW w:w="440" w:type="pct"/>
            <w:vAlign w:val="center"/>
          </w:tcPr>
          <w:p w14:paraId="51A54D8C">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26B38E8F">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16D73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31360A0">
            <w:pPr>
              <w:adjustRightInd w:val="0"/>
              <w:snapToGrid w:val="0"/>
              <w:jc w:val="center"/>
              <w:rPr>
                <w:rFonts w:hint="default"/>
                <w:color w:val="auto"/>
                <w:sz w:val="21"/>
                <w:szCs w:val="21"/>
                <w:lang w:val="en-US" w:eastAsia="zh-CN"/>
              </w:rPr>
            </w:pPr>
            <w:r>
              <w:rPr>
                <w:rFonts w:hint="eastAsia"/>
                <w:color w:val="auto"/>
                <w:sz w:val="21"/>
                <w:szCs w:val="21"/>
                <w:lang w:val="en-US" w:eastAsia="zh-CN"/>
              </w:rPr>
              <w:t>26</w:t>
            </w:r>
          </w:p>
        </w:tc>
        <w:tc>
          <w:tcPr>
            <w:tcW w:w="510" w:type="pct"/>
            <w:vMerge w:val="continue"/>
            <w:vAlign w:val="center"/>
          </w:tcPr>
          <w:p w14:paraId="7F409346">
            <w:pPr>
              <w:adjustRightInd w:val="0"/>
              <w:snapToGrid w:val="0"/>
              <w:jc w:val="center"/>
              <w:rPr>
                <w:color w:val="auto"/>
                <w:sz w:val="21"/>
                <w:szCs w:val="21"/>
              </w:rPr>
            </w:pPr>
          </w:p>
        </w:tc>
        <w:tc>
          <w:tcPr>
            <w:tcW w:w="861" w:type="pct"/>
            <w:vAlign w:val="center"/>
          </w:tcPr>
          <w:p w14:paraId="03CD6D5B">
            <w:pPr>
              <w:adjustRightInd w:val="0"/>
              <w:snapToGrid w:val="0"/>
              <w:jc w:val="center"/>
              <w:rPr>
                <w:rFonts w:hint="eastAsia"/>
                <w:color w:val="auto"/>
                <w:sz w:val="21"/>
                <w:szCs w:val="21"/>
              </w:rPr>
            </w:pPr>
            <w:r>
              <w:rPr>
                <w:rFonts w:hint="eastAsia"/>
                <w:color w:val="auto"/>
                <w:sz w:val="21"/>
                <w:szCs w:val="21"/>
                <w:lang w:val="en-US" w:eastAsia="zh-CN"/>
              </w:rPr>
              <w:t>螺旋输送机</w:t>
            </w:r>
          </w:p>
        </w:tc>
        <w:tc>
          <w:tcPr>
            <w:tcW w:w="2136" w:type="pct"/>
            <w:vAlign w:val="center"/>
          </w:tcPr>
          <w:p w14:paraId="29835DB9">
            <w:pPr>
              <w:adjustRightInd w:val="0"/>
              <w:snapToGrid w:val="0"/>
              <w:jc w:val="center"/>
              <w:rPr>
                <w:rFonts w:hint="eastAsia"/>
                <w:color w:val="auto"/>
                <w:sz w:val="21"/>
                <w:szCs w:val="21"/>
                <w:lang w:val="en-US" w:eastAsia="zh-CN"/>
              </w:rPr>
            </w:pPr>
            <w:r>
              <w:rPr>
                <w:rFonts w:hint="eastAsia"/>
                <w:color w:val="auto"/>
                <w:sz w:val="21"/>
                <w:szCs w:val="21"/>
                <w:lang w:val="en-US" w:eastAsia="zh-CN"/>
              </w:rPr>
              <w:t>Φ320.输送能力3～8m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440" w:type="pct"/>
            <w:vAlign w:val="center"/>
          </w:tcPr>
          <w:p w14:paraId="14CD3060">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38655951">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6607FB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1C3D72B0">
            <w:pPr>
              <w:adjustRightInd w:val="0"/>
              <w:snapToGrid w:val="0"/>
              <w:jc w:val="center"/>
              <w:rPr>
                <w:rFonts w:hint="default"/>
                <w:color w:val="auto"/>
                <w:sz w:val="21"/>
                <w:szCs w:val="21"/>
                <w:lang w:val="en-US" w:eastAsia="zh-CN"/>
              </w:rPr>
            </w:pPr>
            <w:r>
              <w:rPr>
                <w:rFonts w:hint="eastAsia"/>
                <w:color w:val="auto"/>
                <w:sz w:val="21"/>
                <w:szCs w:val="21"/>
                <w:lang w:val="en-US" w:eastAsia="zh-CN"/>
              </w:rPr>
              <w:t>27</w:t>
            </w:r>
          </w:p>
        </w:tc>
        <w:tc>
          <w:tcPr>
            <w:tcW w:w="510" w:type="pct"/>
            <w:vMerge w:val="restart"/>
            <w:vAlign w:val="center"/>
          </w:tcPr>
          <w:p w14:paraId="2830275F">
            <w:pPr>
              <w:adjustRightInd w:val="0"/>
              <w:snapToGrid w:val="0"/>
              <w:jc w:val="center"/>
              <w:rPr>
                <w:color w:val="auto"/>
                <w:sz w:val="21"/>
                <w:szCs w:val="21"/>
              </w:rPr>
            </w:pPr>
            <w:r>
              <w:rPr>
                <w:rFonts w:hint="eastAsia"/>
                <w:color w:val="auto"/>
                <w:sz w:val="21"/>
                <w:szCs w:val="21"/>
              </w:rPr>
              <w:t>自用水泵房</w:t>
            </w:r>
          </w:p>
        </w:tc>
        <w:tc>
          <w:tcPr>
            <w:tcW w:w="861" w:type="pct"/>
            <w:vAlign w:val="center"/>
          </w:tcPr>
          <w:p w14:paraId="2274E743">
            <w:pPr>
              <w:adjustRightInd w:val="0"/>
              <w:snapToGrid w:val="0"/>
              <w:jc w:val="center"/>
              <w:rPr>
                <w:rFonts w:hint="eastAsia"/>
                <w:color w:val="auto"/>
                <w:sz w:val="21"/>
                <w:szCs w:val="21"/>
                <w:lang w:val="en-US" w:eastAsia="zh-CN"/>
              </w:rPr>
            </w:pPr>
            <w:r>
              <w:rPr>
                <w:rFonts w:hint="eastAsia"/>
                <w:color w:val="auto"/>
                <w:sz w:val="21"/>
                <w:szCs w:val="21"/>
                <w:lang w:val="en-US" w:eastAsia="zh-CN"/>
              </w:rPr>
              <w:t>厂区综合用水水泵</w:t>
            </w:r>
          </w:p>
        </w:tc>
        <w:tc>
          <w:tcPr>
            <w:tcW w:w="2136" w:type="pct"/>
            <w:vAlign w:val="center"/>
          </w:tcPr>
          <w:p w14:paraId="5A0F6762">
            <w:pPr>
              <w:adjustRightInd w:val="0"/>
              <w:snapToGrid w:val="0"/>
              <w:jc w:val="center"/>
              <w:rPr>
                <w:rFonts w:hint="eastAsia"/>
                <w:color w:val="auto"/>
                <w:sz w:val="21"/>
                <w:szCs w:val="21"/>
                <w:lang w:val="en-US" w:eastAsia="zh-CN"/>
              </w:rPr>
            </w:pPr>
            <w:r>
              <w:rPr>
                <w:rFonts w:hint="eastAsia"/>
                <w:color w:val="auto"/>
                <w:sz w:val="21"/>
                <w:szCs w:val="21"/>
                <w:lang w:val="en-US" w:eastAsia="zh-CN"/>
              </w:rPr>
              <w:t>Q=82.41m</w:t>
            </w:r>
            <w:r>
              <w:rPr>
                <w:rFonts w:hint="eastAsia"/>
                <w:color w:val="auto"/>
                <w:sz w:val="21"/>
                <w:szCs w:val="21"/>
                <w:vertAlign w:val="superscript"/>
                <w:lang w:val="en-US" w:eastAsia="zh-CN"/>
              </w:rPr>
              <w:t>3</w:t>
            </w:r>
            <w:r>
              <w:rPr>
                <w:rFonts w:hint="eastAsia"/>
                <w:color w:val="auto"/>
                <w:sz w:val="21"/>
                <w:szCs w:val="21"/>
                <w:lang w:val="en-US" w:eastAsia="zh-CN"/>
              </w:rPr>
              <w:t>/h，H=43m，N=22kW</w:t>
            </w:r>
          </w:p>
        </w:tc>
        <w:tc>
          <w:tcPr>
            <w:tcW w:w="440" w:type="pct"/>
            <w:vAlign w:val="center"/>
          </w:tcPr>
          <w:p w14:paraId="41E81764">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5C73588E">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37CBD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D3F814C">
            <w:pPr>
              <w:adjustRightInd w:val="0"/>
              <w:snapToGrid w:val="0"/>
              <w:jc w:val="center"/>
              <w:rPr>
                <w:rFonts w:hint="default"/>
                <w:color w:val="auto"/>
                <w:sz w:val="21"/>
                <w:szCs w:val="21"/>
                <w:lang w:val="en-US" w:eastAsia="zh-CN"/>
              </w:rPr>
            </w:pPr>
            <w:r>
              <w:rPr>
                <w:rFonts w:hint="eastAsia"/>
                <w:color w:val="auto"/>
                <w:sz w:val="21"/>
                <w:szCs w:val="21"/>
                <w:lang w:val="en-US" w:eastAsia="zh-CN"/>
              </w:rPr>
              <w:t>28</w:t>
            </w:r>
          </w:p>
        </w:tc>
        <w:tc>
          <w:tcPr>
            <w:tcW w:w="510" w:type="pct"/>
            <w:vMerge w:val="continue"/>
            <w:vAlign w:val="center"/>
          </w:tcPr>
          <w:p w14:paraId="56788DB6">
            <w:pPr>
              <w:adjustRightInd w:val="0"/>
              <w:snapToGrid w:val="0"/>
              <w:jc w:val="center"/>
              <w:rPr>
                <w:color w:val="auto"/>
                <w:sz w:val="21"/>
                <w:szCs w:val="21"/>
              </w:rPr>
            </w:pPr>
          </w:p>
        </w:tc>
        <w:tc>
          <w:tcPr>
            <w:tcW w:w="861" w:type="pct"/>
            <w:vAlign w:val="center"/>
          </w:tcPr>
          <w:p w14:paraId="3C53EFE4">
            <w:pPr>
              <w:adjustRightInd w:val="0"/>
              <w:snapToGrid w:val="0"/>
              <w:jc w:val="center"/>
              <w:rPr>
                <w:rFonts w:hint="eastAsia"/>
                <w:color w:val="auto"/>
                <w:sz w:val="21"/>
                <w:szCs w:val="21"/>
                <w:lang w:val="en-US" w:eastAsia="zh-CN"/>
              </w:rPr>
            </w:pPr>
            <w:r>
              <w:rPr>
                <w:rFonts w:hint="eastAsia"/>
                <w:color w:val="auto"/>
                <w:sz w:val="21"/>
                <w:szCs w:val="21"/>
                <w:lang w:val="en-US" w:eastAsia="zh-CN"/>
              </w:rPr>
              <w:t>厂区消防用水水泵</w:t>
            </w:r>
          </w:p>
        </w:tc>
        <w:tc>
          <w:tcPr>
            <w:tcW w:w="2136" w:type="pct"/>
            <w:vAlign w:val="center"/>
          </w:tcPr>
          <w:p w14:paraId="6013B052">
            <w:pPr>
              <w:keepNext w:val="0"/>
              <w:keepLines w:val="0"/>
              <w:widowControl/>
              <w:suppressLineNumbers w:val="0"/>
              <w:jc w:val="center"/>
              <w:rPr>
                <w:rFonts w:hint="eastAsia"/>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Q=126m</w:t>
            </w:r>
            <w:r>
              <w:rPr>
                <w:rFonts w:hint="eastAsia"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/h</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H=56m</w:t>
            </w:r>
            <w:r>
              <w:rPr>
                <w:rFonts w:hint="eastAsia" w:ascii="宋体" w:hAnsi="宋体" w:eastAsia="宋体" w:cs="宋体"/>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N=37kW</w:t>
            </w:r>
          </w:p>
        </w:tc>
        <w:tc>
          <w:tcPr>
            <w:tcW w:w="440" w:type="pct"/>
            <w:vAlign w:val="center"/>
          </w:tcPr>
          <w:p w14:paraId="7FE475DA">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272A2229">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64C54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60FBD22E">
            <w:pPr>
              <w:adjustRightInd w:val="0"/>
              <w:snapToGrid w:val="0"/>
              <w:jc w:val="center"/>
              <w:rPr>
                <w:rFonts w:hint="default"/>
                <w:color w:val="auto"/>
                <w:sz w:val="21"/>
                <w:szCs w:val="21"/>
                <w:lang w:val="en-US" w:eastAsia="zh-CN"/>
              </w:rPr>
            </w:pPr>
            <w:r>
              <w:rPr>
                <w:rFonts w:hint="eastAsia"/>
                <w:color w:val="auto"/>
                <w:sz w:val="21"/>
                <w:szCs w:val="21"/>
                <w:lang w:val="en-US" w:eastAsia="zh-CN"/>
              </w:rPr>
              <w:t>29</w:t>
            </w:r>
          </w:p>
        </w:tc>
        <w:tc>
          <w:tcPr>
            <w:tcW w:w="510" w:type="pct"/>
            <w:vMerge w:val="continue"/>
            <w:vAlign w:val="center"/>
          </w:tcPr>
          <w:p w14:paraId="3B08FC5B">
            <w:pPr>
              <w:adjustRightInd w:val="0"/>
              <w:snapToGrid w:val="0"/>
              <w:jc w:val="center"/>
              <w:rPr>
                <w:color w:val="auto"/>
                <w:sz w:val="21"/>
                <w:szCs w:val="21"/>
              </w:rPr>
            </w:pPr>
          </w:p>
        </w:tc>
        <w:tc>
          <w:tcPr>
            <w:tcW w:w="861" w:type="pct"/>
            <w:vAlign w:val="center"/>
          </w:tcPr>
          <w:p w14:paraId="793F9343">
            <w:pPr>
              <w:adjustRightInd w:val="0"/>
              <w:snapToGrid w:val="0"/>
              <w:jc w:val="center"/>
              <w:rPr>
                <w:rFonts w:hint="eastAsia"/>
                <w:color w:val="auto"/>
                <w:sz w:val="21"/>
                <w:szCs w:val="21"/>
                <w:lang w:val="en-US" w:eastAsia="zh-CN"/>
              </w:rPr>
            </w:pPr>
            <w:r>
              <w:rPr>
                <w:rFonts w:hint="eastAsia"/>
                <w:color w:val="auto"/>
                <w:sz w:val="21"/>
                <w:szCs w:val="21"/>
                <w:lang w:val="en-US" w:eastAsia="zh-CN"/>
              </w:rPr>
              <w:t>厂区周边综合用水水泵</w:t>
            </w:r>
          </w:p>
        </w:tc>
        <w:tc>
          <w:tcPr>
            <w:tcW w:w="2136" w:type="pct"/>
            <w:vAlign w:val="center"/>
          </w:tcPr>
          <w:p w14:paraId="5EDB7CAA">
            <w:pPr>
              <w:adjustRightInd w:val="0"/>
              <w:snapToGrid w:val="0"/>
              <w:jc w:val="center"/>
              <w:rPr>
                <w:rFonts w:hint="eastAsia"/>
                <w:color w:val="auto"/>
                <w:sz w:val="21"/>
                <w:szCs w:val="21"/>
                <w:lang w:val="en-US" w:eastAsia="zh-CN"/>
              </w:rPr>
            </w:pPr>
            <w:r>
              <w:rPr>
                <w:rFonts w:hint="eastAsia"/>
                <w:color w:val="auto"/>
                <w:sz w:val="21"/>
                <w:szCs w:val="21"/>
                <w:lang w:val="en-US" w:eastAsia="zh-CN"/>
              </w:rPr>
              <w:t>Q=133.33m</w:t>
            </w:r>
            <w:r>
              <w:rPr>
                <w:rFonts w:hint="eastAsia"/>
                <w:color w:val="auto"/>
                <w:sz w:val="21"/>
                <w:szCs w:val="21"/>
                <w:vertAlign w:val="superscript"/>
                <w:lang w:val="en-US" w:eastAsia="zh-CN"/>
              </w:rPr>
              <w:t>3</w:t>
            </w:r>
            <w:r>
              <w:rPr>
                <w:rFonts w:hint="eastAsia"/>
                <w:color w:val="auto"/>
                <w:sz w:val="21"/>
                <w:szCs w:val="21"/>
                <w:lang w:val="en-US" w:eastAsia="zh-CN"/>
              </w:rPr>
              <w:t>/h，H=43m，N=37kW</w:t>
            </w:r>
          </w:p>
        </w:tc>
        <w:tc>
          <w:tcPr>
            <w:tcW w:w="440" w:type="pct"/>
            <w:vAlign w:val="center"/>
          </w:tcPr>
          <w:p w14:paraId="7282D864">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336D1964">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1</w:t>
            </w:r>
            <w:r>
              <w:rPr>
                <w:rFonts w:hint="eastAsia"/>
                <w:color w:val="auto"/>
                <w:sz w:val="21"/>
                <w:szCs w:val="21"/>
              </w:rPr>
              <w:t>备</w:t>
            </w:r>
          </w:p>
        </w:tc>
      </w:tr>
      <w:tr w14:paraId="10BF1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5F70B793">
            <w:pPr>
              <w:adjustRightInd w:val="0"/>
              <w:snapToGrid w:val="0"/>
              <w:jc w:val="center"/>
              <w:rPr>
                <w:rFonts w:hint="default"/>
                <w:color w:val="auto"/>
                <w:sz w:val="21"/>
                <w:szCs w:val="21"/>
                <w:lang w:val="en-US" w:eastAsia="zh-CN"/>
              </w:rPr>
            </w:pPr>
            <w:r>
              <w:rPr>
                <w:rFonts w:hint="eastAsia"/>
                <w:color w:val="auto"/>
                <w:sz w:val="21"/>
                <w:szCs w:val="21"/>
                <w:lang w:val="en-US" w:eastAsia="zh-CN"/>
              </w:rPr>
              <w:t>30</w:t>
            </w:r>
          </w:p>
        </w:tc>
        <w:tc>
          <w:tcPr>
            <w:tcW w:w="510" w:type="pct"/>
            <w:vMerge w:val="restart"/>
            <w:vAlign w:val="center"/>
          </w:tcPr>
          <w:p w14:paraId="78CDD242">
            <w:pPr>
              <w:adjustRightInd w:val="0"/>
              <w:snapToGrid w:val="0"/>
              <w:jc w:val="center"/>
              <w:rPr>
                <w:color w:val="auto"/>
                <w:sz w:val="21"/>
                <w:szCs w:val="21"/>
              </w:rPr>
            </w:pPr>
            <w:r>
              <w:rPr>
                <w:rFonts w:hint="eastAsia"/>
                <w:color w:val="auto"/>
                <w:sz w:val="21"/>
                <w:szCs w:val="21"/>
              </w:rPr>
              <w:t>加药间</w:t>
            </w:r>
          </w:p>
        </w:tc>
        <w:tc>
          <w:tcPr>
            <w:tcW w:w="861" w:type="pct"/>
            <w:vAlign w:val="center"/>
          </w:tcPr>
          <w:p w14:paraId="4A9EDEAD">
            <w:pPr>
              <w:adjustRightInd w:val="0"/>
              <w:snapToGrid w:val="0"/>
              <w:jc w:val="center"/>
              <w:rPr>
                <w:rFonts w:hint="eastAsia"/>
                <w:color w:val="auto"/>
                <w:sz w:val="21"/>
                <w:szCs w:val="21"/>
                <w:lang w:val="en-US" w:eastAsia="zh-CN"/>
              </w:rPr>
            </w:pPr>
            <w:r>
              <w:rPr>
                <w:rFonts w:hint="eastAsia"/>
                <w:color w:val="auto"/>
                <w:sz w:val="21"/>
                <w:szCs w:val="21"/>
                <w:lang w:val="en-US" w:eastAsia="zh-CN"/>
              </w:rPr>
              <w:t>鼓风机</w:t>
            </w:r>
          </w:p>
        </w:tc>
        <w:tc>
          <w:tcPr>
            <w:tcW w:w="2136" w:type="pct"/>
            <w:vAlign w:val="center"/>
          </w:tcPr>
          <w:p w14:paraId="75979C8D">
            <w:pPr>
              <w:adjustRightInd w:val="0"/>
              <w:snapToGrid w:val="0"/>
              <w:jc w:val="center"/>
              <w:rPr>
                <w:rFonts w:hint="eastAsia"/>
                <w:color w:val="auto"/>
                <w:sz w:val="21"/>
                <w:szCs w:val="21"/>
                <w:lang w:val="en-US" w:eastAsia="zh-CN"/>
              </w:rPr>
            </w:pPr>
            <w:r>
              <w:rPr>
                <w:rFonts w:hint="eastAsia"/>
                <w:color w:val="auto"/>
                <w:sz w:val="21"/>
                <w:szCs w:val="21"/>
                <w:lang w:val="en-US" w:eastAsia="zh-CN"/>
              </w:rPr>
              <w:t>3台，风量13.1m/min，扬程 4m</w:t>
            </w:r>
          </w:p>
        </w:tc>
        <w:tc>
          <w:tcPr>
            <w:tcW w:w="440" w:type="pct"/>
            <w:vAlign w:val="center"/>
          </w:tcPr>
          <w:p w14:paraId="2390BFA9">
            <w:pPr>
              <w:adjustRightInd w:val="0"/>
              <w:snapToGrid w:val="0"/>
              <w:jc w:val="center"/>
              <w:rPr>
                <w:color w:val="auto"/>
                <w:sz w:val="21"/>
                <w:szCs w:val="21"/>
              </w:rPr>
            </w:pPr>
            <w:r>
              <w:rPr>
                <w:rFonts w:hint="eastAsia"/>
                <w:color w:val="auto"/>
                <w:sz w:val="21"/>
                <w:szCs w:val="21"/>
                <w:lang w:val="en-US" w:eastAsia="zh-CN"/>
              </w:rPr>
              <w:t>3台</w:t>
            </w:r>
          </w:p>
        </w:tc>
        <w:tc>
          <w:tcPr>
            <w:tcW w:w="694" w:type="pct"/>
            <w:vAlign w:val="center"/>
          </w:tcPr>
          <w:p w14:paraId="17D82831">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65AAB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3E1F6C17">
            <w:pPr>
              <w:adjustRightInd w:val="0"/>
              <w:snapToGrid w:val="0"/>
              <w:jc w:val="center"/>
              <w:rPr>
                <w:rFonts w:hint="default"/>
                <w:color w:val="auto"/>
                <w:sz w:val="21"/>
                <w:szCs w:val="21"/>
                <w:lang w:val="en-US" w:eastAsia="zh-CN"/>
              </w:rPr>
            </w:pPr>
            <w:r>
              <w:rPr>
                <w:rFonts w:hint="eastAsia"/>
                <w:color w:val="auto"/>
                <w:sz w:val="21"/>
                <w:szCs w:val="21"/>
                <w:lang w:val="en-US" w:eastAsia="zh-CN"/>
              </w:rPr>
              <w:t>31</w:t>
            </w:r>
          </w:p>
        </w:tc>
        <w:tc>
          <w:tcPr>
            <w:tcW w:w="510" w:type="pct"/>
            <w:vMerge w:val="continue"/>
            <w:vAlign w:val="center"/>
          </w:tcPr>
          <w:p w14:paraId="4A853054">
            <w:pPr>
              <w:adjustRightInd w:val="0"/>
              <w:snapToGrid w:val="0"/>
              <w:jc w:val="center"/>
              <w:rPr>
                <w:color w:val="auto"/>
                <w:sz w:val="21"/>
                <w:szCs w:val="21"/>
              </w:rPr>
            </w:pPr>
          </w:p>
        </w:tc>
        <w:tc>
          <w:tcPr>
            <w:tcW w:w="861" w:type="pct"/>
            <w:vAlign w:val="center"/>
          </w:tcPr>
          <w:p w14:paraId="22EFCE4D">
            <w:pPr>
              <w:adjustRightInd w:val="0"/>
              <w:snapToGrid w:val="0"/>
              <w:jc w:val="center"/>
              <w:rPr>
                <w:rFonts w:hint="eastAsia"/>
                <w:color w:val="auto"/>
                <w:sz w:val="21"/>
                <w:szCs w:val="21"/>
                <w:lang w:val="en-US" w:eastAsia="zh-CN"/>
              </w:rPr>
            </w:pPr>
            <w:r>
              <w:rPr>
                <w:rFonts w:hint="eastAsia"/>
                <w:color w:val="auto"/>
                <w:sz w:val="21"/>
                <w:szCs w:val="21"/>
                <w:lang w:val="en-US" w:eastAsia="zh-CN"/>
              </w:rPr>
              <w:t>管道泵</w:t>
            </w:r>
          </w:p>
        </w:tc>
        <w:tc>
          <w:tcPr>
            <w:tcW w:w="2136" w:type="pct"/>
            <w:vAlign w:val="center"/>
          </w:tcPr>
          <w:p w14:paraId="5239AE1E">
            <w:pPr>
              <w:adjustRightInd w:val="0"/>
              <w:snapToGrid w:val="0"/>
              <w:jc w:val="center"/>
              <w:rPr>
                <w:rFonts w:hint="eastAsia"/>
                <w:color w:val="auto"/>
                <w:sz w:val="21"/>
                <w:szCs w:val="21"/>
                <w:lang w:val="en-US" w:eastAsia="zh-CN"/>
              </w:rPr>
            </w:pPr>
            <w:r>
              <w:rPr>
                <w:rFonts w:hint="eastAsia"/>
                <w:color w:val="auto"/>
                <w:sz w:val="21"/>
                <w:szCs w:val="21"/>
                <w:lang w:val="en-US" w:eastAsia="zh-CN"/>
              </w:rPr>
              <w:t>2台，流量10m/min，扬程 10m</w:t>
            </w:r>
          </w:p>
        </w:tc>
        <w:tc>
          <w:tcPr>
            <w:tcW w:w="440" w:type="pct"/>
            <w:vAlign w:val="center"/>
          </w:tcPr>
          <w:p w14:paraId="76C8A344">
            <w:pPr>
              <w:adjustRightInd w:val="0"/>
              <w:snapToGrid w:val="0"/>
              <w:jc w:val="center"/>
              <w:rPr>
                <w:color w:val="auto"/>
                <w:sz w:val="21"/>
                <w:szCs w:val="21"/>
              </w:rPr>
            </w:pPr>
            <w:r>
              <w:rPr>
                <w:rFonts w:hint="eastAsia"/>
                <w:color w:val="auto"/>
                <w:sz w:val="21"/>
                <w:szCs w:val="21"/>
                <w:lang w:val="en-US" w:eastAsia="zh-CN"/>
              </w:rPr>
              <w:t>2台</w:t>
            </w:r>
          </w:p>
        </w:tc>
        <w:tc>
          <w:tcPr>
            <w:tcW w:w="694" w:type="pct"/>
            <w:vAlign w:val="center"/>
          </w:tcPr>
          <w:p w14:paraId="7F4926B7">
            <w:pPr>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w:t>
            </w:r>
          </w:p>
        </w:tc>
      </w:tr>
      <w:tr w14:paraId="3AB14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1E144772">
            <w:pPr>
              <w:adjustRightInd w:val="0"/>
              <w:snapToGrid w:val="0"/>
              <w:jc w:val="center"/>
              <w:rPr>
                <w:rFonts w:hint="default"/>
                <w:color w:val="auto"/>
                <w:sz w:val="21"/>
                <w:szCs w:val="21"/>
                <w:lang w:val="en-US" w:eastAsia="zh-CN"/>
              </w:rPr>
            </w:pPr>
            <w:r>
              <w:rPr>
                <w:rFonts w:hint="eastAsia"/>
                <w:color w:val="auto"/>
                <w:sz w:val="21"/>
                <w:szCs w:val="21"/>
                <w:lang w:val="en-US" w:eastAsia="zh-CN"/>
              </w:rPr>
              <w:t>32</w:t>
            </w:r>
          </w:p>
        </w:tc>
        <w:tc>
          <w:tcPr>
            <w:tcW w:w="510" w:type="pct"/>
            <w:vMerge w:val="continue"/>
            <w:vAlign w:val="center"/>
          </w:tcPr>
          <w:p w14:paraId="0A527D34">
            <w:pPr>
              <w:adjustRightInd w:val="0"/>
              <w:snapToGrid w:val="0"/>
              <w:jc w:val="center"/>
              <w:rPr>
                <w:color w:val="auto"/>
                <w:sz w:val="21"/>
                <w:szCs w:val="21"/>
              </w:rPr>
            </w:pPr>
          </w:p>
        </w:tc>
        <w:tc>
          <w:tcPr>
            <w:tcW w:w="861" w:type="pct"/>
            <w:vAlign w:val="center"/>
          </w:tcPr>
          <w:p w14:paraId="350C92EB">
            <w:pPr>
              <w:adjustRightInd w:val="0"/>
              <w:snapToGrid w:val="0"/>
              <w:jc w:val="center"/>
              <w:rPr>
                <w:rFonts w:hint="eastAsia"/>
                <w:color w:val="auto"/>
                <w:sz w:val="21"/>
                <w:szCs w:val="21"/>
                <w:lang w:val="en-US" w:eastAsia="zh-CN"/>
              </w:rPr>
            </w:pPr>
            <w:r>
              <w:rPr>
                <w:rFonts w:hint="eastAsia"/>
                <w:color w:val="auto"/>
                <w:sz w:val="21"/>
                <w:szCs w:val="21"/>
                <w:lang w:val="en-US" w:eastAsia="zh-CN"/>
              </w:rPr>
              <w:t>硅酸钠投加泵</w:t>
            </w:r>
          </w:p>
        </w:tc>
        <w:tc>
          <w:tcPr>
            <w:tcW w:w="2136" w:type="pct"/>
            <w:vAlign w:val="center"/>
          </w:tcPr>
          <w:p w14:paraId="7AEE2AD9">
            <w:pPr>
              <w:adjustRightInd w:val="0"/>
              <w:snapToGrid w:val="0"/>
              <w:jc w:val="center"/>
              <w:rPr>
                <w:rFonts w:hint="eastAsia"/>
                <w:color w:val="auto"/>
                <w:sz w:val="21"/>
                <w:szCs w:val="21"/>
                <w:lang w:val="en-US" w:eastAsia="zh-CN"/>
              </w:rPr>
            </w:pPr>
            <w:r>
              <w:rPr>
                <w:rFonts w:hint="eastAsia"/>
                <w:color w:val="auto"/>
                <w:sz w:val="21"/>
                <w:szCs w:val="21"/>
                <w:lang w:val="en-US" w:eastAsia="zh-CN"/>
              </w:rPr>
              <w:t>流量3560L/h</w:t>
            </w:r>
          </w:p>
        </w:tc>
        <w:tc>
          <w:tcPr>
            <w:tcW w:w="440" w:type="pct"/>
            <w:vAlign w:val="center"/>
          </w:tcPr>
          <w:p w14:paraId="14B5C142">
            <w:pPr>
              <w:adjustRightInd w:val="0"/>
              <w:snapToGrid w:val="0"/>
              <w:jc w:val="center"/>
              <w:rPr>
                <w:color w:val="auto"/>
                <w:sz w:val="21"/>
                <w:szCs w:val="21"/>
              </w:rPr>
            </w:pPr>
            <w:r>
              <w:rPr>
                <w:rFonts w:hint="eastAsia"/>
                <w:color w:val="auto"/>
                <w:sz w:val="21"/>
                <w:szCs w:val="21"/>
                <w:lang w:val="en-US" w:eastAsia="zh-CN"/>
              </w:rPr>
              <w:t>6台</w:t>
            </w:r>
          </w:p>
        </w:tc>
        <w:tc>
          <w:tcPr>
            <w:tcW w:w="694" w:type="pct"/>
            <w:vAlign w:val="center"/>
          </w:tcPr>
          <w:p w14:paraId="7C68BC4B">
            <w:pPr>
              <w:adjustRightInd w:val="0"/>
              <w:snapToGrid w:val="0"/>
              <w:jc w:val="center"/>
              <w:rPr>
                <w:color w:val="auto"/>
                <w:sz w:val="21"/>
                <w:szCs w:val="21"/>
              </w:rPr>
            </w:pPr>
            <w:r>
              <w:rPr>
                <w:rFonts w:hint="eastAsia"/>
                <w:color w:val="auto"/>
                <w:sz w:val="21"/>
                <w:szCs w:val="21"/>
                <w:lang w:val="en-US" w:eastAsia="zh-CN"/>
              </w:rPr>
              <w:t>4</w:t>
            </w:r>
            <w:r>
              <w:rPr>
                <w:rFonts w:hint="eastAsia"/>
                <w:color w:val="auto"/>
                <w:sz w:val="21"/>
                <w:szCs w:val="21"/>
              </w:rPr>
              <w:t>用</w:t>
            </w:r>
            <w:r>
              <w:rPr>
                <w:rFonts w:hint="eastAsia"/>
                <w:color w:val="auto"/>
                <w:sz w:val="21"/>
                <w:szCs w:val="21"/>
                <w:lang w:val="en-US" w:eastAsia="zh-CN"/>
              </w:rPr>
              <w:t>2</w:t>
            </w:r>
            <w:r>
              <w:rPr>
                <w:rFonts w:hint="eastAsia"/>
                <w:color w:val="auto"/>
                <w:sz w:val="21"/>
                <w:szCs w:val="21"/>
              </w:rPr>
              <w:t>备</w:t>
            </w:r>
          </w:p>
        </w:tc>
      </w:tr>
      <w:tr w14:paraId="53F39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A1596ED">
            <w:pPr>
              <w:adjustRightInd w:val="0"/>
              <w:snapToGrid w:val="0"/>
              <w:jc w:val="center"/>
              <w:rPr>
                <w:rFonts w:hint="default"/>
                <w:color w:val="auto"/>
                <w:sz w:val="21"/>
                <w:szCs w:val="21"/>
                <w:lang w:val="en-US" w:eastAsia="zh-CN"/>
              </w:rPr>
            </w:pPr>
            <w:r>
              <w:rPr>
                <w:rFonts w:hint="eastAsia"/>
                <w:color w:val="auto"/>
                <w:sz w:val="21"/>
                <w:szCs w:val="21"/>
                <w:lang w:val="en-US" w:eastAsia="zh-CN"/>
              </w:rPr>
              <w:t>33</w:t>
            </w:r>
          </w:p>
        </w:tc>
        <w:tc>
          <w:tcPr>
            <w:tcW w:w="510" w:type="pct"/>
            <w:vMerge w:val="continue"/>
            <w:vAlign w:val="center"/>
          </w:tcPr>
          <w:p w14:paraId="0AE68D03">
            <w:pPr>
              <w:adjustRightInd w:val="0"/>
              <w:snapToGrid w:val="0"/>
              <w:jc w:val="center"/>
              <w:rPr>
                <w:color w:val="auto"/>
                <w:sz w:val="21"/>
                <w:szCs w:val="21"/>
              </w:rPr>
            </w:pPr>
          </w:p>
        </w:tc>
        <w:tc>
          <w:tcPr>
            <w:tcW w:w="861" w:type="pct"/>
            <w:vAlign w:val="center"/>
          </w:tcPr>
          <w:p w14:paraId="62C1DCE6">
            <w:pPr>
              <w:adjustRightInd w:val="0"/>
              <w:snapToGrid w:val="0"/>
              <w:jc w:val="center"/>
              <w:rPr>
                <w:rFonts w:hint="eastAsia"/>
                <w:color w:val="auto"/>
                <w:sz w:val="21"/>
                <w:szCs w:val="21"/>
                <w:lang w:val="en-US" w:eastAsia="zh-CN"/>
              </w:rPr>
            </w:pPr>
            <w:r>
              <w:rPr>
                <w:rFonts w:hint="eastAsia"/>
                <w:color w:val="auto"/>
                <w:sz w:val="21"/>
                <w:szCs w:val="21"/>
                <w:lang w:val="en-US" w:eastAsia="zh-CN"/>
              </w:rPr>
              <w:t>聚合氯化铝铁投加泵</w:t>
            </w:r>
          </w:p>
        </w:tc>
        <w:tc>
          <w:tcPr>
            <w:tcW w:w="2136" w:type="pct"/>
            <w:vAlign w:val="center"/>
          </w:tcPr>
          <w:p w14:paraId="562300C4">
            <w:pPr>
              <w:adjustRightInd w:val="0"/>
              <w:snapToGrid w:val="0"/>
              <w:jc w:val="center"/>
              <w:rPr>
                <w:rFonts w:hint="eastAsia"/>
                <w:color w:val="auto"/>
                <w:sz w:val="21"/>
                <w:szCs w:val="21"/>
                <w:lang w:val="en-US" w:eastAsia="zh-CN"/>
              </w:rPr>
            </w:pPr>
            <w:r>
              <w:rPr>
                <w:rFonts w:hint="eastAsia"/>
                <w:color w:val="auto"/>
                <w:sz w:val="21"/>
                <w:szCs w:val="21"/>
                <w:lang w:val="en-US" w:eastAsia="zh-CN"/>
              </w:rPr>
              <w:t>流量2850L/h</w:t>
            </w:r>
          </w:p>
        </w:tc>
        <w:tc>
          <w:tcPr>
            <w:tcW w:w="440" w:type="pct"/>
            <w:vAlign w:val="center"/>
          </w:tcPr>
          <w:p w14:paraId="4C3687E9">
            <w:pPr>
              <w:adjustRightInd w:val="0"/>
              <w:snapToGrid w:val="0"/>
              <w:jc w:val="center"/>
              <w:rPr>
                <w:color w:val="auto"/>
                <w:sz w:val="21"/>
                <w:szCs w:val="21"/>
              </w:rPr>
            </w:pPr>
            <w:r>
              <w:rPr>
                <w:rFonts w:hint="eastAsia"/>
                <w:color w:val="auto"/>
                <w:sz w:val="21"/>
                <w:szCs w:val="21"/>
                <w:lang w:val="en-US" w:eastAsia="zh-CN"/>
              </w:rPr>
              <w:t>6台</w:t>
            </w:r>
          </w:p>
        </w:tc>
        <w:tc>
          <w:tcPr>
            <w:tcW w:w="694" w:type="pct"/>
            <w:vAlign w:val="center"/>
          </w:tcPr>
          <w:p w14:paraId="1FB65321">
            <w:pPr>
              <w:adjustRightInd w:val="0"/>
              <w:snapToGrid w:val="0"/>
              <w:jc w:val="center"/>
              <w:rPr>
                <w:color w:val="auto"/>
                <w:sz w:val="21"/>
                <w:szCs w:val="21"/>
              </w:rPr>
            </w:pPr>
            <w:r>
              <w:rPr>
                <w:rFonts w:hint="eastAsia"/>
                <w:color w:val="auto"/>
                <w:sz w:val="21"/>
                <w:szCs w:val="21"/>
                <w:lang w:val="en-US" w:eastAsia="zh-CN"/>
              </w:rPr>
              <w:t>4</w:t>
            </w:r>
            <w:r>
              <w:rPr>
                <w:rFonts w:hint="eastAsia"/>
                <w:color w:val="auto"/>
                <w:sz w:val="21"/>
                <w:szCs w:val="21"/>
              </w:rPr>
              <w:t>用</w:t>
            </w:r>
            <w:r>
              <w:rPr>
                <w:rFonts w:hint="eastAsia"/>
                <w:color w:val="auto"/>
                <w:sz w:val="21"/>
                <w:szCs w:val="21"/>
                <w:lang w:val="en-US" w:eastAsia="zh-CN"/>
              </w:rPr>
              <w:t>2</w:t>
            </w:r>
            <w:r>
              <w:rPr>
                <w:rFonts w:hint="eastAsia"/>
                <w:color w:val="auto"/>
                <w:sz w:val="21"/>
                <w:szCs w:val="21"/>
              </w:rPr>
              <w:t>备</w:t>
            </w:r>
          </w:p>
        </w:tc>
      </w:tr>
      <w:tr w14:paraId="30A8E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0F3CC681">
            <w:pPr>
              <w:adjustRightInd w:val="0"/>
              <w:snapToGrid w:val="0"/>
              <w:jc w:val="center"/>
              <w:rPr>
                <w:rFonts w:hint="default"/>
                <w:color w:val="auto"/>
                <w:sz w:val="21"/>
                <w:szCs w:val="21"/>
                <w:lang w:val="en-US" w:eastAsia="zh-CN"/>
              </w:rPr>
            </w:pPr>
            <w:r>
              <w:rPr>
                <w:rFonts w:hint="eastAsia"/>
                <w:color w:val="auto"/>
                <w:sz w:val="21"/>
                <w:szCs w:val="21"/>
                <w:lang w:val="en-US" w:eastAsia="zh-CN"/>
              </w:rPr>
              <w:t>34</w:t>
            </w:r>
          </w:p>
        </w:tc>
        <w:tc>
          <w:tcPr>
            <w:tcW w:w="510" w:type="pct"/>
            <w:vMerge w:val="restart"/>
            <w:vAlign w:val="center"/>
          </w:tcPr>
          <w:p w14:paraId="0BD7A5F8">
            <w:pPr>
              <w:adjustRightInd w:val="0"/>
              <w:snapToGrid w:val="0"/>
              <w:jc w:val="center"/>
              <w:rPr>
                <w:color w:val="auto"/>
                <w:sz w:val="21"/>
                <w:szCs w:val="21"/>
              </w:rPr>
            </w:pPr>
            <w:r>
              <w:rPr>
                <w:rFonts w:hint="eastAsia"/>
                <w:color w:val="auto"/>
                <w:sz w:val="21"/>
                <w:szCs w:val="21"/>
              </w:rPr>
              <w:t>加氯间</w:t>
            </w:r>
          </w:p>
        </w:tc>
        <w:tc>
          <w:tcPr>
            <w:tcW w:w="861" w:type="pct"/>
            <w:vAlign w:val="center"/>
          </w:tcPr>
          <w:p w14:paraId="595075F8">
            <w:pPr>
              <w:adjustRightInd w:val="0"/>
              <w:snapToGrid w:val="0"/>
              <w:jc w:val="center"/>
              <w:rPr>
                <w:rFonts w:hint="eastAsia"/>
                <w:color w:val="auto"/>
                <w:sz w:val="21"/>
                <w:szCs w:val="21"/>
                <w:lang w:val="en-US" w:eastAsia="zh-CN"/>
              </w:rPr>
            </w:pPr>
            <w:r>
              <w:rPr>
                <w:rFonts w:hint="eastAsia"/>
                <w:color w:val="auto"/>
                <w:sz w:val="21"/>
                <w:szCs w:val="21"/>
                <w:lang w:val="en-US" w:eastAsia="zh-CN"/>
              </w:rPr>
              <w:t>预加NaClO泵</w:t>
            </w:r>
          </w:p>
        </w:tc>
        <w:tc>
          <w:tcPr>
            <w:tcW w:w="2136" w:type="pct"/>
            <w:vAlign w:val="center"/>
          </w:tcPr>
          <w:p w14:paraId="572F1F65">
            <w:pPr>
              <w:adjustRightInd w:val="0"/>
              <w:snapToGrid w:val="0"/>
              <w:jc w:val="center"/>
              <w:rPr>
                <w:rFonts w:hint="eastAsia"/>
                <w:color w:val="auto"/>
                <w:sz w:val="21"/>
                <w:szCs w:val="21"/>
                <w:lang w:val="en-US" w:eastAsia="zh-CN"/>
              </w:rPr>
            </w:pPr>
            <w:r>
              <w:rPr>
                <w:rFonts w:hint="eastAsia"/>
                <w:color w:val="auto"/>
                <w:sz w:val="21"/>
                <w:szCs w:val="21"/>
                <w:lang w:val="en-US" w:eastAsia="zh-CN"/>
              </w:rPr>
              <w:t>Q=175L/h，P=0.5MPa</w:t>
            </w:r>
          </w:p>
        </w:tc>
        <w:tc>
          <w:tcPr>
            <w:tcW w:w="440" w:type="pct"/>
            <w:vAlign w:val="center"/>
          </w:tcPr>
          <w:p w14:paraId="3410087A">
            <w:pPr>
              <w:adjustRightInd w:val="0"/>
              <w:snapToGrid w:val="0"/>
              <w:jc w:val="center"/>
              <w:rPr>
                <w:color w:val="auto"/>
                <w:sz w:val="21"/>
                <w:szCs w:val="21"/>
              </w:rPr>
            </w:pPr>
            <w:r>
              <w:rPr>
                <w:rFonts w:hint="eastAsia"/>
                <w:color w:val="auto"/>
                <w:sz w:val="21"/>
                <w:szCs w:val="21"/>
                <w:lang w:val="en-US" w:eastAsia="zh-CN"/>
              </w:rPr>
              <w:t>4台</w:t>
            </w:r>
          </w:p>
        </w:tc>
        <w:tc>
          <w:tcPr>
            <w:tcW w:w="694" w:type="pct"/>
            <w:vAlign w:val="center"/>
          </w:tcPr>
          <w:p w14:paraId="502D0C6D">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2</w:t>
            </w:r>
            <w:r>
              <w:rPr>
                <w:rFonts w:hint="eastAsia"/>
                <w:color w:val="auto"/>
                <w:sz w:val="21"/>
                <w:szCs w:val="21"/>
              </w:rPr>
              <w:t>备</w:t>
            </w:r>
          </w:p>
        </w:tc>
      </w:tr>
      <w:tr w14:paraId="0B324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36B1F644">
            <w:pPr>
              <w:adjustRightInd w:val="0"/>
              <w:snapToGrid w:val="0"/>
              <w:jc w:val="center"/>
              <w:rPr>
                <w:rFonts w:hint="default"/>
                <w:color w:val="auto"/>
                <w:sz w:val="21"/>
                <w:szCs w:val="21"/>
                <w:lang w:val="en-US" w:eastAsia="zh-CN"/>
              </w:rPr>
            </w:pPr>
            <w:r>
              <w:rPr>
                <w:rFonts w:hint="eastAsia"/>
                <w:color w:val="auto"/>
                <w:sz w:val="21"/>
                <w:szCs w:val="21"/>
                <w:lang w:val="en-US" w:eastAsia="zh-CN"/>
              </w:rPr>
              <w:t>35</w:t>
            </w:r>
          </w:p>
        </w:tc>
        <w:tc>
          <w:tcPr>
            <w:tcW w:w="510" w:type="pct"/>
            <w:vMerge w:val="continue"/>
            <w:vAlign w:val="center"/>
          </w:tcPr>
          <w:p w14:paraId="752C8B4D">
            <w:pPr>
              <w:adjustRightInd w:val="0"/>
              <w:snapToGrid w:val="0"/>
              <w:jc w:val="center"/>
              <w:rPr>
                <w:color w:val="auto"/>
                <w:sz w:val="21"/>
                <w:szCs w:val="21"/>
              </w:rPr>
            </w:pPr>
          </w:p>
        </w:tc>
        <w:tc>
          <w:tcPr>
            <w:tcW w:w="861" w:type="pct"/>
            <w:vAlign w:val="center"/>
          </w:tcPr>
          <w:p w14:paraId="6D1226EF">
            <w:pPr>
              <w:adjustRightInd w:val="0"/>
              <w:snapToGrid w:val="0"/>
              <w:jc w:val="center"/>
              <w:rPr>
                <w:rFonts w:hint="eastAsia"/>
                <w:color w:val="auto"/>
                <w:sz w:val="21"/>
                <w:szCs w:val="21"/>
                <w:lang w:val="en-US" w:eastAsia="zh-CN"/>
              </w:rPr>
            </w:pPr>
            <w:r>
              <w:rPr>
                <w:rFonts w:hint="eastAsia"/>
                <w:color w:val="auto"/>
                <w:sz w:val="21"/>
                <w:szCs w:val="21"/>
                <w:lang w:val="en-US" w:eastAsia="zh-CN"/>
              </w:rPr>
              <w:t>主加</w:t>
            </w:r>
            <w:r>
              <w:rPr>
                <w:rFonts w:hint="default"/>
                <w:color w:val="auto"/>
                <w:sz w:val="21"/>
                <w:szCs w:val="21"/>
                <w:lang w:val="en-US" w:eastAsia="zh-CN"/>
              </w:rPr>
              <w:t>NaClO</w:t>
            </w:r>
            <w:r>
              <w:rPr>
                <w:rFonts w:hint="eastAsia"/>
                <w:color w:val="auto"/>
                <w:sz w:val="21"/>
                <w:szCs w:val="21"/>
                <w:lang w:val="en-US" w:eastAsia="zh-CN"/>
              </w:rPr>
              <w:t>泵</w:t>
            </w:r>
          </w:p>
        </w:tc>
        <w:tc>
          <w:tcPr>
            <w:tcW w:w="2136" w:type="pct"/>
            <w:vAlign w:val="center"/>
          </w:tcPr>
          <w:p w14:paraId="15AB2D0E">
            <w:pPr>
              <w:adjustRightInd w:val="0"/>
              <w:snapToGrid w:val="0"/>
              <w:jc w:val="center"/>
              <w:rPr>
                <w:rFonts w:hint="eastAsia"/>
                <w:color w:val="auto"/>
                <w:sz w:val="21"/>
                <w:szCs w:val="21"/>
                <w:lang w:val="en-US" w:eastAsia="zh-CN"/>
              </w:rPr>
            </w:pPr>
            <w:r>
              <w:rPr>
                <w:rFonts w:hint="eastAsia"/>
                <w:color w:val="auto"/>
                <w:sz w:val="21"/>
                <w:szCs w:val="21"/>
                <w:lang w:val="en-US" w:eastAsia="zh-CN"/>
              </w:rPr>
              <w:t>Q=175L/h，P=0.5MPa</w:t>
            </w:r>
          </w:p>
        </w:tc>
        <w:tc>
          <w:tcPr>
            <w:tcW w:w="440" w:type="pct"/>
            <w:vAlign w:val="center"/>
          </w:tcPr>
          <w:p w14:paraId="7FEF5C76">
            <w:pPr>
              <w:adjustRightInd w:val="0"/>
              <w:snapToGrid w:val="0"/>
              <w:jc w:val="center"/>
              <w:rPr>
                <w:color w:val="auto"/>
                <w:sz w:val="21"/>
                <w:szCs w:val="21"/>
              </w:rPr>
            </w:pPr>
            <w:r>
              <w:rPr>
                <w:rFonts w:hint="eastAsia"/>
                <w:color w:val="auto"/>
                <w:sz w:val="21"/>
                <w:szCs w:val="21"/>
                <w:lang w:val="en-US" w:eastAsia="zh-CN"/>
              </w:rPr>
              <w:t>4台</w:t>
            </w:r>
          </w:p>
        </w:tc>
        <w:tc>
          <w:tcPr>
            <w:tcW w:w="694" w:type="pct"/>
            <w:vAlign w:val="center"/>
          </w:tcPr>
          <w:p w14:paraId="3EB2C8F0">
            <w:pPr>
              <w:adjustRightInd w:val="0"/>
              <w:snapToGrid w:val="0"/>
              <w:jc w:val="center"/>
              <w:rPr>
                <w:color w:val="auto"/>
                <w:sz w:val="21"/>
                <w:szCs w:val="21"/>
              </w:rPr>
            </w:pPr>
            <w:r>
              <w:rPr>
                <w:rFonts w:hint="eastAsia"/>
                <w:color w:val="auto"/>
                <w:sz w:val="21"/>
                <w:szCs w:val="21"/>
                <w:lang w:val="en-US" w:eastAsia="zh-CN"/>
              </w:rPr>
              <w:t>2</w:t>
            </w:r>
            <w:r>
              <w:rPr>
                <w:rFonts w:hint="eastAsia"/>
                <w:color w:val="auto"/>
                <w:sz w:val="21"/>
                <w:szCs w:val="21"/>
              </w:rPr>
              <w:t>用</w:t>
            </w:r>
            <w:r>
              <w:rPr>
                <w:rFonts w:hint="eastAsia"/>
                <w:color w:val="auto"/>
                <w:sz w:val="21"/>
                <w:szCs w:val="21"/>
                <w:lang w:val="en-US" w:eastAsia="zh-CN"/>
              </w:rPr>
              <w:t>2</w:t>
            </w:r>
            <w:r>
              <w:rPr>
                <w:rFonts w:hint="eastAsia"/>
                <w:color w:val="auto"/>
                <w:sz w:val="21"/>
                <w:szCs w:val="21"/>
              </w:rPr>
              <w:t>备</w:t>
            </w:r>
          </w:p>
        </w:tc>
      </w:tr>
      <w:tr w14:paraId="46C01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vAlign w:val="center"/>
          </w:tcPr>
          <w:p w14:paraId="4CDF5405">
            <w:pPr>
              <w:adjustRightInd w:val="0"/>
              <w:snapToGrid w:val="0"/>
              <w:jc w:val="center"/>
              <w:rPr>
                <w:rFonts w:hint="default"/>
                <w:color w:val="auto"/>
                <w:sz w:val="21"/>
                <w:szCs w:val="21"/>
                <w:lang w:val="en-US" w:eastAsia="zh-CN"/>
              </w:rPr>
            </w:pPr>
            <w:r>
              <w:rPr>
                <w:rFonts w:hint="eastAsia"/>
                <w:color w:val="auto"/>
                <w:sz w:val="21"/>
                <w:szCs w:val="21"/>
                <w:lang w:val="en-US" w:eastAsia="zh-CN"/>
              </w:rPr>
              <w:t>36</w:t>
            </w:r>
          </w:p>
        </w:tc>
        <w:tc>
          <w:tcPr>
            <w:tcW w:w="510" w:type="pct"/>
            <w:vMerge w:val="continue"/>
            <w:vAlign w:val="center"/>
          </w:tcPr>
          <w:p w14:paraId="2BFD80F0">
            <w:pPr>
              <w:adjustRightInd w:val="0"/>
              <w:snapToGrid w:val="0"/>
              <w:jc w:val="center"/>
              <w:rPr>
                <w:color w:val="auto"/>
                <w:sz w:val="21"/>
                <w:szCs w:val="21"/>
              </w:rPr>
            </w:pPr>
          </w:p>
        </w:tc>
        <w:tc>
          <w:tcPr>
            <w:tcW w:w="861" w:type="pct"/>
            <w:vAlign w:val="center"/>
          </w:tcPr>
          <w:p w14:paraId="0601421A">
            <w:pPr>
              <w:adjustRightInd w:val="0"/>
              <w:snapToGrid w:val="0"/>
              <w:jc w:val="center"/>
              <w:rPr>
                <w:rFonts w:hint="eastAsia"/>
                <w:color w:val="auto"/>
                <w:sz w:val="21"/>
                <w:szCs w:val="21"/>
                <w:lang w:val="en-US" w:eastAsia="zh-CN"/>
              </w:rPr>
            </w:pPr>
            <w:r>
              <w:rPr>
                <w:rFonts w:hint="eastAsia"/>
                <w:color w:val="auto"/>
                <w:sz w:val="21"/>
                <w:szCs w:val="21"/>
                <w:lang w:val="en-US" w:eastAsia="zh-CN"/>
              </w:rPr>
              <w:t>补加NaClO泵</w:t>
            </w:r>
          </w:p>
        </w:tc>
        <w:tc>
          <w:tcPr>
            <w:tcW w:w="2136" w:type="pct"/>
            <w:vAlign w:val="center"/>
          </w:tcPr>
          <w:p w14:paraId="0B5B3DB5">
            <w:pPr>
              <w:adjustRightInd w:val="0"/>
              <w:snapToGrid w:val="0"/>
              <w:jc w:val="center"/>
              <w:rPr>
                <w:rFonts w:hint="eastAsia"/>
                <w:color w:val="auto"/>
                <w:sz w:val="21"/>
                <w:szCs w:val="21"/>
                <w:lang w:val="en-US" w:eastAsia="zh-CN"/>
              </w:rPr>
            </w:pPr>
            <w:r>
              <w:rPr>
                <w:rFonts w:hint="eastAsia"/>
                <w:color w:val="auto"/>
                <w:sz w:val="21"/>
                <w:szCs w:val="21"/>
                <w:lang w:val="en-US" w:eastAsia="zh-CN"/>
              </w:rPr>
              <w:t>Q=115L/h，P=0.5MPa</w:t>
            </w:r>
          </w:p>
        </w:tc>
        <w:tc>
          <w:tcPr>
            <w:tcW w:w="440" w:type="pct"/>
            <w:vAlign w:val="center"/>
          </w:tcPr>
          <w:p w14:paraId="0938C8C3">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4台</w:t>
            </w:r>
          </w:p>
        </w:tc>
        <w:tc>
          <w:tcPr>
            <w:tcW w:w="694" w:type="pct"/>
            <w:vAlign w:val="center"/>
          </w:tcPr>
          <w:p w14:paraId="36D2F2E2">
            <w:pPr>
              <w:adjustRightInd w:val="0"/>
              <w:snapToGrid w:val="0"/>
              <w:jc w:val="center"/>
              <w:rPr>
                <w:color w:val="auto"/>
                <w:sz w:val="21"/>
                <w:szCs w:val="21"/>
              </w:rPr>
            </w:pPr>
            <w:r>
              <w:rPr>
                <w:rFonts w:hint="eastAsia"/>
                <w:color w:val="auto"/>
                <w:sz w:val="21"/>
                <w:szCs w:val="21"/>
                <w:lang w:val="en-US" w:eastAsia="zh-CN"/>
              </w:rPr>
              <w:t>1</w:t>
            </w:r>
            <w:r>
              <w:rPr>
                <w:rFonts w:hint="eastAsia"/>
                <w:color w:val="auto"/>
                <w:sz w:val="21"/>
                <w:szCs w:val="21"/>
              </w:rPr>
              <w:t>用</w:t>
            </w:r>
            <w:r>
              <w:rPr>
                <w:rFonts w:hint="eastAsia"/>
                <w:color w:val="auto"/>
                <w:sz w:val="21"/>
                <w:szCs w:val="21"/>
                <w:lang w:val="en-US" w:eastAsia="zh-CN"/>
              </w:rPr>
              <w:t>3</w:t>
            </w:r>
            <w:r>
              <w:rPr>
                <w:rFonts w:hint="eastAsia"/>
                <w:color w:val="auto"/>
                <w:sz w:val="21"/>
                <w:szCs w:val="21"/>
              </w:rPr>
              <w:t>备</w:t>
            </w:r>
          </w:p>
        </w:tc>
      </w:tr>
    </w:tbl>
    <w:p w14:paraId="0B14214A">
      <w:pPr>
        <w:pStyle w:val="69"/>
        <w:rPr>
          <w:color w:val="auto"/>
        </w:rPr>
      </w:pPr>
      <w:r>
        <w:rPr>
          <w:rFonts w:hint="eastAsia"/>
          <w:color w:val="auto"/>
        </w:rPr>
        <w:t>2</w:t>
      </w:r>
      <w:r>
        <w:rPr>
          <w:color w:val="auto"/>
        </w:rPr>
        <w:t>.1.2.</w:t>
      </w:r>
      <w:r>
        <w:rPr>
          <w:rFonts w:hint="eastAsia"/>
          <w:color w:val="auto"/>
          <w:lang w:val="en-US" w:eastAsia="zh-CN"/>
        </w:rPr>
        <w:t>5</w:t>
      </w:r>
      <w:r>
        <w:rPr>
          <w:color w:val="auto"/>
        </w:rPr>
        <w:t>平面布置</w:t>
      </w:r>
    </w:p>
    <w:p w14:paraId="2F9883D9">
      <w:pPr>
        <w:pStyle w:val="46"/>
        <w:ind w:firstLine="480"/>
        <w:rPr>
          <w:rFonts w:hint="eastAsia" w:eastAsia="宋体"/>
          <w:color w:val="auto"/>
          <w:sz w:val="24"/>
        </w:rPr>
      </w:pPr>
      <w:r>
        <w:rPr>
          <w:rFonts w:hint="eastAsia" w:eastAsia="宋体"/>
          <w:color w:val="auto"/>
          <w:sz w:val="24"/>
        </w:rPr>
        <w:t>西安排水集团有限公司将军山水厂厂区总平面布置是根据地形、厂区周围环境和净水处理工艺流程及进、出水位置方向，使各个处理构筑物合理的有机的联系起来。在保证水处理、污泥处理工艺布局合理，联接管线简捷、方便的原则下，考虑将建、构筑物分区、分类，并在空间和外立面设计上协调统一，做到美观、实用、经济。整个厂区分为水处理构筑物、调蓄构筑物、辅助生产构筑物和泥线构筑物四部分，为便于维护和管理，各区相对独立。</w:t>
      </w:r>
    </w:p>
    <w:p w14:paraId="5BDBD079">
      <w:pPr>
        <w:pStyle w:val="46"/>
        <w:ind w:firstLine="480"/>
        <w:rPr>
          <w:rFonts w:hint="eastAsia" w:eastAsia="宋体"/>
          <w:color w:val="auto"/>
          <w:sz w:val="24"/>
        </w:rPr>
      </w:pPr>
      <w:r>
        <w:rPr>
          <w:rFonts w:hint="eastAsia" w:eastAsia="宋体"/>
          <w:color w:val="auto"/>
          <w:sz w:val="24"/>
        </w:rPr>
        <w:t>厂内建（构）筑物的竖向设计主要按照工艺流程的需要，分南北两个系列布置。生活管理区设在厂区的南侧。在平面布置上将生活管理区与生厂区通过绿化景观带进行有效的分隔。厂区的地坪高程南高北低的坡向，最大高差约7米。由于水处理建、构筑物南北两个系列的室内高程需根据工艺流程保持一致；因此处在厂区不同位置，但室内高程相同的单体，将通过单体组团的室外道路边缘设置挡墙形成逐级台地的形式来实现。</w:t>
      </w:r>
    </w:p>
    <w:p w14:paraId="71DC6FAF">
      <w:pPr>
        <w:pStyle w:val="46"/>
        <w:ind w:firstLine="480"/>
        <w:rPr>
          <w:rFonts w:hint="eastAsia" w:eastAsia="宋体"/>
          <w:color w:val="auto"/>
          <w:sz w:val="24"/>
        </w:rPr>
      </w:pPr>
      <w:r>
        <w:rPr>
          <w:rFonts w:hint="eastAsia" w:eastAsia="宋体"/>
          <w:color w:val="auto"/>
          <w:sz w:val="24"/>
        </w:rPr>
        <w:t>（1）水处理构筑物区</w:t>
      </w:r>
    </w:p>
    <w:p w14:paraId="2D9F1B79">
      <w:pPr>
        <w:pStyle w:val="46"/>
        <w:ind w:firstLine="480"/>
        <w:rPr>
          <w:rFonts w:hint="eastAsia" w:eastAsia="宋体"/>
          <w:color w:val="auto"/>
          <w:sz w:val="24"/>
        </w:rPr>
      </w:pPr>
      <w:r>
        <w:rPr>
          <w:rFonts w:hint="eastAsia" w:eastAsia="宋体"/>
          <w:color w:val="auto"/>
          <w:sz w:val="24"/>
        </w:rPr>
        <w:t>水厂的进水点位于厂区西南侧的黑河干渠，出水点位于厂区东北侧。本次变更设计范围内水处理构筑物位于厂区西侧，从南向北依次布置。为安全供水并考虑今后维护、管理及检修方便，水处理构筑物总体分为</w:t>
      </w:r>
      <w:r>
        <w:rPr>
          <w:rFonts w:hint="eastAsia" w:eastAsia="宋体"/>
          <w:color w:val="auto"/>
          <w:sz w:val="24"/>
          <w:lang w:val="en-US" w:eastAsia="zh-CN"/>
        </w:rPr>
        <w:t>四</w:t>
      </w:r>
      <w:r>
        <w:rPr>
          <w:rFonts w:hint="eastAsia" w:eastAsia="宋体"/>
          <w:color w:val="auto"/>
          <w:sz w:val="24"/>
        </w:rPr>
        <w:t>个系列。来水经总进水井、格栅间沉砂池、机械混合井、折板絮凝池、平流沉淀段+斜管沉淀池、V型滤池、清水池，最后重力接至厂区北侧厂外配水干线工程东线配水干管。</w:t>
      </w:r>
    </w:p>
    <w:p w14:paraId="747B5631">
      <w:pPr>
        <w:pStyle w:val="46"/>
        <w:ind w:firstLine="480"/>
        <w:rPr>
          <w:rFonts w:hint="eastAsia" w:eastAsia="宋体"/>
          <w:color w:val="auto"/>
          <w:sz w:val="24"/>
        </w:rPr>
      </w:pPr>
      <w:r>
        <w:rPr>
          <w:rFonts w:hint="eastAsia" w:eastAsia="宋体"/>
          <w:color w:val="auto"/>
          <w:sz w:val="24"/>
        </w:rPr>
        <w:t>（2）污泥处理区</w:t>
      </w:r>
    </w:p>
    <w:p w14:paraId="6AB34779">
      <w:pPr>
        <w:pStyle w:val="46"/>
        <w:ind w:firstLine="480"/>
        <w:rPr>
          <w:rFonts w:hint="eastAsia" w:eastAsia="宋体"/>
          <w:color w:val="auto"/>
          <w:sz w:val="24"/>
        </w:rPr>
      </w:pPr>
      <w:r>
        <w:rPr>
          <w:rFonts w:hint="eastAsia" w:eastAsia="宋体"/>
          <w:color w:val="auto"/>
          <w:sz w:val="24"/>
        </w:rPr>
        <w:t>污泥处理区设置在厂区的西北部，泥区构筑物有回流水池、排水池、排泥池、</w:t>
      </w:r>
      <w:r>
        <w:rPr>
          <w:rFonts w:hint="eastAsia" w:eastAsia="宋体"/>
          <w:color w:val="auto"/>
          <w:sz w:val="24"/>
          <w:lang w:val="en-US" w:eastAsia="zh-CN"/>
        </w:rPr>
        <w:t>提升泵房、</w:t>
      </w:r>
      <w:r>
        <w:rPr>
          <w:rFonts w:hint="eastAsia" w:eastAsia="宋体"/>
          <w:color w:val="auto"/>
          <w:sz w:val="24"/>
        </w:rPr>
        <w:t>浓缩池、污泥平衡池</w:t>
      </w:r>
      <w:r>
        <w:rPr>
          <w:rFonts w:hint="eastAsia" w:eastAsia="宋体"/>
          <w:color w:val="auto"/>
          <w:sz w:val="24"/>
          <w:lang w:val="en-US" w:eastAsia="zh-CN"/>
        </w:rPr>
        <w:t>和</w:t>
      </w:r>
      <w:r>
        <w:rPr>
          <w:rFonts w:hint="eastAsia" w:eastAsia="宋体"/>
          <w:color w:val="auto"/>
          <w:sz w:val="24"/>
        </w:rPr>
        <w:t>脱水机房。为方便污泥运输，避免污泥运输时穿越辅助生产构筑物区，影响厂区整洁。在厂区西侧修建一处污泥运输车辆使用的出口。</w:t>
      </w:r>
    </w:p>
    <w:p w14:paraId="5FAF8670">
      <w:pPr>
        <w:pStyle w:val="46"/>
        <w:ind w:firstLine="480"/>
        <w:rPr>
          <w:rFonts w:hint="eastAsia" w:eastAsia="宋体"/>
          <w:color w:val="auto"/>
          <w:sz w:val="24"/>
        </w:rPr>
      </w:pPr>
      <w:r>
        <w:rPr>
          <w:rFonts w:hint="eastAsia" w:eastAsia="宋体"/>
          <w:color w:val="auto"/>
          <w:sz w:val="24"/>
        </w:rPr>
        <w:t>（3）辅助生产建构筑物区</w:t>
      </w:r>
    </w:p>
    <w:p w14:paraId="136FAF54">
      <w:pPr>
        <w:pStyle w:val="46"/>
        <w:ind w:firstLine="480"/>
        <w:rPr>
          <w:rFonts w:hint="eastAsia" w:eastAsia="宋体"/>
          <w:color w:val="auto"/>
          <w:sz w:val="24"/>
        </w:rPr>
      </w:pPr>
      <w:r>
        <w:rPr>
          <w:rFonts w:hint="eastAsia" w:eastAsia="宋体"/>
          <w:color w:val="auto"/>
          <w:sz w:val="24"/>
        </w:rPr>
        <w:t>辅助生产构筑物区位于净配水厂红线区域的东南侧，建筑物有办公楼、传达室、宿舍、食堂浴室、机电修间、仓库、管理用车车库、热泵机房等，辅助生产构筑物区与净化处理构筑物之间，设计较宽的绿化带，布置有绿地、建筑小品、花坛等，使辅助生产构筑物区形成一个单独的景观环境，同时使两个区能较好的隔离，力争给生产管理人员创造一个安静、清洁的工作环境。</w:t>
      </w:r>
    </w:p>
    <w:p w14:paraId="10903E7E">
      <w:pPr>
        <w:pStyle w:val="46"/>
        <w:ind w:firstLine="480"/>
        <w:rPr>
          <w:rFonts w:hint="eastAsia" w:eastAsia="宋体"/>
          <w:color w:val="auto"/>
          <w:sz w:val="24"/>
        </w:rPr>
      </w:pPr>
      <w:r>
        <w:rPr>
          <w:rFonts w:hint="eastAsia" w:eastAsia="宋体"/>
          <w:color w:val="auto"/>
          <w:sz w:val="24"/>
        </w:rPr>
        <w:t>（4）厂区道路</w:t>
      </w:r>
    </w:p>
    <w:p w14:paraId="2F1A37DD">
      <w:pPr>
        <w:pStyle w:val="46"/>
        <w:ind w:firstLine="480"/>
        <w:rPr>
          <w:rFonts w:hint="eastAsia" w:eastAsia="宋体"/>
          <w:color w:val="auto"/>
          <w:sz w:val="24"/>
          <w:lang w:val="en-US" w:eastAsia="zh-CN"/>
        </w:rPr>
      </w:pPr>
      <w:r>
        <w:rPr>
          <w:rFonts w:hint="eastAsia" w:eastAsia="宋体"/>
          <w:color w:val="auto"/>
          <w:sz w:val="24"/>
          <w:lang w:val="en-US" w:eastAsia="zh-CN"/>
        </w:rPr>
        <w:t>根据，企业实际已建设净水厂1座，设计规模为40万m</w:t>
      </w:r>
      <w:r>
        <w:rPr>
          <w:rFonts w:hint="eastAsia" w:eastAsia="宋体"/>
          <w:color w:val="auto"/>
          <w:sz w:val="24"/>
          <w:vertAlign w:val="superscript"/>
          <w:lang w:val="en-US" w:eastAsia="zh-CN"/>
        </w:rPr>
        <w:t>3</w:t>
      </w:r>
      <w:r>
        <w:rPr>
          <w:rFonts w:hint="eastAsia" w:eastAsia="宋体"/>
          <w:color w:val="auto"/>
          <w:sz w:val="24"/>
          <w:lang w:val="en-US" w:eastAsia="zh-CN"/>
        </w:rPr>
        <w:t>/d，建设配水管网为32703.79m，取水管线50m，近期工程配水管网和取水管线已建设完成。</w:t>
      </w:r>
    </w:p>
    <w:p w14:paraId="3830A49E">
      <w:pPr>
        <w:pStyle w:val="46"/>
        <w:spacing w:line="240" w:lineRule="auto"/>
        <w:ind w:left="0" w:leftChars="0" w:firstLine="0" w:firstLineChars="0"/>
        <w:rPr>
          <w:rFonts w:hint="eastAsia" w:eastAsia="宋体"/>
          <w:color w:val="auto"/>
          <w:sz w:val="24"/>
          <w:lang w:val="en-US" w:eastAsia="zh-CN"/>
        </w:rPr>
      </w:pP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4064000</wp:posOffset>
                </wp:positionH>
                <wp:positionV relativeFrom="paragraph">
                  <wp:posOffset>7287260</wp:posOffset>
                </wp:positionV>
                <wp:extent cx="1547495" cy="469900"/>
                <wp:effectExtent l="4445" t="4445" r="10160" b="20955"/>
                <wp:wrapNone/>
                <wp:docPr id="27" name="文本框 27"/>
                <wp:cNvGraphicFramePr/>
                <a:graphic xmlns:a="http://schemas.openxmlformats.org/drawingml/2006/main">
                  <a:graphicData uri="http://schemas.microsoft.com/office/word/2010/wordprocessingShape">
                    <wps:wsp>
                      <wps:cNvSpPr txBox="1"/>
                      <wps:spPr>
                        <a:xfrm>
                          <a:off x="5138420" y="8207375"/>
                          <a:ext cx="1547495" cy="469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0298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lang w:val="en-US" w:eastAsia="zh-CN"/>
                              </w:rPr>
                            </w:pPr>
                            <w:r>
                              <w:rPr>
                                <w:rFonts w:hint="eastAsia"/>
                                <w:lang w:val="en-US" w:eastAsia="zh-CN"/>
                              </w:rPr>
                              <w:t>本次评价范围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0pt;margin-top:573.8pt;height:37pt;width:121.85pt;z-index:251669504;mso-width-relative:page;mso-height-relative:page;" fillcolor="#FFFFFF [3201]" filled="t" stroked="t" coordsize="21600,21600" o:gfxdata="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tdqV2QAAAA0BAAAPAAAAAAAAAAEAIAAAACIAAABkcnMvZG93bnJldi54bWxQ&#10;SwECFAAUAAAACACHTuJAOCZVLmgCAADFBAAADgAAAAAAAAABACAAAAAoAQAAZHJzL2Uyb0RvYy54&#10;bWxQSwUGAAAAAAYABgBZAQAAAgYAAAAA&#10;">
                <v:fill on="t" focussize="0,0"/>
                <v:stroke weight="0.5pt" color="#000000 [3204]" joinstyle="round"/>
                <v:imagedata o:title=""/>
                <o:lock v:ext="edit" aspectratio="f"/>
                <v:textbox>
                  <w:txbxContent>
                    <w:p w14:paraId="0B02986F">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eastAsia="宋体"/>
                          <w:lang w:val="en-US" w:eastAsia="zh-CN"/>
                        </w:rPr>
                      </w:pPr>
                      <w:r>
                        <w:rPr>
                          <w:rFonts w:hint="eastAsia"/>
                          <w:lang w:val="en-US" w:eastAsia="zh-CN"/>
                        </w:rPr>
                        <w:t>本次评价范围</w:t>
                      </w:r>
                    </w:p>
                  </w:txbxContent>
                </v:textbox>
              </v:shape>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4200525</wp:posOffset>
                </wp:positionH>
                <wp:positionV relativeFrom="paragraph">
                  <wp:posOffset>7458710</wp:posOffset>
                </wp:positionV>
                <wp:extent cx="220345" cy="148590"/>
                <wp:effectExtent l="6350" t="6350" r="20955" b="16510"/>
                <wp:wrapNone/>
                <wp:docPr id="28" name="矩形 28"/>
                <wp:cNvGraphicFramePr/>
                <a:graphic xmlns:a="http://schemas.openxmlformats.org/drawingml/2006/main">
                  <a:graphicData uri="http://schemas.microsoft.com/office/word/2010/wordprocessingShape">
                    <wps:wsp>
                      <wps:cNvSpPr/>
                      <wps:spPr>
                        <a:xfrm>
                          <a:off x="5114925" y="8373110"/>
                          <a:ext cx="220345" cy="1485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75pt;margin-top:587.3pt;height:11.7pt;width:17.35pt;z-index:251670528;v-text-anchor:middle;mso-width-relative:page;mso-height-relative:page;" filled="f" stroked="t" coordsize="21600,21600" o:gfxdata="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LnrazaAAAADQEAAA8AAAAAAAAAAQAgAAAAIgAAAGRy&#10;cy9kb3ducmV2LnhtbFBLAQIUABQAAAAIAIdO4kABw1ItdQIAANgEAAAOAAAAAAAAAAEAIAAAACkB&#10;AABkcnMvZTJvRG9jLnhtbFBLBQYAAAAABgAGAFkBAAAQBgAAAAA=&#10;">
                <v:fill on="f" focussize="0,0"/>
                <v:stroke weight="1pt" color="#C00000 [32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563245</wp:posOffset>
                </wp:positionH>
                <wp:positionV relativeFrom="paragraph">
                  <wp:posOffset>573405</wp:posOffset>
                </wp:positionV>
                <wp:extent cx="2333625" cy="4725035"/>
                <wp:effectExtent l="6350" t="6350" r="22225" b="12065"/>
                <wp:wrapNone/>
                <wp:docPr id="24" name="矩形 24"/>
                <wp:cNvGraphicFramePr/>
                <a:graphic xmlns:a="http://schemas.openxmlformats.org/drawingml/2006/main">
                  <a:graphicData uri="http://schemas.microsoft.com/office/word/2010/wordprocessingShape">
                    <wps:wsp>
                      <wps:cNvSpPr/>
                      <wps:spPr>
                        <a:xfrm>
                          <a:off x="1477645" y="1487805"/>
                          <a:ext cx="2333625" cy="472503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5pt;margin-top:45.15pt;height:372.05pt;width:183.75pt;z-index:251668480;v-text-anchor:middle;mso-width-relative:page;mso-height-relative:page;" filled="f" stroked="t" coordsize="21600,21600" o:gfxdata="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6hmmPYAAAACQEAAA8AAAAAAAAAAQAgAAAAIgAAAGRy&#10;cy9kb3ducmV2LnhtbFBLAQIUABQAAAAIAIdO4kAaabMFdwIAANoEAAAOAAAAAAAAAAEAIAAAACcB&#10;AABkcnMvZTJvRG9jLnhtbFBLBQYAAAAABgAGAFkBAAAQBgAAAAA=&#10;">
                <v:fill on="f" focussize="0,0"/>
                <v:stroke weight="1pt" color="#C00000 [3204]" miterlimit="8" joinstyle="miter"/>
                <v:imagedata o:title=""/>
                <o:lock v:ext="edit" aspectratio="f"/>
              </v:rect>
            </w:pict>
          </mc:Fallback>
        </mc:AlternateContent>
      </w:r>
      <w:r>
        <w:rPr>
          <w:rFonts w:hint="eastAsia" w:eastAsia="宋体"/>
          <w:color w:val="auto"/>
          <w:sz w:val="24"/>
          <w:lang w:val="en-US" w:eastAsia="zh-CN"/>
        </w:rPr>
        <w:drawing>
          <wp:inline distT="0" distB="0" distL="114300" distR="114300">
            <wp:extent cx="8115935" cy="5732145"/>
            <wp:effectExtent l="0" t="0" r="1905" b="18415"/>
            <wp:docPr id="21" name="图片 21" descr="厂平面20220103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厂平面20220103_30"/>
                    <pic:cNvPicPr>
                      <a:picLocks noChangeAspect="1"/>
                    </pic:cNvPicPr>
                  </pic:nvPicPr>
                  <pic:blipFill>
                    <a:blip r:embed="rId18"/>
                    <a:stretch>
                      <a:fillRect/>
                    </a:stretch>
                  </pic:blipFill>
                  <pic:spPr>
                    <a:xfrm rot="16200000">
                      <a:off x="0" y="0"/>
                      <a:ext cx="8115935" cy="5732145"/>
                    </a:xfrm>
                    <a:prstGeom prst="rect">
                      <a:avLst/>
                    </a:prstGeom>
                  </pic:spPr>
                </pic:pic>
              </a:graphicData>
            </a:graphic>
          </wp:inline>
        </w:drawing>
      </w:r>
    </w:p>
    <w:p w14:paraId="4D76640F">
      <w:pPr>
        <w:pStyle w:val="46"/>
        <w:ind w:left="0" w:leftChars="0" w:firstLine="0" w:firstLineChars="0"/>
        <w:jc w:val="center"/>
        <w:rPr>
          <w:rFonts w:hint="eastAsia" w:eastAsia="宋体"/>
          <w:color w:val="auto"/>
          <w:sz w:val="24"/>
          <w:lang w:val="en-US" w:eastAsia="zh-CN"/>
        </w:rPr>
      </w:pPr>
      <w:r>
        <w:rPr>
          <w:rFonts w:hint="eastAsia" w:eastAsia="宋体"/>
          <w:b/>
          <w:bCs/>
          <w:color w:val="auto"/>
          <w:lang w:val="en-US" w:eastAsia="zh-CN"/>
        </w:rPr>
        <w:t>图</w:t>
      </w:r>
      <w:r>
        <w:rPr>
          <w:rFonts w:eastAsia="宋体"/>
          <w:b/>
          <w:bCs/>
          <w:color w:val="auto"/>
        </w:rPr>
        <w:t>2.1-</w:t>
      </w:r>
      <w:r>
        <w:rPr>
          <w:rFonts w:hint="eastAsia" w:eastAsia="宋体"/>
          <w:b/>
          <w:bCs/>
          <w:color w:val="auto"/>
          <w:lang w:val="en-US" w:eastAsia="zh-CN"/>
        </w:rPr>
        <w:t>2    厂区总平图</w:t>
      </w:r>
    </w:p>
    <w:p w14:paraId="2B0DFAA8">
      <w:pPr>
        <w:pStyle w:val="57"/>
        <w:numPr>
          <w:ilvl w:val="0"/>
          <w:numId w:val="0"/>
        </w:numPr>
        <w:spacing w:before="120" w:beforeLines="50" w:after="120" w:afterLines="50"/>
        <w:rPr>
          <w:rFonts w:eastAsia="宋体"/>
          <w:color w:val="auto"/>
          <w:sz w:val="30"/>
        </w:rPr>
      </w:pPr>
      <w:bookmarkStart w:id="19" w:name="_Toc22403"/>
      <w:r>
        <w:rPr>
          <w:rFonts w:eastAsia="宋体"/>
          <w:color w:val="auto"/>
          <w:sz w:val="30"/>
        </w:rPr>
        <w:t>2.2工艺分析</w:t>
      </w:r>
      <w:bookmarkEnd w:id="19"/>
    </w:p>
    <w:p w14:paraId="2CF081C4">
      <w:pPr>
        <w:pStyle w:val="61"/>
        <w:numPr>
          <w:ilvl w:val="0"/>
          <w:numId w:val="0"/>
        </w:numPr>
        <w:spacing w:before="0" w:after="0"/>
        <w:rPr>
          <w:rFonts w:hint="default" w:eastAsia="宋体"/>
          <w:color w:val="auto"/>
          <w:lang w:val="en-US" w:eastAsia="zh-CN"/>
        </w:rPr>
      </w:pPr>
      <w:r>
        <w:rPr>
          <w:rFonts w:eastAsia="宋体"/>
          <w:color w:val="auto"/>
        </w:rPr>
        <w:t>2.2.</w:t>
      </w:r>
      <w:r>
        <w:rPr>
          <w:rFonts w:hint="eastAsia" w:eastAsia="宋体"/>
          <w:color w:val="auto"/>
          <w:lang w:val="en-US" w:eastAsia="zh-CN"/>
        </w:rPr>
        <w:t>1原水预处理工艺</w:t>
      </w:r>
    </w:p>
    <w:p w14:paraId="37F3E3E6">
      <w:pPr>
        <w:pStyle w:val="69"/>
        <w:rPr>
          <w:color w:val="auto"/>
        </w:rPr>
      </w:pPr>
      <w:r>
        <w:rPr>
          <w:color w:val="auto"/>
        </w:rPr>
        <w:t>2.2.</w:t>
      </w:r>
      <w:r>
        <w:rPr>
          <w:rFonts w:hint="eastAsia"/>
          <w:color w:val="auto"/>
          <w:lang w:val="en-US" w:eastAsia="zh-CN"/>
        </w:rPr>
        <w:t>1</w:t>
      </w:r>
      <w:r>
        <w:rPr>
          <w:color w:val="auto"/>
        </w:rPr>
        <w:t>.1</w:t>
      </w:r>
      <w:r>
        <w:rPr>
          <w:rFonts w:hint="eastAsia"/>
          <w:color w:val="auto"/>
        </w:rPr>
        <w:t>工艺选择</w:t>
      </w:r>
    </w:p>
    <w:p w14:paraId="3C47E5C0">
      <w:pPr>
        <w:pStyle w:val="46"/>
        <w:ind w:firstLine="480"/>
        <w:rPr>
          <w:rFonts w:hint="eastAsia" w:eastAsia="宋体"/>
          <w:color w:val="auto"/>
          <w:sz w:val="24"/>
        </w:rPr>
      </w:pPr>
      <w:r>
        <w:rPr>
          <w:rFonts w:hint="eastAsia" w:eastAsia="宋体"/>
          <w:color w:val="auto"/>
          <w:sz w:val="24"/>
        </w:rPr>
        <w:t>本项目服务范围包括主要解决三星工业园、长安通讯园、高新区扩区和主城区的用水需求</w:t>
      </w:r>
      <w:r>
        <w:rPr>
          <w:rFonts w:hint="eastAsia" w:eastAsia="宋体"/>
          <w:color w:val="auto"/>
          <w:sz w:val="24"/>
          <w:lang w:eastAsia="zh-CN"/>
        </w:rPr>
        <w:t>。</w:t>
      </w:r>
      <w:r>
        <w:rPr>
          <w:rFonts w:hint="eastAsia" w:eastAsia="宋体"/>
          <w:color w:val="auto"/>
          <w:sz w:val="24"/>
          <w:lang w:val="en-US" w:eastAsia="zh-CN"/>
        </w:rPr>
        <w:t>原水为</w:t>
      </w:r>
      <w:r>
        <w:rPr>
          <w:rFonts w:hint="eastAsia" w:eastAsia="宋体"/>
          <w:color w:val="auto"/>
          <w:sz w:val="24"/>
          <w:lang w:eastAsia="zh-CN"/>
        </w:rPr>
        <w:t>黑河系统的地表水，</w:t>
      </w:r>
      <w:r>
        <w:rPr>
          <w:rFonts w:hint="eastAsia" w:eastAsia="宋体"/>
          <w:color w:val="auto"/>
          <w:sz w:val="24"/>
        </w:rPr>
        <w:t>需对其带来的</w:t>
      </w:r>
      <w:r>
        <w:rPr>
          <w:rFonts w:hint="eastAsia" w:eastAsia="宋体"/>
          <w:color w:val="auto"/>
          <w:sz w:val="24"/>
          <w:lang w:val="en-US" w:eastAsia="zh-CN"/>
        </w:rPr>
        <w:t>杂质</w:t>
      </w:r>
      <w:r>
        <w:rPr>
          <w:rFonts w:hint="eastAsia" w:eastAsia="宋体"/>
          <w:color w:val="auto"/>
          <w:sz w:val="24"/>
        </w:rPr>
        <w:t>等问题加以考虑，主要考虑在高效混凝沉淀池前</w:t>
      </w:r>
      <w:r>
        <w:rPr>
          <w:rFonts w:hint="eastAsia" w:eastAsia="宋体"/>
          <w:color w:val="auto"/>
          <w:sz w:val="24"/>
          <w:lang w:val="en-US" w:eastAsia="zh-CN"/>
        </w:rPr>
        <w:t>设栅格、沉砂池</w:t>
      </w:r>
      <w:r>
        <w:rPr>
          <w:rFonts w:hint="eastAsia" w:eastAsia="宋体"/>
          <w:color w:val="auto"/>
          <w:sz w:val="24"/>
          <w:lang w:eastAsia="zh-CN"/>
        </w:rPr>
        <w:t>。</w:t>
      </w:r>
    </w:p>
    <w:p w14:paraId="3BAC3C94">
      <w:pPr>
        <w:pStyle w:val="69"/>
        <w:rPr>
          <w:rFonts w:hint="eastAsia" w:eastAsia="宋体"/>
          <w:color w:val="auto"/>
          <w:lang w:val="en-US" w:eastAsia="zh-CN"/>
        </w:rPr>
      </w:pPr>
      <w:r>
        <w:rPr>
          <w:color w:val="auto"/>
        </w:rPr>
        <w:t>2.2.</w:t>
      </w:r>
      <w:r>
        <w:rPr>
          <w:rFonts w:hint="eastAsia"/>
          <w:color w:val="auto"/>
          <w:lang w:val="en-US" w:eastAsia="zh-CN"/>
        </w:rPr>
        <w:t>1</w:t>
      </w:r>
      <w:r>
        <w:rPr>
          <w:color w:val="auto"/>
        </w:rPr>
        <w:t>.</w:t>
      </w:r>
      <w:r>
        <w:rPr>
          <w:rFonts w:hint="eastAsia"/>
          <w:color w:val="auto"/>
          <w:lang w:val="en-US" w:eastAsia="zh-CN"/>
        </w:rPr>
        <w:t>2</w:t>
      </w:r>
      <w:r>
        <w:rPr>
          <w:rFonts w:hint="eastAsia"/>
          <w:color w:val="auto"/>
        </w:rPr>
        <w:t>工艺选择</w:t>
      </w:r>
      <w:r>
        <w:rPr>
          <w:rFonts w:hint="eastAsia"/>
          <w:color w:val="auto"/>
          <w:lang w:val="en-US" w:eastAsia="zh-CN"/>
        </w:rPr>
        <w:t>合理性</w:t>
      </w:r>
    </w:p>
    <w:p w14:paraId="17859753">
      <w:pPr>
        <w:pStyle w:val="46"/>
        <w:ind w:firstLine="480"/>
        <w:rPr>
          <w:rFonts w:hint="eastAsia" w:eastAsia="宋体"/>
          <w:color w:val="auto"/>
          <w:sz w:val="24"/>
          <w:lang w:val="en-US" w:eastAsia="zh-CN"/>
        </w:rPr>
      </w:pPr>
      <w:r>
        <w:rPr>
          <w:rFonts w:hint="eastAsia" w:eastAsia="宋体"/>
          <w:color w:val="auto"/>
          <w:sz w:val="24"/>
          <w:lang w:val="en-US" w:eastAsia="zh-CN"/>
        </w:rPr>
        <w:t>预处理是指在原水进入主体处理构筑物之前的处理过程，其目的是去除原水中性质或粒径不利于后续处理过程的物质。常见的预处理设备有格栅、筛网、沉砂池等，本次预处理设格栅+沉砂池。</w:t>
      </w:r>
    </w:p>
    <w:p w14:paraId="30476E3F">
      <w:pPr>
        <w:pStyle w:val="46"/>
        <w:ind w:firstLine="480"/>
        <w:rPr>
          <w:rFonts w:hint="default" w:eastAsia="宋体"/>
          <w:color w:val="auto"/>
          <w:sz w:val="24"/>
          <w:lang w:val="en-US" w:eastAsia="zh-CN"/>
        </w:rPr>
      </w:pPr>
      <w:r>
        <w:rPr>
          <w:rFonts w:hint="eastAsia" w:eastAsia="宋体"/>
          <w:color w:val="auto"/>
          <w:sz w:val="24"/>
          <w:lang w:val="en-US" w:eastAsia="zh-CN"/>
        </w:rPr>
        <w:t>格栅是一种最简单的过滤设备，一般由互相平行的栅格条、栅框和清除栅渣机械组成，用于截留废水中粗大的悬浮物或漂浮物，防止其后续处理构筑物的管道阀门或水泵堵塞以及减少后续处理工艺产生浮渣。格栅拦截污物的功能是由栅条完成，栅条的间距和形状决定格栅的拦污性能和水力特性。设置沉砂池的目的是为了减轻设备的磨损，防止砂粒在沉淀池和污泥处理构筑物内沉淀而影响排泥。</w:t>
      </w:r>
    </w:p>
    <w:p w14:paraId="4A2676C8">
      <w:pPr>
        <w:pStyle w:val="46"/>
        <w:ind w:firstLine="480"/>
        <w:rPr>
          <w:rFonts w:hint="eastAsia" w:eastAsia="宋体"/>
          <w:color w:val="auto"/>
          <w:sz w:val="24"/>
        </w:rPr>
      </w:pPr>
      <w:r>
        <w:rPr>
          <w:rFonts w:hint="eastAsia" w:eastAsia="宋体"/>
          <w:color w:val="auto"/>
          <w:sz w:val="24"/>
        </w:rPr>
        <w:t>本项目依托黑河干渠和西南郊引水管网进入总进水井</w:t>
      </w:r>
      <w:r>
        <w:rPr>
          <w:rFonts w:hint="eastAsia" w:eastAsia="宋体"/>
          <w:color w:val="auto"/>
          <w:sz w:val="24"/>
          <w:lang w:eastAsia="zh-CN"/>
        </w:rPr>
        <w:t>，</w:t>
      </w:r>
      <w:r>
        <w:rPr>
          <w:rFonts w:hint="eastAsia" w:eastAsia="宋体"/>
          <w:color w:val="auto"/>
          <w:sz w:val="24"/>
        </w:rPr>
        <w:t>两条DN1800进水管分别进入进水井及格栅间，每组格栅间安装1台循环齿粑式格栅，栅耙将滤渣刮起并推入安装在栅框内的漏斗内，通过螺旋输送机进入到上升的密封螺旋管内的滤渣输送。每组格栅出水对应1座沉砂池，沉砂通过池内的吸砂机吸出排入到排砂渠，出水进入出水井。</w:t>
      </w:r>
    </w:p>
    <w:p w14:paraId="781CCC09">
      <w:pPr>
        <w:pStyle w:val="61"/>
        <w:numPr>
          <w:ilvl w:val="0"/>
          <w:numId w:val="0"/>
        </w:numPr>
        <w:spacing w:before="0" w:after="0"/>
        <w:rPr>
          <w:rFonts w:eastAsia="宋体"/>
          <w:color w:val="auto"/>
        </w:rPr>
      </w:pPr>
      <w:r>
        <w:rPr>
          <w:rFonts w:eastAsia="宋体"/>
          <w:color w:val="auto"/>
        </w:rPr>
        <w:t>2.2.</w:t>
      </w:r>
      <w:r>
        <w:rPr>
          <w:rFonts w:hint="eastAsia" w:eastAsia="宋体"/>
          <w:color w:val="auto"/>
          <w:lang w:val="en-US" w:eastAsia="zh-CN"/>
        </w:rPr>
        <w:t>2原水</w:t>
      </w:r>
      <w:r>
        <w:rPr>
          <w:rFonts w:eastAsia="宋体"/>
          <w:color w:val="auto"/>
        </w:rPr>
        <w:t>处理工艺</w:t>
      </w:r>
    </w:p>
    <w:p w14:paraId="7E04A2FD">
      <w:pPr>
        <w:pStyle w:val="69"/>
        <w:rPr>
          <w:color w:val="auto"/>
        </w:rPr>
      </w:pPr>
      <w:r>
        <w:rPr>
          <w:color w:val="auto"/>
        </w:rPr>
        <w:t>2.2.</w:t>
      </w:r>
      <w:r>
        <w:rPr>
          <w:rFonts w:hint="eastAsia"/>
          <w:color w:val="auto"/>
          <w:lang w:val="en-US" w:eastAsia="zh-CN"/>
        </w:rPr>
        <w:t>2</w:t>
      </w:r>
      <w:r>
        <w:rPr>
          <w:color w:val="auto"/>
        </w:rPr>
        <w:t>.1</w:t>
      </w:r>
      <w:r>
        <w:rPr>
          <w:rFonts w:hint="eastAsia"/>
          <w:color w:val="auto"/>
        </w:rPr>
        <w:t>工艺选择</w:t>
      </w:r>
    </w:p>
    <w:p w14:paraId="216517A4">
      <w:pPr>
        <w:pStyle w:val="46"/>
        <w:ind w:firstLine="480"/>
        <w:rPr>
          <w:rFonts w:eastAsia="宋体"/>
          <w:color w:val="auto"/>
          <w:sz w:val="24"/>
        </w:rPr>
      </w:pPr>
      <w:r>
        <w:rPr>
          <w:rFonts w:hint="eastAsia" w:eastAsia="宋体"/>
          <w:color w:val="auto"/>
          <w:sz w:val="24"/>
          <w:lang w:val="en-US" w:eastAsia="zh-CN"/>
        </w:rPr>
        <w:t>取自任何水源的水中，都不同程度地含有各种各样的杂质。这些杂质不外乎两种来源：一是自然过程，例如地层矿物质在水中的溶解，水中微生物的繁殖及其死亡残骸，水流对地表及河床冲刷所带入的泥砂和腐殖质等等；二是人为因素即工业废水、农业污水及生活污水的污染。水厂的进水点位于厂区西南侧的黑河干渠，受自然条件影响，水中悬浮物和胶态杂质含量较多，含盐量和硬度较低。</w:t>
      </w:r>
      <w:r>
        <w:rPr>
          <w:rFonts w:hint="eastAsia" w:eastAsia="宋体"/>
          <w:color w:val="auto"/>
          <w:sz w:val="24"/>
        </w:rPr>
        <w:t>本工程</w:t>
      </w:r>
      <w:r>
        <w:rPr>
          <w:rFonts w:hint="eastAsia" w:eastAsia="宋体"/>
          <w:color w:val="auto"/>
          <w:sz w:val="24"/>
          <w:lang w:val="en-US" w:eastAsia="zh-CN"/>
        </w:rPr>
        <w:t>原水</w:t>
      </w:r>
      <w:r>
        <w:rPr>
          <w:rFonts w:hint="eastAsia" w:eastAsia="宋体"/>
          <w:color w:val="auto"/>
          <w:sz w:val="24"/>
        </w:rPr>
        <w:t>处理段重点考虑对SS的去除，故采用</w:t>
      </w:r>
      <w:r>
        <w:rPr>
          <w:rFonts w:hint="eastAsia" w:eastAsia="宋体"/>
          <w:color w:val="auto"/>
          <w:sz w:val="24"/>
          <w:lang w:eastAsia="zh-CN"/>
        </w:rPr>
        <w:t>“</w:t>
      </w:r>
      <w:r>
        <w:rPr>
          <w:rFonts w:hint="eastAsia" w:eastAsia="宋体"/>
          <w:color w:val="auto"/>
          <w:sz w:val="24"/>
        </w:rPr>
        <w:t>高效混凝沉淀</w:t>
      </w:r>
      <w:r>
        <w:rPr>
          <w:rFonts w:hint="eastAsia" w:eastAsia="宋体"/>
          <w:color w:val="auto"/>
          <w:sz w:val="24"/>
          <w:lang w:eastAsia="zh-CN"/>
        </w:rPr>
        <w:t>（机械混合池、折板絮凝池、平流沉淀段+斜管沉淀池）</w:t>
      </w:r>
      <w:r>
        <w:rPr>
          <w:rFonts w:hint="eastAsia" w:eastAsia="宋体"/>
          <w:color w:val="auto"/>
          <w:sz w:val="24"/>
        </w:rPr>
        <w:t>+</w:t>
      </w:r>
      <w:r>
        <w:rPr>
          <w:rFonts w:hint="eastAsia" w:eastAsia="宋体"/>
          <w:color w:val="auto"/>
          <w:sz w:val="24"/>
          <w:lang w:val="en-US" w:eastAsia="zh-CN"/>
        </w:rPr>
        <w:t>V型</w:t>
      </w:r>
      <w:r>
        <w:rPr>
          <w:rFonts w:hint="eastAsia" w:eastAsia="宋体"/>
          <w:color w:val="auto"/>
          <w:sz w:val="24"/>
        </w:rPr>
        <w:t>滤池</w:t>
      </w:r>
      <w:r>
        <w:rPr>
          <w:rFonts w:hint="eastAsia" w:eastAsia="宋体"/>
          <w:color w:val="auto"/>
          <w:sz w:val="24"/>
          <w:lang w:eastAsia="zh-CN"/>
        </w:rPr>
        <w:t>”</w:t>
      </w:r>
      <w:r>
        <w:rPr>
          <w:rFonts w:hint="eastAsia" w:eastAsia="宋体"/>
          <w:color w:val="auto"/>
          <w:sz w:val="24"/>
        </w:rPr>
        <w:t>的处理工艺，保障出水SS</w:t>
      </w:r>
      <w:r>
        <w:rPr>
          <w:rFonts w:hint="eastAsia" w:eastAsia="宋体"/>
          <w:color w:val="auto"/>
          <w:sz w:val="24"/>
          <w:lang w:val="en-US" w:eastAsia="zh-CN"/>
        </w:rPr>
        <w:t>和浊度</w:t>
      </w:r>
      <w:r>
        <w:rPr>
          <w:rFonts w:hint="eastAsia" w:eastAsia="宋体"/>
          <w:color w:val="auto"/>
          <w:sz w:val="24"/>
        </w:rPr>
        <w:t>达标，并强化对出水的控制。</w:t>
      </w:r>
    </w:p>
    <w:p w14:paraId="060BA3F3">
      <w:pPr>
        <w:pStyle w:val="69"/>
        <w:rPr>
          <w:color w:val="auto"/>
        </w:rPr>
      </w:pPr>
      <w:r>
        <w:rPr>
          <w:color w:val="auto"/>
        </w:rPr>
        <w:t>2.2.</w:t>
      </w:r>
      <w:r>
        <w:rPr>
          <w:rFonts w:hint="eastAsia"/>
          <w:color w:val="auto"/>
          <w:lang w:val="en-US" w:eastAsia="zh-CN"/>
        </w:rPr>
        <w:t>2</w:t>
      </w:r>
      <w:r>
        <w:rPr>
          <w:color w:val="auto"/>
        </w:rPr>
        <w:t>.2</w:t>
      </w:r>
      <w:r>
        <w:rPr>
          <w:rFonts w:hint="eastAsia"/>
          <w:color w:val="auto"/>
          <w:lang w:val="en-US" w:eastAsia="zh-CN"/>
        </w:rPr>
        <w:t>原水</w:t>
      </w:r>
      <w:r>
        <w:rPr>
          <w:color w:val="auto"/>
        </w:rPr>
        <w:t>处理工艺的可行性</w:t>
      </w:r>
    </w:p>
    <w:p w14:paraId="2DCD39AC">
      <w:pPr>
        <w:pStyle w:val="46"/>
        <w:ind w:firstLine="480"/>
        <w:rPr>
          <w:rFonts w:hint="eastAsia" w:eastAsia="宋体"/>
          <w:color w:val="auto"/>
          <w:sz w:val="24"/>
          <w:lang w:val="en-US" w:eastAsia="zh-CN"/>
        </w:rPr>
      </w:pPr>
      <w:r>
        <w:rPr>
          <w:rFonts w:hint="eastAsia" w:eastAsia="宋体"/>
          <w:color w:val="auto"/>
          <w:sz w:val="24"/>
          <w:lang w:val="en-US" w:eastAsia="zh-CN"/>
        </w:rPr>
        <w:t>“混凝”就是水中胶体粒子以及微小悬浮物的聚集过程。在水处理中的混凝现象比较复杂，不同种类混凝剂以及不同的水质条件，混凝剂作用机理都有所不同。多年来，水处理专家们从铝盐和铁盐混凝现象开始，对混凝剂作用机理进行了不断研究，看法较一致的是，混凝剂对水中胶体粒子的混凝作用有3种：电性中和、吸附架桥和卷扫作用。这3种作用取决于混凝剂种类和投加量、水质胶体粒子性质、含量以及水的pH值等。</w:t>
      </w:r>
    </w:p>
    <w:p w14:paraId="60F4D84E">
      <w:pPr>
        <w:pStyle w:val="46"/>
        <w:ind w:firstLine="480"/>
        <w:rPr>
          <w:rFonts w:hint="default" w:eastAsia="宋体"/>
          <w:color w:val="auto"/>
          <w:sz w:val="24"/>
          <w:lang w:val="en-US" w:eastAsia="zh-CN"/>
        </w:rPr>
      </w:pPr>
      <w:r>
        <w:rPr>
          <w:rFonts w:hint="eastAsia" w:eastAsia="宋体"/>
          <w:color w:val="auto"/>
          <w:sz w:val="24"/>
          <w:lang w:val="en-US" w:eastAsia="zh-CN"/>
        </w:rPr>
        <w:t>混凝剂种类很多，据目前所知，不少于200~300种。按化学成分可分有机和无机两大类。无机混凝剂品种较少，目前主要是铁盐和铝盐及其聚合物，在水处理中用的最多。有机混凝剂品种很多，主要是高分子物质，但在水处理中的应用比无机的少。应用于饮用水处理的混凝剂应符合以下基本要求：混凝效果好；对人体健康无害；使用方便；货源充足、价格低廉。因此，本项目使用聚合氯化铝（PAC）作为混凝剂，与其它混凝剂相比，具有应用范围广，适应水性广泛；易快速形成大的矾花，沉淀性能好；适宜的pH值范围较宽（5~9），且处理后水的pH值和碱度下降小；水温低时，仍可保持稳定的沉淀效果；碱化度比其它铝盐、铁盐高，对设备侵蚀作用小等优点。</w:t>
      </w:r>
    </w:p>
    <w:p w14:paraId="5C587018">
      <w:pPr>
        <w:pStyle w:val="46"/>
        <w:ind w:firstLine="480"/>
        <w:rPr>
          <w:rFonts w:hint="default" w:eastAsia="宋体"/>
          <w:color w:val="auto"/>
          <w:sz w:val="24"/>
          <w:lang w:val="en-US" w:eastAsia="zh-CN"/>
        </w:rPr>
      </w:pPr>
      <w:r>
        <w:rPr>
          <w:rFonts w:hint="eastAsia" w:eastAsia="宋体"/>
          <w:color w:val="auto"/>
          <w:sz w:val="24"/>
          <w:lang w:val="en-US" w:eastAsia="zh-CN"/>
        </w:rPr>
        <w:t>当单独使用混凝剂不能取得预期效果时，需投加某种辅助药剂以提高混凝效果，这种药剂称为助凝剂。助凝剂通常为高分子物质。其作用往往是为了改善絮凝体结构，促使细小而松散的絮粒变得粗大而密实，作用机理是高分子物质的吸附架桥。对于低温、低浊水，采用铝盐混凝剂时，形成的絮粒往往细小松散，不易沉淀。当投入少量活化硅酸时，絮凝体的尺寸和密度就会增大，沉速加快。</w:t>
      </w:r>
    </w:p>
    <w:p w14:paraId="23F20A63">
      <w:pPr>
        <w:pStyle w:val="46"/>
        <w:ind w:firstLine="480"/>
        <w:rPr>
          <w:rFonts w:hint="default" w:eastAsia="宋体"/>
          <w:color w:val="auto"/>
          <w:sz w:val="24"/>
          <w:lang w:val="en-US" w:eastAsia="zh-CN"/>
        </w:rPr>
      </w:pPr>
      <w:r>
        <w:rPr>
          <w:rFonts w:hint="eastAsia" w:eastAsia="宋体"/>
          <w:color w:val="auto"/>
          <w:sz w:val="24"/>
          <w:lang w:val="en-US" w:eastAsia="zh-CN"/>
        </w:rPr>
        <w:t>本项目采用机械混合方式，在机械混合池内安装搅拌装置，以电动机驱动搅拌器使水和药剂混合的。其优点是混合效果好，且不受水量变化影响，适用于各种规模的水厂。原水与药剂经混合后，通过折板絮凝池形成肉眼可见的大的密实絮凝体。折板絮凝池优点是水流在同波折板之间曲折流动或异波折板之间缩、放流动且连续不断，以至形成众多的小涡旋，提高了颗粒碰撞絮凝效果。水流条件大大改善，亦即在总的水流能量消耗中，有效能量消耗比例提高，缩短絮凝时间。</w:t>
      </w:r>
    </w:p>
    <w:p w14:paraId="543296FB">
      <w:pPr>
        <w:pStyle w:val="46"/>
        <w:ind w:firstLine="480"/>
        <w:rPr>
          <w:rFonts w:hint="default" w:eastAsia="宋体"/>
          <w:color w:val="auto"/>
          <w:sz w:val="24"/>
          <w:lang w:val="en-US" w:eastAsia="zh-CN"/>
        </w:rPr>
      </w:pPr>
      <w:r>
        <w:rPr>
          <w:rFonts w:hint="eastAsia" w:eastAsia="宋体"/>
          <w:color w:val="auto"/>
          <w:sz w:val="24"/>
          <w:lang w:val="en-US" w:eastAsia="zh-CN"/>
        </w:rPr>
        <w:t>水中悬浮颗粒依靠重力作用，从水中分离出来的过程称为沉淀。原水经投药、混合与絮凝后，水中悬浮杂志已形成粗大的絮凝体，要在沉淀池中分离出来以完成澄清的作用。在斜管进口一段距离内，泥水混杂，水流紊乱，污泥浓度较大，有利于接触絮凝，从而有利于沉淀池的泥水分离。经混凝的原水沿着平流段流入斜管沉淀池后，颗粒沉入众多斜管底部，而后自动滑下。斜管沉淀池是把水平面成一定角度（60°左右）的管状组件（断面矩形或六角形）放置于沉淀池中构成，其水力半径小，同时也能满足水流的稳定性。</w:t>
      </w:r>
    </w:p>
    <w:p w14:paraId="6A9E23A7">
      <w:pPr>
        <w:pStyle w:val="46"/>
        <w:ind w:firstLine="480"/>
        <w:rPr>
          <w:rFonts w:hint="default" w:eastAsia="宋体"/>
          <w:color w:val="auto"/>
          <w:sz w:val="24"/>
          <w:lang w:val="en-US" w:eastAsia="zh-CN"/>
        </w:rPr>
      </w:pPr>
      <w:r>
        <w:rPr>
          <w:rFonts w:hint="eastAsia" w:eastAsia="宋体"/>
          <w:color w:val="auto"/>
          <w:sz w:val="24"/>
          <w:lang w:val="en-US" w:eastAsia="zh-CN"/>
        </w:rPr>
        <w:t>以上讨论的絮凝和沉淀属于两个单元过程：水中脱稳杂质通过碰撞结合成相当大的絮凝体，然后在沉淀池内下沉。对于某些工业用水（例如冷却水），允许浑浊度较高，经混凝沉淀后即可使用。但对城市水厂，其出厂水浊度更低，故必须经过澄清工艺中的过滤处理。</w:t>
      </w:r>
    </w:p>
    <w:p w14:paraId="74F3A8E4">
      <w:pPr>
        <w:pStyle w:val="46"/>
        <w:ind w:firstLine="480"/>
        <w:rPr>
          <w:rFonts w:hint="default" w:eastAsia="宋体"/>
          <w:color w:val="auto"/>
          <w:sz w:val="24"/>
          <w:lang w:val="en-US" w:eastAsia="zh-CN"/>
        </w:rPr>
      </w:pPr>
      <w:r>
        <w:rPr>
          <w:rFonts w:hint="eastAsia" w:eastAsia="宋体"/>
          <w:color w:val="auto"/>
          <w:sz w:val="24"/>
          <w:lang w:val="en-US" w:eastAsia="zh-CN"/>
        </w:rPr>
        <w:t>在常规水处理过程中，过滤一般是指以石英砂等粒状滤料层截留水中悬浮杂质，从而使水获得澄清的工艺过程。过滤的功效，不仅在于进一步降低水的浊度，而且水中有机物、细菌乃至病毒等将随水的浊度降低而被部分去除。至于残留于滤后水中的细菌、病毒等在失去浑浊物的保护或依附时，在滤后消毒过程中也将容易被灭杀，这就为滤后消毒创造了良好条件。</w:t>
      </w:r>
    </w:p>
    <w:p w14:paraId="783425D7">
      <w:pPr>
        <w:pStyle w:val="46"/>
        <w:ind w:firstLine="480"/>
        <w:rPr>
          <w:rFonts w:hint="eastAsia" w:eastAsia="宋体"/>
          <w:color w:val="auto"/>
          <w:sz w:val="24"/>
          <w:lang w:val="en-US" w:eastAsia="zh-CN"/>
        </w:rPr>
      </w:pPr>
      <w:r>
        <w:rPr>
          <w:rFonts w:hint="eastAsia" w:eastAsia="宋体"/>
          <w:color w:val="auto"/>
          <w:sz w:val="24"/>
          <w:lang w:val="en-US" w:eastAsia="zh-CN"/>
        </w:rPr>
        <w:t>V型滤池是法国德格雷蒙（DEGREMONT）公司设计的一种快滤池，因两侧（或一侧也可）进水槽设计成V字形而得名。其主要特点是可采用较粗滤料较厚滤层以增加过滤周期。由于反冲时滤层不膨胀，故整个滤层在深度方向的粒径分布基本均匀，不发生水力分级现象，即所谓“均质滤料”，使滤层含污能力提高。介质有较好的悬浮物截留功效，在反冲洗周期区间，每平米过滤面积能截留≥7.3kg的固体悬浮物。悬浮物不断地被截留会增加水头损失，因此需要反冲洗来去除截留的固体物。气、水协同进行反冲洗再加始终存在的横向表面扫洗，冲洗效果佳，冲洗水量大大减少，产生反冲洗水返回排水池中。</w:t>
      </w:r>
    </w:p>
    <w:p w14:paraId="70F28C39">
      <w:pPr>
        <w:pStyle w:val="61"/>
        <w:numPr>
          <w:ilvl w:val="0"/>
          <w:numId w:val="0"/>
        </w:numPr>
        <w:spacing w:before="0" w:after="0"/>
        <w:rPr>
          <w:rFonts w:eastAsia="宋体"/>
          <w:color w:val="auto"/>
        </w:rPr>
      </w:pPr>
      <w:r>
        <w:rPr>
          <w:rFonts w:eastAsia="宋体"/>
          <w:color w:val="auto"/>
        </w:rPr>
        <w:t>2.2.</w:t>
      </w:r>
      <w:r>
        <w:rPr>
          <w:rFonts w:hint="eastAsia" w:eastAsia="宋体"/>
          <w:color w:val="auto"/>
          <w:lang w:val="en-US" w:eastAsia="zh-CN"/>
        </w:rPr>
        <w:t>3深度</w:t>
      </w:r>
      <w:r>
        <w:rPr>
          <w:rFonts w:eastAsia="宋体"/>
          <w:color w:val="auto"/>
        </w:rPr>
        <w:t>处理工艺</w:t>
      </w:r>
    </w:p>
    <w:p w14:paraId="3303FB95">
      <w:pPr>
        <w:pStyle w:val="46"/>
        <w:ind w:firstLine="480"/>
        <w:rPr>
          <w:rFonts w:hint="eastAsia" w:eastAsia="宋体"/>
          <w:color w:val="auto"/>
          <w:sz w:val="24"/>
          <w:lang w:val="en-US" w:eastAsia="zh-CN"/>
        </w:rPr>
      </w:pPr>
      <w:r>
        <w:rPr>
          <w:rFonts w:hint="eastAsia" w:eastAsia="宋体"/>
          <w:color w:val="auto"/>
          <w:sz w:val="24"/>
        </w:rPr>
        <w:t>项目建成后废水主要为生产废水（污泥压滤废水）、化验室废液、生活污水。污泥压滤废水主要污染物为COD、NH</w:t>
      </w:r>
      <w:r>
        <w:rPr>
          <w:rFonts w:hint="eastAsia" w:eastAsia="宋体"/>
          <w:color w:val="auto"/>
          <w:sz w:val="24"/>
          <w:vertAlign w:val="subscript"/>
        </w:rPr>
        <w:t>3</w:t>
      </w:r>
      <w:r>
        <w:rPr>
          <w:rFonts w:hint="eastAsia" w:eastAsia="宋体"/>
          <w:color w:val="auto"/>
          <w:sz w:val="24"/>
        </w:rPr>
        <w:t>-N、SS等，生活污水中主要污染物为COD、BOD</w:t>
      </w:r>
      <w:r>
        <w:rPr>
          <w:rFonts w:hint="eastAsia" w:eastAsia="宋体"/>
          <w:color w:val="auto"/>
          <w:sz w:val="24"/>
          <w:vertAlign w:val="subscript"/>
        </w:rPr>
        <w:t>5</w:t>
      </w:r>
      <w:r>
        <w:rPr>
          <w:rFonts w:hint="eastAsia" w:eastAsia="宋体"/>
          <w:color w:val="auto"/>
          <w:sz w:val="24"/>
        </w:rPr>
        <w:t>、NH</w:t>
      </w:r>
      <w:r>
        <w:rPr>
          <w:rFonts w:hint="eastAsia" w:eastAsia="宋体"/>
          <w:color w:val="auto"/>
          <w:sz w:val="24"/>
          <w:vertAlign w:val="subscript"/>
        </w:rPr>
        <w:t>3</w:t>
      </w:r>
      <w:r>
        <w:rPr>
          <w:rFonts w:hint="eastAsia" w:eastAsia="宋体"/>
          <w:color w:val="auto"/>
          <w:sz w:val="24"/>
        </w:rPr>
        <w:t>-N、SS等。化验室废液根据《国家危险废物名录（2021年版）》，项目实验过程中产生的废液属于“名录”所列的HW49</w:t>
      </w:r>
      <w:r>
        <w:rPr>
          <w:rFonts w:hint="eastAsia" w:eastAsia="宋体"/>
          <w:color w:val="auto"/>
          <w:sz w:val="24"/>
          <w:lang w:val="en-US" w:eastAsia="zh-CN"/>
        </w:rPr>
        <w:t xml:space="preserve"> </w:t>
      </w:r>
      <w:r>
        <w:rPr>
          <w:rFonts w:hint="eastAsia" w:eastAsia="宋体"/>
          <w:color w:val="auto"/>
          <w:sz w:val="24"/>
        </w:rPr>
        <w:t>其他废物，废物代码：900-047-49（化学和生物实验室产生的废物），按相关规定规范收集、贮存后委托有资质的单位处理</w:t>
      </w:r>
      <w:r>
        <w:rPr>
          <w:rFonts w:hint="eastAsia" w:eastAsia="宋体"/>
          <w:color w:val="auto"/>
          <w:sz w:val="24"/>
          <w:lang w:eastAsia="zh-CN"/>
        </w:rPr>
        <w:t>。</w:t>
      </w:r>
    </w:p>
    <w:p w14:paraId="69EF5198">
      <w:pPr>
        <w:pStyle w:val="69"/>
        <w:rPr>
          <w:color w:val="auto"/>
        </w:rPr>
      </w:pPr>
      <w:r>
        <w:rPr>
          <w:color w:val="auto"/>
        </w:rPr>
        <w:t>2.2.</w:t>
      </w:r>
      <w:r>
        <w:rPr>
          <w:rFonts w:hint="eastAsia"/>
          <w:color w:val="auto"/>
          <w:lang w:val="en-US" w:eastAsia="zh-CN"/>
        </w:rPr>
        <w:t>3.</w:t>
      </w:r>
      <w:r>
        <w:rPr>
          <w:color w:val="auto"/>
        </w:rPr>
        <w:t>1</w:t>
      </w:r>
      <w:r>
        <w:rPr>
          <w:rFonts w:hint="eastAsia"/>
          <w:color w:val="auto"/>
          <w:lang w:val="en-US" w:eastAsia="zh-CN"/>
        </w:rPr>
        <w:t>深度</w:t>
      </w:r>
      <w:r>
        <w:rPr>
          <w:rFonts w:hint="eastAsia"/>
          <w:color w:val="auto"/>
        </w:rPr>
        <w:t>工艺选择</w:t>
      </w:r>
    </w:p>
    <w:p w14:paraId="269EF4C1">
      <w:pPr>
        <w:pStyle w:val="46"/>
        <w:numPr>
          <w:ilvl w:val="0"/>
          <w:numId w:val="2"/>
        </w:numPr>
        <w:ind w:firstLine="480"/>
        <w:rPr>
          <w:rFonts w:hint="eastAsia" w:eastAsia="宋体"/>
          <w:color w:val="auto"/>
          <w:sz w:val="24"/>
          <w:lang w:val="en-US" w:eastAsia="zh-CN"/>
        </w:rPr>
      </w:pPr>
      <w:r>
        <w:rPr>
          <w:rFonts w:hint="eastAsia" w:eastAsia="宋体"/>
          <w:color w:val="auto"/>
          <w:sz w:val="24"/>
          <w:lang w:val="en-US" w:eastAsia="zh-CN"/>
        </w:rPr>
        <w:t>生活污水</w:t>
      </w:r>
    </w:p>
    <w:p w14:paraId="036D362A">
      <w:pPr>
        <w:pStyle w:val="46"/>
        <w:ind w:firstLine="480"/>
        <w:rPr>
          <w:rFonts w:hint="eastAsia" w:eastAsia="宋体"/>
          <w:color w:val="auto"/>
          <w:sz w:val="24"/>
        </w:rPr>
      </w:pPr>
      <w:r>
        <w:rPr>
          <w:rFonts w:hint="eastAsia" w:eastAsia="宋体"/>
          <w:color w:val="auto"/>
          <w:sz w:val="24"/>
          <w:lang w:val="en-US" w:eastAsia="zh-CN"/>
        </w:rPr>
        <w:t>食堂废水经油水分离器隔油处理后与其它生活污水混合进入化粪池，进入生活污水一体化处理装置处理（</w:t>
      </w:r>
      <w:r>
        <w:rPr>
          <w:rFonts w:hint="eastAsia" w:eastAsia="宋体"/>
          <w:color w:val="auto"/>
          <w:sz w:val="24"/>
        </w:rPr>
        <w:t>A/O+MBR工艺+消毒工艺处理</w:t>
      </w:r>
      <w:r>
        <w:rPr>
          <w:rFonts w:hint="eastAsia" w:eastAsia="宋体"/>
          <w:color w:val="auto"/>
          <w:sz w:val="24"/>
          <w:lang w:val="en-US" w:eastAsia="zh-CN"/>
        </w:rPr>
        <w:t>），处理规模为30m</w:t>
      </w:r>
      <w:r>
        <w:rPr>
          <w:rFonts w:hint="eastAsia" w:eastAsia="宋体"/>
          <w:color w:val="auto"/>
          <w:sz w:val="24"/>
          <w:vertAlign w:val="superscript"/>
          <w:lang w:val="en-US" w:eastAsia="zh-CN"/>
        </w:rPr>
        <w:t>3</w:t>
      </w:r>
      <w:r>
        <w:rPr>
          <w:rFonts w:hint="eastAsia" w:eastAsia="宋体"/>
          <w:color w:val="auto"/>
          <w:sz w:val="24"/>
          <w:lang w:val="en-US" w:eastAsia="zh-CN"/>
        </w:rPr>
        <w:t>/d，达标后由厂区西北角总排放口DW001排放至新河。</w:t>
      </w:r>
    </w:p>
    <w:p w14:paraId="2B2BC7A4">
      <w:pPr>
        <w:pStyle w:val="46"/>
        <w:ind w:firstLine="480"/>
        <w:rPr>
          <w:rFonts w:hint="default" w:eastAsia="宋体"/>
          <w:color w:val="auto"/>
          <w:sz w:val="24"/>
          <w:lang w:val="en-US" w:eastAsia="zh-CN"/>
        </w:rPr>
      </w:pPr>
      <w:r>
        <w:rPr>
          <w:rFonts w:hint="eastAsia" w:eastAsia="宋体"/>
          <w:color w:val="auto"/>
          <w:sz w:val="24"/>
          <w:lang w:val="en-US" w:eastAsia="zh-CN"/>
        </w:rPr>
        <w:t>2、生产废水</w:t>
      </w:r>
    </w:p>
    <w:p w14:paraId="16E39725">
      <w:pPr>
        <w:pStyle w:val="46"/>
        <w:ind w:firstLine="480"/>
        <w:rPr>
          <w:rFonts w:hint="eastAsia" w:eastAsia="宋体"/>
          <w:color w:val="auto"/>
          <w:sz w:val="24"/>
        </w:rPr>
      </w:pPr>
      <w:r>
        <w:rPr>
          <w:rFonts w:hint="eastAsia" w:eastAsia="宋体"/>
          <w:color w:val="auto"/>
          <w:sz w:val="24"/>
        </w:rPr>
        <w:t>主要为污泥的压滤液，离心脱水机进泥含水率约为98%，压滤后的泥饼含水率＜80%，离心脱水机分离效率约为98%，进入生产废水一体化处理装置处理</w:t>
      </w:r>
      <w:r>
        <w:rPr>
          <w:rFonts w:hint="eastAsia" w:eastAsia="宋体"/>
          <w:color w:val="auto"/>
          <w:sz w:val="24"/>
          <w:lang w:eastAsia="zh-CN"/>
        </w:rPr>
        <w:t>（混凝沉淀+曝气生物滤池+消毒工艺处理）</w:t>
      </w:r>
      <w:r>
        <w:rPr>
          <w:rFonts w:hint="eastAsia" w:eastAsia="宋体"/>
          <w:color w:val="auto"/>
          <w:sz w:val="24"/>
        </w:rPr>
        <w:t>，处理规模为1200m³/d，达标后由厂区西北角总排放口DW001排放至新河。</w:t>
      </w:r>
    </w:p>
    <w:p w14:paraId="05634F0A">
      <w:pPr>
        <w:pStyle w:val="69"/>
        <w:rPr>
          <w:color w:val="auto"/>
        </w:rPr>
      </w:pPr>
      <w:r>
        <w:rPr>
          <w:color w:val="auto"/>
        </w:rPr>
        <w:t>2.2.</w:t>
      </w:r>
      <w:r>
        <w:rPr>
          <w:rFonts w:hint="eastAsia"/>
          <w:color w:val="auto"/>
          <w:lang w:val="en-US" w:eastAsia="zh-CN"/>
        </w:rPr>
        <w:t>3</w:t>
      </w:r>
      <w:r>
        <w:rPr>
          <w:color w:val="auto"/>
        </w:rPr>
        <w:t>.2</w:t>
      </w:r>
      <w:r>
        <w:rPr>
          <w:rFonts w:hint="eastAsia"/>
          <w:color w:val="auto"/>
          <w:lang w:val="en-US" w:eastAsia="zh-CN"/>
        </w:rPr>
        <w:t>深度</w:t>
      </w:r>
      <w:r>
        <w:rPr>
          <w:color w:val="auto"/>
        </w:rPr>
        <w:t>处理工艺的可行性</w:t>
      </w:r>
    </w:p>
    <w:p w14:paraId="00F5C6B9">
      <w:pPr>
        <w:pStyle w:val="46"/>
        <w:ind w:firstLine="480"/>
        <w:rPr>
          <w:rFonts w:hint="default" w:eastAsia="宋体"/>
          <w:color w:val="auto"/>
          <w:sz w:val="24"/>
          <w:lang w:val="en-US" w:eastAsia="zh-CN"/>
        </w:rPr>
      </w:pPr>
      <w:r>
        <w:rPr>
          <w:rFonts w:hint="eastAsia" w:eastAsia="宋体"/>
          <w:color w:val="auto"/>
          <w:sz w:val="24"/>
          <w:lang w:val="en-US" w:eastAsia="zh-CN"/>
        </w:rPr>
        <w:t>1、生活污水</w:t>
      </w:r>
    </w:p>
    <w:p w14:paraId="674E32B3">
      <w:pPr>
        <w:pStyle w:val="46"/>
        <w:ind w:firstLine="480"/>
        <w:rPr>
          <w:rFonts w:hint="default" w:eastAsia="宋体"/>
          <w:color w:val="auto"/>
          <w:sz w:val="24"/>
          <w:lang w:val="en-US" w:eastAsia="zh-CN"/>
        </w:rPr>
      </w:pPr>
      <w:r>
        <w:rPr>
          <w:rFonts w:hint="eastAsia" w:eastAsia="宋体"/>
          <w:color w:val="auto"/>
          <w:sz w:val="24"/>
          <w:lang w:val="en-US" w:eastAsia="zh-CN"/>
        </w:rPr>
        <w:t>食堂废水通过进水管进入厨房油水分离器箱体，安装在进水口的不锈钢隔渣箱自动将粗、大颗粒杂物隔离开，污水经孔板和斜板后入气浮区，在气浮区微气泡发生器产生的微小气泡，由于表面张力作用，微气泡发生器的超细气泡在上浮过程中将大部分乳化油从水中分解，水中的细小杂质和油脂黏附在微小气泡上浮至水面，被自动刮油机收到集油槽，通过油管排出设备外面，而经过油水分离后不含油的水从出水管排出。与其他生活污水混合排入化粪池中，化粪池利用沉淀和厌氧发酵的原理，可去除生活污水中悬浮性有机物，属于初级的过渡性生活处理构筑物。</w:t>
      </w:r>
    </w:p>
    <w:p w14:paraId="2A43578B">
      <w:pPr>
        <w:pStyle w:val="46"/>
        <w:ind w:firstLine="480"/>
        <w:rPr>
          <w:rFonts w:hint="default" w:eastAsia="宋体"/>
          <w:color w:val="auto"/>
          <w:sz w:val="24"/>
          <w:lang w:val="en-US" w:eastAsia="zh-CN"/>
        </w:rPr>
      </w:pPr>
      <w:r>
        <w:rPr>
          <w:rFonts w:hint="eastAsia" w:eastAsia="宋体"/>
          <w:color w:val="auto"/>
          <w:sz w:val="24"/>
          <w:lang w:val="en-US" w:eastAsia="zh-CN"/>
        </w:rPr>
        <w:t>废水中的氮以有机氮和无机氮两种形态存在，以总氮（TN）来表示其总量。无机氮包括氨态氮（简称“氨氮”）和硝态氮。氨氮包括游离态氮NH</w:t>
      </w:r>
      <w:r>
        <w:rPr>
          <w:rFonts w:hint="eastAsia" w:eastAsia="宋体"/>
          <w:color w:val="auto"/>
          <w:sz w:val="24"/>
          <w:vertAlign w:val="subscript"/>
          <w:lang w:val="en-US" w:eastAsia="zh-CN"/>
        </w:rPr>
        <w:t>3</w:t>
      </w:r>
      <w:r>
        <w:rPr>
          <w:rFonts w:hint="eastAsia" w:eastAsia="宋体"/>
          <w:color w:val="auto"/>
          <w:sz w:val="24"/>
          <w:lang w:val="en-US" w:eastAsia="zh-CN"/>
        </w:rPr>
        <w:t>和铵盐态氮NH</w:t>
      </w:r>
      <w:r>
        <w:rPr>
          <w:rFonts w:hint="eastAsia" w:eastAsia="宋体"/>
          <w:color w:val="auto"/>
          <w:sz w:val="24"/>
          <w:vertAlign w:val="subscript"/>
          <w:lang w:val="en-US" w:eastAsia="zh-CN"/>
        </w:rPr>
        <w:t>4</w:t>
      </w:r>
      <w:r>
        <w:rPr>
          <w:rFonts w:hint="eastAsia" w:eastAsia="宋体"/>
          <w:color w:val="auto"/>
          <w:sz w:val="24"/>
          <w:vertAlign w:val="superscript"/>
          <w:lang w:val="en-US" w:eastAsia="zh-CN"/>
        </w:rPr>
        <w:t>+</w:t>
      </w:r>
      <w:r>
        <w:rPr>
          <w:rFonts w:hint="eastAsia" w:eastAsia="宋体"/>
          <w:color w:val="auto"/>
          <w:sz w:val="24"/>
          <w:lang w:val="en-US" w:eastAsia="zh-CN"/>
        </w:rPr>
        <w:t>-N；硝态氮包括硝酸盐NO</w:t>
      </w:r>
      <w:r>
        <w:rPr>
          <w:rFonts w:hint="eastAsia" w:eastAsia="宋体"/>
          <w:color w:val="auto"/>
          <w:sz w:val="24"/>
          <w:vertAlign w:val="subscript"/>
          <w:lang w:val="en-US" w:eastAsia="zh-CN"/>
        </w:rPr>
        <w:t>3</w:t>
      </w:r>
      <w:r>
        <w:rPr>
          <w:rFonts w:hint="eastAsia" w:eastAsia="宋体"/>
          <w:color w:val="auto"/>
          <w:sz w:val="24"/>
          <w:vertAlign w:val="superscript"/>
          <w:lang w:val="en-US" w:eastAsia="zh-CN"/>
        </w:rPr>
        <w:t>-</w:t>
      </w:r>
      <w:r>
        <w:rPr>
          <w:rFonts w:hint="eastAsia" w:eastAsia="宋体"/>
          <w:color w:val="auto"/>
          <w:sz w:val="24"/>
          <w:lang w:val="en-US" w:eastAsia="zh-CN"/>
        </w:rPr>
        <w:t>-N和亚硝酸盐氮NO</w:t>
      </w:r>
      <w:r>
        <w:rPr>
          <w:rFonts w:hint="eastAsia" w:eastAsia="宋体"/>
          <w:color w:val="auto"/>
          <w:sz w:val="24"/>
          <w:vertAlign w:val="subscript"/>
          <w:lang w:val="en-US" w:eastAsia="zh-CN"/>
        </w:rPr>
        <w:t>2</w:t>
      </w:r>
      <w:r>
        <w:rPr>
          <w:rFonts w:hint="eastAsia" w:eastAsia="宋体"/>
          <w:color w:val="auto"/>
          <w:sz w:val="24"/>
          <w:vertAlign w:val="superscript"/>
          <w:lang w:val="en-US" w:eastAsia="zh-CN"/>
        </w:rPr>
        <w:t>-</w:t>
      </w:r>
      <w:r>
        <w:rPr>
          <w:rFonts w:hint="eastAsia" w:eastAsia="宋体"/>
          <w:color w:val="auto"/>
          <w:sz w:val="24"/>
          <w:lang w:val="en-US" w:eastAsia="zh-CN"/>
        </w:rPr>
        <w:t>-N。有机氮有蛋白质、多肽、氨基酸和尿素等。水中的无机氮可由有机氮经微生物分解转化后形成。在生活污水中，氮主要以氨氮和有机氮形式存在，有机氮占总氮量的40%~60%，氨氮占50%~60%，而亚硝酸盐氮和硝酸盐氮只占0~5%。A/O（Anoxic-Oxic）是上世纪80年代初期开创出来的一种前置反硝化工艺方法。其工艺的特点是：污水先经缺氧池，再进入好氧池，并将好氧池的混合液和污泥同时回流至缺氧池，使缺氧池既可从污水中得到充足的有机物，又可从回流的混合液中得到大量的硝酸盐，回流污泥则保证其微生物量，因此可在其中进行反硝化反应，然后再在好氧池中进行BOD</w:t>
      </w:r>
      <w:r>
        <w:rPr>
          <w:rFonts w:hint="eastAsia" w:eastAsia="宋体"/>
          <w:color w:val="auto"/>
          <w:sz w:val="24"/>
          <w:vertAlign w:val="subscript"/>
          <w:lang w:val="en-US" w:eastAsia="zh-CN"/>
        </w:rPr>
        <w:t>5</w:t>
      </w:r>
      <w:r>
        <w:rPr>
          <w:rFonts w:hint="eastAsia" w:eastAsia="宋体"/>
          <w:color w:val="auto"/>
          <w:sz w:val="24"/>
          <w:lang w:val="en-US" w:eastAsia="zh-CN"/>
        </w:rPr>
        <w:t>的进一步降解和硝化作用。因其只有一个污泥回流系统，因而使好氧异养菌、反硝化菌和硝化菌都处于缺氧-好氧交替的环境中，这样构成的一种混合菌群系统，可使不同菌属在不同的条件下充分发挥它们的优势。将反硝化过程前置的另一个优点是反硝化过程中产生的碱度可以补偿硝化过程中消耗的碱度一半左右，对含氮浓度不高的废水（生活污水）可不必另行投碱。与传统生物脱氮工艺相比，A/O法不必另外加碳源，可充分利用污水中的有机物作碳源进行反硝化，同时达到降低BOD和脱氮的目的。</w:t>
      </w:r>
    </w:p>
    <w:p w14:paraId="6EC3EB24">
      <w:pPr>
        <w:pStyle w:val="46"/>
        <w:ind w:firstLine="480"/>
        <w:rPr>
          <w:rFonts w:hint="eastAsia" w:eastAsia="宋体"/>
          <w:color w:val="auto"/>
          <w:sz w:val="24"/>
          <w:lang w:val="en-US" w:eastAsia="zh-CN"/>
        </w:rPr>
      </w:pPr>
      <w:r>
        <w:rPr>
          <w:rFonts w:hint="eastAsia" w:eastAsia="宋体"/>
          <w:color w:val="auto"/>
          <w:sz w:val="24"/>
          <w:lang w:val="en-US" w:eastAsia="zh-CN"/>
        </w:rPr>
        <w:t>在传统的废水生物处理技术中，泥水分离是在二沉池中靠重力作用完成的，其分离效率依赖于活性污泥的沉降性能，沉降性越好，泥水分离效率越高。而污泥的沉降取决于曝气池的运行状况，改善污泥沉降性必须严格控制曝气池的操作条件，这限制了该方法的适用范围。由于二沉池固液分离的要求，曝气池的污泥不能维持较高浓度，一般在1.5~3.5g/L，从而限制了生化反应速率。水力停留时间与污泥龄相互依赖，提高容积负荷与降低污泥负荷往往形成矛盾。且在系统运行过程中还产生了大量的剩余污泥。针对上述问题，MBR综合了膜分离技术和生物处理技术的优点。超、微滤膜组件作为泥水分离单元，可以完全取代二次沉淀池。大大提高固液分离效率，</w:t>
      </w:r>
      <w:r>
        <w:rPr>
          <w:rFonts w:hint="default" w:eastAsia="宋体"/>
          <w:color w:val="auto"/>
          <w:sz w:val="24"/>
          <w:lang w:val="en-US" w:eastAsia="zh-CN"/>
        </w:rPr>
        <w:t>且由于曝气池中活性污泥浓度的增大和污泥中特效菌（特别是优势菌群）的出现，提高了生化反应速率；同时，通过降低F/M比减少剩余污泥产生量（甚至为0），从而基本解决了传统活性污泥法存在的许多突出问题。</w:t>
      </w:r>
    </w:p>
    <w:p w14:paraId="20A27C1C">
      <w:pPr>
        <w:pStyle w:val="46"/>
        <w:ind w:firstLine="480"/>
        <w:rPr>
          <w:rFonts w:hint="eastAsia" w:eastAsia="宋体"/>
          <w:color w:val="auto"/>
          <w:sz w:val="24"/>
          <w:lang w:val="en-US" w:eastAsia="zh-CN"/>
        </w:rPr>
      </w:pPr>
      <w:r>
        <w:rPr>
          <w:rFonts w:hint="eastAsia" w:eastAsia="宋体"/>
          <w:color w:val="auto"/>
          <w:sz w:val="24"/>
          <w:lang w:val="en-US" w:eastAsia="zh-CN"/>
        </w:rPr>
        <w:t>2、生产废水。</w:t>
      </w:r>
    </w:p>
    <w:p w14:paraId="39D4BBCA">
      <w:pPr>
        <w:pStyle w:val="46"/>
        <w:ind w:firstLine="480"/>
        <w:rPr>
          <w:rFonts w:hint="default" w:eastAsia="宋体"/>
          <w:color w:val="auto"/>
          <w:sz w:val="24"/>
          <w:lang w:val="en-US" w:eastAsia="zh-CN"/>
        </w:rPr>
      </w:pPr>
      <w:r>
        <w:rPr>
          <w:rFonts w:hint="eastAsia" w:eastAsia="宋体"/>
          <w:color w:val="auto"/>
          <w:sz w:val="24"/>
          <w:lang w:val="en-US" w:eastAsia="zh-CN"/>
        </w:rPr>
        <w:t>被浓缩的污泥无压经进泥管进入进泥室，在离心力作用下污泥通过若干分泥孔进入高速旋转的转筒中（转筒的整个长度都是污泥的沉淀区），并在转筒内壁上沉淀和浓缩，使污泥颗粒（或污泥絮体）和污泥水相分离。</w:t>
      </w:r>
    </w:p>
    <w:p w14:paraId="6941890B">
      <w:pPr>
        <w:pStyle w:val="46"/>
        <w:ind w:firstLine="480"/>
        <w:rPr>
          <w:rFonts w:eastAsia="宋体"/>
          <w:color w:val="auto"/>
          <w:sz w:val="24"/>
        </w:rPr>
      </w:pPr>
      <w:r>
        <w:rPr>
          <w:rFonts w:hint="eastAsia" w:eastAsia="宋体"/>
          <w:color w:val="auto"/>
          <w:sz w:val="24"/>
        </w:rPr>
        <w:t>混凝沉淀工艺去除的对象是</w:t>
      </w:r>
      <w:r>
        <w:rPr>
          <w:rFonts w:hint="eastAsia" w:eastAsia="宋体"/>
          <w:color w:val="auto"/>
          <w:sz w:val="24"/>
          <w:lang w:val="en-US" w:eastAsia="zh-CN"/>
        </w:rPr>
        <w:t>原</w:t>
      </w:r>
      <w:r>
        <w:rPr>
          <w:rFonts w:hint="eastAsia" w:eastAsia="宋体"/>
          <w:color w:val="auto"/>
          <w:sz w:val="24"/>
        </w:rPr>
        <w:t>水中呈胶体和微小悬浮状态的有机和无机污染物，也即去除</w:t>
      </w:r>
      <w:r>
        <w:rPr>
          <w:rFonts w:hint="eastAsia" w:eastAsia="宋体"/>
          <w:color w:val="auto"/>
          <w:sz w:val="24"/>
          <w:lang w:val="en-US" w:eastAsia="zh-CN"/>
        </w:rPr>
        <w:t>污水</w:t>
      </w:r>
      <w:r>
        <w:rPr>
          <w:rFonts w:hint="eastAsia" w:eastAsia="宋体"/>
          <w:color w:val="auto"/>
          <w:sz w:val="24"/>
        </w:rPr>
        <w:t>的色度和浊度。混凝沉淀还可以去除</w:t>
      </w:r>
      <w:r>
        <w:rPr>
          <w:rFonts w:hint="eastAsia" w:eastAsia="宋体"/>
          <w:color w:val="auto"/>
          <w:sz w:val="24"/>
          <w:lang w:val="en-US" w:eastAsia="zh-CN"/>
        </w:rPr>
        <w:t>原水</w:t>
      </w:r>
      <w:r>
        <w:rPr>
          <w:rFonts w:hint="eastAsia" w:eastAsia="宋体"/>
          <w:color w:val="auto"/>
          <w:sz w:val="24"/>
        </w:rPr>
        <w:t>水中的某些溶解性物质，以及氮、磷等。</w:t>
      </w:r>
    </w:p>
    <w:p w14:paraId="1B64DC96">
      <w:pPr>
        <w:pStyle w:val="46"/>
        <w:ind w:firstLine="480"/>
        <w:rPr>
          <w:rFonts w:hint="eastAsia" w:eastAsia="宋体"/>
          <w:color w:val="auto"/>
          <w:sz w:val="24"/>
          <w:lang w:eastAsia="zh-CN"/>
        </w:rPr>
      </w:pPr>
      <w:r>
        <w:rPr>
          <w:rFonts w:hint="eastAsia" w:eastAsia="宋体"/>
          <w:color w:val="auto"/>
          <w:sz w:val="24"/>
          <w:lang w:eastAsia="zh-CN"/>
        </w:rPr>
        <w:t>曝气生物滤池（</w:t>
      </w:r>
      <w:r>
        <w:rPr>
          <w:rFonts w:hint="eastAsia" w:eastAsia="宋体"/>
          <w:color w:val="auto"/>
          <w:sz w:val="24"/>
          <w:lang w:val="en-US" w:eastAsia="zh-CN"/>
        </w:rPr>
        <w:t>简称BAF</w:t>
      </w:r>
      <w:r>
        <w:rPr>
          <w:rFonts w:hint="eastAsia" w:eastAsia="宋体"/>
          <w:color w:val="auto"/>
          <w:sz w:val="24"/>
          <w:lang w:eastAsia="zh-CN"/>
        </w:rPr>
        <w:t>）是</w:t>
      </w:r>
      <w:r>
        <w:rPr>
          <w:rFonts w:hint="eastAsia" w:eastAsia="宋体"/>
          <w:color w:val="auto"/>
          <w:sz w:val="24"/>
          <w:lang w:val="en-US" w:eastAsia="zh-CN"/>
        </w:rPr>
        <w:t>一种集生物降解、固液分离于一体的污水处理工艺，将生物接触氧化与过滤结合在一起，不设沉淀池，通过反冲洗再生实现滤池的周期运行。用于去除污水中的有机物、SS和硝化去除氨氮。</w:t>
      </w:r>
    </w:p>
    <w:p w14:paraId="4A8CC6FC">
      <w:pPr>
        <w:pStyle w:val="61"/>
        <w:numPr>
          <w:ilvl w:val="0"/>
          <w:numId w:val="0"/>
        </w:numPr>
        <w:spacing w:before="0" w:after="0"/>
        <w:rPr>
          <w:rFonts w:eastAsia="宋体"/>
          <w:color w:val="auto"/>
        </w:rPr>
      </w:pPr>
      <w:r>
        <w:rPr>
          <w:rFonts w:eastAsia="宋体"/>
          <w:color w:val="auto"/>
        </w:rPr>
        <w:t>2.2.4消毒工艺</w:t>
      </w:r>
    </w:p>
    <w:p w14:paraId="63BDFF03">
      <w:pPr>
        <w:pStyle w:val="46"/>
        <w:ind w:firstLine="480"/>
        <w:rPr>
          <w:rFonts w:eastAsia="宋体"/>
          <w:color w:val="auto"/>
          <w:sz w:val="24"/>
        </w:rPr>
      </w:pPr>
      <w:r>
        <w:rPr>
          <w:rFonts w:hint="eastAsia" w:eastAsia="宋体"/>
          <w:color w:val="auto"/>
          <w:sz w:val="24"/>
        </w:rPr>
        <w:t>城市污水处理最后处理步骤是消毒，消毒方法大体上可分为两类：物理方法和化学方法。物理方法主要有加热、冷冻、紫外线等方法。化学方法是利用各种化学药剂进行消毒，常用的化学药剂有氯及其化合物。</w:t>
      </w:r>
    </w:p>
    <w:p w14:paraId="4F84A5AA">
      <w:pPr>
        <w:pStyle w:val="63"/>
        <w:keepNext w:val="0"/>
        <w:keepLines w:val="0"/>
        <w:pageBreakBefore w:val="0"/>
        <w:widowControl/>
        <w:kinsoku/>
        <w:wordWrap/>
        <w:overflowPunct/>
        <w:topLinePunct w:val="0"/>
        <w:autoSpaceDE/>
        <w:autoSpaceDN/>
        <w:bidi w:val="0"/>
        <w:snapToGrid w:val="0"/>
        <w:spacing w:before="0" w:beforeLines="0" w:after="0" w:afterLines="0" w:line="240" w:lineRule="auto"/>
        <w:textAlignment w:val="auto"/>
        <w:rPr>
          <w:rFonts w:eastAsia="宋体"/>
          <w:color w:val="auto"/>
        </w:rPr>
      </w:pPr>
      <w:r>
        <w:rPr>
          <w:rFonts w:eastAsia="宋体"/>
          <w:color w:val="auto"/>
        </w:rPr>
        <w:t>表2.2-1</w:t>
      </w:r>
      <w:r>
        <w:rPr>
          <w:rFonts w:hint="eastAsia" w:eastAsia="宋体"/>
          <w:color w:val="auto"/>
          <w:lang w:val="en-US" w:eastAsia="zh-CN"/>
        </w:rPr>
        <w:t xml:space="preserve">    </w:t>
      </w:r>
      <w:r>
        <w:rPr>
          <w:rFonts w:hint="eastAsia" w:eastAsia="宋体"/>
          <w:color w:val="auto"/>
        </w:rPr>
        <w:t>几种消毒方法比较</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706"/>
        <w:gridCol w:w="995"/>
        <w:gridCol w:w="1461"/>
        <w:gridCol w:w="1463"/>
        <w:gridCol w:w="1463"/>
        <w:gridCol w:w="1461"/>
        <w:gridCol w:w="1477"/>
      </w:tblGrid>
      <w:tr w14:paraId="362C5AB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4A73FDBB">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项目</w:t>
            </w:r>
          </w:p>
        </w:tc>
        <w:tc>
          <w:tcPr>
            <w:tcW w:w="809" w:type="pct"/>
            <w:vAlign w:val="center"/>
          </w:tcPr>
          <w:p w14:paraId="1474A6CB">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液氮</w:t>
            </w:r>
          </w:p>
        </w:tc>
        <w:tc>
          <w:tcPr>
            <w:tcW w:w="810" w:type="pct"/>
            <w:vAlign w:val="center"/>
          </w:tcPr>
          <w:p w14:paraId="0BE02F99">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次氯酸钠</w:t>
            </w:r>
          </w:p>
        </w:tc>
        <w:tc>
          <w:tcPr>
            <w:tcW w:w="810" w:type="pct"/>
            <w:vAlign w:val="center"/>
          </w:tcPr>
          <w:p w14:paraId="057BD8B5">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二氧化氯</w:t>
            </w:r>
          </w:p>
        </w:tc>
        <w:tc>
          <w:tcPr>
            <w:tcW w:w="809" w:type="pct"/>
            <w:vAlign w:val="center"/>
          </w:tcPr>
          <w:p w14:paraId="718C6159">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臭氧</w:t>
            </w:r>
          </w:p>
        </w:tc>
        <w:tc>
          <w:tcPr>
            <w:tcW w:w="818" w:type="pct"/>
            <w:vAlign w:val="center"/>
          </w:tcPr>
          <w:p w14:paraId="7ABD23CA">
            <w:pPr>
              <w:pStyle w:val="41"/>
              <w:keepNext w:val="0"/>
              <w:keepLines w:val="0"/>
              <w:pageBreakBefore w:val="0"/>
              <w:widowControl/>
              <w:kinsoku/>
              <w:wordWrap/>
              <w:overflowPunct/>
              <w:topLinePunct w:val="0"/>
              <w:autoSpaceDE/>
              <w:autoSpaceDN/>
              <w:bidi w:val="0"/>
              <w:snapToGrid w:val="0"/>
              <w:spacing w:line="240" w:lineRule="auto"/>
              <w:textAlignment w:val="auto"/>
              <w:rPr>
                <w:b/>
                <w:color w:val="auto"/>
                <w:sz w:val="21"/>
                <w:szCs w:val="21"/>
              </w:rPr>
            </w:pPr>
            <w:r>
              <w:rPr>
                <w:b/>
                <w:color w:val="auto"/>
                <w:sz w:val="21"/>
                <w:szCs w:val="21"/>
              </w:rPr>
              <w:t>紫外线</w:t>
            </w:r>
          </w:p>
        </w:tc>
      </w:tr>
      <w:tr w14:paraId="5EA7CBA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2FBBFD98">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使用</w:t>
            </w:r>
            <w:r>
              <w:rPr>
                <w:color w:val="auto"/>
                <w:sz w:val="21"/>
                <w:szCs w:val="21"/>
              </w:rPr>
              <w:t>剂量（mg/L）</w:t>
            </w:r>
          </w:p>
        </w:tc>
        <w:tc>
          <w:tcPr>
            <w:tcW w:w="809" w:type="pct"/>
            <w:vAlign w:val="center"/>
          </w:tcPr>
          <w:p w14:paraId="2D79B80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color w:val="auto"/>
                <w:sz w:val="21"/>
                <w:szCs w:val="21"/>
              </w:rPr>
              <w:t>10</w:t>
            </w:r>
          </w:p>
        </w:tc>
        <w:tc>
          <w:tcPr>
            <w:tcW w:w="810" w:type="pct"/>
            <w:vAlign w:val="center"/>
          </w:tcPr>
          <w:p w14:paraId="75EA787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1</w:t>
            </w:r>
            <w:r>
              <w:rPr>
                <w:color w:val="auto"/>
                <w:sz w:val="21"/>
                <w:szCs w:val="21"/>
              </w:rPr>
              <w:t>0</w:t>
            </w:r>
          </w:p>
        </w:tc>
        <w:tc>
          <w:tcPr>
            <w:tcW w:w="810" w:type="pct"/>
            <w:vAlign w:val="center"/>
          </w:tcPr>
          <w:p w14:paraId="1525174F">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2~</w:t>
            </w:r>
            <w:r>
              <w:rPr>
                <w:color w:val="auto"/>
                <w:sz w:val="21"/>
                <w:szCs w:val="21"/>
              </w:rPr>
              <w:t>8</w:t>
            </w:r>
          </w:p>
        </w:tc>
        <w:tc>
          <w:tcPr>
            <w:tcW w:w="809" w:type="pct"/>
            <w:vAlign w:val="center"/>
          </w:tcPr>
          <w:p w14:paraId="6548CC83">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color w:val="auto"/>
                <w:sz w:val="21"/>
                <w:szCs w:val="21"/>
              </w:rPr>
              <w:t>10</w:t>
            </w:r>
          </w:p>
        </w:tc>
        <w:tc>
          <w:tcPr>
            <w:tcW w:w="818" w:type="pct"/>
            <w:vAlign w:val="center"/>
          </w:tcPr>
          <w:p w14:paraId="4B30CD08">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w:t>
            </w:r>
          </w:p>
        </w:tc>
      </w:tr>
      <w:tr w14:paraId="760FB9C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4491AC5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接触</w:t>
            </w:r>
            <w:r>
              <w:rPr>
                <w:color w:val="auto"/>
                <w:sz w:val="21"/>
                <w:szCs w:val="21"/>
              </w:rPr>
              <w:t>时间</w:t>
            </w:r>
            <w:r>
              <w:rPr>
                <w:rFonts w:hint="eastAsia"/>
                <w:color w:val="auto"/>
                <w:sz w:val="21"/>
                <w:szCs w:val="21"/>
              </w:rPr>
              <w:t>（min）</w:t>
            </w:r>
          </w:p>
        </w:tc>
        <w:tc>
          <w:tcPr>
            <w:tcW w:w="809" w:type="pct"/>
            <w:vAlign w:val="center"/>
          </w:tcPr>
          <w:p w14:paraId="0826EF74">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1</w:t>
            </w:r>
            <w:r>
              <w:rPr>
                <w:color w:val="auto"/>
                <w:sz w:val="21"/>
                <w:szCs w:val="21"/>
              </w:rPr>
              <w:t>0</w:t>
            </w:r>
            <w:r>
              <w:rPr>
                <w:rFonts w:hint="eastAsia"/>
                <w:color w:val="auto"/>
                <w:sz w:val="21"/>
                <w:szCs w:val="21"/>
              </w:rPr>
              <w:t>~</w:t>
            </w:r>
            <w:r>
              <w:rPr>
                <w:color w:val="auto"/>
                <w:sz w:val="21"/>
                <w:szCs w:val="21"/>
              </w:rPr>
              <w:t>30</w:t>
            </w:r>
          </w:p>
        </w:tc>
        <w:tc>
          <w:tcPr>
            <w:tcW w:w="810" w:type="pct"/>
            <w:vAlign w:val="center"/>
          </w:tcPr>
          <w:p w14:paraId="2F8B823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3</w:t>
            </w:r>
            <w:r>
              <w:rPr>
                <w:color w:val="auto"/>
                <w:sz w:val="21"/>
                <w:szCs w:val="21"/>
              </w:rPr>
              <w:t>0</w:t>
            </w:r>
          </w:p>
        </w:tc>
        <w:tc>
          <w:tcPr>
            <w:tcW w:w="810" w:type="pct"/>
            <w:vAlign w:val="center"/>
          </w:tcPr>
          <w:p w14:paraId="1CE4C46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1</w:t>
            </w:r>
            <w:r>
              <w:rPr>
                <w:color w:val="auto"/>
                <w:sz w:val="21"/>
                <w:szCs w:val="21"/>
              </w:rPr>
              <w:t>0</w:t>
            </w:r>
            <w:r>
              <w:rPr>
                <w:rFonts w:hint="eastAsia"/>
                <w:color w:val="auto"/>
                <w:sz w:val="21"/>
                <w:szCs w:val="21"/>
              </w:rPr>
              <w:t>~</w:t>
            </w:r>
            <w:r>
              <w:rPr>
                <w:color w:val="auto"/>
                <w:sz w:val="21"/>
                <w:szCs w:val="21"/>
              </w:rPr>
              <w:t>20</w:t>
            </w:r>
          </w:p>
        </w:tc>
        <w:tc>
          <w:tcPr>
            <w:tcW w:w="809" w:type="pct"/>
            <w:vAlign w:val="center"/>
          </w:tcPr>
          <w:p w14:paraId="2D823F1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5~</w:t>
            </w:r>
            <w:r>
              <w:rPr>
                <w:color w:val="auto"/>
                <w:sz w:val="21"/>
                <w:szCs w:val="21"/>
              </w:rPr>
              <w:t>10</w:t>
            </w:r>
          </w:p>
        </w:tc>
        <w:tc>
          <w:tcPr>
            <w:tcW w:w="818" w:type="pct"/>
            <w:vAlign w:val="center"/>
          </w:tcPr>
          <w:p w14:paraId="2B40035C">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color w:val="auto"/>
                <w:sz w:val="21"/>
                <w:szCs w:val="21"/>
              </w:rPr>
              <w:t>短</w:t>
            </w:r>
          </w:p>
        </w:tc>
      </w:tr>
      <w:tr w14:paraId="113F8F2D">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391" w:type="pct"/>
            <w:vMerge w:val="restart"/>
            <w:vAlign w:val="center"/>
          </w:tcPr>
          <w:p w14:paraId="10B5CDEB">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效果</w:t>
            </w:r>
          </w:p>
        </w:tc>
        <w:tc>
          <w:tcPr>
            <w:tcW w:w="551" w:type="pct"/>
            <w:vAlign w:val="center"/>
          </w:tcPr>
          <w:p w14:paraId="07063BD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对细菌</w:t>
            </w:r>
          </w:p>
        </w:tc>
        <w:tc>
          <w:tcPr>
            <w:tcW w:w="809" w:type="pct"/>
            <w:vAlign w:val="center"/>
          </w:tcPr>
          <w:p w14:paraId="6739370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c>
          <w:tcPr>
            <w:tcW w:w="810" w:type="pct"/>
            <w:vAlign w:val="center"/>
          </w:tcPr>
          <w:p w14:paraId="6F023372">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c>
          <w:tcPr>
            <w:tcW w:w="810" w:type="pct"/>
            <w:vAlign w:val="center"/>
          </w:tcPr>
          <w:p w14:paraId="5567D15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c>
          <w:tcPr>
            <w:tcW w:w="809" w:type="pct"/>
            <w:vAlign w:val="center"/>
          </w:tcPr>
          <w:p w14:paraId="5C21B38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c>
          <w:tcPr>
            <w:tcW w:w="818" w:type="pct"/>
            <w:vAlign w:val="center"/>
          </w:tcPr>
          <w:p w14:paraId="5F67AFAB">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r>
      <w:tr w14:paraId="17BEBE4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vAlign w:val="center"/>
          </w:tcPr>
          <w:p w14:paraId="763C2CE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p>
        </w:tc>
        <w:tc>
          <w:tcPr>
            <w:tcW w:w="551" w:type="pct"/>
            <w:vAlign w:val="center"/>
          </w:tcPr>
          <w:p w14:paraId="157D3CC6">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对病毒</w:t>
            </w:r>
          </w:p>
        </w:tc>
        <w:tc>
          <w:tcPr>
            <w:tcW w:w="809" w:type="pct"/>
            <w:vAlign w:val="center"/>
          </w:tcPr>
          <w:p w14:paraId="52319263">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部分有效</w:t>
            </w:r>
          </w:p>
        </w:tc>
        <w:tc>
          <w:tcPr>
            <w:tcW w:w="810" w:type="pct"/>
            <w:vAlign w:val="center"/>
          </w:tcPr>
          <w:p w14:paraId="3BA609F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部分有效</w:t>
            </w:r>
          </w:p>
        </w:tc>
        <w:tc>
          <w:tcPr>
            <w:tcW w:w="810" w:type="pct"/>
            <w:vAlign w:val="center"/>
          </w:tcPr>
          <w:p w14:paraId="3F25C4D8">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部分有效</w:t>
            </w:r>
          </w:p>
        </w:tc>
        <w:tc>
          <w:tcPr>
            <w:tcW w:w="809" w:type="pct"/>
            <w:vAlign w:val="center"/>
          </w:tcPr>
          <w:p w14:paraId="47967D52">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c>
          <w:tcPr>
            <w:tcW w:w="818" w:type="pct"/>
            <w:vAlign w:val="center"/>
          </w:tcPr>
          <w:p w14:paraId="208790BF">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r>
      <w:tr w14:paraId="5601075C">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391" w:type="pct"/>
            <w:vMerge w:val="continue"/>
            <w:vAlign w:val="center"/>
          </w:tcPr>
          <w:p w14:paraId="5D8FA6F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p>
        </w:tc>
        <w:tc>
          <w:tcPr>
            <w:tcW w:w="551" w:type="pct"/>
            <w:vAlign w:val="center"/>
          </w:tcPr>
          <w:p w14:paraId="2597E552">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对芽孢</w:t>
            </w:r>
          </w:p>
        </w:tc>
        <w:tc>
          <w:tcPr>
            <w:tcW w:w="809" w:type="pct"/>
            <w:vAlign w:val="center"/>
          </w:tcPr>
          <w:p w14:paraId="36E3D36D">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无效</w:t>
            </w:r>
          </w:p>
        </w:tc>
        <w:tc>
          <w:tcPr>
            <w:tcW w:w="810" w:type="pct"/>
            <w:vAlign w:val="center"/>
          </w:tcPr>
          <w:p w14:paraId="6EAEB6ED">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无效</w:t>
            </w:r>
          </w:p>
        </w:tc>
        <w:tc>
          <w:tcPr>
            <w:tcW w:w="810" w:type="pct"/>
            <w:vAlign w:val="center"/>
          </w:tcPr>
          <w:p w14:paraId="17ED4477">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无效</w:t>
            </w:r>
          </w:p>
        </w:tc>
        <w:tc>
          <w:tcPr>
            <w:tcW w:w="809" w:type="pct"/>
            <w:vAlign w:val="center"/>
          </w:tcPr>
          <w:p w14:paraId="1D6A0AD8">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无效</w:t>
            </w:r>
          </w:p>
        </w:tc>
        <w:tc>
          <w:tcPr>
            <w:tcW w:w="818" w:type="pct"/>
            <w:vAlign w:val="center"/>
          </w:tcPr>
          <w:p w14:paraId="311414CD">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有效</w:t>
            </w:r>
          </w:p>
        </w:tc>
      </w:tr>
      <w:tr w14:paraId="42A214DF">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54B1935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建设投资</w:t>
            </w:r>
          </w:p>
        </w:tc>
        <w:tc>
          <w:tcPr>
            <w:tcW w:w="809" w:type="pct"/>
            <w:vAlign w:val="center"/>
          </w:tcPr>
          <w:p w14:paraId="2DBB629B">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较高</w:t>
            </w:r>
          </w:p>
        </w:tc>
        <w:tc>
          <w:tcPr>
            <w:tcW w:w="810" w:type="pct"/>
            <w:vAlign w:val="center"/>
          </w:tcPr>
          <w:p w14:paraId="0BC34ABD">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低</w:t>
            </w:r>
          </w:p>
        </w:tc>
        <w:tc>
          <w:tcPr>
            <w:tcW w:w="810" w:type="pct"/>
            <w:vAlign w:val="center"/>
          </w:tcPr>
          <w:p w14:paraId="2E566F48">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低</w:t>
            </w:r>
          </w:p>
        </w:tc>
        <w:tc>
          <w:tcPr>
            <w:tcW w:w="809" w:type="pct"/>
            <w:vAlign w:val="center"/>
          </w:tcPr>
          <w:p w14:paraId="4DE063C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高</w:t>
            </w:r>
          </w:p>
        </w:tc>
        <w:tc>
          <w:tcPr>
            <w:tcW w:w="818" w:type="pct"/>
            <w:vAlign w:val="center"/>
          </w:tcPr>
          <w:p w14:paraId="23092F23">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较高</w:t>
            </w:r>
          </w:p>
        </w:tc>
      </w:tr>
      <w:tr w14:paraId="013772C3">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2F76E0C3">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运行费用</w:t>
            </w:r>
          </w:p>
        </w:tc>
        <w:tc>
          <w:tcPr>
            <w:tcW w:w="809" w:type="pct"/>
            <w:vAlign w:val="center"/>
          </w:tcPr>
          <w:p w14:paraId="40902A3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低</w:t>
            </w:r>
          </w:p>
        </w:tc>
        <w:tc>
          <w:tcPr>
            <w:tcW w:w="810" w:type="pct"/>
            <w:vAlign w:val="center"/>
          </w:tcPr>
          <w:p w14:paraId="4F370E6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较高</w:t>
            </w:r>
          </w:p>
        </w:tc>
        <w:tc>
          <w:tcPr>
            <w:tcW w:w="810" w:type="pct"/>
            <w:vAlign w:val="center"/>
          </w:tcPr>
          <w:p w14:paraId="60B13A8F">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低</w:t>
            </w:r>
          </w:p>
        </w:tc>
        <w:tc>
          <w:tcPr>
            <w:tcW w:w="809" w:type="pct"/>
            <w:vAlign w:val="center"/>
          </w:tcPr>
          <w:p w14:paraId="68F59E07">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高</w:t>
            </w:r>
          </w:p>
        </w:tc>
        <w:tc>
          <w:tcPr>
            <w:tcW w:w="818" w:type="pct"/>
            <w:vAlign w:val="center"/>
          </w:tcPr>
          <w:p w14:paraId="749C7317">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较高</w:t>
            </w:r>
          </w:p>
        </w:tc>
      </w:tr>
      <w:tr w14:paraId="6EEB9AF0">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65D9406F">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持续消毒</w:t>
            </w:r>
          </w:p>
        </w:tc>
        <w:tc>
          <w:tcPr>
            <w:tcW w:w="809" w:type="pct"/>
            <w:vAlign w:val="center"/>
          </w:tcPr>
          <w:p w14:paraId="2BF6B0BC">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w:t>
            </w:r>
          </w:p>
        </w:tc>
        <w:tc>
          <w:tcPr>
            <w:tcW w:w="810" w:type="pct"/>
            <w:vAlign w:val="center"/>
          </w:tcPr>
          <w:p w14:paraId="2A72CC03">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w:t>
            </w:r>
          </w:p>
        </w:tc>
        <w:tc>
          <w:tcPr>
            <w:tcW w:w="810" w:type="pct"/>
            <w:vAlign w:val="center"/>
          </w:tcPr>
          <w:p w14:paraId="3E627964">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有</w:t>
            </w:r>
          </w:p>
        </w:tc>
        <w:tc>
          <w:tcPr>
            <w:tcW w:w="809" w:type="pct"/>
            <w:vAlign w:val="center"/>
          </w:tcPr>
          <w:p w14:paraId="187D0CCA">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w:t>
            </w:r>
          </w:p>
        </w:tc>
        <w:tc>
          <w:tcPr>
            <w:tcW w:w="818" w:type="pct"/>
            <w:vAlign w:val="center"/>
          </w:tcPr>
          <w:p w14:paraId="4820753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w:t>
            </w:r>
          </w:p>
        </w:tc>
      </w:tr>
      <w:tr w14:paraId="43D93C21">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0B7B995A">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操作管理</w:t>
            </w:r>
          </w:p>
        </w:tc>
        <w:tc>
          <w:tcPr>
            <w:tcW w:w="809" w:type="pct"/>
            <w:vAlign w:val="center"/>
          </w:tcPr>
          <w:p w14:paraId="46A3FB9A">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一般</w:t>
            </w:r>
          </w:p>
        </w:tc>
        <w:tc>
          <w:tcPr>
            <w:tcW w:w="810" w:type="pct"/>
            <w:vAlign w:val="center"/>
          </w:tcPr>
          <w:p w14:paraId="6DD94D80">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复杂、阳极易损</w:t>
            </w:r>
          </w:p>
        </w:tc>
        <w:tc>
          <w:tcPr>
            <w:tcW w:w="810" w:type="pct"/>
            <w:vAlign w:val="center"/>
          </w:tcPr>
          <w:p w14:paraId="30F37D02">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简单、维护方便、使用寿命长</w:t>
            </w:r>
          </w:p>
        </w:tc>
        <w:tc>
          <w:tcPr>
            <w:tcW w:w="809" w:type="pct"/>
            <w:vAlign w:val="center"/>
          </w:tcPr>
          <w:p w14:paraId="02FCB12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较复杂</w:t>
            </w:r>
          </w:p>
        </w:tc>
        <w:tc>
          <w:tcPr>
            <w:tcW w:w="818" w:type="pct"/>
            <w:vAlign w:val="center"/>
          </w:tcPr>
          <w:p w14:paraId="5BBB8ED9">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简单，灯管寿命短</w:t>
            </w:r>
          </w:p>
        </w:tc>
      </w:tr>
      <w:tr w14:paraId="311DE95B">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3A003CFA">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优点</w:t>
            </w:r>
          </w:p>
        </w:tc>
        <w:tc>
          <w:tcPr>
            <w:tcW w:w="809" w:type="pct"/>
            <w:vAlign w:val="center"/>
          </w:tcPr>
          <w:p w14:paraId="3712072D">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便宜、成熟、有后续消毒作用</w:t>
            </w:r>
          </w:p>
        </w:tc>
        <w:tc>
          <w:tcPr>
            <w:tcW w:w="810" w:type="pct"/>
            <w:vAlign w:val="center"/>
          </w:tcPr>
          <w:p w14:paraId="4E7B9D9E">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处理效果稳定，设备投资少</w:t>
            </w:r>
          </w:p>
        </w:tc>
        <w:tc>
          <w:tcPr>
            <w:tcW w:w="810" w:type="pct"/>
            <w:vAlign w:val="center"/>
          </w:tcPr>
          <w:p w14:paraId="1D83001A">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杀菌效果好，无气味，比氯有更长的持续消毒效果，基本不产生消毒副产物</w:t>
            </w:r>
          </w:p>
        </w:tc>
        <w:tc>
          <w:tcPr>
            <w:tcW w:w="809" w:type="pct"/>
            <w:vAlign w:val="center"/>
          </w:tcPr>
          <w:p w14:paraId="1B6F14D5">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除色、臭味效果好，现场溶解氧增加，无毒</w:t>
            </w:r>
          </w:p>
        </w:tc>
        <w:tc>
          <w:tcPr>
            <w:tcW w:w="818" w:type="pct"/>
            <w:vAlign w:val="center"/>
          </w:tcPr>
          <w:p w14:paraId="03D7FCA1">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快速，效果好，无化学药剂</w:t>
            </w:r>
          </w:p>
        </w:tc>
      </w:tr>
      <w:tr w14:paraId="3DD5FC94">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942" w:type="pct"/>
            <w:gridSpan w:val="2"/>
            <w:vAlign w:val="center"/>
          </w:tcPr>
          <w:p w14:paraId="6662F656">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缺点</w:t>
            </w:r>
          </w:p>
        </w:tc>
        <w:tc>
          <w:tcPr>
            <w:tcW w:w="809" w:type="pct"/>
            <w:vAlign w:val="center"/>
          </w:tcPr>
          <w:p w14:paraId="77A34F8B">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对某些病毒、芽孢无效，残毒、有臭味，会产生消毒副产物</w:t>
            </w:r>
          </w:p>
        </w:tc>
        <w:tc>
          <w:tcPr>
            <w:tcW w:w="810" w:type="pct"/>
            <w:vAlign w:val="center"/>
          </w:tcPr>
          <w:p w14:paraId="444C59A7">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比液氮贵，会产生消毒副产物</w:t>
            </w:r>
          </w:p>
        </w:tc>
        <w:tc>
          <w:tcPr>
            <w:tcW w:w="810" w:type="pct"/>
            <w:vAlign w:val="center"/>
          </w:tcPr>
          <w:p w14:paraId="455733FC">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维修管理要求较高</w:t>
            </w:r>
          </w:p>
        </w:tc>
        <w:tc>
          <w:tcPr>
            <w:tcW w:w="809" w:type="pct"/>
            <w:vAlign w:val="center"/>
          </w:tcPr>
          <w:p w14:paraId="5F257BA5">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比氯贵，无后续作用</w:t>
            </w:r>
          </w:p>
        </w:tc>
        <w:tc>
          <w:tcPr>
            <w:tcW w:w="818" w:type="pct"/>
            <w:vAlign w:val="center"/>
          </w:tcPr>
          <w:p w14:paraId="74BB0864">
            <w:pPr>
              <w:pStyle w:val="41"/>
              <w:keepNext w:val="0"/>
              <w:keepLines w:val="0"/>
              <w:pageBreakBefore w:val="0"/>
              <w:widowControl/>
              <w:kinsoku/>
              <w:wordWrap/>
              <w:overflowPunct/>
              <w:topLinePunct w:val="0"/>
              <w:autoSpaceDE/>
              <w:autoSpaceDN/>
              <w:bidi w:val="0"/>
              <w:snapToGrid w:val="0"/>
              <w:spacing w:line="240" w:lineRule="auto"/>
              <w:textAlignment w:val="auto"/>
              <w:rPr>
                <w:color w:val="auto"/>
                <w:sz w:val="21"/>
                <w:szCs w:val="21"/>
              </w:rPr>
            </w:pPr>
            <w:r>
              <w:rPr>
                <w:rFonts w:hint="eastAsia"/>
                <w:color w:val="auto"/>
                <w:sz w:val="21"/>
                <w:szCs w:val="21"/>
              </w:rPr>
              <w:t>无后续作用，对进水浊度要求较高</w:t>
            </w:r>
          </w:p>
        </w:tc>
      </w:tr>
    </w:tbl>
    <w:p w14:paraId="282C2475">
      <w:pPr>
        <w:pStyle w:val="46"/>
        <w:ind w:firstLine="480"/>
        <w:rPr>
          <w:rFonts w:eastAsia="宋体"/>
          <w:color w:val="auto"/>
          <w:sz w:val="24"/>
        </w:rPr>
      </w:pPr>
      <w:r>
        <w:rPr>
          <w:rFonts w:hint="eastAsia" w:eastAsia="宋体"/>
          <w:color w:val="auto"/>
          <w:sz w:val="24"/>
        </w:rPr>
        <w:t>经过上述比较，紫外线、臭氧消毒工艺，一次性投资高，运行费用较高，设备维护管理麻烦，且无持续消毒能力</w:t>
      </w:r>
      <w:r>
        <w:rPr>
          <w:rFonts w:hint="eastAsia" w:eastAsia="宋体"/>
          <w:color w:val="auto"/>
          <w:sz w:val="24"/>
          <w:lang w:eastAsia="zh-CN"/>
        </w:rPr>
        <w:t>；</w:t>
      </w:r>
      <w:r>
        <w:rPr>
          <w:rFonts w:hint="eastAsia" w:eastAsia="宋体"/>
          <w:color w:val="auto"/>
          <w:sz w:val="24"/>
        </w:rPr>
        <w:t>氯气消毒过程存在较大的安全隐患</w:t>
      </w:r>
      <w:r>
        <w:rPr>
          <w:rFonts w:hint="eastAsia" w:eastAsia="宋体"/>
          <w:color w:val="auto"/>
          <w:sz w:val="24"/>
          <w:lang w:eastAsia="zh-CN"/>
        </w:rPr>
        <w:t>；</w:t>
      </w:r>
      <w:r>
        <w:rPr>
          <w:rFonts w:hint="eastAsia" w:eastAsia="宋体"/>
          <w:color w:val="auto"/>
          <w:sz w:val="24"/>
        </w:rPr>
        <w:t>次氯酸钠和二氧化氯消毒均是广谱高效的灭菌剂且具有持续消毒能力，制备二氧化氯的原材料浓盐酸属于危险品，存在安全隐患且管控严格</w:t>
      </w:r>
      <w:r>
        <w:rPr>
          <w:rFonts w:hint="eastAsia" w:eastAsia="宋体"/>
          <w:color w:val="auto"/>
          <w:sz w:val="24"/>
          <w:lang w:eastAsia="zh-CN"/>
        </w:rPr>
        <w:t>。</w:t>
      </w:r>
      <w:r>
        <w:rPr>
          <w:rFonts w:hint="eastAsia" w:eastAsia="宋体"/>
          <w:color w:val="auto"/>
          <w:sz w:val="24"/>
          <w:lang w:val="en-US" w:eastAsia="zh-CN"/>
        </w:rPr>
        <w:t>综上所述，</w:t>
      </w:r>
      <w:r>
        <w:rPr>
          <w:rFonts w:hint="eastAsia" w:eastAsia="宋体"/>
          <w:color w:val="auto"/>
          <w:sz w:val="24"/>
        </w:rPr>
        <w:t>本工程采用成品次氯酸钠消毒</w:t>
      </w:r>
      <w:r>
        <w:rPr>
          <w:rFonts w:hint="eastAsia" w:eastAsia="宋体"/>
          <w:color w:val="auto"/>
          <w:sz w:val="24"/>
          <w:lang w:eastAsia="zh-CN"/>
        </w:rPr>
        <w:t>是</w:t>
      </w:r>
      <w:r>
        <w:rPr>
          <w:rFonts w:hint="eastAsia" w:eastAsia="宋体"/>
          <w:color w:val="auto"/>
          <w:sz w:val="24"/>
          <w:lang w:val="en-US" w:eastAsia="zh-CN"/>
        </w:rPr>
        <w:t>合理的</w:t>
      </w:r>
      <w:r>
        <w:rPr>
          <w:rFonts w:hint="eastAsia" w:eastAsia="宋体"/>
          <w:color w:val="auto"/>
          <w:sz w:val="24"/>
        </w:rPr>
        <w:t>。</w:t>
      </w:r>
    </w:p>
    <w:p w14:paraId="3C70A80F">
      <w:pPr>
        <w:pStyle w:val="61"/>
        <w:numPr>
          <w:ilvl w:val="0"/>
          <w:numId w:val="0"/>
        </w:numPr>
        <w:spacing w:before="0" w:after="0"/>
        <w:rPr>
          <w:rFonts w:eastAsia="宋体"/>
          <w:color w:val="auto"/>
        </w:rPr>
      </w:pPr>
      <w:r>
        <w:rPr>
          <w:rFonts w:eastAsia="宋体"/>
          <w:color w:val="auto"/>
        </w:rPr>
        <w:t>2.2.5污水处理</w:t>
      </w:r>
      <w:r>
        <w:rPr>
          <w:rFonts w:hint="eastAsia" w:eastAsia="宋体"/>
          <w:color w:val="auto"/>
        </w:rPr>
        <w:t>程度</w:t>
      </w:r>
    </w:p>
    <w:p w14:paraId="69F3CC1E">
      <w:pPr>
        <w:pStyle w:val="46"/>
        <w:ind w:firstLine="480"/>
        <w:rPr>
          <w:rFonts w:eastAsia="宋体"/>
          <w:color w:val="auto"/>
          <w:sz w:val="24"/>
        </w:rPr>
      </w:pPr>
      <w:r>
        <w:rPr>
          <w:rFonts w:hint="eastAsia" w:eastAsia="宋体"/>
          <w:color w:val="auto"/>
          <w:sz w:val="24"/>
          <w:lang w:val="en-US" w:eastAsia="zh-CN"/>
        </w:rPr>
        <w:t>本项目废水产、排放情况</w:t>
      </w:r>
      <w:r>
        <w:rPr>
          <w:rFonts w:hint="eastAsia" w:eastAsia="宋体"/>
          <w:color w:val="auto"/>
          <w:sz w:val="24"/>
        </w:rPr>
        <w:t>依据</w:t>
      </w:r>
      <w:r>
        <w:rPr>
          <w:rFonts w:hint="eastAsia" w:eastAsia="宋体"/>
          <w:color w:val="auto"/>
          <w:sz w:val="24"/>
          <w:lang w:eastAsia="zh-CN"/>
        </w:rPr>
        <w:t>《</w:t>
      </w:r>
      <w:r>
        <w:rPr>
          <w:rFonts w:hint="eastAsia" w:eastAsia="宋体"/>
          <w:color w:val="auto"/>
          <w:sz w:val="24"/>
        </w:rPr>
        <w:t>西安市西南郊水厂近期工程第一阶段项目（重大变动）</w:t>
      </w:r>
      <w:r>
        <w:rPr>
          <w:rFonts w:hint="eastAsia" w:eastAsia="宋体"/>
          <w:color w:val="auto"/>
          <w:sz w:val="24"/>
          <w:lang w:val="en-US" w:eastAsia="zh-CN"/>
        </w:rPr>
        <w:t>环境影响评价报告表</w:t>
      </w:r>
      <w:r>
        <w:rPr>
          <w:rFonts w:hint="eastAsia" w:eastAsia="宋体"/>
          <w:color w:val="auto"/>
          <w:sz w:val="24"/>
          <w:lang w:eastAsia="zh-CN"/>
        </w:rPr>
        <w:t>》，</w:t>
      </w:r>
      <w:r>
        <w:rPr>
          <w:rFonts w:hint="eastAsia" w:eastAsia="宋体"/>
          <w:color w:val="auto"/>
          <w:sz w:val="24"/>
          <w:lang w:val="en-US" w:eastAsia="zh-CN"/>
        </w:rPr>
        <w:t>该项目已于2022年7月14日取得了西安市生态环境局鄠邑分局的批复（鄠环批</w:t>
      </w:r>
      <w:r>
        <w:rPr>
          <w:rFonts w:hint="eastAsia" w:ascii="宋体" w:hAnsi="宋体" w:eastAsia="宋体" w:cs="宋体"/>
          <w:color w:val="auto"/>
          <w:sz w:val="24"/>
          <w:lang w:val="en-US" w:eastAsia="zh-CN"/>
        </w:rPr>
        <w:t>复〔</w:t>
      </w:r>
      <w:r>
        <w:rPr>
          <w:rFonts w:hint="default" w:ascii="Times New Roman" w:hAnsi="Times New Roman" w:eastAsia="宋体" w:cs="Times New Roman"/>
          <w:color w:val="auto"/>
          <w:sz w:val="24"/>
          <w:lang w:val="en-US" w:eastAsia="zh-CN"/>
        </w:rPr>
        <w:t>2022</w:t>
      </w:r>
      <w:r>
        <w:rPr>
          <w:rFonts w:hint="eastAsia" w:ascii="宋体" w:hAnsi="宋体" w:eastAsia="宋体" w:cs="宋体"/>
          <w:color w:val="auto"/>
          <w:sz w:val="24"/>
          <w:lang w:val="en-US" w:eastAsia="zh-CN"/>
        </w:rPr>
        <w:t>〕</w:t>
      </w:r>
      <w:r>
        <w:rPr>
          <w:rFonts w:hint="default" w:ascii="Times New Roman" w:hAnsi="Times New Roman" w:eastAsia="宋体" w:cs="Times New Roman"/>
          <w:color w:val="auto"/>
          <w:sz w:val="24"/>
          <w:lang w:val="en-US" w:eastAsia="zh-CN"/>
        </w:rPr>
        <w:t>23</w:t>
      </w:r>
      <w:r>
        <w:rPr>
          <w:rFonts w:hint="eastAsia" w:ascii="宋体" w:hAnsi="宋体" w:eastAsia="宋体" w:cs="宋体"/>
          <w:color w:val="auto"/>
          <w:sz w:val="24"/>
          <w:lang w:val="en-US" w:eastAsia="zh-CN"/>
        </w:rPr>
        <w:t>号</w:t>
      </w:r>
      <w:r>
        <w:rPr>
          <w:rFonts w:hint="eastAsia" w:eastAsia="宋体"/>
          <w:color w:val="auto"/>
          <w:sz w:val="24"/>
          <w:lang w:val="en-US" w:eastAsia="zh-CN"/>
        </w:rPr>
        <w:t>）</w:t>
      </w:r>
      <w:r>
        <w:rPr>
          <w:rFonts w:hint="eastAsia" w:eastAsia="宋体"/>
          <w:color w:val="auto"/>
          <w:sz w:val="24"/>
          <w:lang w:eastAsia="zh-CN"/>
        </w:rPr>
        <w:t>，</w:t>
      </w:r>
      <w:r>
        <w:rPr>
          <w:rFonts w:hint="eastAsia" w:eastAsia="宋体"/>
          <w:color w:val="auto"/>
          <w:sz w:val="24"/>
          <w:lang w:val="en-US" w:eastAsia="zh-CN"/>
        </w:rPr>
        <w:t>目前还未进行竣工环境保护验收工作。批复详见附件2，废水产、排放情况</w:t>
      </w:r>
      <w:r>
        <w:rPr>
          <w:rFonts w:hint="eastAsia" w:eastAsia="宋体"/>
          <w:color w:val="auto"/>
          <w:sz w:val="24"/>
        </w:rPr>
        <w:t>详</w:t>
      </w:r>
      <w:r>
        <w:rPr>
          <w:rFonts w:eastAsia="宋体"/>
          <w:color w:val="auto"/>
          <w:sz w:val="24"/>
        </w:rPr>
        <w:t>见</w:t>
      </w:r>
      <w:r>
        <w:rPr>
          <w:rFonts w:hint="eastAsia" w:eastAsia="宋体"/>
          <w:color w:val="auto"/>
          <w:sz w:val="24"/>
        </w:rPr>
        <w:t>表2</w:t>
      </w:r>
      <w:r>
        <w:rPr>
          <w:rFonts w:eastAsia="宋体"/>
          <w:color w:val="auto"/>
          <w:sz w:val="24"/>
        </w:rPr>
        <w:t>.2-2。</w:t>
      </w:r>
    </w:p>
    <w:p w14:paraId="071CAD9E">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表2.2-2</w:t>
      </w:r>
      <w:r>
        <w:rPr>
          <w:rFonts w:hint="eastAsia"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废水产</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排放情况</w:t>
      </w:r>
      <w:r>
        <w:rPr>
          <w:rFonts w:hint="default" w:ascii="Times New Roman" w:hAnsi="Times New Roman" w:eastAsia="宋体" w:cs="Times New Roman"/>
          <w:color w:val="auto"/>
          <w:sz w:val="24"/>
          <w:szCs w:val="24"/>
          <w:lang w:val="en-US" w:eastAsia="zh-CN"/>
        </w:rPr>
        <w:t>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11"/>
        <w:gridCol w:w="1787"/>
        <w:gridCol w:w="1007"/>
        <w:gridCol w:w="1007"/>
        <w:gridCol w:w="1007"/>
        <w:gridCol w:w="1007"/>
        <w:gridCol w:w="1007"/>
        <w:gridCol w:w="1009"/>
      </w:tblGrid>
      <w:tr w14:paraId="7AD5D1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763" w:type="pct"/>
            <w:noWrap/>
            <w:vAlign w:val="center"/>
          </w:tcPr>
          <w:p w14:paraId="28629B9E">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废水种类</w:t>
            </w:r>
          </w:p>
        </w:tc>
        <w:tc>
          <w:tcPr>
            <w:tcW w:w="966" w:type="pct"/>
            <w:noWrap/>
            <w:vAlign w:val="center"/>
          </w:tcPr>
          <w:p w14:paraId="5ACB44E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i w:val="0"/>
                <w:iCs w:val="0"/>
                <w:color w:val="auto"/>
                <w:kern w:val="0"/>
                <w:sz w:val="21"/>
                <w:szCs w:val="21"/>
                <w:u w:val="none"/>
                <w:lang w:val="en-US" w:eastAsia="zh-CN" w:bidi="ar"/>
              </w:rPr>
              <w:t>污染因子</w:t>
            </w:r>
          </w:p>
        </w:tc>
        <w:tc>
          <w:tcPr>
            <w:tcW w:w="544" w:type="pct"/>
            <w:vAlign w:val="center"/>
          </w:tcPr>
          <w:p w14:paraId="1492CFB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Style w:val="97"/>
                <w:rFonts w:hint="default" w:ascii="Times New Roman" w:hAnsi="Times New Roman" w:eastAsia="宋体" w:cs="Times New Roman"/>
                <w:b/>
                <w:bCs w:val="0"/>
                <w:color w:val="auto"/>
                <w:sz w:val="21"/>
                <w:szCs w:val="21"/>
                <w:lang w:val="en-US" w:eastAsia="zh-CN" w:bidi="ar"/>
              </w:rPr>
              <w:t>SS</w:t>
            </w:r>
          </w:p>
        </w:tc>
        <w:tc>
          <w:tcPr>
            <w:tcW w:w="544" w:type="pct"/>
            <w:vAlign w:val="center"/>
          </w:tcPr>
          <w:p w14:paraId="3412D3D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i w:val="0"/>
                <w:iCs w:val="0"/>
                <w:color w:val="auto"/>
                <w:kern w:val="0"/>
                <w:sz w:val="21"/>
                <w:szCs w:val="21"/>
                <w:u w:val="none"/>
                <w:lang w:val="en-US" w:eastAsia="zh-CN" w:bidi="ar"/>
              </w:rPr>
              <w:t>COD</w:t>
            </w:r>
          </w:p>
        </w:tc>
        <w:tc>
          <w:tcPr>
            <w:tcW w:w="544" w:type="pct"/>
            <w:vAlign w:val="center"/>
          </w:tcPr>
          <w:p w14:paraId="23E8CAA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Style w:val="97"/>
                <w:rFonts w:hint="default" w:ascii="Times New Roman" w:hAnsi="Times New Roman" w:eastAsia="宋体" w:cs="Times New Roman"/>
                <w:b/>
                <w:bCs w:val="0"/>
                <w:color w:val="auto"/>
                <w:sz w:val="21"/>
                <w:szCs w:val="21"/>
                <w:lang w:val="en-US" w:eastAsia="zh-CN" w:bidi="ar"/>
              </w:rPr>
              <w:t>NH</w:t>
            </w:r>
            <w:r>
              <w:rPr>
                <w:rStyle w:val="97"/>
                <w:rFonts w:hint="default" w:ascii="Times New Roman" w:hAnsi="Times New Roman" w:eastAsia="宋体" w:cs="Times New Roman"/>
                <w:b/>
                <w:bCs w:val="0"/>
                <w:color w:val="auto"/>
                <w:sz w:val="21"/>
                <w:szCs w:val="21"/>
                <w:vertAlign w:val="subscript"/>
                <w:lang w:val="en-US" w:eastAsia="zh-CN" w:bidi="ar"/>
              </w:rPr>
              <w:t>3</w:t>
            </w:r>
            <w:r>
              <w:rPr>
                <w:rStyle w:val="97"/>
                <w:rFonts w:hint="default" w:ascii="Times New Roman" w:hAnsi="Times New Roman" w:eastAsia="宋体" w:cs="Times New Roman"/>
                <w:b/>
                <w:bCs w:val="0"/>
                <w:color w:val="auto"/>
                <w:sz w:val="21"/>
                <w:szCs w:val="21"/>
                <w:lang w:val="en-US" w:eastAsia="zh-CN" w:bidi="ar"/>
              </w:rPr>
              <w:t>-N</w:t>
            </w:r>
          </w:p>
        </w:tc>
        <w:tc>
          <w:tcPr>
            <w:tcW w:w="544" w:type="pct"/>
            <w:vAlign w:val="center"/>
          </w:tcPr>
          <w:p w14:paraId="43749DD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Style w:val="99"/>
                <w:rFonts w:hint="default" w:ascii="Times New Roman" w:hAnsi="Times New Roman" w:eastAsia="宋体" w:cs="Times New Roman"/>
                <w:b/>
                <w:bCs w:val="0"/>
                <w:color w:val="auto"/>
                <w:sz w:val="21"/>
                <w:szCs w:val="21"/>
                <w:lang w:val="en-US" w:eastAsia="zh-CN" w:bidi="ar"/>
              </w:rPr>
              <w:t>总氮</w:t>
            </w:r>
          </w:p>
        </w:tc>
        <w:tc>
          <w:tcPr>
            <w:tcW w:w="544" w:type="pct"/>
            <w:vAlign w:val="center"/>
          </w:tcPr>
          <w:p w14:paraId="79EF192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Style w:val="99"/>
                <w:rFonts w:hint="default" w:ascii="Times New Roman" w:hAnsi="Times New Roman" w:eastAsia="宋体" w:cs="Times New Roman"/>
                <w:b/>
                <w:bCs w:val="0"/>
                <w:color w:val="auto"/>
                <w:sz w:val="21"/>
                <w:szCs w:val="21"/>
                <w:lang w:val="en-US" w:eastAsia="zh-CN" w:bidi="ar"/>
              </w:rPr>
              <w:t>总磷</w:t>
            </w:r>
          </w:p>
        </w:tc>
        <w:tc>
          <w:tcPr>
            <w:tcW w:w="545" w:type="pct"/>
            <w:vAlign w:val="center"/>
          </w:tcPr>
          <w:p w14:paraId="1713DCD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lang w:val="en-US"/>
              </w:rPr>
            </w:pPr>
            <w:r>
              <w:rPr>
                <w:rStyle w:val="97"/>
                <w:rFonts w:hint="default" w:ascii="Times New Roman" w:hAnsi="Times New Roman" w:eastAsia="宋体" w:cs="Times New Roman"/>
                <w:b/>
                <w:bCs w:val="0"/>
                <w:color w:val="auto"/>
                <w:sz w:val="21"/>
                <w:szCs w:val="21"/>
                <w:lang w:val="en-US" w:eastAsia="zh-CN" w:bidi="ar"/>
              </w:rPr>
              <w:t>BOD</w:t>
            </w:r>
            <w:r>
              <w:rPr>
                <w:rStyle w:val="97"/>
                <w:rFonts w:hint="default" w:ascii="Times New Roman" w:hAnsi="Times New Roman" w:eastAsia="宋体" w:cs="Times New Roman"/>
                <w:b/>
                <w:bCs w:val="0"/>
                <w:color w:val="auto"/>
                <w:sz w:val="21"/>
                <w:szCs w:val="21"/>
                <w:vertAlign w:val="subscript"/>
                <w:lang w:val="en-US" w:eastAsia="zh-CN" w:bidi="ar"/>
              </w:rPr>
              <w:t>5</w:t>
            </w:r>
          </w:p>
        </w:tc>
      </w:tr>
      <w:tr w14:paraId="4F6CB9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restart"/>
            <w:vAlign w:val="center"/>
          </w:tcPr>
          <w:p w14:paraId="741D9CE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生产废水</w:t>
            </w:r>
          </w:p>
          <w:p w14:paraId="22B124C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42799m</w:t>
            </w:r>
            <w:r>
              <w:rPr>
                <w:rFonts w:hint="default" w:ascii="Times New Roman" w:hAnsi="Times New Roman" w:eastAsia="宋体" w:cs="Times New Roman"/>
                <w:bCs/>
                <w:color w:val="auto"/>
                <w:sz w:val="21"/>
                <w:szCs w:val="21"/>
                <w:vertAlign w:val="superscript"/>
                <w:lang w:val="en-US" w:eastAsia="zh-CN"/>
              </w:rPr>
              <w:t>3</w:t>
            </w:r>
            <w:r>
              <w:rPr>
                <w:rFonts w:hint="eastAsia" w:cs="Times New Roman"/>
                <w:bCs/>
                <w:color w:val="auto"/>
                <w:sz w:val="21"/>
                <w:szCs w:val="21"/>
                <w:lang w:val="en-US" w:eastAsia="zh-CN"/>
              </w:rPr>
              <w:t>/a</w:t>
            </w:r>
          </w:p>
        </w:tc>
        <w:tc>
          <w:tcPr>
            <w:tcW w:w="966" w:type="pct"/>
            <w:noWrap/>
            <w:vAlign w:val="center"/>
          </w:tcPr>
          <w:p w14:paraId="181DB3C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Fonts w:hint="eastAsia" w:cs="Times New Roman"/>
                <w:b/>
                <w:bCs/>
                <w:i w:val="0"/>
                <w:iCs w:val="0"/>
                <w:color w:val="auto"/>
                <w:kern w:val="0"/>
                <w:sz w:val="21"/>
                <w:szCs w:val="21"/>
                <w:u w:val="none"/>
                <w:lang w:val="en-US" w:eastAsia="zh-CN" w:bidi="ar"/>
              </w:rPr>
              <w:t>（mg/L）</w:t>
            </w:r>
          </w:p>
        </w:tc>
        <w:tc>
          <w:tcPr>
            <w:tcW w:w="544" w:type="pct"/>
            <w:vAlign w:val="center"/>
          </w:tcPr>
          <w:p w14:paraId="5C30168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0.44</w:t>
            </w:r>
            <w:r>
              <w:rPr>
                <w:rFonts w:hint="eastAsia" w:cs="Times New Roman"/>
                <w:i w:val="0"/>
                <w:iCs w:val="0"/>
                <w:color w:val="auto"/>
                <w:kern w:val="0"/>
                <w:sz w:val="21"/>
                <w:szCs w:val="21"/>
                <w:u w:val="none"/>
                <w:lang w:val="en-US" w:eastAsia="zh-CN" w:bidi="ar"/>
              </w:rPr>
              <w:t>0</w:t>
            </w:r>
          </w:p>
        </w:tc>
        <w:tc>
          <w:tcPr>
            <w:tcW w:w="544" w:type="pct"/>
            <w:vAlign w:val="center"/>
          </w:tcPr>
          <w:p w14:paraId="1D7A7E4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544" w:type="pct"/>
            <w:vAlign w:val="center"/>
          </w:tcPr>
          <w:p w14:paraId="65E9CFA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8.63</w:t>
            </w:r>
          </w:p>
        </w:tc>
        <w:tc>
          <w:tcPr>
            <w:tcW w:w="544" w:type="pct"/>
            <w:vAlign w:val="center"/>
          </w:tcPr>
          <w:p w14:paraId="395D799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102.34</w:t>
            </w:r>
          </w:p>
        </w:tc>
        <w:tc>
          <w:tcPr>
            <w:tcW w:w="544" w:type="pct"/>
            <w:vAlign w:val="center"/>
          </w:tcPr>
          <w:p w14:paraId="1A26065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545" w:type="pct"/>
            <w:vAlign w:val="center"/>
          </w:tcPr>
          <w:p w14:paraId="2678045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r>
      <w:tr w14:paraId="3D166CC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4279C1D5">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4B5282A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eastAsia" w:cs="Times New Roman"/>
                <w:b/>
                <w:bCs/>
                <w:i w:val="0"/>
                <w:iCs w:val="0"/>
                <w:color w:val="auto"/>
                <w:kern w:val="0"/>
                <w:sz w:val="21"/>
                <w:szCs w:val="21"/>
                <w:u w:val="none"/>
                <w:lang w:val="en-US" w:eastAsia="zh-CN" w:bidi="ar"/>
              </w:rPr>
              <w:t>（t/a）</w:t>
            </w:r>
          </w:p>
        </w:tc>
        <w:tc>
          <w:tcPr>
            <w:tcW w:w="544" w:type="pct"/>
            <w:vAlign w:val="center"/>
          </w:tcPr>
          <w:p w14:paraId="3249533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0.188</w:t>
            </w:r>
          </w:p>
        </w:tc>
        <w:tc>
          <w:tcPr>
            <w:tcW w:w="544" w:type="pct"/>
            <w:vAlign w:val="center"/>
          </w:tcPr>
          <w:p w14:paraId="5A6A617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160.5</w:t>
            </w:r>
          </w:p>
        </w:tc>
        <w:tc>
          <w:tcPr>
            <w:tcW w:w="544" w:type="pct"/>
            <w:vAlign w:val="center"/>
          </w:tcPr>
          <w:p w14:paraId="0B75712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3.694</w:t>
            </w:r>
          </w:p>
        </w:tc>
        <w:tc>
          <w:tcPr>
            <w:tcW w:w="544" w:type="pct"/>
            <w:vAlign w:val="center"/>
          </w:tcPr>
          <w:p w14:paraId="139B7D0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43.801</w:t>
            </w:r>
          </w:p>
        </w:tc>
        <w:tc>
          <w:tcPr>
            <w:tcW w:w="544" w:type="pct"/>
            <w:vAlign w:val="center"/>
          </w:tcPr>
          <w:p w14:paraId="7F75BDA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2.876</w:t>
            </w:r>
          </w:p>
        </w:tc>
        <w:tc>
          <w:tcPr>
            <w:tcW w:w="545" w:type="pct"/>
            <w:vAlign w:val="center"/>
          </w:tcPr>
          <w:p w14:paraId="00427FA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8.56</w:t>
            </w:r>
          </w:p>
        </w:tc>
      </w:tr>
      <w:tr w14:paraId="3AEF276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606D9A9A">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72ED3B2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i w:val="0"/>
                <w:iCs w:val="0"/>
                <w:color w:val="auto"/>
                <w:kern w:val="0"/>
                <w:sz w:val="21"/>
                <w:szCs w:val="21"/>
                <w:u w:val="none"/>
                <w:lang w:val="en-US" w:eastAsia="zh-CN" w:bidi="ar"/>
              </w:rPr>
              <w:t>处理效率</w:t>
            </w:r>
            <w:r>
              <w:rPr>
                <w:rFonts w:hint="eastAsia" w:cs="Times New Roman"/>
                <w:b/>
                <w:bCs/>
                <w:i w:val="0"/>
                <w:iCs w:val="0"/>
                <w:color w:val="auto"/>
                <w:kern w:val="0"/>
                <w:sz w:val="21"/>
                <w:szCs w:val="21"/>
                <w:u w:val="none"/>
                <w:lang w:val="en-US" w:eastAsia="zh-CN" w:bidi="ar"/>
              </w:rPr>
              <w:t>%</w:t>
            </w:r>
          </w:p>
        </w:tc>
        <w:tc>
          <w:tcPr>
            <w:tcW w:w="544" w:type="pct"/>
            <w:vAlign w:val="center"/>
          </w:tcPr>
          <w:p w14:paraId="5C3FBBB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544" w:type="pct"/>
            <w:vAlign w:val="center"/>
          </w:tcPr>
          <w:p w14:paraId="6C2DCD3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92%</w:t>
            </w:r>
          </w:p>
        </w:tc>
        <w:tc>
          <w:tcPr>
            <w:tcW w:w="544" w:type="pct"/>
            <w:vAlign w:val="center"/>
          </w:tcPr>
          <w:p w14:paraId="3E4A66E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83%</w:t>
            </w:r>
          </w:p>
        </w:tc>
        <w:tc>
          <w:tcPr>
            <w:tcW w:w="544" w:type="pct"/>
            <w:vAlign w:val="center"/>
          </w:tcPr>
          <w:p w14:paraId="12DD7EC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88%</w:t>
            </w:r>
          </w:p>
        </w:tc>
        <w:tc>
          <w:tcPr>
            <w:tcW w:w="544" w:type="pct"/>
            <w:vAlign w:val="center"/>
          </w:tcPr>
          <w:p w14:paraId="4F39222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96%</w:t>
            </w:r>
          </w:p>
        </w:tc>
        <w:tc>
          <w:tcPr>
            <w:tcW w:w="545" w:type="pct"/>
            <w:vAlign w:val="center"/>
          </w:tcPr>
          <w:p w14:paraId="1A81941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w:t>
            </w:r>
          </w:p>
        </w:tc>
      </w:tr>
      <w:tr w14:paraId="2538BD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0DD7165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vAlign w:val="center"/>
          </w:tcPr>
          <w:p w14:paraId="388C950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排放浓度</w:t>
            </w:r>
            <w:r>
              <w:rPr>
                <w:rFonts w:hint="eastAsia" w:cs="Times New Roman"/>
                <w:b/>
                <w:bCs/>
                <w:i w:val="0"/>
                <w:iCs w:val="0"/>
                <w:color w:val="auto"/>
                <w:kern w:val="0"/>
                <w:sz w:val="21"/>
                <w:szCs w:val="21"/>
                <w:u w:val="none"/>
                <w:lang w:val="en-US" w:eastAsia="zh-CN" w:bidi="ar"/>
              </w:rPr>
              <w:t>（mg/L）</w:t>
            </w:r>
          </w:p>
        </w:tc>
        <w:tc>
          <w:tcPr>
            <w:tcW w:w="544" w:type="pct"/>
            <w:noWrap/>
            <w:vAlign w:val="center"/>
          </w:tcPr>
          <w:p w14:paraId="7991D9C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0.44</w:t>
            </w:r>
            <w:r>
              <w:rPr>
                <w:rFonts w:hint="eastAsia" w:cs="Times New Roman"/>
                <w:i w:val="0"/>
                <w:iCs w:val="0"/>
                <w:color w:val="auto"/>
                <w:kern w:val="0"/>
                <w:sz w:val="21"/>
                <w:szCs w:val="21"/>
                <w:u w:val="none"/>
                <w:lang w:val="en-US" w:eastAsia="zh-CN" w:bidi="ar"/>
              </w:rPr>
              <w:t>0</w:t>
            </w:r>
          </w:p>
        </w:tc>
        <w:tc>
          <w:tcPr>
            <w:tcW w:w="544" w:type="pct"/>
            <w:noWrap/>
            <w:vAlign w:val="center"/>
          </w:tcPr>
          <w:p w14:paraId="6AFE62B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44" w:type="pct"/>
            <w:noWrap/>
            <w:vAlign w:val="center"/>
          </w:tcPr>
          <w:p w14:paraId="32CAC30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pct"/>
            <w:vAlign w:val="center"/>
          </w:tcPr>
          <w:p w14:paraId="5830A26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544" w:type="pct"/>
            <w:vAlign w:val="center"/>
          </w:tcPr>
          <w:p w14:paraId="703D890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545" w:type="pct"/>
            <w:vAlign w:val="center"/>
          </w:tcPr>
          <w:p w14:paraId="35A8841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w:t>
            </w:r>
          </w:p>
        </w:tc>
      </w:tr>
      <w:tr w14:paraId="06A397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11897FE5">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030EBE0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eastAsia" w:cs="Times New Roman"/>
                <w:b/>
                <w:bCs/>
                <w:i w:val="0"/>
                <w:iCs w:val="0"/>
                <w:color w:val="auto"/>
                <w:kern w:val="0"/>
                <w:sz w:val="21"/>
                <w:szCs w:val="21"/>
                <w:u w:val="none"/>
                <w:lang w:val="en-US" w:eastAsia="zh-CN" w:bidi="ar"/>
              </w:rPr>
              <w:t>（t/a）</w:t>
            </w:r>
          </w:p>
        </w:tc>
        <w:tc>
          <w:tcPr>
            <w:tcW w:w="544" w:type="pct"/>
            <w:noWrap/>
            <w:vAlign w:val="center"/>
          </w:tcPr>
          <w:p w14:paraId="0D6463A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0.188</w:t>
            </w:r>
          </w:p>
        </w:tc>
        <w:tc>
          <w:tcPr>
            <w:tcW w:w="544" w:type="pct"/>
            <w:noWrap/>
            <w:vAlign w:val="center"/>
          </w:tcPr>
          <w:p w14:paraId="67BF937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12.84</w:t>
            </w:r>
          </w:p>
        </w:tc>
        <w:tc>
          <w:tcPr>
            <w:tcW w:w="544" w:type="pct"/>
            <w:noWrap/>
            <w:vAlign w:val="center"/>
          </w:tcPr>
          <w:p w14:paraId="7ACB046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0.642</w:t>
            </w:r>
          </w:p>
        </w:tc>
        <w:tc>
          <w:tcPr>
            <w:tcW w:w="544" w:type="pct"/>
            <w:vAlign w:val="center"/>
          </w:tcPr>
          <w:p w14:paraId="77E8573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5.136</w:t>
            </w:r>
          </w:p>
        </w:tc>
        <w:tc>
          <w:tcPr>
            <w:tcW w:w="544" w:type="pct"/>
            <w:vAlign w:val="center"/>
          </w:tcPr>
          <w:p w14:paraId="292E719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0.128</w:t>
            </w:r>
          </w:p>
        </w:tc>
        <w:tc>
          <w:tcPr>
            <w:tcW w:w="545" w:type="pct"/>
            <w:vAlign w:val="center"/>
          </w:tcPr>
          <w:p w14:paraId="1BE6E39A">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2.568</w:t>
            </w:r>
          </w:p>
        </w:tc>
      </w:tr>
      <w:tr w14:paraId="3BA124D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15CDA05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vAlign w:val="center"/>
          </w:tcPr>
          <w:p w14:paraId="0DA52B25">
            <w:pPr>
              <w:keepNext w:val="0"/>
              <w:keepLines w:val="0"/>
              <w:pageBreakBefore w:val="0"/>
              <w:kinsoku/>
              <w:wordWrap/>
              <w:overflowPunct/>
              <w:topLinePunct w:val="0"/>
              <w:autoSpaceDE/>
              <w:autoSpaceDN/>
              <w:bidi w:val="0"/>
              <w:adjustRightInd/>
              <w:spacing w:before="0" w:beforeLines="0" w:after="0" w:afterLines="0" w:line="240" w:lineRule="auto"/>
              <w:ind w:lef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标准限</w:t>
            </w:r>
            <w:r>
              <w:rPr>
                <w:rFonts w:hint="eastAsia" w:ascii="Times New Roman" w:hAnsi="Times New Roman" w:eastAsia="宋体" w:cs="Times New Roman"/>
                <w:b/>
                <w:bCs/>
                <w:color w:val="auto"/>
                <w:sz w:val="21"/>
                <w:szCs w:val="21"/>
                <w:lang w:val="en-US" w:eastAsia="zh-CN"/>
              </w:rPr>
              <w:t>值</w:t>
            </w:r>
          </w:p>
        </w:tc>
        <w:tc>
          <w:tcPr>
            <w:tcW w:w="544" w:type="pct"/>
            <w:noWrap/>
            <w:vAlign w:val="center"/>
          </w:tcPr>
          <w:p w14:paraId="2D29F03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44" w:type="pct"/>
            <w:noWrap/>
            <w:vAlign w:val="center"/>
          </w:tcPr>
          <w:p w14:paraId="5AA77CF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44" w:type="pct"/>
            <w:noWrap/>
            <w:vAlign w:val="center"/>
          </w:tcPr>
          <w:p w14:paraId="35B1500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i w:val="0"/>
                <w:iCs w:val="0"/>
                <w:color w:val="auto"/>
                <w:kern w:val="0"/>
                <w:sz w:val="21"/>
                <w:szCs w:val="21"/>
                <w:u w:val="none"/>
                <w:lang w:val="en-US" w:eastAsia="zh-CN" w:bidi="ar"/>
              </w:rPr>
              <w:t>）</w:t>
            </w:r>
          </w:p>
        </w:tc>
        <w:tc>
          <w:tcPr>
            <w:tcW w:w="544" w:type="pct"/>
            <w:vAlign w:val="center"/>
          </w:tcPr>
          <w:p w14:paraId="5943129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pct"/>
            <w:vAlign w:val="center"/>
          </w:tcPr>
          <w:p w14:paraId="636DE3E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w:t>
            </w:r>
          </w:p>
        </w:tc>
        <w:tc>
          <w:tcPr>
            <w:tcW w:w="545" w:type="pct"/>
            <w:vAlign w:val="center"/>
          </w:tcPr>
          <w:p w14:paraId="0C3F5A6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20</w:t>
            </w:r>
          </w:p>
        </w:tc>
      </w:tr>
      <w:tr w14:paraId="4BC5168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65D4D7B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5E6A5036">
            <w:pPr>
              <w:keepNext w:val="0"/>
              <w:keepLines w:val="0"/>
              <w:pageBreakBefore w:val="0"/>
              <w:kinsoku/>
              <w:wordWrap/>
              <w:overflowPunct/>
              <w:topLinePunct w:val="0"/>
              <w:autoSpaceDE/>
              <w:autoSpaceDN/>
              <w:bidi w:val="0"/>
              <w:adjustRightInd/>
              <w:spacing w:before="0" w:beforeLines="0" w:after="0" w:afterLines="0" w:line="240" w:lineRule="auto"/>
              <w:ind w:lef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达标情况</w:t>
            </w:r>
          </w:p>
        </w:tc>
        <w:tc>
          <w:tcPr>
            <w:tcW w:w="544" w:type="pct"/>
            <w:noWrap/>
            <w:vAlign w:val="center"/>
          </w:tcPr>
          <w:p w14:paraId="0B78E82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13E6298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46E35E2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58B434C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1C390F6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c>
          <w:tcPr>
            <w:tcW w:w="545" w:type="pct"/>
            <w:vAlign w:val="center"/>
          </w:tcPr>
          <w:p w14:paraId="6FE3C3A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rPr>
            </w:pPr>
            <w:r>
              <w:rPr>
                <w:rStyle w:val="99"/>
                <w:rFonts w:hint="default" w:ascii="Times New Roman" w:hAnsi="Times New Roman" w:eastAsia="宋体" w:cs="Times New Roman"/>
                <w:color w:val="auto"/>
                <w:sz w:val="21"/>
                <w:szCs w:val="21"/>
                <w:lang w:val="en-US" w:eastAsia="zh-CN" w:bidi="ar"/>
              </w:rPr>
              <w:t>达标</w:t>
            </w:r>
          </w:p>
        </w:tc>
      </w:tr>
      <w:tr w14:paraId="4D75E8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restart"/>
            <w:vAlign w:val="center"/>
          </w:tcPr>
          <w:p w14:paraId="15F0108B">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生活污水</w:t>
            </w:r>
          </w:p>
          <w:p w14:paraId="759A6022">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2730.2</w:t>
            </w: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r>
              <w:rPr>
                <w:rFonts w:hint="eastAsia" w:cs="Times New Roman"/>
                <w:bCs/>
                <w:color w:val="auto"/>
                <w:sz w:val="21"/>
                <w:szCs w:val="21"/>
                <w:lang w:val="en-US" w:eastAsia="zh-CN"/>
              </w:rPr>
              <w:t>/a</w:t>
            </w:r>
          </w:p>
        </w:tc>
        <w:tc>
          <w:tcPr>
            <w:tcW w:w="966" w:type="pct"/>
            <w:noWrap/>
            <w:vAlign w:val="center"/>
          </w:tcPr>
          <w:p w14:paraId="3C5FCFD2">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Fonts w:hint="eastAsia" w:cs="Times New Roman"/>
                <w:b/>
                <w:bCs/>
                <w:i w:val="0"/>
                <w:iCs w:val="0"/>
                <w:color w:val="auto"/>
                <w:kern w:val="0"/>
                <w:sz w:val="21"/>
                <w:szCs w:val="21"/>
                <w:u w:val="none"/>
                <w:lang w:val="en-US" w:eastAsia="zh-CN" w:bidi="ar"/>
              </w:rPr>
              <w:t>（mg/L）</w:t>
            </w:r>
          </w:p>
        </w:tc>
        <w:tc>
          <w:tcPr>
            <w:tcW w:w="544" w:type="pct"/>
            <w:noWrap/>
            <w:vAlign w:val="center"/>
          </w:tcPr>
          <w:p w14:paraId="32EAA64A">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544" w:type="pct"/>
            <w:noWrap/>
            <w:vAlign w:val="center"/>
          </w:tcPr>
          <w:p w14:paraId="7927B560">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544" w:type="pct"/>
            <w:noWrap/>
            <w:vAlign w:val="center"/>
          </w:tcPr>
          <w:p w14:paraId="76871D44">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w:t>
            </w:r>
          </w:p>
        </w:tc>
        <w:tc>
          <w:tcPr>
            <w:tcW w:w="544" w:type="pct"/>
            <w:vAlign w:val="center"/>
          </w:tcPr>
          <w:p w14:paraId="4159E8C3">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w:t>
            </w:r>
          </w:p>
        </w:tc>
        <w:tc>
          <w:tcPr>
            <w:tcW w:w="544" w:type="pct"/>
            <w:vAlign w:val="center"/>
          </w:tcPr>
          <w:p w14:paraId="1439F59B">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545" w:type="pct"/>
            <w:vAlign w:val="center"/>
          </w:tcPr>
          <w:p w14:paraId="65F71FD8">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200</w:t>
            </w:r>
          </w:p>
        </w:tc>
      </w:tr>
      <w:tr w14:paraId="669EA1B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5D29089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4B0EA023">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eastAsia" w:cs="Times New Roman"/>
                <w:b/>
                <w:bCs/>
                <w:i w:val="0"/>
                <w:iCs w:val="0"/>
                <w:color w:val="auto"/>
                <w:kern w:val="0"/>
                <w:sz w:val="21"/>
                <w:szCs w:val="21"/>
                <w:u w:val="none"/>
                <w:lang w:val="en-US" w:eastAsia="zh-CN" w:bidi="ar"/>
              </w:rPr>
              <w:t>（t/a）</w:t>
            </w:r>
          </w:p>
        </w:tc>
        <w:tc>
          <w:tcPr>
            <w:tcW w:w="544" w:type="pct"/>
            <w:noWrap/>
            <w:vAlign w:val="center"/>
          </w:tcPr>
          <w:p w14:paraId="2990190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0.546</w:t>
            </w:r>
          </w:p>
        </w:tc>
        <w:tc>
          <w:tcPr>
            <w:tcW w:w="544" w:type="pct"/>
            <w:noWrap/>
            <w:vAlign w:val="center"/>
          </w:tcPr>
          <w:p w14:paraId="51BEF13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0.819</w:t>
            </w:r>
          </w:p>
        </w:tc>
        <w:tc>
          <w:tcPr>
            <w:tcW w:w="544" w:type="pct"/>
            <w:noWrap/>
            <w:vAlign w:val="center"/>
          </w:tcPr>
          <w:p w14:paraId="145FF2F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0.068</w:t>
            </w:r>
          </w:p>
        </w:tc>
        <w:tc>
          <w:tcPr>
            <w:tcW w:w="544" w:type="pct"/>
            <w:vAlign w:val="center"/>
          </w:tcPr>
          <w:p w14:paraId="0EC7DCD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0.109</w:t>
            </w:r>
          </w:p>
        </w:tc>
        <w:tc>
          <w:tcPr>
            <w:tcW w:w="544" w:type="pct"/>
            <w:vAlign w:val="center"/>
          </w:tcPr>
          <w:p w14:paraId="2C2CB28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545" w:type="pct"/>
            <w:vAlign w:val="center"/>
          </w:tcPr>
          <w:p w14:paraId="4100476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0.546</w:t>
            </w:r>
          </w:p>
        </w:tc>
      </w:tr>
      <w:tr w14:paraId="190E34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2A0ACE47">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214B8BFC">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处理效率</w:t>
            </w:r>
            <w:r>
              <w:rPr>
                <w:rFonts w:hint="eastAsia" w:cs="Times New Roman"/>
                <w:b/>
                <w:bCs/>
                <w:i w:val="0"/>
                <w:iCs w:val="0"/>
                <w:color w:val="auto"/>
                <w:kern w:val="0"/>
                <w:sz w:val="21"/>
                <w:szCs w:val="21"/>
                <w:u w:val="none"/>
                <w:lang w:val="en-US" w:eastAsia="zh-CN" w:bidi="ar"/>
              </w:rPr>
              <w:t>%</w:t>
            </w:r>
          </w:p>
        </w:tc>
        <w:tc>
          <w:tcPr>
            <w:tcW w:w="544" w:type="pct"/>
            <w:noWrap/>
            <w:vAlign w:val="center"/>
          </w:tcPr>
          <w:p w14:paraId="0D5ABC7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95%</w:t>
            </w:r>
          </w:p>
        </w:tc>
        <w:tc>
          <w:tcPr>
            <w:tcW w:w="544" w:type="pct"/>
            <w:noWrap/>
            <w:vAlign w:val="center"/>
          </w:tcPr>
          <w:p w14:paraId="130721C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83%</w:t>
            </w:r>
          </w:p>
        </w:tc>
        <w:tc>
          <w:tcPr>
            <w:tcW w:w="544" w:type="pct"/>
            <w:noWrap/>
            <w:vAlign w:val="center"/>
          </w:tcPr>
          <w:p w14:paraId="6C29B32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w:t>
            </w:r>
          </w:p>
        </w:tc>
        <w:tc>
          <w:tcPr>
            <w:tcW w:w="544" w:type="pct"/>
            <w:vAlign w:val="center"/>
          </w:tcPr>
          <w:p w14:paraId="2FFF30B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w:t>
            </w:r>
          </w:p>
        </w:tc>
        <w:tc>
          <w:tcPr>
            <w:tcW w:w="544" w:type="pct"/>
            <w:vAlign w:val="center"/>
          </w:tcPr>
          <w:p w14:paraId="765EDCC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88%</w:t>
            </w:r>
          </w:p>
        </w:tc>
        <w:tc>
          <w:tcPr>
            <w:tcW w:w="545" w:type="pct"/>
            <w:vAlign w:val="center"/>
          </w:tcPr>
          <w:p w14:paraId="39C8D03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90%</w:t>
            </w:r>
          </w:p>
        </w:tc>
      </w:tr>
      <w:tr w14:paraId="7BD225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40B31D8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116025A9">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排放浓度</w:t>
            </w:r>
            <w:r>
              <w:rPr>
                <w:rFonts w:hint="eastAsia" w:cs="Times New Roman"/>
                <w:b/>
                <w:bCs/>
                <w:i w:val="0"/>
                <w:iCs w:val="0"/>
                <w:color w:val="auto"/>
                <w:kern w:val="0"/>
                <w:sz w:val="21"/>
                <w:szCs w:val="21"/>
                <w:u w:val="none"/>
                <w:lang w:val="en-US" w:eastAsia="zh-CN" w:bidi="ar"/>
              </w:rPr>
              <w:t>（mg/L）</w:t>
            </w:r>
          </w:p>
        </w:tc>
        <w:tc>
          <w:tcPr>
            <w:tcW w:w="544" w:type="pct"/>
            <w:noWrap/>
            <w:vAlign w:val="center"/>
          </w:tcPr>
          <w:p w14:paraId="44C3D31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44" w:type="pct"/>
            <w:noWrap/>
            <w:vAlign w:val="center"/>
          </w:tcPr>
          <w:p w14:paraId="67871EA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44" w:type="pct"/>
            <w:noWrap/>
            <w:vAlign w:val="center"/>
          </w:tcPr>
          <w:p w14:paraId="2DA7CC6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544" w:type="pct"/>
            <w:vAlign w:val="center"/>
          </w:tcPr>
          <w:p w14:paraId="0E96208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pct"/>
            <w:vAlign w:val="center"/>
          </w:tcPr>
          <w:p w14:paraId="04A1008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545" w:type="pct"/>
            <w:vAlign w:val="center"/>
          </w:tcPr>
          <w:p w14:paraId="485CBFA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r>
      <w:tr w14:paraId="738F1A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520FECDB">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5DA0D84D">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eastAsia" w:cs="Times New Roman"/>
                <w:b/>
                <w:bCs/>
                <w:i w:val="0"/>
                <w:iCs w:val="0"/>
                <w:color w:val="auto"/>
                <w:kern w:val="0"/>
                <w:sz w:val="21"/>
                <w:szCs w:val="21"/>
                <w:u w:val="none"/>
                <w:lang w:val="en-US" w:eastAsia="zh-CN" w:bidi="ar"/>
              </w:rPr>
              <w:t>（t/a）</w:t>
            </w:r>
          </w:p>
        </w:tc>
        <w:tc>
          <w:tcPr>
            <w:tcW w:w="544" w:type="pct"/>
            <w:noWrap/>
            <w:vAlign w:val="center"/>
          </w:tcPr>
          <w:p w14:paraId="4C42A4E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544" w:type="pct"/>
            <w:noWrap/>
            <w:vAlign w:val="center"/>
          </w:tcPr>
          <w:p w14:paraId="4546482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0.137</w:t>
            </w:r>
          </w:p>
        </w:tc>
        <w:tc>
          <w:tcPr>
            <w:tcW w:w="544" w:type="pct"/>
            <w:noWrap/>
            <w:vAlign w:val="center"/>
          </w:tcPr>
          <w:p w14:paraId="2486E50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0.022</w:t>
            </w:r>
          </w:p>
        </w:tc>
        <w:tc>
          <w:tcPr>
            <w:tcW w:w="544" w:type="pct"/>
            <w:vAlign w:val="center"/>
          </w:tcPr>
          <w:p w14:paraId="54B3DE0B">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0.041</w:t>
            </w:r>
          </w:p>
        </w:tc>
        <w:tc>
          <w:tcPr>
            <w:tcW w:w="544" w:type="pct"/>
            <w:vAlign w:val="center"/>
          </w:tcPr>
          <w:p w14:paraId="76D6F4B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545" w:type="pct"/>
            <w:vAlign w:val="center"/>
          </w:tcPr>
          <w:p w14:paraId="5D7ECF3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0.055</w:t>
            </w:r>
          </w:p>
        </w:tc>
      </w:tr>
      <w:tr w14:paraId="3B39E9B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14ACB5DA">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24AF8C28">
            <w:pPr>
              <w:keepNext w:val="0"/>
              <w:keepLines w:val="0"/>
              <w:pageBreakBefore w:val="0"/>
              <w:kinsoku/>
              <w:wordWrap/>
              <w:overflowPunct/>
              <w:topLinePunct w:val="0"/>
              <w:autoSpaceDE/>
              <w:autoSpaceDN/>
              <w:bidi w:val="0"/>
              <w:adjustRightInd/>
              <w:spacing w:before="0" w:beforeLines="0" w:after="0" w:afterLines="0" w:line="240" w:lineRule="auto"/>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标准限</w:t>
            </w:r>
            <w:r>
              <w:rPr>
                <w:rFonts w:hint="eastAsia" w:ascii="Times New Roman" w:hAnsi="Times New Roman" w:eastAsia="宋体" w:cs="Times New Roman"/>
                <w:b/>
                <w:bCs/>
                <w:color w:val="auto"/>
                <w:sz w:val="21"/>
                <w:szCs w:val="21"/>
                <w:lang w:val="en-US" w:eastAsia="zh-CN"/>
              </w:rPr>
              <w:t>值</w:t>
            </w:r>
          </w:p>
        </w:tc>
        <w:tc>
          <w:tcPr>
            <w:tcW w:w="544" w:type="pct"/>
            <w:noWrap/>
            <w:vAlign w:val="center"/>
          </w:tcPr>
          <w:p w14:paraId="2DE7842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44" w:type="pct"/>
            <w:noWrap/>
            <w:vAlign w:val="center"/>
          </w:tcPr>
          <w:p w14:paraId="42B970D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44" w:type="pct"/>
            <w:noWrap/>
            <w:vAlign w:val="center"/>
          </w:tcPr>
          <w:p w14:paraId="51DC6E6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i w:val="0"/>
                <w:iCs w:val="0"/>
                <w:color w:val="auto"/>
                <w:kern w:val="0"/>
                <w:sz w:val="21"/>
                <w:szCs w:val="21"/>
                <w:u w:val="none"/>
                <w:lang w:val="en-US" w:eastAsia="zh-CN" w:bidi="ar"/>
              </w:rPr>
              <w:t>）</w:t>
            </w:r>
          </w:p>
        </w:tc>
        <w:tc>
          <w:tcPr>
            <w:tcW w:w="544" w:type="pct"/>
            <w:vAlign w:val="center"/>
          </w:tcPr>
          <w:p w14:paraId="5AE2994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pct"/>
            <w:vAlign w:val="center"/>
          </w:tcPr>
          <w:p w14:paraId="32540AB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545" w:type="pct"/>
            <w:vAlign w:val="center"/>
          </w:tcPr>
          <w:p w14:paraId="18BC6D7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Style w:val="99"/>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r>
      <w:tr w14:paraId="4648E5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3BD113E9">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0C1D3989">
            <w:pPr>
              <w:keepNext w:val="0"/>
              <w:keepLines w:val="0"/>
              <w:pageBreakBefore w:val="0"/>
              <w:kinsoku/>
              <w:wordWrap/>
              <w:overflowPunct/>
              <w:topLinePunct w:val="0"/>
              <w:autoSpaceDE/>
              <w:autoSpaceDN/>
              <w:bidi w:val="0"/>
              <w:adjustRightInd/>
              <w:spacing w:before="0" w:beforeLines="0" w:after="0" w:afterLines="0" w:line="240" w:lineRule="auto"/>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lang w:val="en-US" w:eastAsia="zh-CN"/>
              </w:rPr>
              <w:t>达标情况</w:t>
            </w:r>
          </w:p>
        </w:tc>
        <w:tc>
          <w:tcPr>
            <w:tcW w:w="544" w:type="pct"/>
            <w:noWrap/>
            <w:vAlign w:val="center"/>
          </w:tcPr>
          <w:p w14:paraId="0CE4C0E1">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39415D21">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5228F69F">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6F12731A">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5C996002">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5" w:type="pct"/>
            <w:vAlign w:val="center"/>
          </w:tcPr>
          <w:p w14:paraId="49E4038C">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r>
      <w:tr w14:paraId="4BFD12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restart"/>
            <w:vAlign w:val="center"/>
          </w:tcPr>
          <w:p w14:paraId="74C5FFE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综合废水</w:t>
            </w:r>
          </w:p>
          <w:p w14:paraId="56645232">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（混合后）</w:t>
            </w:r>
          </w:p>
          <w:p w14:paraId="43EAF66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430729.2</w:t>
            </w:r>
            <w:r>
              <w:rPr>
                <w:rFonts w:hint="default" w:ascii="Times New Roman" w:hAnsi="Times New Roman" w:eastAsia="宋体" w:cs="Times New Roman"/>
                <w:bCs/>
                <w:color w:val="auto"/>
                <w:sz w:val="21"/>
                <w:szCs w:val="21"/>
                <w:lang w:val="en-US" w:eastAsia="zh-CN"/>
              </w:rPr>
              <w:t>m</w:t>
            </w:r>
            <w:r>
              <w:rPr>
                <w:rFonts w:hint="default" w:ascii="Times New Roman" w:hAnsi="Times New Roman" w:eastAsia="宋体" w:cs="Times New Roman"/>
                <w:bCs/>
                <w:color w:val="auto"/>
                <w:sz w:val="21"/>
                <w:szCs w:val="21"/>
                <w:vertAlign w:val="superscript"/>
                <w:lang w:val="en-US" w:eastAsia="zh-CN"/>
              </w:rPr>
              <w:t>3</w:t>
            </w:r>
            <w:r>
              <w:rPr>
                <w:rFonts w:hint="eastAsia" w:cs="Times New Roman"/>
                <w:bCs/>
                <w:color w:val="auto"/>
                <w:sz w:val="21"/>
                <w:szCs w:val="21"/>
                <w:lang w:val="en-US" w:eastAsia="zh-CN"/>
              </w:rPr>
              <w:t>/a</w:t>
            </w:r>
          </w:p>
        </w:tc>
        <w:tc>
          <w:tcPr>
            <w:tcW w:w="966" w:type="pct"/>
            <w:noWrap/>
            <w:vAlign w:val="center"/>
          </w:tcPr>
          <w:p w14:paraId="65516E74">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产生浓度</w:t>
            </w:r>
            <w:r>
              <w:rPr>
                <w:rFonts w:hint="eastAsia" w:cs="Times New Roman"/>
                <w:b/>
                <w:bCs/>
                <w:i w:val="0"/>
                <w:iCs w:val="0"/>
                <w:color w:val="auto"/>
                <w:kern w:val="0"/>
                <w:sz w:val="21"/>
                <w:szCs w:val="21"/>
                <w:u w:val="none"/>
                <w:lang w:val="en-US" w:eastAsia="zh-CN" w:bidi="ar"/>
              </w:rPr>
              <w:t>（mg/L）</w:t>
            </w:r>
          </w:p>
        </w:tc>
        <w:tc>
          <w:tcPr>
            <w:tcW w:w="1007" w:type="dxa"/>
            <w:noWrap/>
            <w:vAlign w:val="center"/>
          </w:tcPr>
          <w:p w14:paraId="225B43A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1007" w:type="dxa"/>
            <w:noWrap/>
            <w:vAlign w:val="center"/>
          </w:tcPr>
          <w:p w14:paraId="5131816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374.53</w:t>
            </w:r>
          </w:p>
        </w:tc>
        <w:tc>
          <w:tcPr>
            <w:tcW w:w="1007" w:type="dxa"/>
            <w:noWrap/>
            <w:vAlign w:val="center"/>
          </w:tcPr>
          <w:p w14:paraId="15DA75A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8.73</w:t>
            </w:r>
          </w:p>
        </w:tc>
        <w:tc>
          <w:tcPr>
            <w:tcW w:w="1007" w:type="dxa"/>
            <w:vAlign w:val="center"/>
          </w:tcPr>
          <w:p w14:paraId="3ED7F48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101.94</w:t>
            </w:r>
          </w:p>
        </w:tc>
        <w:tc>
          <w:tcPr>
            <w:tcW w:w="1007" w:type="dxa"/>
            <w:vAlign w:val="center"/>
          </w:tcPr>
          <w:p w14:paraId="30AD619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6.70</w:t>
            </w:r>
          </w:p>
        </w:tc>
        <w:tc>
          <w:tcPr>
            <w:tcW w:w="1009" w:type="dxa"/>
            <w:vAlign w:val="center"/>
          </w:tcPr>
          <w:p w14:paraId="2063FA9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21.14</w:t>
            </w:r>
          </w:p>
        </w:tc>
      </w:tr>
      <w:tr w14:paraId="7FFB2F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6179923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622ED92D">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eastAsia" w:cs="Times New Roman"/>
                <w:b/>
                <w:bCs/>
                <w:i w:val="0"/>
                <w:iCs w:val="0"/>
                <w:color w:val="auto"/>
                <w:kern w:val="0"/>
                <w:sz w:val="21"/>
                <w:szCs w:val="21"/>
                <w:u w:val="none"/>
                <w:lang w:val="en-US" w:eastAsia="zh-CN" w:bidi="ar"/>
              </w:rPr>
              <w:t>（t/a）</w:t>
            </w:r>
          </w:p>
        </w:tc>
        <w:tc>
          <w:tcPr>
            <w:tcW w:w="1007" w:type="dxa"/>
            <w:noWrap/>
            <w:vAlign w:val="center"/>
          </w:tcPr>
          <w:p w14:paraId="58DB99D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0.734</w:t>
            </w:r>
          </w:p>
        </w:tc>
        <w:tc>
          <w:tcPr>
            <w:tcW w:w="1007" w:type="dxa"/>
            <w:noWrap/>
            <w:vAlign w:val="center"/>
          </w:tcPr>
          <w:p w14:paraId="0556920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161.319</w:t>
            </w:r>
          </w:p>
        </w:tc>
        <w:tc>
          <w:tcPr>
            <w:tcW w:w="1007" w:type="dxa"/>
            <w:noWrap/>
            <w:vAlign w:val="center"/>
          </w:tcPr>
          <w:p w14:paraId="5EFF415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3.762</w:t>
            </w:r>
          </w:p>
        </w:tc>
        <w:tc>
          <w:tcPr>
            <w:tcW w:w="1007" w:type="dxa"/>
            <w:vAlign w:val="center"/>
          </w:tcPr>
          <w:p w14:paraId="4BD9495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43.910</w:t>
            </w:r>
          </w:p>
        </w:tc>
        <w:tc>
          <w:tcPr>
            <w:tcW w:w="1007" w:type="dxa"/>
            <w:vAlign w:val="center"/>
          </w:tcPr>
          <w:p w14:paraId="2788BCA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2.887</w:t>
            </w:r>
          </w:p>
        </w:tc>
        <w:tc>
          <w:tcPr>
            <w:tcW w:w="1009" w:type="dxa"/>
            <w:vAlign w:val="center"/>
          </w:tcPr>
          <w:p w14:paraId="401B1B6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9.106</w:t>
            </w:r>
          </w:p>
        </w:tc>
      </w:tr>
      <w:tr w14:paraId="3C34804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56C6410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1DF06D0F">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处理效率</w:t>
            </w:r>
            <w:r>
              <w:rPr>
                <w:rFonts w:hint="eastAsia" w:cs="Times New Roman"/>
                <w:b/>
                <w:bCs/>
                <w:i w:val="0"/>
                <w:iCs w:val="0"/>
                <w:color w:val="auto"/>
                <w:kern w:val="0"/>
                <w:sz w:val="21"/>
                <w:szCs w:val="21"/>
                <w:u w:val="none"/>
                <w:lang w:val="en-US" w:eastAsia="zh-CN" w:bidi="ar"/>
              </w:rPr>
              <w:t>%</w:t>
            </w:r>
          </w:p>
        </w:tc>
        <w:tc>
          <w:tcPr>
            <w:tcW w:w="1007" w:type="dxa"/>
            <w:noWrap/>
            <w:vAlign w:val="center"/>
          </w:tcPr>
          <w:p w14:paraId="3670663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007" w:type="dxa"/>
            <w:noWrap/>
            <w:vAlign w:val="center"/>
          </w:tcPr>
          <w:p w14:paraId="24A572B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92%</w:t>
            </w:r>
          </w:p>
        </w:tc>
        <w:tc>
          <w:tcPr>
            <w:tcW w:w="1007" w:type="dxa"/>
            <w:noWrap/>
            <w:vAlign w:val="center"/>
          </w:tcPr>
          <w:p w14:paraId="35061E5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82%</w:t>
            </w:r>
          </w:p>
        </w:tc>
        <w:tc>
          <w:tcPr>
            <w:tcW w:w="1007" w:type="dxa"/>
            <w:vAlign w:val="center"/>
          </w:tcPr>
          <w:p w14:paraId="3B7BAE5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1007" w:type="dxa"/>
            <w:vAlign w:val="center"/>
          </w:tcPr>
          <w:p w14:paraId="41DFFD1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c>
          <w:tcPr>
            <w:tcW w:w="1009" w:type="dxa"/>
            <w:vAlign w:val="center"/>
          </w:tcPr>
          <w:p w14:paraId="41BEB1B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r>
      <w:tr w14:paraId="6F10D4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30E34559">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302BC22A">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排放浓度</w:t>
            </w:r>
            <w:r>
              <w:rPr>
                <w:rFonts w:hint="eastAsia" w:cs="Times New Roman"/>
                <w:b/>
                <w:bCs/>
                <w:i w:val="0"/>
                <w:iCs w:val="0"/>
                <w:color w:val="auto"/>
                <w:kern w:val="0"/>
                <w:sz w:val="21"/>
                <w:szCs w:val="21"/>
                <w:u w:val="none"/>
                <w:lang w:val="en-US" w:eastAsia="zh-CN" w:bidi="ar"/>
              </w:rPr>
              <w:t>（mg/L）</w:t>
            </w:r>
          </w:p>
        </w:tc>
        <w:tc>
          <w:tcPr>
            <w:tcW w:w="1007" w:type="dxa"/>
            <w:noWrap/>
            <w:vAlign w:val="center"/>
          </w:tcPr>
          <w:p w14:paraId="0432C7A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1007" w:type="dxa"/>
            <w:noWrap/>
            <w:vAlign w:val="center"/>
          </w:tcPr>
          <w:p w14:paraId="25D11BD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007" w:type="dxa"/>
            <w:noWrap/>
            <w:vAlign w:val="center"/>
          </w:tcPr>
          <w:p w14:paraId="496EA33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1007" w:type="dxa"/>
            <w:vAlign w:val="center"/>
          </w:tcPr>
          <w:p w14:paraId="0EF3F56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14.95</w:t>
            </w:r>
          </w:p>
        </w:tc>
        <w:tc>
          <w:tcPr>
            <w:tcW w:w="1007" w:type="dxa"/>
            <w:vAlign w:val="center"/>
          </w:tcPr>
          <w:p w14:paraId="5AD251C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w:t>
            </w:r>
          </w:p>
        </w:tc>
        <w:tc>
          <w:tcPr>
            <w:tcW w:w="1009" w:type="dxa"/>
            <w:vAlign w:val="center"/>
          </w:tcPr>
          <w:p w14:paraId="428762F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6.13</w:t>
            </w:r>
          </w:p>
        </w:tc>
      </w:tr>
      <w:tr w14:paraId="1B2990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34B29F1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03D94C17">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eastAsia" w:cs="Times New Roman"/>
                <w:b/>
                <w:bCs/>
                <w:i w:val="0"/>
                <w:iCs w:val="0"/>
                <w:color w:val="auto"/>
                <w:kern w:val="0"/>
                <w:sz w:val="21"/>
                <w:szCs w:val="21"/>
                <w:u w:val="none"/>
                <w:lang w:val="en-US" w:eastAsia="zh-CN" w:bidi="ar"/>
              </w:rPr>
              <w:t>（t/a）</w:t>
            </w:r>
          </w:p>
        </w:tc>
        <w:tc>
          <w:tcPr>
            <w:tcW w:w="1007" w:type="dxa"/>
            <w:noWrap/>
            <w:vAlign w:val="center"/>
          </w:tcPr>
          <w:p w14:paraId="48BFEF2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1007" w:type="dxa"/>
            <w:noWrap/>
            <w:vAlign w:val="center"/>
          </w:tcPr>
          <w:p w14:paraId="6315C48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12.98</w:t>
            </w:r>
          </w:p>
        </w:tc>
        <w:tc>
          <w:tcPr>
            <w:tcW w:w="1007" w:type="dxa"/>
            <w:noWrap/>
            <w:vAlign w:val="center"/>
          </w:tcPr>
          <w:p w14:paraId="09DDB49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1007" w:type="dxa"/>
            <w:vAlign w:val="center"/>
          </w:tcPr>
          <w:p w14:paraId="2C871A8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6.44</w:t>
            </w:r>
          </w:p>
        </w:tc>
        <w:tc>
          <w:tcPr>
            <w:tcW w:w="1007" w:type="dxa"/>
            <w:vAlign w:val="center"/>
          </w:tcPr>
          <w:p w14:paraId="07CE14E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1009" w:type="dxa"/>
            <w:vAlign w:val="center"/>
          </w:tcPr>
          <w:p w14:paraId="6D697B9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2.62</w:t>
            </w:r>
          </w:p>
        </w:tc>
      </w:tr>
      <w:tr w14:paraId="3DF9C97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7D83911B">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2B6A254A">
            <w:pPr>
              <w:keepNext w:val="0"/>
              <w:keepLines w:val="0"/>
              <w:pageBreakBefore w:val="0"/>
              <w:kinsoku/>
              <w:wordWrap/>
              <w:overflowPunct/>
              <w:topLinePunct w:val="0"/>
              <w:autoSpaceDE/>
              <w:autoSpaceDN/>
              <w:bidi w:val="0"/>
              <w:adjustRightInd/>
              <w:spacing w:before="0" w:beforeLines="0" w:after="0" w:afterLines="0" w:line="240" w:lineRule="auto"/>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标准限</w:t>
            </w:r>
            <w:r>
              <w:rPr>
                <w:rFonts w:hint="eastAsia" w:ascii="Times New Roman" w:hAnsi="Times New Roman" w:eastAsia="宋体" w:cs="Times New Roman"/>
                <w:b/>
                <w:bCs/>
                <w:color w:val="auto"/>
                <w:sz w:val="21"/>
                <w:szCs w:val="21"/>
                <w:lang w:val="en-US" w:eastAsia="zh-CN"/>
              </w:rPr>
              <w:t>值</w:t>
            </w:r>
          </w:p>
        </w:tc>
        <w:tc>
          <w:tcPr>
            <w:tcW w:w="544" w:type="pct"/>
            <w:noWrap/>
            <w:vAlign w:val="center"/>
          </w:tcPr>
          <w:p w14:paraId="4C961E8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44" w:type="pct"/>
            <w:noWrap/>
            <w:vAlign w:val="center"/>
          </w:tcPr>
          <w:p w14:paraId="548EE4C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50</w:t>
            </w:r>
          </w:p>
        </w:tc>
        <w:tc>
          <w:tcPr>
            <w:tcW w:w="544" w:type="pct"/>
            <w:noWrap/>
            <w:vAlign w:val="center"/>
          </w:tcPr>
          <w:p w14:paraId="5924022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8</w:t>
            </w:r>
            <w:r>
              <w:rPr>
                <w:rFonts w:hint="eastAsia" w:cs="Times New Roman"/>
                <w:i w:val="0"/>
                <w:iCs w:val="0"/>
                <w:color w:val="auto"/>
                <w:kern w:val="0"/>
                <w:sz w:val="21"/>
                <w:szCs w:val="21"/>
                <w:u w:val="none"/>
                <w:lang w:val="en-US" w:eastAsia="zh-CN" w:bidi="ar"/>
              </w:rPr>
              <w:t>）</w:t>
            </w:r>
          </w:p>
        </w:tc>
        <w:tc>
          <w:tcPr>
            <w:tcW w:w="544" w:type="pct"/>
            <w:vAlign w:val="center"/>
          </w:tcPr>
          <w:p w14:paraId="2F8833A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44" w:type="pct"/>
            <w:vAlign w:val="center"/>
          </w:tcPr>
          <w:p w14:paraId="3ADA814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w:t>
            </w:r>
          </w:p>
        </w:tc>
        <w:tc>
          <w:tcPr>
            <w:tcW w:w="545" w:type="pct"/>
            <w:vAlign w:val="center"/>
          </w:tcPr>
          <w:p w14:paraId="3145603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w:t>
            </w:r>
          </w:p>
        </w:tc>
      </w:tr>
      <w:tr w14:paraId="117EB61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63" w:type="pct"/>
            <w:vMerge w:val="continue"/>
            <w:vAlign w:val="center"/>
          </w:tcPr>
          <w:p w14:paraId="481B9EC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rPr>
            </w:pPr>
          </w:p>
        </w:tc>
        <w:tc>
          <w:tcPr>
            <w:tcW w:w="966" w:type="pct"/>
            <w:noWrap/>
            <w:vAlign w:val="center"/>
          </w:tcPr>
          <w:p w14:paraId="21357588">
            <w:pPr>
              <w:keepNext w:val="0"/>
              <w:keepLines w:val="0"/>
              <w:pageBreakBefore w:val="0"/>
              <w:kinsoku/>
              <w:wordWrap/>
              <w:overflowPunct/>
              <w:topLinePunct w:val="0"/>
              <w:autoSpaceDE/>
              <w:autoSpaceDN/>
              <w:bidi w:val="0"/>
              <w:adjustRightInd/>
              <w:spacing w:before="0" w:beforeLines="0" w:after="0" w:afterLines="0" w:line="240" w:lineRule="auto"/>
              <w:ind w:left="0" w:left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
                <w:bCs/>
                <w:color w:val="auto"/>
                <w:sz w:val="21"/>
                <w:szCs w:val="21"/>
                <w:lang w:val="en-US" w:eastAsia="zh-CN"/>
              </w:rPr>
              <w:t>达标情况</w:t>
            </w:r>
          </w:p>
        </w:tc>
        <w:tc>
          <w:tcPr>
            <w:tcW w:w="544" w:type="pct"/>
            <w:noWrap/>
            <w:vAlign w:val="center"/>
          </w:tcPr>
          <w:p w14:paraId="4526DC9E">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432F125D">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noWrap/>
            <w:vAlign w:val="center"/>
          </w:tcPr>
          <w:p w14:paraId="3860559B">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6CF1A23B">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4" w:type="pct"/>
            <w:vAlign w:val="center"/>
          </w:tcPr>
          <w:p w14:paraId="0C04DA34">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c>
          <w:tcPr>
            <w:tcW w:w="545" w:type="pct"/>
            <w:vAlign w:val="center"/>
          </w:tcPr>
          <w:p w14:paraId="20AB5941">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Style w:val="99"/>
                <w:rFonts w:hint="default" w:ascii="Times New Roman" w:hAnsi="Times New Roman" w:eastAsia="宋体" w:cs="Times New Roman"/>
                <w:color w:val="auto"/>
                <w:sz w:val="21"/>
                <w:szCs w:val="21"/>
                <w:lang w:val="en-US" w:eastAsia="zh-CN" w:bidi="ar"/>
              </w:rPr>
              <w:t>达标</w:t>
            </w:r>
          </w:p>
        </w:tc>
      </w:tr>
    </w:tbl>
    <w:p w14:paraId="544F065A">
      <w:pPr>
        <w:pStyle w:val="46"/>
        <w:spacing w:line="240" w:lineRule="auto"/>
        <w:ind w:firstLine="0" w:firstLineChars="0"/>
        <w:rPr>
          <w:rFonts w:eastAsia="宋体"/>
          <w:b/>
          <w:color w:val="auto"/>
          <w:sz w:val="21"/>
          <w:szCs w:val="21"/>
        </w:rPr>
      </w:pPr>
      <w:r>
        <w:rPr>
          <w:rFonts w:eastAsia="宋体"/>
          <w:b/>
          <w:color w:val="auto"/>
          <w:sz w:val="21"/>
          <w:szCs w:val="21"/>
        </w:rPr>
        <w:t>注：水温</w:t>
      </w:r>
      <w:r>
        <w:rPr>
          <w:rFonts w:hint="eastAsia" w:eastAsia="宋体"/>
          <w:b/>
          <w:color w:val="auto"/>
          <w:sz w:val="21"/>
          <w:szCs w:val="21"/>
          <w:lang w:val="en-US" w:eastAsia="zh-CN"/>
        </w:rPr>
        <w:t>≤</w:t>
      </w:r>
      <w:r>
        <w:rPr>
          <w:rFonts w:eastAsia="宋体"/>
          <w:b/>
          <w:color w:val="auto"/>
          <w:sz w:val="21"/>
          <w:szCs w:val="21"/>
        </w:rPr>
        <w:t>12</w:t>
      </w:r>
      <w:r>
        <w:rPr>
          <w:rFonts w:hint="eastAsia" w:eastAsia="宋体"/>
          <w:b/>
          <w:color w:val="auto"/>
          <w:sz w:val="21"/>
          <w:szCs w:val="21"/>
          <w:lang w:val="en-US" w:eastAsia="zh-CN"/>
        </w:rPr>
        <w:t>℃</w:t>
      </w:r>
      <w:r>
        <w:rPr>
          <w:rFonts w:eastAsia="宋体"/>
          <w:b/>
          <w:color w:val="auto"/>
          <w:sz w:val="21"/>
          <w:szCs w:val="21"/>
        </w:rPr>
        <w:t>时执行括号内</w:t>
      </w:r>
      <w:r>
        <w:rPr>
          <w:rFonts w:hint="eastAsia" w:eastAsia="宋体"/>
          <w:b/>
          <w:color w:val="auto"/>
          <w:sz w:val="21"/>
          <w:szCs w:val="21"/>
          <w:lang w:val="en-US" w:eastAsia="zh-CN"/>
        </w:rPr>
        <w:t>控制指标</w:t>
      </w:r>
      <w:r>
        <w:rPr>
          <w:rFonts w:eastAsia="宋体"/>
          <w:b/>
          <w:color w:val="auto"/>
          <w:sz w:val="21"/>
          <w:szCs w:val="21"/>
        </w:rPr>
        <w:t>。</w:t>
      </w:r>
    </w:p>
    <w:p w14:paraId="0A57C5BB">
      <w:pPr>
        <w:pStyle w:val="57"/>
        <w:numPr>
          <w:ilvl w:val="0"/>
          <w:numId w:val="0"/>
        </w:numPr>
        <w:spacing w:before="120" w:beforeLines="50" w:after="120" w:afterLines="50"/>
        <w:rPr>
          <w:rFonts w:eastAsia="宋体"/>
          <w:color w:val="auto"/>
          <w:sz w:val="30"/>
        </w:rPr>
      </w:pPr>
      <w:bookmarkStart w:id="20" w:name="_Toc31552"/>
      <w:r>
        <w:rPr>
          <w:rFonts w:hint="eastAsia" w:eastAsia="宋体"/>
          <w:color w:val="auto"/>
          <w:sz w:val="30"/>
        </w:rPr>
        <w:t>2</w:t>
      </w:r>
      <w:r>
        <w:rPr>
          <w:rFonts w:eastAsia="宋体"/>
          <w:color w:val="auto"/>
          <w:sz w:val="30"/>
        </w:rPr>
        <w:t>.3</w:t>
      </w:r>
      <w:r>
        <w:rPr>
          <w:rFonts w:hint="eastAsia" w:eastAsia="宋体"/>
          <w:color w:val="auto"/>
          <w:sz w:val="30"/>
        </w:rPr>
        <w:t>区域</w:t>
      </w:r>
      <w:r>
        <w:rPr>
          <w:rFonts w:eastAsia="宋体"/>
          <w:color w:val="auto"/>
          <w:sz w:val="30"/>
        </w:rPr>
        <w:t>概况</w:t>
      </w:r>
      <w:bookmarkEnd w:id="20"/>
    </w:p>
    <w:p w14:paraId="5C842C9D">
      <w:pPr>
        <w:pStyle w:val="61"/>
        <w:numPr>
          <w:ilvl w:val="0"/>
          <w:numId w:val="0"/>
        </w:numPr>
        <w:spacing w:before="0" w:after="0"/>
        <w:rPr>
          <w:rFonts w:eastAsia="宋体"/>
          <w:color w:val="auto"/>
        </w:rPr>
      </w:pPr>
      <w:r>
        <w:rPr>
          <w:rFonts w:hint="eastAsia" w:eastAsia="宋体"/>
          <w:color w:val="auto"/>
        </w:rPr>
        <w:t>2</w:t>
      </w:r>
      <w:r>
        <w:rPr>
          <w:rFonts w:eastAsia="宋体"/>
          <w:color w:val="auto"/>
        </w:rPr>
        <w:t>.3.1</w:t>
      </w:r>
      <w:r>
        <w:rPr>
          <w:rFonts w:hint="eastAsia" w:eastAsia="宋体"/>
          <w:color w:val="auto"/>
        </w:rPr>
        <w:t>自然环境</w:t>
      </w:r>
      <w:r>
        <w:rPr>
          <w:rFonts w:eastAsia="宋体"/>
          <w:color w:val="auto"/>
        </w:rPr>
        <w:t>概况</w:t>
      </w:r>
    </w:p>
    <w:p w14:paraId="7369865C">
      <w:pPr>
        <w:pStyle w:val="69"/>
        <w:rPr>
          <w:color w:val="auto"/>
        </w:rPr>
      </w:pPr>
      <w:r>
        <w:rPr>
          <w:rFonts w:hint="eastAsia"/>
          <w:color w:val="auto"/>
        </w:rPr>
        <w:t>2</w:t>
      </w:r>
      <w:r>
        <w:rPr>
          <w:color w:val="auto"/>
        </w:rPr>
        <w:t>.3.1.1地理位置</w:t>
      </w:r>
    </w:p>
    <w:p w14:paraId="36943916">
      <w:pPr>
        <w:pStyle w:val="46"/>
        <w:ind w:firstLine="480"/>
        <w:rPr>
          <w:rFonts w:hint="eastAsia" w:eastAsia="宋体"/>
          <w:color w:val="auto"/>
          <w:sz w:val="24"/>
        </w:rPr>
      </w:pPr>
      <w:r>
        <w:rPr>
          <w:rFonts w:hint="eastAsia" w:eastAsia="宋体"/>
          <w:color w:val="auto"/>
          <w:sz w:val="24"/>
        </w:rPr>
        <w:t>鄠邑区位于陕西关中平原中部，距西安29km，南依秦岭与安康市宁陕县接壤，北临渭河与兴平市、咸阳市秦都区隔岸相望，东以高冠河、沣河与长安区毗邻，西以白马河与周至县为界。介于东经108°22′至108°46′，北纬33°46′至34°16′之间，东西最宽处30km，南北最长处53km，总面积1282km</w:t>
      </w:r>
      <w:r>
        <w:rPr>
          <w:rFonts w:hint="eastAsia" w:eastAsia="宋体"/>
          <w:color w:val="auto"/>
          <w:sz w:val="24"/>
          <w:vertAlign w:val="superscript"/>
        </w:rPr>
        <w:t>2</w:t>
      </w:r>
      <w:r>
        <w:rPr>
          <w:rFonts w:hint="eastAsia" w:eastAsia="宋体"/>
          <w:color w:val="auto"/>
          <w:sz w:val="24"/>
        </w:rPr>
        <w:t>。</w:t>
      </w:r>
    </w:p>
    <w:p w14:paraId="4E7B8883">
      <w:pPr>
        <w:pStyle w:val="46"/>
        <w:ind w:firstLine="480"/>
        <w:rPr>
          <w:rFonts w:hint="eastAsia" w:eastAsia="宋体"/>
          <w:color w:val="auto"/>
          <w:sz w:val="24"/>
        </w:rPr>
      </w:pPr>
      <w:r>
        <w:rPr>
          <w:rFonts w:hint="eastAsia" w:eastAsia="宋体"/>
          <w:color w:val="auto"/>
          <w:sz w:val="24"/>
        </w:rPr>
        <w:t>鄠邑区历史悠久，源远流长。公元前21世纪至前16世纪，为夏之有扈氏国。这是户县地区建置最早的方国，也是“户县”地名的由来。商时为崇国，周作丰邑，西汉设置“鄠县”，历代延续。1964年9月，“鄠县”改为“户县”，2017年9月，经国务院同意撤销“户县”，设立“西安市鄠邑区”，以原“户县”的行政区域为鄠邑区的行政区域。</w:t>
      </w:r>
    </w:p>
    <w:p w14:paraId="4C69255B">
      <w:pPr>
        <w:pStyle w:val="69"/>
        <w:rPr>
          <w:color w:val="auto"/>
        </w:rPr>
      </w:pPr>
      <w:r>
        <w:rPr>
          <w:rFonts w:hint="eastAsia"/>
          <w:color w:val="auto"/>
        </w:rPr>
        <w:t>2</w:t>
      </w:r>
      <w:r>
        <w:rPr>
          <w:color w:val="auto"/>
        </w:rPr>
        <w:t>.3.1.2地形地貌</w:t>
      </w:r>
    </w:p>
    <w:p w14:paraId="1099CFE5">
      <w:pPr>
        <w:pStyle w:val="46"/>
        <w:ind w:firstLine="480"/>
        <w:rPr>
          <w:rFonts w:hint="eastAsia" w:eastAsia="宋体"/>
          <w:color w:val="auto"/>
          <w:sz w:val="24"/>
        </w:rPr>
      </w:pPr>
      <w:r>
        <w:rPr>
          <w:rFonts w:hint="eastAsia" w:eastAsia="宋体"/>
          <w:color w:val="auto"/>
          <w:sz w:val="24"/>
        </w:rPr>
        <w:t>鄠邑区地势背山面水，南高北低。地形为山区、山前坡地及平原区三个不同的自然区域。地貌类型由北向南有渭河漫滩地、一级阶地、二级阶地、山前洪积扇、沿山丘陵和中高山山地等。南部秦岭山区峪道中森林植被茂密，最高海拔冰晶顶（静峪脑）3015.1m，山脊海拔680m，渭河滩地最低点海拔388m。鄠邑区南部山区除秦岭梁为东西走向外，其余山梁均为南北。走向，山势陡峭，峰峦重叠。按地表形态分为中山、低山、陡坡。中山分布于海拔1000m以上，分水岭陡峻，起伏较大，多为对称山脊，山脊有孤峰存在，各山岭由南向北呈叶脉形分布，形成大小支脉175道，成为各沟峪的分水岭。较高山峰有11座：首阳山、凤凰山、方家梁、土坡梁、九华山、木咀梁、万家岭、圭峰山、郭家山、宛华山、天空岔梁。河谷一般呈“V”型，谷宽5～20m，河谷切割不对称。由于山高坡陡、土层薄，不宜农耕，现多为林地及荒山草坡。低山分布于海拔600～1000m之间，山脊起伏不大，分水岭成浑圆形。山坡堆积物较多，低洼处保留有黄土状砂质粘土，厚度5～20m。有的地方为土、石、岩屑混合物。河谷一般呈“V”形，宽度在25m以上，个别地方为“箱形谷”。由于坡度较缓，且有一定的黄土沉积，多为山区农耕地。</w:t>
      </w:r>
    </w:p>
    <w:p w14:paraId="7C9E7C3F">
      <w:pPr>
        <w:pStyle w:val="46"/>
        <w:ind w:firstLine="480"/>
        <w:rPr>
          <w:rFonts w:eastAsia="宋体"/>
          <w:color w:val="auto"/>
          <w:sz w:val="24"/>
        </w:rPr>
      </w:pPr>
      <w:r>
        <w:rPr>
          <w:rFonts w:hint="eastAsia" w:eastAsia="宋体"/>
          <w:color w:val="auto"/>
          <w:sz w:val="24"/>
        </w:rPr>
        <w:t>北部平原构造上属渭河地堑的一部分，按地貌特征可分秦岭北麓山前洪积扇、扇缘洼地、黄土台原、渭河阶地及河漫滩地，海拔600～388m。洪积扇分布于山基线以北，童家滩、郝家寨、南斑竹园、仝夏堡、余下村、焦将村、高力渠、草堂寺东西一线以南。地表坡度0度30分至4度，地势较高，水利条件较差。扇缘洼地分布于洪积扇以北，秦渡镇、牛东村、牙道村、县城、格家庄、甘水坊东西一线以南，地表坡度小于1度，土层较厚，水利条件好，但排水不畅，雨季地表常积水。黄土台原分布于扇缘洼地以北，文义村、王守村、坳河村、涝店、甘河村东西一线以南，即眉坞岭地带，地表坡度小于1度，未受渭河冲积影响，为原生黄土沉积，土层深厚。渭河阶地南与黄土台原界线明显，分布于眉坞岭以北，渭河防洪堤以南，为河流冲积而形成。河漫滩系防洪堤以北渭水漫滩。地面从南向北，从西向东微倾斜，土层深厚，土质肥沃，是鄠邑区主要粮食产区。</w:t>
      </w:r>
    </w:p>
    <w:p w14:paraId="587EBD24">
      <w:pPr>
        <w:pStyle w:val="69"/>
        <w:rPr>
          <w:rFonts w:hint="default" w:eastAsia="宋体"/>
          <w:color w:val="auto"/>
          <w:lang w:val="en-US" w:eastAsia="zh-CN"/>
        </w:rPr>
      </w:pPr>
      <w:r>
        <w:rPr>
          <w:rFonts w:hint="eastAsia"/>
          <w:color w:val="auto"/>
        </w:rPr>
        <w:t>2</w:t>
      </w:r>
      <w:r>
        <w:rPr>
          <w:color w:val="auto"/>
        </w:rPr>
        <w:t>.3.1.3</w:t>
      </w:r>
      <w:r>
        <w:rPr>
          <w:rFonts w:hint="eastAsia"/>
          <w:color w:val="auto"/>
          <w:lang w:val="en-US" w:eastAsia="zh-CN"/>
        </w:rPr>
        <w:t>土壤条件</w:t>
      </w:r>
    </w:p>
    <w:p w14:paraId="40A3DDAF">
      <w:pPr>
        <w:pStyle w:val="46"/>
        <w:ind w:firstLine="480"/>
        <w:rPr>
          <w:rFonts w:hint="eastAsia" w:eastAsia="宋体"/>
          <w:color w:val="auto"/>
          <w:sz w:val="24"/>
        </w:rPr>
      </w:pPr>
      <w:r>
        <w:rPr>
          <w:rFonts w:hint="eastAsia" w:eastAsia="宋体"/>
          <w:color w:val="auto"/>
          <w:sz w:val="24"/>
        </w:rPr>
        <w:t>鄠邑区本地母岩主要有绿色片岩、片麻岩、花岗岩和石英岩，成土母质主要为棕色、暗棕色的坡积母质和残积母质。全区有9个土类，18个亚类，39个土属，平原地区5个土类，12个亚类，22个土属，以塿土、潮土为主，分布占平原地区总面积的39%和36%，另外少量黄土、水稻土、淤土。山区4个土类，6个亚类，7个土属，以石渣土为主，占山区总面积的92%。</w:t>
      </w:r>
    </w:p>
    <w:p w14:paraId="4430535A">
      <w:pPr>
        <w:pStyle w:val="46"/>
        <w:ind w:firstLine="480"/>
        <w:rPr>
          <w:rFonts w:hint="eastAsia" w:eastAsia="宋体"/>
          <w:color w:val="auto"/>
          <w:sz w:val="24"/>
        </w:rPr>
      </w:pPr>
      <w:r>
        <w:rPr>
          <w:rFonts w:hint="eastAsia" w:eastAsia="宋体"/>
          <w:color w:val="auto"/>
          <w:sz w:val="24"/>
        </w:rPr>
        <w:t>平原地区土壤多以塿土、沙土、褐土为主。有机质平均含量1.238%，中等，pH值8.1。塿土占土壤面积的17.1%，潮土占土壤面积的16.0%，黄土占土壤面积的8.1%，石渣土占土壤面积的51.7%。塿土、潮土、黄土是农耕地的主要土壤，石渣土主要分布在山区和山前洪积扇。土壤疏松、热性、通气性良好，土层较深，土壤肥沃，适应多种植物生长。</w:t>
      </w:r>
    </w:p>
    <w:p w14:paraId="23CEF956">
      <w:pPr>
        <w:pStyle w:val="46"/>
        <w:ind w:firstLine="480"/>
        <w:rPr>
          <w:rFonts w:hint="eastAsia" w:eastAsia="宋体"/>
          <w:color w:val="auto"/>
          <w:sz w:val="24"/>
        </w:rPr>
      </w:pPr>
      <w:r>
        <w:rPr>
          <w:rFonts w:hint="eastAsia" w:eastAsia="宋体"/>
          <w:color w:val="auto"/>
          <w:sz w:val="24"/>
        </w:rPr>
        <w:t>山区随海拔高度变化，温度、植被、雨量等相应变化，土壤呈带状变化和分布。海拔600～1500m为淋溶褐土；海拔1500～2000m为棕壤性石渣土；2000～2500m为暗棕壤性石渣土；2500～2800m为亚高山草甸土；800～3015m为原始土壤和裸露岩。</w:t>
      </w:r>
    </w:p>
    <w:p w14:paraId="14A30D36">
      <w:pPr>
        <w:pStyle w:val="46"/>
        <w:ind w:firstLine="480"/>
        <w:rPr>
          <w:rFonts w:eastAsia="宋体"/>
          <w:color w:val="auto"/>
          <w:sz w:val="24"/>
        </w:rPr>
      </w:pPr>
      <w:r>
        <w:rPr>
          <w:rFonts w:hint="eastAsia" w:eastAsia="宋体"/>
          <w:color w:val="auto"/>
          <w:sz w:val="24"/>
        </w:rPr>
        <w:t>土层厚薄不一，一般台地、阶地、沟掌地带土层深厚，陡险坡面土层较薄。</w:t>
      </w:r>
      <w:r>
        <w:rPr>
          <w:rFonts w:hint="eastAsia" w:eastAsia="宋体"/>
          <w:color w:val="auto"/>
          <w:sz w:val="24"/>
          <w:lang w:val="en-US" w:eastAsia="zh-CN"/>
        </w:rPr>
        <w:t>p</w:t>
      </w:r>
      <w:r>
        <w:rPr>
          <w:rFonts w:hint="eastAsia" w:eastAsia="宋体"/>
          <w:color w:val="auto"/>
          <w:sz w:val="24"/>
        </w:rPr>
        <w:t>H值5.5—6.5，呈中性至微酸性反应。土质松软，肥力较高。</w:t>
      </w:r>
    </w:p>
    <w:p w14:paraId="729A830B">
      <w:pPr>
        <w:pStyle w:val="69"/>
        <w:rPr>
          <w:rFonts w:hint="default" w:eastAsia="宋体"/>
          <w:color w:val="auto"/>
          <w:lang w:val="en-US" w:eastAsia="zh-CN"/>
        </w:rPr>
      </w:pPr>
      <w:r>
        <w:rPr>
          <w:rFonts w:hint="eastAsia"/>
          <w:color w:val="auto"/>
        </w:rPr>
        <w:t>2</w:t>
      </w:r>
      <w:r>
        <w:rPr>
          <w:color w:val="auto"/>
        </w:rPr>
        <w:t>.3.1.4</w:t>
      </w:r>
      <w:r>
        <w:rPr>
          <w:rFonts w:hint="eastAsia"/>
          <w:color w:val="auto"/>
        </w:rPr>
        <w:t>气</w:t>
      </w:r>
      <w:r>
        <w:rPr>
          <w:rFonts w:hint="eastAsia"/>
          <w:color w:val="auto"/>
          <w:lang w:val="en-US" w:eastAsia="zh-CN"/>
        </w:rPr>
        <w:t>候特征</w:t>
      </w:r>
    </w:p>
    <w:p w14:paraId="09547130">
      <w:pPr>
        <w:pStyle w:val="46"/>
        <w:ind w:firstLine="480"/>
        <w:rPr>
          <w:rFonts w:hint="eastAsia" w:eastAsia="宋体"/>
          <w:color w:val="auto"/>
          <w:sz w:val="24"/>
        </w:rPr>
      </w:pPr>
      <w:r>
        <w:rPr>
          <w:rFonts w:hint="eastAsia" w:eastAsia="宋体"/>
          <w:color w:val="auto"/>
          <w:sz w:val="24"/>
        </w:rPr>
        <w:t>鄠邑区属暖热带半湿润大陆性季风气候区，四季冷暖干湿分明，光、热、水资源丰富，年日照时数1983.4小时，年平均气温13.5℃，极端最高气温43℃，极端最低气温-19℃。≥0℃活动积温4975.6℃，≥10℃活动积温4332.6℃。年降水量为627.6mm，季节分配不均，最高939.4mm，偏高53%；最低422.3mm，偏少31%。多集中在7、8、9三个月。占全年降水量的50%。年平均无霜期219天。深山区无霜期一般在180天左右。</w:t>
      </w:r>
    </w:p>
    <w:p w14:paraId="76B7F34D">
      <w:pPr>
        <w:pStyle w:val="46"/>
        <w:ind w:firstLine="480"/>
        <w:rPr>
          <w:rFonts w:hint="eastAsia" w:eastAsia="宋体"/>
          <w:color w:val="auto"/>
          <w:sz w:val="24"/>
        </w:rPr>
      </w:pPr>
      <w:r>
        <w:rPr>
          <w:rFonts w:hint="eastAsia" w:eastAsia="宋体"/>
          <w:color w:val="auto"/>
          <w:sz w:val="24"/>
        </w:rPr>
        <w:t>在大气环流和秦岭的阻隔作用影响下，气候特点表现为垂直变化明显，小气候差异大，光热条件极不均衡；年降水量比较集中；冬季无严寒，夏季无酷暑；气温日差较大。由于地形复杂高差悬殊，山区既有垂直分布的差异，同一海拔也有阴阳坡的不同。主要气象灾害有干旱、雨涝、暴雨、霜冻、大风、连阴雨和干热风等。</w:t>
      </w:r>
    </w:p>
    <w:p w14:paraId="12D0BDDD">
      <w:pPr>
        <w:pStyle w:val="46"/>
        <w:ind w:firstLine="480"/>
        <w:rPr>
          <w:rFonts w:eastAsia="宋体"/>
          <w:color w:val="auto"/>
          <w:sz w:val="24"/>
        </w:rPr>
      </w:pPr>
      <w:r>
        <w:rPr>
          <w:rFonts w:hint="eastAsia" w:eastAsia="宋体"/>
          <w:color w:val="auto"/>
          <w:sz w:val="24"/>
        </w:rPr>
        <w:t>由于秦岭山脊的屏障作用，受蒙古反气旋影响较大，全年盛行东北风和西北风。年平均风速1.8m/s。</w:t>
      </w:r>
    </w:p>
    <w:p w14:paraId="4EC66C04">
      <w:pPr>
        <w:pStyle w:val="69"/>
        <w:rPr>
          <w:rFonts w:hint="default" w:eastAsia="宋体"/>
          <w:color w:val="auto"/>
          <w:lang w:val="en-US" w:eastAsia="zh-CN"/>
        </w:rPr>
      </w:pPr>
      <w:r>
        <w:rPr>
          <w:rFonts w:hint="eastAsia"/>
          <w:color w:val="auto"/>
        </w:rPr>
        <w:t>2</w:t>
      </w:r>
      <w:r>
        <w:rPr>
          <w:color w:val="auto"/>
        </w:rPr>
        <w:t>.3.1.5</w:t>
      </w:r>
      <w:r>
        <w:rPr>
          <w:rFonts w:hint="eastAsia"/>
          <w:color w:val="auto"/>
          <w:lang w:val="en-US" w:eastAsia="zh-CN"/>
        </w:rPr>
        <w:t>水文</w:t>
      </w:r>
    </w:p>
    <w:p w14:paraId="25825318">
      <w:pPr>
        <w:pStyle w:val="46"/>
        <w:ind w:firstLine="480"/>
        <w:rPr>
          <w:rFonts w:eastAsia="宋体"/>
          <w:color w:val="auto"/>
          <w:sz w:val="24"/>
        </w:rPr>
      </w:pPr>
      <w:r>
        <w:rPr>
          <w:rFonts w:hint="eastAsia" w:eastAsia="宋体"/>
          <w:color w:val="auto"/>
          <w:sz w:val="24"/>
        </w:rPr>
        <w:t>依据《西安市鄠邑区水资源开发利用保护规划》和《西安市鄠邑区水资源论证区域评估报告》，鄠邑区多年平均自产径流量为28947万m</w:t>
      </w:r>
      <w:r>
        <w:rPr>
          <w:rFonts w:hint="eastAsia" w:eastAsia="宋体"/>
          <w:color w:val="auto"/>
          <w:sz w:val="24"/>
          <w:vertAlign w:val="superscript"/>
        </w:rPr>
        <w:t>3</w:t>
      </w:r>
      <w:r>
        <w:rPr>
          <w:rFonts w:hint="eastAsia" w:eastAsia="宋体"/>
          <w:color w:val="auto"/>
          <w:sz w:val="24"/>
        </w:rPr>
        <w:t>，多年平均地下水资源量为19815万m3，地下水与地表水重复量为19043万m</w:t>
      </w:r>
      <w:r>
        <w:rPr>
          <w:rFonts w:hint="eastAsia" w:eastAsia="宋体"/>
          <w:color w:val="auto"/>
          <w:sz w:val="24"/>
          <w:vertAlign w:val="superscript"/>
        </w:rPr>
        <w:t>3</w:t>
      </w:r>
      <w:r>
        <w:rPr>
          <w:rFonts w:hint="eastAsia" w:eastAsia="宋体"/>
          <w:color w:val="auto"/>
          <w:sz w:val="24"/>
        </w:rPr>
        <w:t>，则水资源总量为29719万m</w:t>
      </w:r>
      <w:r>
        <w:rPr>
          <w:rFonts w:hint="eastAsia" w:eastAsia="宋体"/>
          <w:color w:val="auto"/>
          <w:sz w:val="24"/>
          <w:vertAlign w:val="superscript"/>
        </w:rPr>
        <w:t>3</w:t>
      </w:r>
      <w:r>
        <w:rPr>
          <w:rFonts w:hint="eastAsia" w:eastAsia="宋体"/>
          <w:color w:val="auto"/>
          <w:sz w:val="24"/>
        </w:rPr>
        <w:t>，平均产水模数为23万m</w:t>
      </w:r>
      <w:r>
        <w:rPr>
          <w:rFonts w:hint="eastAsia" w:eastAsia="宋体"/>
          <w:color w:val="auto"/>
          <w:sz w:val="24"/>
          <w:vertAlign w:val="superscript"/>
        </w:rPr>
        <w:t>3</w:t>
      </w:r>
      <w:r>
        <w:rPr>
          <w:rFonts w:hint="eastAsia" w:eastAsia="宋体"/>
          <w:color w:val="auto"/>
          <w:sz w:val="24"/>
        </w:rPr>
        <w:t>/km</w:t>
      </w:r>
      <w:r>
        <w:rPr>
          <w:rFonts w:hint="eastAsia" w:eastAsia="宋体"/>
          <w:color w:val="auto"/>
          <w:sz w:val="24"/>
          <w:vertAlign w:val="superscript"/>
        </w:rPr>
        <w:t>2</w:t>
      </w:r>
      <w:r>
        <w:rPr>
          <w:rFonts w:hint="eastAsia" w:eastAsia="宋体"/>
          <w:color w:val="auto"/>
          <w:sz w:val="24"/>
        </w:rPr>
        <w:t>。境内域共有河流38条，其中沿边界而过的河流有渭河、沣河，其余36条均源出秦岭北麓，出山后形成了涝河、甘峪河、太平河、高冠河、潭峪河、新河等较大的河流。甘峪河汇入涝河，太平河与高冠河汇入沣河，潭峪河汇入新河，形成了鄠邑涝河水系、沣河水系、新河水系，加之过境渭河水系、耿峪河水系共计五大水系，分布全区，贯穿南北。区内各河流流经平原区缓缓流淌，通过地下渗透方式，为鄠邑地下水补给提供了丰富的水资源。</w:t>
      </w:r>
    </w:p>
    <w:p w14:paraId="1BF4299D">
      <w:pPr>
        <w:pStyle w:val="46"/>
        <w:ind w:firstLine="480"/>
        <w:rPr>
          <w:rFonts w:hint="eastAsia" w:eastAsia="宋体"/>
          <w:color w:val="auto"/>
          <w:sz w:val="24"/>
        </w:rPr>
      </w:pPr>
      <w:r>
        <w:rPr>
          <w:rFonts w:hint="eastAsia" w:eastAsia="宋体"/>
          <w:color w:val="auto"/>
          <w:sz w:val="24"/>
        </w:rPr>
        <w:t>1</w:t>
      </w:r>
      <w:r>
        <w:rPr>
          <w:rFonts w:hint="eastAsia" w:eastAsia="宋体"/>
          <w:color w:val="auto"/>
          <w:sz w:val="24"/>
          <w:lang w:eastAsia="zh-CN"/>
        </w:rPr>
        <w:t>、</w:t>
      </w:r>
      <w:r>
        <w:rPr>
          <w:rFonts w:hint="eastAsia" w:eastAsia="宋体"/>
          <w:color w:val="auto"/>
          <w:sz w:val="24"/>
        </w:rPr>
        <w:t>地表水</w:t>
      </w:r>
    </w:p>
    <w:p w14:paraId="5551BFBF">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rPr>
        <w:t>1</w:t>
      </w:r>
      <w:r>
        <w:rPr>
          <w:rFonts w:hint="eastAsia" w:eastAsia="宋体"/>
          <w:color w:val="auto"/>
          <w:sz w:val="24"/>
          <w:lang w:eastAsia="zh-CN"/>
        </w:rPr>
        <w:t>）</w:t>
      </w:r>
      <w:r>
        <w:rPr>
          <w:rFonts w:hint="eastAsia" w:eastAsia="宋体"/>
          <w:color w:val="auto"/>
          <w:sz w:val="24"/>
        </w:rPr>
        <w:t>涝河水系</w:t>
      </w:r>
    </w:p>
    <w:p w14:paraId="30D452F7">
      <w:pPr>
        <w:pStyle w:val="46"/>
        <w:ind w:firstLine="480"/>
        <w:rPr>
          <w:rFonts w:hint="eastAsia" w:eastAsia="宋体"/>
          <w:color w:val="auto"/>
          <w:sz w:val="24"/>
        </w:rPr>
      </w:pPr>
      <w:r>
        <w:rPr>
          <w:rFonts w:hint="eastAsia" w:eastAsia="宋体"/>
          <w:color w:val="auto"/>
          <w:sz w:val="24"/>
        </w:rPr>
        <w:t>涝河水系主要包括涝峪河、甘峪河、渼陂湖及其水系内的库塘。</w:t>
      </w:r>
    </w:p>
    <w:p w14:paraId="4E5617AB">
      <w:pPr>
        <w:pStyle w:val="46"/>
        <w:ind w:firstLine="480"/>
        <w:rPr>
          <w:rFonts w:hint="eastAsia" w:eastAsia="宋体"/>
          <w:color w:val="auto"/>
          <w:sz w:val="24"/>
        </w:rPr>
      </w:pPr>
      <w:r>
        <w:rPr>
          <w:rFonts w:hint="eastAsia" w:ascii="宋体" w:hAnsi="宋体" w:eastAsia="宋体" w:cs="宋体"/>
          <w:color w:val="auto"/>
          <w:sz w:val="24"/>
        </w:rPr>
        <w:t>①</w:t>
      </w:r>
      <w:r>
        <w:rPr>
          <w:rFonts w:hint="eastAsia" w:eastAsia="宋体"/>
          <w:color w:val="auto"/>
          <w:sz w:val="24"/>
        </w:rPr>
        <w:t>涝河</w:t>
      </w:r>
    </w:p>
    <w:p w14:paraId="52880449">
      <w:pPr>
        <w:pStyle w:val="46"/>
        <w:ind w:firstLine="480"/>
        <w:rPr>
          <w:rFonts w:hint="eastAsia" w:eastAsia="宋体"/>
          <w:color w:val="auto"/>
          <w:sz w:val="24"/>
        </w:rPr>
      </w:pPr>
      <w:r>
        <w:rPr>
          <w:rFonts w:hint="eastAsia" w:eastAsia="宋体"/>
          <w:color w:val="auto"/>
          <w:sz w:val="24"/>
        </w:rPr>
        <w:t>涝峪河是鄠邑区内最大的河流，也是渭河一级支流</w:t>
      </w:r>
      <w:r>
        <w:rPr>
          <w:rFonts w:hint="eastAsia" w:eastAsia="宋体"/>
          <w:color w:val="auto"/>
          <w:sz w:val="24"/>
          <w:lang w:eastAsia="zh-CN"/>
        </w:rPr>
        <w:t>，</w:t>
      </w:r>
      <w:r>
        <w:rPr>
          <w:rFonts w:hint="eastAsia" w:eastAsia="宋体"/>
          <w:color w:val="auto"/>
          <w:sz w:val="24"/>
        </w:rPr>
        <w:t>系古都长安八水之一，发源于鄠邑区涝峪秦岭梁的静峪脑，全长86km，其中山区段43.8km；流域面积665km</w:t>
      </w:r>
      <w:r>
        <w:rPr>
          <w:rFonts w:hint="eastAsia" w:eastAsia="宋体"/>
          <w:color w:val="auto"/>
          <w:sz w:val="24"/>
          <w:vertAlign w:val="superscript"/>
        </w:rPr>
        <w:t>2</w:t>
      </w:r>
      <w:r>
        <w:rPr>
          <w:rFonts w:hint="eastAsia" w:eastAsia="宋体"/>
          <w:color w:val="auto"/>
          <w:sz w:val="24"/>
        </w:rPr>
        <w:t>，其中山区346km</w:t>
      </w:r>
      <w:r>
        <w:rPr>
          <w:rFonts w:hint="eastAsia" w:eastAsia="宋体"/>
          <w:color w:val="auto"/>
          <w:sz w:val="24"/>
          <w:vertAlign w:val="superscript"/>
        </w:rPr>
        <w:t>2</w:t>
      </w:r>
      <w:r>
        <w:rPr>
          <w:rFonts w:hint="eastAsia" w:eastAsia="宋体"/>
          <w:color w:val="auto"/>
          <w:sz w:val="24"/>
        </w:rPr>
        <w:t>。涝河在山内接纳沟水15条，出山后从鄠邑中部由南向北，直接或间接接纳西至白马河，东至暴峪的18个支流，流经石井、甘亭、玉蝉等街办，于涝店街办北转向东流，在渭丰街办保东村北汇入渭河，总落差780m。</w:t>
      </w:r>
    </w:p>
    <w:p w14:paraId="7F4AB0C5">
      <w:pPr>
        <w:pStyle w:val="46"/>
        <w:ind w:firstLine="480"/>
        <w:rPr>
          <w:rFonts w:hint="eastAsia" w:eastAsia="宋体"/>
          <w:color w:val="auto"/>
          <w:sz w:val="24"/>
        </w:rPr>
      </w:pPr>
      <w:r>
        <w:rPr>
          <w:rFonts w:hint="eastAsia" w:eastAsia="宋体"/>
          <w:color w:val="auto"/>
          <w:sz w:val="24"/>
        </w:rPr>
        <w:t>涝河谭庙水文站的年平均径流量1.79亿m</w:t>
      </w:r>
      <w:r>
        <w:rPr>
          <w:rFonts w:hint="eastAsia" w:eastAsia="宋体"/>
          <w:color w:val="auto"/>
          <w:sz w:val="24"/>
          <w:vertAlign w:val="superscript"/>
        </w:rPr>
        <w:t>3</w:t>
      </w:r>
      <w:r>
        <w:rPr>
          <w:rFonts w:hint="eastAsia" w:eastAsia="宋体"/>
          <w:color w:val="auto"/>
          <w:sz w:val="24"/>
        </w:rPr>
        <w:t>，最大年径流量3.55亿m</w:t>
      </w:r>
      <w:r>
        <w:rPr>
          <w:rFonts w:hint="eastAsia" w:eastAsia="宋体"/>
          <w:color w:val="auto"/>
          <w:sz w:val="24"/>
          <w:vertAlign w:val="superscript"/>
        </w:rPr>
        <w:t>3</w:t>
      </w:r>
      <w:r>
        <w:rPr>
          <w:rFonts w:hint="eastAsia" w:eastAsia="宋体"/>
          <w:color w:val="auto"/>
          <w:sz w:val="24"/>
        </w:rPr>
        <w:t>，最小年径流量0.517亿m</w:t>
      </w:r>
      <w:r>
        <w:rPr>
          <w:rFonts w:hint="eastAsia" w:eastAsia="宋体"/>
          <w:color w:val="auto"/>
          <w:sz w:val="24"/>
          <w:vertAlign w:val="superscript"/>
        </w:rPr>
        <w:t>3</w:t>
      </w:r>
      <w:r>
        <w:rPr>
          <w:rFonts w:hint="eastAsia" w:eastAsia="宋体"/>
          <w:color w:val="auto"/>
          <w:sz w:val="24"/>
        </w:rPr>
        <w:t>，径流量波动比值6.87倍，最大洪峰流量1070m</w:t>
      </w:r>
      <w:r>
        <w:rPr>
          <w:rFonts w:hint="eastAsia" w:eastAsia="宋体"/>
          <w:color w:val="auto"/>
          <w:sz w:val="24"/>
          <w:vertAlign w:val="superscript"/>
        </w:rPr>
        <w:t>3</w:t>
      </w:r>
      <w:r>
        <w:rPr>
          <w:rFonts w:hint="eastAsia" w:eastAsia="宋体"/>
          <w:color w:val="auto"/>
          <w:sz w:val="24"/>
        </w:rPr>
        <w:t>/s。涝河含沙量较高，年平均输沙量12.6万吨，7月汛期输沙量占全年总量的76.2％。</w:t>
      </w:r>
    </w:p>
    <w:p w14:paraId="411F2C03">
      <w:pPr>
        <w:pStyle w:val="46"/>
        <w:ind w:firstLine="480"/>
        <w:rPr>
          <w:rFonts w:hint="eastAsia" w:eastAsia="宋体"/>
          <w:color w:val="auto"/>
          <w:sz w:val="24"/>
        </w:rPr>
      </w:pPr>
      <w:r>
        <w:rPr>
          <w:rFonts w:hint="eastAsia" w:ascii="宋体" w:hAnsi="宋体" w:eastAsia="宋体" w:cs="宋体"/>
          <w:color w:val="auto"/>
          <w:sz w:val="24"/>
        </w:rPr>
        <w:t>②</w:t>
      </w:r>
      <w:r>
        <w:rPr>
          <w:rFonts w:hint="eastAsia" w:eastAsia="宋体"/>
          <w:color w:val="auto"/>
          <w:sz w:val="24"/>
        </w:rPr>
        <w:t>甘峪河</w:t>
      </w:r>
    </w:p>
    <w:p w14:paraId="0C34FF83">
      <w:pPr>
        <w:pStyle w:val="46"/>
        <w:ind w:firstLine="480"/>
        <w:rPr>
          <w:rFonts w:hint="eastAsia" w:eastAsia="宋体"/>
          <w:color w:val="auto"/>
          <w:sz w:val="24"/>
        </w:rPr>
      </w:pPr>
      <w:r>
        <w:rPr>
          <w:rFonts w:hint="eastAsia" w:eastAsia="宋体"/>
          <w:color w:val="auto"/>
          <w:sz w:val="24"/>
        </w:rPr>
        <w:t>甘峪河系涝河一级支流，源自首阳山，长38.3km，其中山区段17.3km；流域面积82.2km</w:t>
      </w:r>
      <w:r>
        <w:rPr>
          <w:rFonts w:hint="eastAsia" w:eastAsia="宋体"/>
          <w:color w:val="auto"/>
          <w:sz w:val="24"/>
          <w:vertAlign w:val="superscript"/>
        </w:rPr>
        <w:t>2</w:t>
      </w:r>
      <w:r>
        <w:rPr>
          <w:rFonts w:hint="eastAsia" w:eastAsia="宋体"/>
          <w:color w:val="auto"/>
          <w:sz w:val="24"/>
        </w:rPr>
        <w:t>，其中山区段面积69.1km</w:t>
      </w:r>
      <w:r>
        <w:rPr>
          <w:rFonts w:hint="eastAsia" w:eastAsia="宋体"/>
          <w:color w:val="auto"/>
          <w:sz w:val="24"/>
          <w:vertAlign w:val="superscript"/>
        </w:rPr>
        <w:t>2</w:t>
      </w:r>
      <w:r>
        <w:rPr>
          <w:rFonts w:hint="eastAsia" w:eastAsia="宋体"/>
          <w:color w:val="auto"/>
          <w:sz w:val="24"/>
        </w:rPr>
        <w:t>；年总径流量2418万m</w:t>
      </w:r>
      <w:r>
        <w:rPr>
          <w:rFonts w:hint="eastAsia" w:eastAsia="宋体"/>
          <w:color w:val="auto"/>
          <w:sz w:val="24"/>
          <w:vertAlign w:val="superscript"/>
        </w:rPr>
        <w:t>3</w:t>
      </w:r>
      <w:r>
        <w:rPr>
          <w:rFonts w:hint="eastAsia" w:eastAsia="宋体"/>
          <w:color w:val="auto"/>
          <w:sz w:val="24"/>
          <w:lang w:eastAsia="zh-CN"/>
        </w:rPr>
        <w:t>，</w:t>
      </w:r>
      <w:r>
        <w:rPr>
          <w:rFonts w:hint="eastAsia" w:eastAsia="宋体"/>
          <w:color w:val="auto"/>
          <w:sz w:val="24"/>
        </w:rPr>
        <w:t>最大流量304.3m</w:t>
      </w:r>
      <w:r>
        <w:rPr>
          <w:rFonts w:hint="eastAsia" w:eastAsia="宋体"/>
          <w:color w:val="auto"/>
          <w:sz w:val="24"/>
          <w:vertAlign w:val="superscript"/>
        </w:rPr>
        <w:t>3</w:t>
      </w:r>
      <w:r>
        <w:rPr>
          <w:rFonts w:hint="eastAsia" w:eastAsia="宋体"/>
          <w:color w:val="auto"/>
          <w:sz w:val="24"/>
        </w:rPr>
        <w:t>/s。甘峪河出峪后，沿途接纳白龙沟、杏井峪、柳泉峪及白马河河水。原甘峪河北流经红庵、李朱寨，过北寺与城道宫之间，经丁村、甘峪河堡东</w:t>
      </w:r>
      <w:r>
        <w:rPr>
          <w:rFonts w:hint="eastAsia" w:eastAsia="宋体"/>
          <w:color w:val="auto"/>
          <w:sz w:val="24"/>
          <w:lang w:eastAsia="zh-CN"/>
        </w:rPr>
        <w:t>，</w:t>
      </w:r>
      <w:r>
        <w:rPr>
          <w:rFonts w:hint="eastAsia" w:eastAsia="宋体"/>
          <w:color w:val="auto"/>
          <w:sz w:val="24"/>
        </w:rPr>
        <w:t>北流穿过西</w:t>
      </w:r>
      <w:r>
        <w:rPr>
          <w:rFonts w:hint="eastAsia" w:eastAsia="宋体"/>
          <w:color w:val="auto"/>
          <w:sz w:val="24"/>
          <w:lang w:eastAsia="zh-CN"/>
        </w:rPr>
        <w:t>（</w:t>
      </w:r>
      <w:r>
        <w:rPr>
          <w:rFonts w:hint="eastAsia" w:eastAsia="宋体"/>
          <w:color w:val="auto"/>
          <w:sz w:val="24"/>
        </w:rPr>
        <w:t>安</w:t>
      </w:r>
      <w:r>
        <w:rPr>
          <w:rFonts w:hint="eastAsia" w:eastAsia="宋体"/>
          <w:color w:val="auto"/>
          <w:sz w:val="24"/>
          <w:lang w:eastAsia="zh-CN"/>
        </w:rPr>
        <w:t>）</w:t>
      </w:r>
      <w:r>
        <w:rPr>
          <w:rFonts w:hint="eastAsia" w:eastAsia="宋体"/>
          <w:color w:val="auto"/>
          <w:sz w:val="24"/>
        </w:rPr>
        <w:t>宝</w:t>
      </w:r>
      <w:r>
        <w:rPr>
          <w:rFonts w:hint="eastAsia" w:eastAsia="宋体"/>
          <w:color w:val="auto"/>
          <w:sz w:val="24"/>
          <w:lang w:eastAsia="zh-CN"/>
        </w:rPr>
        <w:t>（</w:t>
      </w:r>
      <w:r>
        <w:rPr>
          <w:rFonts w:hint="eastAsia" w:eastAsia="宋体"/>
          <w:color w:val="auto"/>
          <w:sz w:val="24"/>
        </w:rPr>
        <w:t>鸡</w:t>
      </w:r>
      <w:r>
        <w:rPr>
          <w:rFonts w:hint="eastAsia" w:eastAsia="宋体"/>
          <w:color w:val="auto"/>
          <w:sz w:val="24"/>
          <w:lang w:eastAsia="zh-CN"/>
        </w:rPr>
        <w:t>）</w:t>
      </w:r>
      <w:r>
        <w:rPr>
          <w:rFonts w:hint="eastAsia" w:eastAsia="宋体"/>
          <w:color w:val="auto"/>
          <w:sz w:val="24"/>
        </w:rPr>
        <w:t>公路桥，经尹村、吕家寨，至涝店街办史东村投入涝河。</w:t>
      </w:r>
    </w:p>
    <w:p w14:paraId="32000F17">
      <w:pPr>
        <w:pStyle w:val="46"/>
        <w:ind w:firstLine="480"/>
        <w:rPr>
          <w:rFonts w:hint="eastAsia" w:eastAsia="宋体"/>
          <w:color w:val="auto"/>
          <w:sz w:val="24"/>
        </w:rPr>
      </w:pPr>
      <w:r>
        <w:rPr>
          <w:rFonts w:hint="eastAsia" w:ascii="宋体" w:hAnsi="宋体" w:eastAsia="宋体" w:cs="宋体"/>
          <w:color w:val="auto"/>
          <w:sz w:val="24"/>
        </w:rPr>
        <w:t>③</w:t>
      </w:r>
      <w:r>
        <w:rPr>
          <w:rFonts w:hint="eastAsia" w:eastAsia="宋体"/>
          <w:color w:val="auto"/>
          <w:sz w:val="24"/>
        </w:rPr>
        <w:t>渼陂湖</w:t>
      </w:r>
    </w:p>
    <w:p w14:paraId="6C2598BB">
      <w:pPr>
        <w:pStyle w:val="46"/>
        <w:ind w:firstLine="480"/>
        <w:rPr>
          <w:rFonts w:hint="eastAsia" w:eastAsia="宋体"/>
          <w:color w:val="auto"/>
          <w:sz w:val="24"/>
        </w:rPr>
      </w:pPr>
      <w:r>
        <w:rPr>
          <w:rFonts w:hint="eastAsia" w:eastAsia="宋体"/>
          <w:color w:val="auto"/>
          <w:sz w:val="24"/>
        </w:rPr>
        <w:t>渼陂湖属“八水润西安”之涝河水系。涝河源于终南山，出谷之后，河面骤变宽阔，流速相对减慢，洪水携带的砂石滩落堆积，天长日久，水流受阻，但仍有小股支水流沿古道潜匿而行</w:t>
      </w:r>
      <w:r>
        <w:rPr>
          <w:rFonts w:hint="eastAsia" w:eastAsia="宋体"/>
          <w:color w:val="auto"/>
          <w:sz w:val="24"/>
          <w:lang w:eastAsia="zh-CN"/>
        </w:rPr>
        <w:t>，</w:t>
      </w:r>
      <w:r>
        <w:rPr>
          <w:rFonts w:hint="eastAsia" w:eastAsia="宋体"/>
          <w:color w:val="auto"/>
          <w:sz w:val="24"/>
        </w:rPr>
        <w:t>隐渡“十里天桥”，至渼陂湖上游3km处，水流遇土层形成20余眼泉水溢出，逐渐汇聚成溪，溪流流至陂头村东南处，岸湾逐淅扩大，清流汇聚成陂</w:t>
      </w:r>
      <w:r>
        <w:rPr>
          <w:rFonts w:hint="eastAsia" w:eastAsia="宋体"/>
          <w:color w:val="auto"/>
          <w:sz w:val="24"/>
          <w:lang w:eastAsia="zh-CN"/>
        </w:rPr>
        <w:t>，</w:t>
      </w:r>
      <w:r>
        <w:rPr>
          <w:rFonts w:hint="eastAsia" w:eastAsia="宋体"/>
          <w:color w:val="auto"/>
          <w:sz w:val="24"/>
        </w:rPr>
        <w:t>溢满之后</w:t>
      </w:r>
      <w:r>
        <w:rPr>
          <w:rFonts w:hint="eastAsia" w:eastAsia="宋体"/>
          <w:color w:val="auto"/>
          <w:sz w:val="24"/>
          <w:lang w:eastAsia="zh-CN"/>
        </w:rPr>
        <w:t>，</w:t>
      </w:r>
      <w:r>
        <w:rPr>
          <w:rFonts w:hint="eastAsia" w:eastAsia="宋体"/>
          <w:color w:val="auto"/>
          <w:sz w:val="24"/>
        </w:rPr>
        <w:t>形成著名的风景名胜渼陂湖，后注入涝河。</w:t>
      </w:r>
    </w:p>
    <w:p w14:paraId="0F6DB08E">
      <w:pPr>
        <w:pStyle w:val="46"/>
        <w:ind w:firstLine="480"/>
        <w:rPr>
          <w:rFonts w:hint="eastAsia" w:eastAsia="宋体"/>
          <w:color w:val="auto"/>
          <w:sz w:val="24"/>
        </w:rPr>
      </w:pPr>
      <w:r>
        <w:rPr>
          <w:rFonts w:hint="eastAsia" w:eastAsia="宋体"/>
          <w:color w:val="auto"/>
          <w:sz w:val="24"/>
        </w:rPr>
        <w:t>涝河水系库塘、水产养殖场主要集中在玉蝉街办沿涝河旁，库塘主要以景观为主，水产养殖场以经营养鱼为主，鄠邑蒋村街办甘峪水库为全区目前库容量最大的水库。</w:t>
      </w:r>
    </w:p>
    <w:p w14:paraId="586968A4">
      <w:pPr>
        <w:pStyle w:val="46"/>
        <w:ind w:firstLine="480"/>
        <w:rPr>
          <w:rFonts w:hint="eastAsia" w:eastAsia="宋体"/>
          <w:color w:val="auto"/>
          <w:sz w:val="24"/>
        </w:rPr>
      </w:pPr>
      <w:r>
        <w:rPr>
          <w:rFonts w:hint="eastAsia" w:eastAsia="宋体"/>
          <w:color w:val="auto"/>
          <w:sz w:val="24"/>
        </w:rPr>
        <w:t>（2）沣河水系</w:t>
      </w:r>
    </w:p>
    <w:p w14:paraId="386A6558">
      <w:pPr>
        <w:pStyle w:val="46"/>
        <w:ind w:firstLine="480"/>
        <w:rPr>
          <w:rFonts w:hint="eastAsia" w:eastAsia="宋体"/>
          <w:color w:val="auto"/>
          <w:sz w:val="24"/>
        </w:rPr>
      </w:pPr>
      <w:r>
        <w:rPr>
          <w:rFonts w:hint="eastAsia" w:eastAsia="宋体"/>
          <w:color w:val="auto"/>
          <w:sz w:val="24"/>
        </w:rPr>
        <w:t>沣河水系主要包括太平河鄠邑段、高冠河鄠邑段、沣河鄠邑段及其水系内的库塘、水产养殖场。</w:t>
      </w:r>
    </w:p>
    <w:p w14:paraId="4A4BED70">
      <w:pPr>
        <w:pStyle w:val="46"/>
        <w:ind w:firstLine="480"/>
        <w:rPr>
          <w:rFonts w:hint="eastAsia" w:eastAsia="宋体"/>
          <w:color w:val="auto"/>
          <w:sz w:val="24"/>
        </w:rPr>
      </w:pPr>
      <w:r>
        <w:rPr>
          <w:rFonts w:hint="eastAsia" w:ascii="宋体" w:hAnsi="宋体" w:eastAsia="宋体" w:cs="宋体"/>
          <w:color w:val="auto"/>
          <w:sz w:val="24"/>
        </w:rPr>
        <w:t>①</w:t>
      </w:r>
      <w:r>
        <w:rPr>
          <w:rFonts w:hint="eastAsia" w:eastAsia="宋体"/>
          <w:color w:val="auto"/>
          <w:sz w:val="24"/>
        </w:rPr>
        <w:t>沣河鄠邑段</w:t>
      </w:r>
    </w:p>
    <w:p w14:paraId="0266E87C">
      <w:pPr>
        <w:pStyle w:val="46"/>
        <w:ind w:firstLine="480"/>
        <w:rPr>
          <w:rFonts w:hint="eastAsia" w:eastAsia="宋体"/>
          <w:color w:val="auto"/>
          <w:sz w:val="24"/>
        </w:rPr>
      </w:pPr>
      <w:r>
        <w:rPr>
          <w:rFonts w:hint="eastAsia" w:eastAsia="宋体"/>
          <w:color w:val="auto"/>
          <w:sz w:val="24"/>
        </w:rPr>
        <w:t>沣河系渭河一级支流，为“八水润西安”重要引水工程之一，源出长安区沣峪</w:t>
      </w:r>
      <w:r>
        <w:rPr>
          <w:rFonts w:hint="eastAsia" w:eastAsia="宋体"/>
          <w:color w:val="auto"/>
          <w:sz w:val="24"/>
          <w:lang w:eastAsia="zh-CN"/>
        </w:rPr>
        <w:t>，</w:t>
      </w:r>
      <w:r>
        <w:rPr>
          <w:rFonts w:hint="eastAsia" w:eastAsia="宋体"/>
          <w:color w:val="auto"/>
          <w:sz w:val="24"/>
        </w:rPr>
        <w:t>河水出山后向西北流，在鄠邑秦渡街办（高新区托管）南1km处靠鄠邑境，经沣惠渠大坝过秦渡街办东城墙下北流，到秦渡街办北门外约500m处又入长安境。流经鄠邑2.4km，最大流量为1726m</w:t>
      </w:r>
      <w:r>
        <w:rPr>
          <w:rFonts w:hint="eastAsia" w:eastAsia="宋体"/>
          <w:color w:val="auto"/>
          <w:sz w:val="24"/>
          <w:vertAlign w:val="superscript"/>
        </w:rPr>
        <w:t>3</w:t>
      </w:r>
      <w:r>
        <w:rPr>
          <w:rFonts w:hint="eastAsia" w:eastAsia="宋体"/>
          <w:color w:val="auto"/>
          <w:sz w:val="24"/>
        </w:rPr>
        <w:t>/s（1957年7月17日）。</w:t>
      </w:r>
    </w:p>
    <w:p w14:paraId="415830EC">
      <w:pPr>
        <w:pStyle w:val="46"/>
        <w:ind w:firstLine="480"/>
        <w:rPr>
          <w:rFonts w:hint="eastAsia" w:eastAsia="宋体"/>
          <w:color w:val="auto"/>
          <w:sz w:val="24"/>
        </w:rPr>
      </w:pPr>
      <w:r>
        <w:rPr>
          <w:rFonts w:hint="eastAsia" w:ascii="宋体" w:hAnsi="宋体" w:eastAsia="宋体" w:cs="宋体"/>
          <w:color w:val="auto"/>
          <w:sz w:val="24"/>
        </w:rPr>
        <w:t>②</w:t>
      </w:r>
      <w:r>
        <w:rPr>
          <w:rFonts w:hint="eastAsia" w:eastAsia="宋体"/>
          <w:color w:val="auto"/>
          <w:sz w:val="24"/>
        </w:rPr>
        <w:t>太平河鄠邑段</w:t>
      </w:r>
    </w:p>
    <w:p w14:paraId="1C7A7BA2">
      <w:pPr>
        <w:pStyle w:val="46"/>
        <w:ind w:firstLine="480"/>
        <w:rPr>
          <w:rFonts w:hint="eastAsia" w:eastAsia="宋体"/>
          <w:color w:val="auto"/>
          <w:sz w:val="24"/>
        </w:rPr>
      </w:pPr>
      <w:r>
        <w:rPr>
          <w:rFonts w:hint="eastAsia" w:eastAsia="宋体"/>
          <w:color w:val="auto"/>
          <w:sz w:val="24"/>
        </w:rPr>
        <w:t>太平河系沣河一级支流，源于鄠邑秦岭静峪脑，流经鄠邑34.8km，其中山区段长28km。流域面积180.5km</w:t>
      </w:r>
      <w:r>
        <w:rPr>
          <w:rFonts w:hint="eastAsia" w:eastAsia="宋体"/>
          <w:color w:val="auto"/>
          <w:sz w:val="24"/>
          <w:vertAlign w:val="superscript"/>
        </w:rPr>
        <w:t>2</w:t>
      </w:r>
      <w:r>
        <w:rPr>
          <w:rFonts w:hint="eastAsia" w:eastAsia="宋体"/>
          <w:color w:val="auto"/>
          <w:sz w:val="24"/>
        </w:rPr>
        <w:t>，其中山区面积163.5km</w:t>
      </w:r>
      <w:r>
        <w:rPr>
          <w:rFonts w:hint="eastAsia" w:eastAsia="宋体"/>
          <w:color w:val="auto"/>
          <w:sz w:val="24"/>
          <w:vertAlign w:val="superscript"/>
        </w:rPr>
        <w:t>2</w:t>
      </w:r>
      <w:r>
        <w:rPr>
          <w:rFonts w:hint="eastAsia" w:eastAsia="宋体"/>
          <w:color w:val="auto"/>
          <w:sz w:val="24"/>
        </w:rPr>
        <w:t>。出山后汇纳神水峪、紫沟峪、十房峪、土地峪、牛心峪的流水，至高新区郭村汇入沣河。历史最大流量360m</w:t>
      </w:r>
      <w:r>
        <w:rPr>
          <w:rFonts w:hint="eastAsia" w:eastAsia="宋体"/>
          <w:color w:val="auto"/>
          <w:sz w:val="24"/>
          <w:vertAlign w:val="superscript"/>
        </w:rPr>
        <w:t>3</w:t>
      </w:r>
      <w:r>
        <w:rPr>
          <w:rFonts w:hint="eastAsia" w:eastAsia="宋体"/>
          <w:color w:val="auto"/>
          <w:sz w:val="24"/>
        </w:rPr>
        <w:t>/s</w:t>
      </w:r>
      <w:r>
        <w:rPr>
          <w:rFonts w:hint="eastAsia" w:eastAsia="宋体"/>
          <w:color w:val="auto"/>
          <w:sz w:val="24"/>
          <w:lang w:eastAsia="zh-CN"/>
        </w:rPr>
        <w:t>，</w:t>
      </w:r>
      <w:r>
        <w:rPr>
          <w:rFonts w:hint="eastAsia" w:eastAsia="宋体"/>
          <w:color w:val="auto"/>
          <w:sz w:val="24"/>
        </w:rPr>
        <w:t>最小0.2m</w:t>
      </w:r>
      <w:r>
        <w:rPr>
          <w:rFonts w:hint="eastAsia" w:eastAsia="宋体"/>
          <w:color w:val="auto"/>
          <w:sz w:val="24"/>
          <w:vertAlign w:val="superscript"/>
        </w:rPr>
        <w:t>3</w:t>
      </w:r>
      <w:r>
        <w:rPr>
          <w:rFonts w:hint="eastAsia" w:eastAsia="宋体"/>
          <w:color w:val="auto"/>
          <w:sz w:val="24"/>
        </w:rPr>
        <w:t>/s。出峪后冲积的漫滩宽2～3km，长6km左右，主河道主流经常变迁。</w:t>
      </w:r>
    </w:p>
    <w:p w14:paraId="7B48F73E">
      <w:pPr>
        <w:pStyle w:val="46"/>
        <w:ind w:firstLine="480"/>
        <w:rPr>
          <w:rFonts w:hint="eastAsia" w:eastAsia="宋体"/>
          <w:color w:val="auto"/>
          <w:sz w:val="24"/>
        </w:rPr>
      </w:pPr>
      <w:r>
        <w:rPr>
          <w:rFonts w:hint="eastAsia" w:ascii="宋体" w:hAnsi="宋体" w:eastAsia="宋体" w:cs="宋体"/>
          <w:color w:val="auto"/>
          <w:sz w:val="24"/>
        </w:rPr>
        <w:t>③</w:t>
      </w:r>
      <w:r>
        <w:rPr>
          <w:rFonts w:hint="eastAsia" w:eastAsia="宋体"/>
          <w:color w:val="auto"/>
          <w:sz w:val="24"/>
        </w:rPr>
        <w:t>高冠河鄠邑段</w:t>
      </w:r>
    </w:p>
    <w:p w14:paraId="67C43695">
      <w:pPr>
        <w:pStyle w:val="46"/>
        <w:ind w:firstLine="480"/>
        <w:rPr>
          <w:rFonts w:hint="eastAsia" w:eastAsia="宋体"/>
          <w:color w:val="auto"/>
          <w:sz w:val="24"/>
        </w:rPr>
      </w:pPr>
      <w:r>
        <w:rPr>
          <w:rFonts w:hint="eastAsia" w:eastAsia="宋体"/>
          <w:color w:val="auto"/>
          <w:sz w:val="24"/>
        </w:rPr>
        <w:t>高冠河发源于秦岭梁，是鄠邑区与长安区的界河，流域总面积172.4km</w:t>
      </w:r>
      <w:r>
        <w:rPr>
          <w:rFonts w:hint="eastAsia" w:eastAsia="宋体"/>
          <w:color w:val="auto"/>
          <w:sz w:val="24"/>
          <w:vertAlign w:val="superscript"/>
        </w:rPr>
        <w:t>2</w:t>
      </w:r>
      <w:r>
        <w:rPr>
          <w:rFonts w:hint="eastAsia" w:eastAsia="宋体"/>
          <w:color w:val="auto"/>
          <w:sz w:val="24"/>
        </w:rPr>
        <w:t>，河流全长30km，峪口以上长22.5km，主河道比降为3%～8%。出峪后，流经高新区东大街办，于东大街办南强村南汇入沣峪河。</w:t>
      </w:r>
    </w:p>
    <w:p w14:paraId="5E582396">
      <w:pPr>
        <w:pStyle w:val="46"/>
        <w:ind w:firstLine="480"/>
        <w:rPr>
          <w:rFonts w:hint="eastAsia" w:eastAsia="宋体"/>
          <w:color w:val="auto"/>
          <w:sz w:val="24"/>
        </w:rPr>
      </w:pPr>
      <w:r>
        <w:rPr>
          <w:rFonts w:hint="eastAsia" w:eastAsia="宋体"/>
          <w:color w:val="auto"/>
          <w:sz w:val="24"/>
        </w:rPr>
        <w:t>高冠河在鄠邑区境内长23km，集水面积158km</w:t>
      </w:r>
      <w:r>
        <w:rPr>
          <w:rFonts w:hint="eastAsia" w:eastAsia="宋体"/>
          <w:color w:val="auto"/>
          <w:sz w:val="24"/>
          <w:vertAlign w:val="superscript"/>
        </w:rPr>
        <w:t>2</w:t>
      </w:r>
      <w:r>
        <w:rPr>
          <w:rFonts w:hint="eastAsia" w:eastAsia="宋体"/>
          <w:color w:val="auto"/>
          <w:sz w:val="24"/>
        </w:rPr>
        <w:t>，其中属鄠邑区的集水面积45.61km</w:t>
      </w:r>
      <w:r>
        <w:rPr>
          <w:rFonts w:hint="eastAsia" w:eastAsia="宋体"/>
          <w:color w:val="auto"/>
          <w:sz w:val="24"/>
          <w:vertAlign w:val="superscript"/>
        </w:rPr>
        <w:t>2</w:t>
      </w:r>
      <w:r>
        <w:rPr>
          <w:rFonts w:hint="eastAsia" w:eastAsia="宋体"/>
          <w:color w:val="auto"/>
          <w:sz w:val="24"/>
        </w:rPr>
        <w:t>，年总径流量6300万m</w:t>
      </w:r>
      <w:r>
        <w:rPr>
          <w:rFonts w:hint="eastAsia" w:eastAsia="宋体"/>
          <w:color w:val="auto"/>
          <w:sz w:val="24"/>
          <w:vertAlign w:val="superscript"/>
        </w:rPr>
        <w:t>3</w:t>
      </w:r>
      <w:r>
        <w:rPr>
          <w:rFonts w:hint="eastAsia" w:eastAsia="宋体"/>
          <w:color w:val="auto"/>
          <w:sz w:val="24"/>
        </w:rPr>
        <w:t>，其中鄠邑区径流量1944万m</w:t>
      </w:r>
      <w:r>
        <w:rPr>
          <w:rFonts w:hint="eastAsia" w:eastAsia="宋体"/>
          <w:color w:val="auto"/>
          <w:sz w:val="24"/>
          <w:vertAlign w:val="superscript"/>
        </w:rPr>
        <w:t>3</w:t>
      </w:r>
      <w:r>
        <w:rPr>
          <w:rFonts w:hint="eastAsia" w:eastAsia="宋体"/>
          <w:color w:val="auto"/>
          <w:sz w:val="24"/>
        </w:rPr>
        <w:t>，最大洪水量154m</w:t>
      </w:r>
      <w:r>
        <w:rPr>
          <w:rFonts w:hint="eastAsia" w:eastAsia="宋体"/>
          <w:color w:val="auto"/>
          <w:sz w:val="24"/>
          <w:vertAlign w:val="superscript"/>
        </w:rPr>
        <w:t>3</w:t>
      </w:r>
      <w:r>
        <w:rPr>
          <w:rFonts w:hint="eastAsia" w:eastAsia="宋体"/>
          <w:color w:val="auto"/>
          <w:sz w:val="24"/>
        </w:rPr>
        <w:t>/s。河道出山后，与鄠邑区接壤的有0.68km，峪口有“高冠瀑布”，为“鄠邑十二景”之一。</w:t>
      </w:r>
    </w:p>
    <w:p w14:paraId="1A531BE0">
      <w:pPr>
        <w:pStyle w:val="46"/>
        <w:ind w:firstLine="480"/>
        <w:rPr>
          <w:rFonts w:hint="eastAsia" w:eastAsia="宋体"/>
          <w:color w:val="auto"/>
          <w:sz w:val="24"/>
        </w:rPr>
      </w:pPr>
      <w:r>
        <w:rPr>
          <w:rFonts w:hint="eastAsia" w:eastAsia="宋体"/>
          <w:color w:val="auto"/>
          <w:sz w:val="24"/>
        </w:rPr>
        <w:t>沣河水系库塘及水产养殖场主要集中于草堂街办（高新托管），库塘中面积最大为亚健高尔夫球场，主要用于商务旅游、城市景观。水产养殖场分布在太平河沿岸两侧。</w:t>
      </w:r>
    </w:p>
    <w:p w14:paraId="371613B4">
      <w:pPr>
        <w:pStyle w:val="46"/>
        <w:numPr>
          <w:ilvl w:val="0"/>
          <w:numId w:val="0"/>
        </w:numPr>
        <w:ind w:firstLine="480" w:firstLineChars="200"/>
        <w:rPr>
          <w:rFonts w:hint="eastAsia" w:eastAsia="宋体"/>
          <w:color w:val="auto"/>
          <w:sz w:val="24"/>
        </w:rPr>
      </w:pPr>
      <w:r>
        <w:rPr>
          <w:rFonts w:hint="eastAsia" w:eastAsia="宋体"/>
          <w:color w:val="auto"/>
          <w:sz w:val="24"/>
        </w:rPr>
        <w:t>（3）新河水系</w:t>
      </w:r>
    </w:p>
    <w:p w14:paraId="144F2313">
      <w:pPr>
        <w:pStyle w:val="46"/>
        <w:numPr>
          <w:ilvl w:val="0"/>
          <w:numId w:val="0"/>
        </w:numPr>
        <w:ind w:firstLine="480" w:firstLineChars="200"/>
        <w:rPr>
          <w:rFonts w:hint="eastAsia" w:eastAsia="宋体"/>
          <w:color w:val="auto"/>
          <w:sz w:val="24"/>
        </w:rPr>
      </w:pPr>
      <w:r>
        <w:rPr>
          <w:rFonts w:hint="eastAsia" w:ascii="宋体" w:hAnsi="宋体" w:eastAsia="宋体" w:cs="宋体"/>
          <w:color w:val="auto"/>
          <w:sz w:val="24"/>
        </w:rPr>
        <w:t>①</w:t>
      </w:r>
      <w:r>
        <w:rPr>
          <w:rFonts w:hint="eastAsia" w:eastAsia="宋体"/>
          <w:color w:val="auto"/>
          <w:sz w:val="24"/>
        </w:rPr>
        <w:t>新河</w:t>
      </w:r>
    </w:p>
    <w:p w14:paraId="482B053B">
      <w:pPr>
        <w:pStyle w:val="46"/>
        <w:numPr>
          <w:ilvl w:val="0"/>
          <w:numId w:val="0"/>
        </w:numPr>
        <w:ind w:firstLine="480" w:firstLineChars="200"/>
        <w:rPr>
          <w:rFonts w:hint="eastAsia" w:eastAsia="宋体"/>
          <w:color w:val="auto"/>
          <w:sz w:val="24"/>
          <w:lang w:val="en-US" w:eastAsia="zh-CN"/>
        </w:rPr>
      </w:pPr>
      <w:r>
        <w:rPr>
          <w:rFonts w:hint="eastAsia" w:eastAsia="宋体"/>
          <w:color w:val="auto"/>
          <w:sz w:val="24"/>
        </w:rPr>
        <w:t>新河系渭河一级支流，南起韩旗寨东北，由蚰蜒河、曲峪河、潭峪河、沙河</w:t>
      </w:r>
      <w:r>
        <w:rPr>
          <w:rFonts w:hint="eastAsia" w:eastAsia="宋体"/>
          <w:color w:val="auto"/>
          <w:sz w:val="24"/>
          <w:lang w:eastAsia="zh-CN"/>
        </w:rPr>
        <w:t>（</w:t>
      </w:r>
      <w:r>
        <w:rPr>
          <w:rFonts w:hint="eastAsia" w:eastAsia="宋体"/>
          <w:color w:val="auto"/>
          <w:sz w:val="24"/>
        </w:rPr>
        <w:t>亦名苍龙河、黄柏河</w:t>
      </w:r>
      <w:r>
        <w:rPr>
          <w:rFonts w:hint="eastAsia" w:eastAsia="宋体"/>
          <w:color w:val="auto"/>
          <w:sz w:val="24"/>
          <w:lang w:eastAsia="zh-CN"/>
        </w:rPr>
        <w:t>）</w:t>
      </w:r>
      <w:r>
        <w:rPr>
          <w:rFonts w:hint="eastAsia" w:eastAsia="宋体"/>
          <w:color w:val="auto"/>
          <w:sz w:val="24"/>
        </w:rPr>
        <w:t>汇成，由大王街办康东村北入西咸新区，于沣西新城汇入渭河，全长37km，流经五竹街办、大王街办（西咸新区托管）。其流域处渭河二级阶地边缘和一级阶地，地表水常于此汇集。</w:t>
      </w:r>
    </w:p>
    <w:p w14:paraId="49BCD73D">
      <w:pPr>
        <w:pStyle w:val="46"/>
        <w:numPr>
          <w:ilvl w:val="0"/>
          <w:numId w:val="0"/>
        </w:numPr>
        <w:ind w:firstLine="480" w:firstLineChars="200"/>
        <w:rPr>
          <w:rFonts w:hint="eastAsia" w:eastAsia="宋体"/>
          <w:color w:val="auto"/>
          <w:sz w:val="24"/>
        </w:rPr>
      </w:pPr>
      <w:r>
        <w:rPr>
          <w:rFonts w:hint="eastAsia" w:ascii="宋体" w:hAnsi="宋体" w:eastAsia="宋体" w:cs="宋体"/>
          <w:color w:val="auto"/>
          <w:sz w:val="24"/>
        </w:rPr>
        <w:t>②</w:t>
      </w:r>
      <w:r>
        <w:rPr>
          <w:rFonts w:hint="eastAsia" w:eastAsia="宋体"/>
          <w:color w:val="auto"/>
          <w:sz w:val="24"/>
        </w:rPr>
        <w:t>潭峪河</w:t>
      </w:r>
    </w:p>
    <w:p w14:paraId="297DB967">
      <w:pPr>
        <w:pStyle w:val="46"/>
        <w:numPr>
          <w:ilvl w:val="0"/>
          <w:numId w:val="0"/>
        </w:numPr>
        <w:ind w:firstLine="480" w:firstLineChars="200"/>
        <w:rPr>
          <w:rFonts w:hint="eastAsia" w:eastAsia="宋体"/>
          <w:color w:val="auto"/>
          <w:sz w:val="24"/>
        </w:rPr>
      </w:pPr>
      <w:r>
        <w:rPr>
          <w:rFonts w:hint="eastAsia" w:eastAsia="宋体"/>
          <w:color w:val="auto"/>
          <w:sz w:val="24"/>
        </w:rPr>
        <w:t>潭峪河系新河一级支流，位于潭峪口村东南，源出潭峪山中</w:t>
      </w:r>
      <w:r>
        <w:rPr>
          <w:rFonts w:hint="eastAsia" w:eastAsia="宋体"/>
          <w:color w:val="auto"/>
          <w:sz w:val="24"/>
          <w:lang w:eastAsia="zh-CN"/>
        </w:rPr>
        <w:t>，</w:t>
      </w:r>
      <w:r>
        <w:rPr>
          <w:rFonts w:hint="eastAsia" w:eastAsia="宋体"/>
          <w:color w:val="auto"/>
          <w:sz w:val="24"/>
        </w:rPr>
        <w:t>沟长7.2km，流域面积10km</w:t>
      </w:r>
      <w:r>
        <w:rPr>
          <w:rFonts w:hint="eastAsia" w:eastAsia="宋体"/>
          <w:color w:val="auto"/>
          <w:sz w:val="24"/>
          <w:vertAlign w:val="superscript"/>
        </w:rPr>
        <w:t>2</w:t>
      </w:r>
      <w:r>
        <w:rPr>
          <w:rFonts w:hint="eastAsia" w:eastAsia="宋体"/>
          <w:color w:val="auto"/>
          <w:sz w:val="24"/>
        </w:rPr>
        <w:t>，年总径流量325万m</w:t>
      </w:r>
      <w:r>
        <w:rPr>
          <w:rFonts w:hint="eastAsia" w:eastAsia="宋体"/>
          <w:color w:val="auto"/>
          <w:sz w:val="24"/>
          <w:vertAlign w:val="superscript"/>
        </w:rPr>
        <w:t>3</w:t>
      </w:r>
      <w:r>
        <w:rPr>
          <w:rFonts w:hint="eastAsia" w:eastAsia="宋体"/>
          <w:color w:val="auto"/>
          <w:sz w:val="24"/>
        </w:rPr>
        <w:t>。河水出山后经马家河村西北</w:t>
      </w:r>
      <w:r>
        <w:rPr>
          <w:rFonts w:hint="eastAsia" w:eastAsia="宋体"/>
          <w:color w:val="auto"/>
          <w:sz w:val="24"/>
          <w:lang w:eastAsia="zh-CN"/>
        </w:rPr>
        <w:t>，</w:t>
      </w:r>
      <w:r>
        <w:rPr>
          <w:rFonts w:hint="eastAsia" w:eastAsia="宋体"/>
          <w:color w:val="auto"/>
          <w:sz w:val="24"/>
        </w:rPr>
        <w:t>流经占管营东</w:t>
      </w:r>
      <w:r>
        <w:rPr>
          <w:rFonts w:hint="eastAsia" w:eastAsia="宋体"/>
          <w:color w:val="auto"/>
          <w:sz w:val="24"/>
          <w:lang w:eastAsia="zh-CN"/>
        </w:rPr>
        <w:t>，</w:t>
      </w:r>
      <w:r>
        <w:rPr>
          <w:rFonts w:hint="eastAsia" w:eastAsia="宋体"/>
          <w:color w:val="auto"/>
          <w:sz w:val="24"/>
        </w:rPr>
        <w:t>八家庄西，兆丰桥村南，吴家寨西转东经东、西五竹之间向东北流去</w:t>
      </w:r>
      <w:r>
        <w:rPr>
          <w:rFonts w:hint="eastAsia" w:eastAsia="宋体"/>
          <w:color w:val="auto"/>
          <w:sz w:val="24"/>
          <w:lang w:eastAsia="zh-CN"/>
        </w:rPr>
        <w:t>，</w:t>
      </w:r>
      <w:r>
        <w:rPr>
          <w:rFonts w:hint="eastAsia" w:eastAsia="宋体"/>
          <w:color w:val="auto"/>
          <w:sz w:val="24"/>
        </w:rPr>
        <w:t>到侯家庙东北与黄柏河汇流，全长15.3km，流经区域石井、余下、五竹街办。由此以下称新河。</w:t>
      </w:r>
    </w:p>
    <w:p w14:paraId="333A1FA5">
      <w:pPr>
        <w:pStyle w:val="46"/>
        <w:numPr>
          <w:ilvl w:val="0"/>
          <w:numId w:val="0"/>
        </w:numPr>
        <w:ind w:firstLine="480" w:firstLineChars="200"/>
        <w:rPr>
          <w:rFonts w:hint="eastAsia" w:eastAsia="宋体"/>
          <w:color w:val="auto"/>
          <w:sz w:val="24"/>
        </w:rPr>
      </w:pPr>
      <w:r>
        <w:rPr>
          <w:rFonts w:hint="eastAsia" w:ascii="宋体" w:hAnsi="宋体" w:eastAsia="宋体" w:cs="宋体"/>
          <w:color w:val="auto"/>
          <w:sz w:val="24"/>
        </w:rPr>
        <w:t>③</w:t>
      </w:r>
      <w:r>
        <w:rPr>
          <w:rFonts w:hint="eastAsia" w:eastAsia="宋体"/>
          <w:color w:val="auto"/>
          <w:sz w:val="24"/>
        </w:rPr>
        <w:t>黄柏河</w:t>
      </w:r>
    </w:p>
    <w:p w14:paraId="5AAA9FC9">
      <w:pPr>
        <w:pStyle w:val="46"/>
        <w:numPr>
          <w:ilvl w:val="0"/>
          <w:numId w:val="0"/>
        </w:numPr>
        <w:ind w:firstLine="480" w:firstLineChars="200"/>
        <w:rPr>
          <w:rFonts w:hint="eastAsia" w:eastAsia="宋体"/>
          <w:color w:val="auto"/>
          <w:sz w:val="24"/>
        </w:rPr>
      </w:pPr>
      <w:r>
        <w:rPr>
          <w:rFonts w:hint="eastAsia" w:eastAsia="宋体"/>
          <w:color w:val="auto"/>
          <w:sz w:val="24"/>
        </w:rPr>
        <w:t>黄柏河原名苍龙河，因黄柏峪又名苍龙峪而得名</w:t>
      </w:r>
      <w:r>
        <w:rPr>
          <w:rFonts w:hint="eastAsia" w:eastAsia="宋体"/>
          <w:color w:val="auto"/>
          <w:sz w:val="24"/>
          <w:lang w:eastAsia="zh-CN"/>
        </w:rPr>
        <w:t>（</w:t>
      </w:r>
      <w:r>
        <w:rPr>
          <w:rFonts w:hint="eastAsia" w:eastAsia="宋体"/>
          <w:color w:val="auto"/>
          <w:sz w:val="24"/>
        </w:rPr>
        <w:t>此河在焦将以南叫黄柏河，在东西焦将至牛东之间叫苍龙河</w:t>
      </w:r>
      <w:r>
        <w:rPr>
          <w:rFonts w:hint="eastAsia" w:eastAsia="宋体"/>
          <w:color w:val="auto"/>
          <w:sz w:val="24"/>
          <w:lang w:eastAsia="zh-CN"/>
        </w:rPr>
        <w:t>）</w:t>
      </w:r>
      <w:r>
        <w:rPr>
          <w:rFonts w:hint="eastAsia" w:eastAsia="宋体"/>
          <w:color w:val="auto"/>
          <w:sz w:val="24"/>
        </w:rPr>
        <w:t>，沟长7.62km，积水面积11.71km</w:t>
      </w:r>
      <w:r>
        <w:rPr>
          <w:rFonts w:hint="eastAsia" w:eastAsia="宋体"/>
          <w:color w:val="auto"/>
          <w:sz w:val="24"/>
          <w:vertAlign w:val="superscript"/>
        </w:rPr>
        <w:t>2</w:t>
      </w:r>
      <w:r>
        <w:rPr>
          <w:rFonts w:hint="eastAsia" w:eastAsia="宋体"/>
          <w:color w:val="auto"/>
          <w:sz w:val="24"/>
        </w:rPr>
        <w:t>，年总径流量361.1万m</w:t>
      </w:r>
      <w:r>
        <w:rPr>
          <w:rFonts w:hint="eastAsia" w:eastAsia="宋体"/>
          <w:color w:val="auto"/>
          <w:sz w:val="24"/>
          <w:vertAlign w:val="superscript"/>
        </w:rPr>
        <w:t>3</w:t>
      </w:r>
      <w:r>
        <w:rPr>
          <w:rFonts w:hint="eastAsia" w:eastAsia="宋体"/>
          <w:color w:val="auto"/>
          <w:sz w:val="24"/>
        </w:rPr>
        <w:t>。河源有黄柏峪、化羊河、牛角峪、乌桑峪诸水汇入。1977年冬至1978年春，由庞光、五竹投工10万多个，新开河道一条，自新阳坡经孙姑村、南沙河村、南索村、周贵坊至韩旗寨投入新河。长16.2km，深3m，河底宽2～3m。修河堤32.4km，移动土石35万m</w:t>
      </w:r>
      <w:r>
        <w:rPr>
          <w:rFonts w:hint="eastAsia" w:eastAsia="宋体"/>
          <w:color w:val="auto"/>
          <w:sz w:val="24"/>
          <w:vertAlign w:val="superscript"/>
        </w:rPr>
        <w:t>2</w:t>
      </w:r>
      <w:r>
        <w:rPr>
          <w:rFonts w:hint="eastAsia" w:eastAsia="宋体"/>
          <w:color w:val="auto"/>
          <w:sz w:val="24"/>
        </w:rPr>
        <w:t>。</w:t>
      </w:r>
    </w:p>
    <w:p w14:paraId="0339C250">
      <w:pPr>
        <w:pStyle w:val="46"/>
        <w:numPr>
          <w:ilvl w:val="0"/>
          <w:numId w:val="0"/>
        </w:numPr>
        <w:ind w:firstLine="480" w:firstLineChars="20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4</w:t>
      </w:r>
      <w:r>
        <w:rPr>
          <w:rFonts w:hint="eastAsia" w:eastAsia="宋体"/>
          <w:color w:val="auto"/>
          <w:sz w:val="24"/>
          <w:lang w:eastAsia="zh-CN"/>
        </w:rPr>
        <w:t>）</w:t>
      </w:r>
      <w:r>
        <w:rPr>
          <w:rFonts w:hint="eastAsia" w:eastAsia="宋体"/>
          <w:color w:val="auto"/>
          <w:sz w:val="24"/>
        </w:rPr>
        <w:t>渭河鄠邑段</w:t>
      </w:r>
    </w:p>
    <w:p w14:paraId="1DD09BCE">
      <w:pPr>
        <w:pStyle w:val="46"/>
        <w:numPr>
          <w:ilvl w:val="0"/>
          <w:numId w:val="0"/>
        </w:numPr>
        <w:ind w:firstLine="480" w:firstLineChars="200"/>
        <w:rPr>
          <w:rFonts w:hint="eastAsia" w:eastAsia="宋体"/>
          <w:color w:val="auto"/>
          <w:sz w:val="24"/>
        </w:rPr>
      </w:pPr>
      <w:r>
        <w:rPr>
          <w:rFonts w:hint="eastAsia" w:eastAsia="宋体"/>
          <w:color w:val="auto"/>
          <w:sz w:val="24"/>
        </w:rPr>
        <w:t>渭河系黄河一级支流，为黄河流域最大支流，源于甘肃渭源县鸟鼠山，流经甘、陕两省，自渭南市潼关县汇入黄河，全长818km，流域面积13.43万km</w:t>
      </w:r>
      <w:r>
        <w:rPr>
          <w:rFonts w:hint="eastAsia" w:eastAsia="宋体"/>
          <w:color w:val="auto"/>
          <w:sz w:val="24"/>
          <w:vertAlign w:val="superscript"/>
        </w:rPr>
        <w:t>2</w:t>
      </w:r>
      <w:r>
        <w:rPr>
          <w:rFonts w:hint="eastAsia" w:eastAsia="宋体"/>
          <w:color w:val="auto"/>
          <w:sz w:val="24"/>
        </w:rPr>
        <w:t>。渭河流经鄠邑段，为鄠邑北部与兴平市的界河，西起周至县新范村，东至西咸新区曹家庄，长度13.67km。据资料记载，渭河在鄠邑的过境流量最大的洪水量1.16万m</w:t>
      </w:r>
      <w:r>
        <w:rPr>
          <w:rFonts w:hint="eastAsia" w:eastAsia="宋体"/>
          <w:color w:val="auto"/>
          <w:sz w:val="24"/>
          <w:vertAlign w:val="superscript"/>
        </w:rPr>
        <w:t>3</w:t>
      </w:r>
      <w:r>
        <w:rPr>
          <w:rFonts w:hint="eastAsia" w:eastAsia="宋体"/>
          <w:color w:val="auto"/>
          <w:sz w:val="24"/>
        </w:rPr>
        <w:t>/s。每次洪水过后，河道或南移或北迁，游荡不定，群众说</w:t>
      </w:r>
      <w:r>
        <w:rPr>
          <w:rFonts w:hint="eastAsia" w:eastAsia="宋体"/>
          <w:color w:val="auto"/>
          <w:sz w:val="24"/>
          <w:lang w:eastAsia="zh-CN"/>
        </w:rPr>
        <w:t>：</w:t>
      </w:r>
      <w:r>
        <w:rPr>
          <w:rFonts w:hint="eastAsia" w:eastAsia="宋体"/>
          <w:color w:val="auto"/>
          <w:sz w:val="24"/>
        </w:rPr>
        <w:t>“渭河泥沙多</w:t>
      </w:r>
      <w:r>
        <w:rPr>
          <w:rFonts w:hint="eastAsia" w:eastAsia="宋体"/>
          <w:color w:val="auto"/>
          <w:sz w:val="24"/>
          <w:lang w:eastAsia="zh-CN"/>
        </w:rPr>
        <w:t>，</w:t>
      </w:r>
      <w:r>
        <w:rPr>
          <w:rFonts w:hint="eastAsia" w:eastAsia="宋体"/>
          <w:color w:val="auto"/>
          <w:sz w:val="24"/>
        </w:rPr>
        <w:t>主流无定河</w:t>
      </w:r>
      <w:r>
        <w:rPr>
          <w:rFonts w:hint="eastAsia" w:eastAsia="宋体"/>
          <w:color w:val="auto"/>
          <w:sz w:val="24"/>
          <w:lang w:eastAsia="zh-CN"/>
        </w:rPr>
        <w:t>，</w:t>
      </w:r>
      <w:r>
        <w:rPr>
          <w:rFonts w:hint="eastAsia" w:eastAsia="宋体"/>
          <w:color w:val="auto"/>
          <w:sz w:val="24"/>
        </w:rPr>
        <w:t>三十年靠南,三十年靠北。”</w:t>
      </w:r>
    </w:p>
    <w:p w14:paraId="0FC405F2">
      <w:pPr>
        <w:pStyle w:val="46"/>
        <w:numPr>
          <w:ilvl w:val="0"/>
          <w:numId w:val="0"/>
        </w:numPr>
        <w:ind w:firstLine="480" w:firstLineChars="20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5</w:t>
      </w:r>
      <w:r>
        <w:rPr>
          <w:rFonts w:hint="eastAsia" w:eastAsia="宋体"/>
          <w:color w:val="auto"/>
          <w:sz w:val="24"/>
          <w:lang w:eastAsia="zh-CN"/>
        </w:rPr>
        <w:t>）</w:t>
      </w:r>
      <w:r>
        <w:rPr>
          <w:rFonts w:hint="eastAsia" w:eastAsia="宋体"/>
          <w:color w:val="auto"/>
          <w:sz w:val="24"/>
        </w:rPr>
        <w:t>耿峪河鄠邑段</w:t>
      </w:r>
    </w:p>
    <w:p w14:paraId="78C4EFC1">
      <w:pPr>
        <w:pStyle w:val="46"/>
        <w:numPr>
          <w:ilvl w:val="0"/>
          <w:numId w:val="0"/>
        </w:numPr>
        <w:ind w:firstLine="480" w:firstLineChars="200"/>
        <w:rPr>
          <w:rFonts w:hint="eastAsia" w:eastAsia="宋体"/>
          <w:color w:val="auto"/>
          <w:sz w:val="24"/>
        </w:rPr>
      </w:pPr>
      <w:r>
        <w:rPr>
          <w:rFonts w:hint="eastAsia" w:eastAsia="宋体"/>
          <w:color w:val="auto"/>
          <w:sz w:val="24"/>
        </w:rPr>
        <w:t>耿峪河发源于首阳山北麓，流程短，落差大，流经周至县九峰镇、尚村镇，于新范村流出周至县境，到鄠邑甘峪河街办，北入渭河。河长35.7km，流域面积为47.4km</w:t>
      </w:r>
      <w:r>
        <w:rPr>
          <w:rFonts w:hint="eastAsia" w:eastAsia="宋体"/>
          <w:color w:val="auto"/>
          <w:sz w:val="24"/>
          <w:vertAlign w:val="superscript"/>
        </w:rPr>
        <w:t>2</w:t>
      </w:r>
      <w:r>
        <w:rPr>
          <w:rFonts w:hint="eastAsia" w:eastAsia="宋体"/>
          <w:color w:val="auto"/>
          <w:sz w:val="24"/>
        </w:rPr>
        <w:t>，流经鄠邑长度为3.2km，年平均径流量1303.3万m</w:t>
      </w:r>
      <w:r>
        <w:rPr>
          <w:rFonts w:hint="eastAsia" w:eastAsia="宋体"/>
          <w:color w:val="auto"/>
          <w:sz w:val="24"/>
          <w:vertAlign w:val="superscript"/>
        </w:rPr>
        <w:t>3</w:t>
      </w:r>
      <w:r>
        <w:rPr>
          <w:rFonts w:hint="eastAsia" w:eastAsia="宋体"/>
          <w:color w:val="auto"/>
          <w:sz w:val="24"/>
        </w:rPr>
        <w:t>，最大流量207m</w:t>
      </w:r>
      <w:r>
        <w:rPr>
          <w:rFonts w:hint="eastAsia" w:eastAsia="宋体"/>
          <w:color w:val="auto"/>
          <w:sz w:val="24"/>
          <w:vertAlign w:val="superscript"/>
        </w:rPr>
        <w:t>3</w:t>
      </w:r>
      <w:r>
        <w:rPr>
          <w:rFonts w:hint="eastAsia" w:eastAsia="宋体"/>
          <w:color w:val="auto"/>
          <w:sz w:val="24"/>
        </w:rPr>
        <w:t>/s，最小流量为0.477m</w:t>
      </w:r>
      <w:r>
        <w:rPr>
          <w:rFonts w:hint="eastAsia" w:eastAsia="宋体"/>
          <w:color w:val="auto"/>
          <w:sz w:val="24"/>
          <w:vertAlign w:val="superscript"/>
        </w:rPr>
        <w:t>3</w:t>
      </w:r>
      <w:r>
        <w:rPr>
          <w:rFonts w:hint="eastAsia" w:eastAsia="宋体"/>
          <w:color w:val="auto"/>
          <w:sz w:val="24"/>
        </w:rPr>
        <w:t>/s。</w:t>
      </w:r>
    </w:p>
    <w:p w14:paraId="2C8115DB">
      <w:pPr>
        <w:pStyle w:val="46"/>
        <w:numPr>
          <w:ilvl w:val="0"/>
          <w:numId w:val="0"/>
        </w:numPr>
        <w:ind w:firstLine="480" w:firstLineChars="20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6</w:t>
      </w:r>
      <w:r>
        <w:rPr>
          <w:rFonts w:hint="eastAsia" w:eastAsia="宋体"/>
          <w:color w:val="auto"/>
          <w:sz w:val="24"/>
          <w:lang w:eastAsia="zh-CN"/>
        </w:rPr>
        <w:t>）</w:t>
      </w:r>
      <w:r>
        <w:rPr>
          <w:rFonts w:hint="eastAsia" w:eastAsia="宋体"/>
          <w:color w:val="auto"/>
          <w:sz w:val="24"/>
        </w:rPr>
        <w:t>人工渠</w:t>
      </w:r>
    </w:p>
    <w:p w14:paraId="474E3ECC">
      <w:pPr>
        <w:pStyle w:val="46"/>
        <w:numPr>
          <w:ilvl w:val="0"/>
          <w:numId w:val="0"/>
        </w:numPr>
        <w:ind w:firstLine="480" w:firstLineChars="200"/>
        <w:rPr>
          <w:rFonts w:hint="eastAsia" w:eastAsia="宋体"/>
          <w:color w:val="auto"/>
          <w:sz w:val="24"/>
        </w:rPr>
      </w:pPr>
      <w:r>
        <w:rPr>
          <w:rFonts w:hint="eastAsia" w:ascii="宋体" w:hAnsi="宋体" w:eastAsia="宋体" w:cs="宋体"/>
          <w:color w:val="auto"/>
          <w:sz w:val="24"/>
        </w:rPr>
        <w:t>①</w:t>
      </w:r>
      <w:r>
        <w:rPr>
          <w:rFonts w:hint="eastAsia" w:eastAsia="宋体"/>
          <w:color w:val="auto"/>
          <w:sz w:val="24"/>
        </w:rPr>
        <w:t>灵沼河</w:t>
      </w:r>
    </w:p>
    <w:p w14:paraId="2B158425">
      <w:pPr>
        <w:pStyle w:val="46"/>
        <w:numPr>
          <w:ilvl w:val="0"/>
          <w:numId w:val="0"/>
        </w:numPr>
        <w:ind w:firstLine="480" w:firstLineChars="200"/>
        <w:rPr>
          <w:rFonts w:hint="eastAsia" w:eastAsia="宋体"/>
          <w:color w:val="auto"/>
          <w:sz w:val="24"/>
        </w:rPr>
      </w:pPr>
      <w:r>
        <w:rPr>
          <w:rFonts w:hint="eastAsia" w:eastAsia="宋体"/>
          <w:color w:val="auto"/>
          <w:sz w:val="24"/>
        </w:rPr>
        <w:t>源于长安区（高新托管）灵沼街办海子村北的地下泉，流经鄠邑五竹街办董村、赵东村，秦渡街办正庄村（高新托管）等村庄。近些年来，因地下水水位下降，灵沼河水源得不到补给，已无河流流水，只留下人工修筑渠堤。灵沼河鄠邑段长度约为2.5km，面积2.07公顷。参考资料：据《诗经·大雅》载：“沣水东注，维禹之绩。”可见是大禹开凿河道，消除水患，疏导治理的结果。灵沼渠是连接沣河与灵沼河之间的一条东西走向的河渠，全长约2km；因其连接沣水和灵水，起到天与地、阴与阳的交汇作用，人们称其为“龙渠”或“灵沼渠”；后来有李姓人氏依渠而居形成自然村，便称之为“李沼渠”，谐音为现在的“里兆渠”，至今该村就栖居在这条龙脉的旁边，甚为自豪。</w:t>
      </w:r>
    </w:p>
    <w:p w14:paraId="6AB864A5">
      <w:pPr>
        <w:pStyle w:val="46"/>
        <w:numPr>
          <w:ilvl w:val="0"/>
          <w:numId w:val="0"/>
        </w:numPr>
        <w:ind w:firstLine="480" w:firstLineChars="200"/>
        <w:rPr>
          <w:rFonts w:hint="eastAsia" w:eastAsia="宋体"/>
          <w:color w:val="auto"/>
          <w:sz w:val="24"/>
        </w:rPr>
      </w:pPr>
      <w:r>
        <w:rPr>
          <w:rFonts w:hint="eastAsia" w:ascii="宋体" w:hAnsi="宋体" w:eastAsia="宋体" w:cs="宋体"/>
          <w:color w:val="auto"/>
          <w:sz w:val="24"/>
        </w:rPr>
        <w:t>②</w:t>
      </w:r>
      <w:r>
        <w:rPr>
          <w:rFonts w:hint="eastAsia" w:eastAsia="宋体"/>
          <w:color w:val="auto"/>
          <w:sz w:val="24"/>
        </w:rPr>
        <w:t>涝惠渠</w:t>
      </w:r>
    </w:p>
    <w:p w14:paraId="755EFA47">
      <w:pPr>
        <w:pStyle w:val="46"/>
        <w:numPr>
          <w:ilvl w:val="0"/>
          <w:numId w:val="0"/>
        </w:numPr>
        <w:ind w:firstLine="480" w:firstLineChars="200"/>
        <w:rPr>
          <w:rFonts w:hint="eastAsia" w:eastAsia="宋体"/>
          <w:color w:val="auto"/>
          <w:sz w:val="24"/>
        </w:rPr>
      </w:pPr>
      <w:r>
        <w:rPr>
          <w:rFonts w:hint="eastAsia" w:eastAsia="宋体"/>
          <w:color w:val="auto"/>
          <w:sz w:val="24"/>
        </w:rPr>
        <w:t>1943年开工修建，1947年9月完成，引水5.2m</w:t>
      </w:r>
      <w:r>
        <w:rPr>
          <w:rFonts w:hint="eastAsia" w:eastAsia="宋体"/>
          <w:color w:val="auto"/>
          <w:sz w:val="24"/>
          <w:vertAlign w:val="superscript"/>
        </w:rPr>
        <w:t>3</w:t>
      </w:r>
      <w:r>
        <w:rPr>
          <w:rFonts w:hint="eastAsia" w:eastAsia="宋体"/>
          <w:color w:val="auto"/>
          <w:sz w:val="24"/>
        </w:rPr>
        <w:t>/s。分东西两灌区，原设计灌地10万亩，因公款不足，下段干、斗渠工程未修，到1955年只灌溉四万余亩。1957年惠安化工厂，原户县热电厂以涝河为水源，涝惠渠奉命为供水单位，因河源水量有限，工农业同时用水显系不足，后经上级批准，将东干渠马营以下约127公顷，由国家扶助打井解决农田灌溉问题，马营以下渠道逐年平掉，交当地群众耕种。涝惠渠长度5.98km，面积为12.54公顷，灌溉面积为1400公顷。</w:t>
      </w:r>
    </w:p>
    <w:p w14:paraId="17942813">
      <w:pPr>
        <w:pStyle w:val="46"/>
        <w:spacing w:line="240" w:lineRule="auto"/>
        <w:ind w:firstLine="480"/>
        <w:jc w:val="center"/>
        <w:rPr>
          <w:rFonts w:hint="eastAsia" w:eastAsia="宋体"/>
          <w:color w:val="auto"/>
          <w:sz w:val="24"/>
          <w:lang w:val="en-US" w:eastAsia="zh-CN"/>
        </w:rPr>
      </w:pPr>
      <w:r>
        <w:rPr>
          <w:rFonts w:hint="eastAsia" w:eastAsia="宋体"/>
          <w:color w:val="auto"/>
          <w:sz w:val="24"/>
          <w:lang w:val="en-US" w:eastAsia="zh-CN"/>
        </w:rPr>
        <w:drawing>
          <wp:inline distT="0" distB="0" distL="114300" distR="114300">
            <wp:extent cx="2668270" cy="3683635"/>
            <wp:effectExtent l="0" t="0" r="17780" b="12065"/>
            <wp:docPr id="4" name="图片 4" descr="169200250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92002500922"/>
                    <pic:cNvPicPr>
                      <a:picLocks noChangeAspect="1"/>
                    </pic:cNvPicPr>
                  </pic:nvPicPr>
                  <pic:blipFill>
                    <a:blip r:embed="rId19"/>
                    <a:stretch>
                      <a:fillRect/>
                    </a:stretch>
                  </pic:blipFill>
                  <pic:spPr>
                    <a:xfrm>
                      <a:off x="0" y="0"/>
                      <a:ext cx="2668270" cy="3683635"/>
                    </a:xfrm>
                    <a:prstGeom prst="rect">
                      <a:avLst/>
                    </a:prstGeom>
                  </pic:spPr>
                </pic:pic>
              </a:graphicData>
            </a:graphic>
          </wp:inline>
        </w:drawing>
      </w:r>
    </w:p>
    <w:p w14:paraId="09B76AB3">
      <w:pPr>
        <w:pStyle w:val="46"/>
        <w:ind w:firstLine="480"/>
        <w:jc w:val="center"/>
        <w:rPr>
          <w:rFonts w:hint="default" w:eastAsia="宋体"/>
          <w:b/>
          <w:bCs/>
          <w:color w:val="auto"/>
          <w:sz w:val="24"/>
          <w:lang w:val="en-US" w:eastAsia="zh-CN"/>
        </w:rPr>
      </w:pPr>
      <w:r>
        <w:rPr>
          <w:rFonts w:hint="eastAsia" w:eastAsia="宋体"/>
          <w:b/>
          <w:bCs/>
          <w:color w:val="auto"/>
          <w:sz w:val="24"/>
          <w:lang w:val="en-US" w:eastAsia="zh-CN"/>
        </w:rPr>
        <w:t>图2.3-1    鄠邑区河流水系分布图</w:t>
      </w:r>
    </w:p>
    <w:p w14:paraId="14430BF5">
      <w:pPr>
        <w:pStyle w:val="46"/>
        <w:ind w:firstLine="480"/>
        <w:rPr>
          <w:rFonts w:hint="eastAsia" w:eastAsia="宋体"/>
          <w:color w:val="auto"/>
          <w:sz w:val="24"/>
        </w:rPr>
      </w:pPr>
      <w:r>
        <w:rPr>
          <w:rFonts w:hint="eastAsia" w:eastAsia="宋体"/>
          <w:color w:val="auto"/>
          <w:sz w:val="24"/>
          <w:lang w:val="en-US" w:eastAsia="zh-CN"/>
        </w:rPr>
        <w:t>2</w:t>
      </w:r>
      <w:r>
        <w:rPr>
          <w:rFonts w:hint="eastAsia" w:eastAsia="宋体"/>
          <w:color w:val="auto"/>
          <w:sz w:val="24"/>
          <w:lang w:eastAsia="zh-CN"/>
        </w:rPr>
        <w:t>、</w:t>
      </w:r>
      <w:r>
        <w:rPr>
          <w:rFonts w:hint="eastAsia" w:eastAsia="宋体"/>
          <w:color w:val="auto"/>
          <w:sz w:val="24"/>
          <w:lang w:val="en-US" w:eastAsia="zh-CN"/>
        </w:rPr>
        <w:t>地下</w:t>
      </w:r>
      <w:r>
        <w:rPr>
          <w:rFonts w:hint="eastAsia" w:eastAsia="宋体"/>
          <w:color w:val="auto"/>
          <w:sz w:val="24"/>
        </w:rPr>
        <w:t>水</w:t>
      </w:r>
    </w:p>
    <w:p w14:paraId="0B5D4456">
      <w:pPr>
        <w:pStyle w:val="46"/>
        <w:numPr>
          <w:ilvl w:val="0"/>
          <w:numId w:val="0"/>
        </w:numPr>
        <w:ind w:firstLine="480" w:firstLineChars="200"/>
        <w:rPr>
          <w:rFonts w:hint="eastAsia" w:eastAsia="宋体"/>
          <w:color w:val="auto"/>
          <w:sz w:val="24"/>
          <w:lang w:eastAsia="zh-CN"/>
        </w:rPr>
      </w:pPr>
      <w:r>
        <w:rPr>
          <w:rFonts w:hint="eastAsia" w:eastAsia="宋体"/>
          <w:color w:val="auto"/>
          <w:sz w:val="24"/>
          <w:lang w:eastAsia="zh-CN"/>
        </w:rPr>
        <w:t>鄠邑区中等年地下水储量为1.9815亿m</w:t>
      </w:r>
      <w:r>
        <w:rPr>
          <w:rFonts w:hint="eastAsia" w:eastAsia="宋体"/>
          <w:color w:val="auto"/>
          <w:sz w:val="24"/>
          <w:vertAlign w:val="superscript"/>
          <w:lang w:eastAsia="zh-CN"/>
        </w:rPr>
        <w:t>3</w:t>
      </w:r>
      <w:r>
        <w:rPr>
          <w:rFonts w:hint="eastAsia" w:eastAsia="宋体"/>
          <w:color w:val="auto"/>
          <w:sz w:val="24"/>
          <w:lang w:eastAsia="zh-CN"/>
        </w:rPr>
        <w:t>，不重复储量为1.01亿m</w:t>
      </w:r>
      <w:r>
        <w:rPr>
          <w:rFonts w:hint="eastAsia" w:eastAsia="宋体"/>
          <w:color w:val="auto"/>
          <w:sz w:val="24"/>
          <w:vertAlign w:val="superscript"/>
          <w:lang w:eastAsia="zh-CN"/>
        </w:rPr>
        <w:t>3</w:t>
      </w:r>
      <w:r>
        <w:rPr>
          <w:rFonts w:hint="eastAsia" w:eastAsia="宋体"/>
          <w:color w:val="auto"/>
          <w:sz w:val="24"/>
          <w:lang w:eastAsia="zh-CN"/>
        </w:rPr>
        <w:t>，占年总降水量10.8%。近十年来，地下水位不断下降，比解放初下降约3.8m。地下水分布除山区多为火成岩含水介质差外，浅层水的分布主要在平原，按埋藏条件基本可分为六个岩组：</w:t>
      </w:r>
    </w:p>
    <w:p w14:paraId="16B9DABF">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①</w:t>
      </w:r>
      <w:r>
        <w:rPr>
          <w:rFonts w:hint="eastAsia" w:eastAsia="宋体"/>
          <w:color w:val="auto"/>
          <w:sz w:val="24"/>
          <w:lang w:eastAsia="zh-CN"/>
        </w:rPr>
        <w:t>渭河及支流漫滩（包括涝河、太平河）：埋深1.75～7.7m，单位涌水量1.84～7.89升/秒米；</w:t>
      </w:r>
    </w:p>
    <w:p w14:paraId="7AA2443E">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②</w:t>
      </w:r>
      <w:r>
        <w:rPr>
          <w:rFonts w:hint="eastAsia" w:eastAsia="宋体"/>
          <w:color w:val="auto"/>
          <w:sz w:val="24"/>
          <w:lang w:eastAsia="zh-CN"/>
        </w:rPr>
        <w:t>渭河一级阶地区：埋深4.23～12.55m，单位涌水量3.55～5.55升/秒米；</w:t>
      </w:r>
    </w:p>
    <w:p w14:paraId="70FF6E1D">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③</w:t>
      </w:r>
      <w:r>
        <w:rPr>
          <w:rFonts w:hint="eastAsia" w:eastAsia="宋体"/>
          <w:color w:val="auto"/>
          <w:sz w:val="24"/>
          <w:lang w:eastAsia="zh-CN"/>
        </w:rPr>
        <w:t>渭河二级阶地区：埋深1.6～18.2m，单位涌水量0.55～7.99升/秒米；</w:t>
      </w:r>
    </w:p>
    <w:p w14:paraId="19716A30">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④</w:t>
      </w:r>
      <w:r>
        <w:rPr>
          <w:rFonts w:hint="eastAsia" w:eastAsia="宋体"/>
          <w:color w:val="auto"/>
          <w:sz w:val="24"/>
          <w:lang w:eastAsia="zh-CN"/>
        </w:rPr>
        <w:t>洪积平原：埋深3～71m，单位涌水量3.17～7.91升/秒米；</w:t>
      </w:r>
    </w:p>
    <w:p w14:paraId="4D4B4F7C">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⑤</w:t>
      </w:r>
      <w:r>
        <w:rPr>
          <w:rFonts w:hint="eastAsia" w:eastAsia="宋体"/>
          <w:color w:val="auto"/>
          <w:sz w:val="24"/>
          <w:lang w:eastAsia="zh-CN"/>
        </w:rPr>
        <w:t>洪积扇群区：埋深15～70m，单位涌水量0.15～1.63升/秒米；</w:t>
      </w:r>
    </w:p>
    <w:p w14:paraId="37CA3BC3">
      <w:pPr>
        <w:pStyle w:val="46"/>
        <w:numPr>
          <w:ilvl w:val="0"/>
          <w:numId w:val="0"/>
        </w:numPr>
        <w:ind w:firstLine="480" w:firstLineChars="200"/>
        <w:rPr>
          <w:rFonts w:hint="eastAsia" w:eastAsia="宋体"/>
          <w:color w:val="auto"/>
          <w:sz w:val="24"/>
          <w:lang w:eastAsia="zh-CN"/>
        </w:rPr>
      </w:pPr>
      <w:r>
        <w:rPr>
          <w:rFonts w:hint="eastAsia" w:ascii="宋体" w:hAnsi="宋体" w:eastAsia="宋体" w:cs="宋体"/>
          <w:color w:val="auto"/>
          <w:sz w:val="24"/>
          <w:lang w:eastAsia="zh-CN"/>
        </w:rPr>
        <w:t>⑥</w:t>
      </w:r>
      <w:r>
        <w:rPr>
          <w:rFonts w:hint="eastAsia" w:eastAsia="宋体"/>
          <w:color w:val="auto"/>
          <w:sz w:val="24"/>
          <w:lang w:eastAsia="zh-CN"/>
        </w:rPr>
        <w:t>黄土丘陵区：水量贫乏，涌水量小于0.01升/秒米。</w:t>
      </w:r>
    </w:p>
    <w:p w14:paraId="392B1950">
      <w:pPr>
        <w:pStyle w:val="69"/>
        <w:rPr>
          <w:color w:val="auto"/>
        </w:rPr>
      </w:pPr>
      <w:r>
        <w:rPr>
          <w:rFonts w:hint="eastAsia"/>
          <w:color w:val="auto"/>
        </w:rPr>
        <w:t>2</w:t>
      </w:r>
      <w:r>
        <w:rPr>
          <w:color w:val="auto"/>
        </w:rPr>
        <w:t>.3.1.</w:t>
      </w:r>
      <w:r>
        <w:rPr>
          <w:rFonts w:hint="eastAsia"/>
          <w:color w:val="auto"/>
        </w:rPr>
        <w:t>6森林植被</w:t>
      </w:r>
    </w:p>
    <w:p w14:paraId="3D9AE5A9">
      <w:pPr>
        <w:pStyle w:val="46"/>
        <w:ind w:firstLine="480"/>
        <w:rPr>
          <w:rFonts w:eastAsia="宋体"/>
          <w:color w:val="auto"/>
          <w:sz w:val="24"/>
        </w:rPr>
      </w:pPr>
      <w:r>
        <w:rPr>
          <w:rFonts w:hint="eastAsia" w:eastAsia="宋体"/>
          <w:color w:val="auto"/>
          <w:sz w:val="24"/>
        </w:rPr>
        <w:t>（1）秦岭林区植被</w:t>
      </w:r>
    </w:p>
    <w:p w14:paraId="3DD44A70">
      <w:pPr>
        <w:pStyle w:val="46"/>
        <w:ind w:firstLine="480"/>
        <w:rPr>
          <w:rFonts w:hint="eastAsia" w:eastAsia="宋体"/>
          <w:color w:val="auto"/>
          <w:sz w:val="24"/>
        </w:rPr>
      </w:pPr>
      <w:r>
        <w:rPr>
          <w:rFonts w:hint="eastAsia" w:eastAsia="宋体"/>
          <w:color w:val="auto"/>
          <w:sz w:val="24"/>
        </w:rPr>
        <w:t>鄠邑区秦岭地区地处我国南北生物区系的交汇地带，植物区系以华北区系成分为主，兼有华中、华东、内蒙古草原等区系成分，复杂的地理环境及多种植物区系成分，形成了丰富的植物种类和良好的植被环境。</w:t>
      </w:r>
    </w:p>
    <w:p w14:paraId="668D6303">
      <w:pPr>
        <w:pStyle w:val="46"/>
        <w:ind w:firstLine="480"/>
        <w:rPr>
          <w:rFonts w:hint="eastAsia" w:eastAsia="宋体"/>
          <w:color w:val="auto"/>
          <w:sz w:val="24"/>
        </w:rPr>
      </w:pPr>
      <w:r>
        <w:rPr>
          <w:rFonts w:hint="eastAsia" w:eastAsia="宋体"/>
          <w:color w:val="auto"/>
          <w:sz w:val="24"/>
        </w:rPr>
        <w:t>森林植被属于中国植被区划的暖温带落叶阔叶林带，种类极为丰富。由于人为干扰，局部地域出现人工纯林，主要树种为油松、侧柏、落叶松等。植物种类非常丰富，共有植物197科714属1554种，保护植物包括国家保护植物南方红豆杉、翅果油树、野大豆和水曲柳4种以及陕西省的保护植物8种和兰科植物23种。</w:t>
      </w:r>
    </w:p>
    <w:p w14:paraId="064E5F8D">
      <w:pPr>
        <w:pStyle w:val="46"/>
        <w:ind w:firstLine="480"/>
        <w:rPr>
          <w:rFonts w:hint="eastAsia" w:eastAsia="宋体"/>
          <w:color w:val="auto"/>
          <w:sz w:val="24"/>
        </w:rPr>
      </w:pPr>
      <w:r>
        <w:rPr>
          <w:rFonts w:hint="eastAsia" w:eastAsia="宋体"/>
          <w:color w:val="auto"/>
          <w:sz w:val="24"/>
        </w:rPr>
        <w:t>由于林区地形起伏变化较大，森林植物随着海拔的高低变化呈明显的规律性：</w:t>
      </w:r>
    </w:p>
    <w:p w14:paraId="2F9F5811">
      <w:pPr>
        <w:pStyle w:val="46"/>
        <w:ind w:firstLine="480"/>
        <w:rPr>
          <w:rFonts w:hint="eastAsia" w:eastAsia="宋体"/>
          <w:color w:val="auto"/>
          <w:sz w:val="24"/>
        </w:rPr>
      </w:pPr>
      <w:r>
        <w:rPr>
          <w:rFonts w:hint="eastAsia" w:ascii="宋体" w:hAnsi="宋体" w:eastAsia="宋体" w:cs="宋体"/>
          <w:color w:val="auto"/>
          <w:sz w:val="24"/>
        </w:rPr>
        <w:t>①</w:t>
      </w:r>
      <w:r>
        <w:rPr>
          <w:rFonts w:hint="eastAsia" w:eastAsia="宋体"/>
          <w:color w:val="auto"/>
          <w:sz w:val="24"/>
        </w:rPr>
        <w:t>3015～2900m为落叶松纯林林带。伴生树种只有落叶松，下木为金背杜鹃，地被物为地衣和苔藓等，种类稀少。</w:t>
      </w:r>
    </w:p>
    <w:p w14:paraId="0AF8DF66">
      <w:pPr>
        <w:pStyle w:val="46"/>
        <w:ind w:firstLine="480"/>
        <w:rPr>
          <w:rFonts w:eastAsia="宋体"/>
          <w:color w:val="auto"/>
          <w:sz w:val="24"/>
        </w:rPr>
      </w:pPr>
      <w:r>
        <w:rPr>
          <w:rFonts w:hint="eastAsia" w:ascii="宋体" w:hAnsi="宋体" w:eastAsia="宋体" w:cs="宋体"/>
          <w:color w:val="auto"/>
          <w:sz w:val="24"/>
        </w:rPr>
        <w:t>②</w:t>
      </w:r>
      <w:r>
        <w:rPr>
          <w:rFonts w:hint="eastAsia" w:eastAsia="宋体"/>
          <w:color w:val="auto"/>
          <w:sz w:val="24"/>
        </w:rPr>
        <w:t>2900～2750m为冷杉纯林林带。乔木以巴山冷杉为主，成片分布，下木以金背杜鹃、密枝杜鹃、高山绣线菊等为主，地被有铁锤棒、苔藓及贝母等。</w:t>
      </w:r>
    </w:p>
    <w:p w14:paraId="35B7A1DB">
      <w:pPr>
        <w:pStyle w:val="46"/>
        <w:ind w:firstLine="480"/>
        <w:rPr>
          <w:rFonts w:hint="eastAsia" w:eastAsia="宋体"/>
          <w:color w:val="auto"/>
          <w:sz w:val="24"/>
        </w:rPr>
      </w:pPr>
      <w:r>
        <w:rPr>
          <w:rFonts w:hint="eastAsia" w:ascii="宋体" w:hAnsi="宋体" w:eastAsia="宋体" w:cs="宋体"/>
          <w:color w:val="auto"/>
          <w:sz w:val="24"/>
        </w:rPr>
        <w:t>③</w:t>
      </w:r>
      <w:r>
        <w:rPr>
          <w:rFonts w:hint="eastAsia" w:eastAsia="宋体"/>
          <w:color w:val="auto"/>
          <w:sz w:val="24"/>
        </w:rPr>
        <w:t>2750～2000m为桦木林林带。上部为牛皮桦林，中部为牛皮桦与红桦混交林，下部为红桦林穿插有少量栎类，山杨等。该范围也有华山松纯林分布。林内伴生乔木有秦岭冷杉、卜氏杨、苦桃、山杨、青皮槭、五角枫等。下木种类繁多，以忍冬、悬钩子、陕甘花楸、鸡骨头、山梅花、箭竹、峨嵋蔷薇等为主，地被有蒿类、禾本科、莎草、细辛、荀麻等。</w:t>
      </w:r>
    </w:p>
    <w:p w14:paraId="66C70610">
      <w:pPr>
        <w:pStyle w:val="46"/>
        <w:ind w:firstLine="480"/>
        <w:rPr>
          <w:rFonts w:hint="eastAsia" w:eastAsia="宋体"/>
          <w:color w:val="auto"/>
          <w:sz w:val="24"/>
        </w:rPr>
      </w:pPr>
      <w:r>
        <w:rPr>
          <w:rFonts w:hint="eastAsia" w:ascii="宋体" w:hAnsi="宋体" w:eastAsia="宋体" w:cs="宋体"/>
          <w:color w:val="auto"/>
          <w:sz w:val="24"/>
        </w:rPr>
        <w:t>④</w:t>
      </w:r>
      <w:r>
        <w:rPr>
          <w:rFonts w:hint="eastAsia" w:eastAsia="宋体"/>
          <w:color w:val="auto"/>
          <w:sz w:val="24"/>
        </w:rPr>
        <w:t>2000～1000m为松、栎林带。树木种类繁多，主要是华山松，因人为破坏保留较少，多分布于山脊及陡险的山坡，沟谷主要以枫杨、卜氏杨、水曲柳、五角枫等组成的落叶阔叶混交林。其余是以锐齿栎、麻栎为主的栎林。主要经济树种有漆树、板栗、核桃等。常见的林下灌木种类有胡枝子、绣线菊、野蔷薇、黄栌、胡颓子、榛子、卫茅、盐肤木、六道木、栒子等。草本植物有蕨类、唐松草、菝葜、菊科、木本科草等。藤本植物有五味子、猕猴桃、粉背南蛇藤、粉葛藤等。</w:t>
      </w:r>
    </w:p>
    <w:p w14:paraId="36C37F8F">
      <w:pPr>
        <w:pStyle w:val="46"/>
        <w:ind w:firstLine="480"/>
        <w:rPr>
          <w:rFonts w:hint="eastAsia" w:eastAsia="宋体"/>
          <w:color w:val="auto"/>
          <w:sz w:val="24"/>
        </w:rPr>
      </w:pPr>
      <w:r>
        <w:rPr>
          <w:rFonts w:hint="eastAsia" w:ascii="宋体" w:hAnsi="宋体" w:eastAsia="宋体" w:cs="宋体"/>
          <w:color w:val="auto"/>
          <w:sz w:val="24"/>
        </w:rPr>
        <w:t>⑤</w:t>
      </w:r>
      <w:r>
        <w:rPr>
          <w:rFonts w:hint="eastAsia" w:eastAsia="宋体"/>
          <w:color w:val="auto"/>
          <w:sz w:val="24"/>
        </w:rPr>
        <w:t>1000m以下主要树种有麻栎、槲栎、茅栗、刺槐、侧柏、核桃等。由于人为活动频繁，侧柏、刺柏仅在庙堂寺院周围或山脊陡峭地方有零星或小块状分布。另外有少量人工栽植的刺槐、柿子、核桃等。灌木林、灌丛地面积较大。林下灌木主要有黄栌、松花竹、绣线菊、胡枝子、榛子、野蔷薇等。草本植物以禾本科杂草、蒿类为主。本区还有药材340种，药用价值和产量大的有菖蒲、乌药、柴胡、天麻、金银花、贝母、猪苓、党参、五味子等，鄠邑是陕西省乌药主产地之一。</w:t>
      </w:r>
    </w:p>
    <w:p w14:paraId="3FE9DDBE">
      <w:pPr>
        <w:pStyle w:val="46"/>
        <w:ind w:firstLine="480"/>
        <w:rPr>
          <w:rFonts w:hint="eastAsia" w:eastAsia="宋体"/>
          <w:color w:val="auto"/>
          <w:sz w:val="24"/>
        </w:rPr>
      </w:pPr>
      <w:r>
        <w:rPr>
          <w:rFonts w:hint="eastAsia" w:eastAsia="宋体"/>
          <w:color w:val="auto"/>
          <w:sz w:val="24"/>
        </w:rPr>
        <w:t>秦岭地区复杂的地形及充足的水热条件，使林区形成了丰富的森林景观。原始森林巨木参天，针叶纯林整齐优美，落叶阔叶林绿荫如盖，杜鹃林灿红如霞，奇花异草争奇斗艳，亚高山草地青草如茵，深秋霜叶艳红如血。美丽的森林景观在不同海拔、不同季节表现出多姿多彩的变化。</w:t>
      </w:r>
    </w:p>
    <w:p w14:paraId="3A8C6FA9">
      <w:pPr>
        <w:pStyle w:val="46"/>
        <w:ind w:firstLine="480"/>
        <w:rPr>
          <w:rFonts w:hint="eastAsia" w:eastAsia="宋体"/>
          <w:color w:val="auto"/>
          <w:sz w:val="24"/>
        </w:rPr>
      </w:pPr>
      <w:r>
        <w:rPr>
          <w:rFonts w:hint="eastAsia" w:eastAsia="宋体"/>
          <w:color w:val="auto"/>
          <w:sz w:val="24"/>
        </w:rPr>
        <w:t>（2）平原区植被</w:t>
      </w:r>
    </w:p>
    <w:p w14:paraId="7AE7C7B9">
      <w:pPr>
        <w:pStyle w:val="46"/>
        <w:ind w:firstLine="480"/>
        <w:rPr>
          <w:rFonts w:hint="eastAsia" w:eastAsia="宋体"/>
          <w:color w:val="auto"/>
          <w:sz w:val="24"/>
        </w:rPr>
      </w:pPr>
      <w:r>
        <w:rPr>
          <w:rFonts w:hint="eastAsia" w:eastAsia="宋体"/>
          <w:color w:val="auto"/>
          <w:sz w:val="24"/>
        </w:rPr>
        <w:t>鄠邑平原区的植被主要以人工栽植的景观林为主，主要树种有杨树、国槐、柳树、水杉、法桐、泡桐、臭椿、银杏、五角枫、七叶树、雪松、白皮松、大叶女贞、红叶李、樱花、玉兰、核桃、柿子、金叶复叶槭、红叶石楠、黄杨等树种为主。</w:t>
      </w:r>
    </w:p>
    <w:p w14:paraId="70E2546D">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3</w:t>
      </w:r>
      <w:r>
        <w:rPr>
          <w:rFonts w:hint="eastAsia" w:eastAsia="宋体"/>
          <w:color w:val="auto"/>
          <w:sz w:val="24"/>
          <w:lang w:eastAsia="zh-CN"/>
        </w:rPr>
        <w:t>）</w:t>
      </w:r>
      <w:r>
        <w:rPr>
          <w:rFonts w:hint="eastAsia" w:eastAsia="宋体"/>
          <w:color w:val="auto"/>
          <w:sz w:val="24"/>
        </w:rPr>
        <w:t>古树名木</w:t>
      </w:r>
    </w:p>
    <w:p w14:paraId="0FCA4672">
      <w:pPr>
        <w:pStyle w:val="46"/>
        <w:ind w:firstLine="480"/>
        <w:rPr>
          <w:rFonts w:eastAsia="宋体"/>
          <w:color w:val="auto"/>
          <w:sz w:val="24"/>
        </w:rPr>
      </w:pPr>
      <w:r>
        <w:rPr>
          <w:rFonts w:hint="eastAsia" w:eastAsia="宋体"/>
          <w:color w:val="auto"/>
          <w:sz w:val="24"/>
        </w:rPr>
        <w:t>鄠邑区共有古树名木74株，其中一级古树20株，二级古树9株，三级古树45株，涉及国槐、银杏、油松、皂荚、侧柏、龙爪槐、核桃、柿树、桂花、紫薇、石榴等树种。</w:t>
      </w:r>
    </w:p>
    <w:p w14:paraId="3AFDB609">
      <w:pPr>
        <w:pStyle w:val="69"/>
        <w:rPr>
          <w:rFonts w:hint="default" w:eastAsia="宋体"/>
          <w:color w:val="auto"/>
          <w:lang w:val="en-US" w:eastAsia="zh-CN"/>
        </w:rPr>
      </w:pPr>
      <w:r>
        <w:rPr>
          <w:rFonts w:hint="eastAsia"/>
          <w:color w:val="auto"/>
        </w:rPr>
        <w:t>2</w:t>
      </w:r>
      <w:r>
        <w:rPr>
          <w:color w:val="auto"/>
        </w:rPr>
        <w:t>.3.1.</w:t>
      </w:r>
      <w:r>
        <w:rPr>
          <w:rFonts w:hint="eastAsia"/>
          <w:color w:val="auto"/>
          <w:lang w:val="en-US" w:eastAsia="zh-CN"/>
        </w:rPr>
        <w:t>7野生动物</w:t>
      </w:r>
    </w:p>
    <w:p w14:paraId="769C501B">
      <w:pPr>
        <w:pStyle w:val="46"/>
        <w:ind w:firstLine="480"/>
        <w:rPr>
          <w:rFonts w:hint="eastAsia" w:eastAsia="宋体"/>
          <w:color w:val="auto"/>
          <w:sz w:val="24"/>
        </w:rPr>
      </w:pPr>
      <w:r>
        <w:rPr>
          <w:rFonts w:hint="eastAsia" w:eastAsia="宋体"/>
          <w:color w:val="auto"/>
          <w:sz w:val="24"/>
        </w:rPr>
        <w:t>秦岭是我国南北动物区系的分界线，是动物古北界和东洋界的交汇和过渡地带，其动物区系具有起源古老、南北过渡、东西承接、相互渗透、交错重叠的作用。</w:t>
      </w:r>
    </w:p>
    <w:p w14:paraId="415479AF">
      <w:pPr>
        <w:pStyle w:val="46"/>
        <w:ind w:firstLine="480"/>
        <w:rPr>
          <w:rFonts w:hint="eastAsia" w:eastAsia="宋体"/>
          <w:color w:val="auto"/>
          <w:sz w:val="24"/>
        </w:rPr>
      </w:pPr>
      <w:r>
        <w:rPr>
          <w:rFonts w:hint="eastAsia" w:eastAsia="宋体"/>
          <w:color w:val="auto"/>
          <w:sz w:val="24"/>
        </w:rPr>
        <w:t>鄠邑地处秦岭北麓，境内野生动物资源丰富，保护种类繁多。据调查，本区共有野生脊椎动物353种，隶属26目75科230属。鄠邑分布着国家重点保护脊椎动物38种，其中国家I级重点保护物种6种，占总种数的1.70%；II级重点保护物种32种，占总种数的9.07%。鱼类II级保护动物细鳞鲑1种，两栖II级保护动物大鲵1种。I级保护鸟类3种，为金鵰、大鸨和黑鹳；II级保护鸟类24种，如松雀鹰、红腹锦鸡、斑头鸺鹠等。兽类I级保护动物3种，为林麝、羚牛和豹，II级保护动物6种，如水獭、斑羚等。</w:t>
      </w:r>
    </w:p>
    <w:p w14:paraId="4A56AD74">
      <w:pPr>
        <w:pStyle w:val="46"/>
        <w:ind w:firstLine="480"/>
        <w:rPr>
          <w:rFonts w:eastAsia="宋体"/>
          <w:color w:val="auto"/>
          <w:sz w:val="24"/>
        </w:rPr>
      </w:pPr>
      <w:r>
        <w:rPr>
          <w:rFonts w:hint="eastAsia" w:eastAsia="宋体"/>
          <w:color w:val="auto"/>
          <w:sz w:val="24"/>
        </w:rPr>
        <w:t>鄠邑区常见的野生兽类主要有羚牛、草兔、松鼠、黄鼠、豺狼、狐、黑熊、鹿、黄獾、豹、林麝、青羊、岩羊、苏门羚、野猪、刺猬、猴、狍等；鸟类主要有环颈雉、锦鸡、长尾雉、血雉、野鸭、斑鸠、杜鹃、画眉、小噪眉、锈颊噪眉、猫头鹰、啄木鸟、大山雀等；两栖爬行类主要有大鲵、中国林蛙、蟾蜍和多种蛇类。</w:t>
      </w:r>
    </w:p>
    <w:p w14:paraId="277875EC">
      <w:pPr>
        <w:pStyle w:val="61"/>
        <w:numPr>
          <w:ilvl w:val="0"/>
          <w:numId w:val="0"/>
        </w:numPr>
        <w:spacing w:before="0" w:after="0"/>
        <w:rPr>
          <w:rFonts w:eastAsia="宋体"/>
          <w:color w:val="auto"/>
        </w:rPr>
      </w:pPr>
      <w:r>
        <w:rPr>
          <w:rFonts w:hint="eastAsia" w:eastAsia="宋体"/>
          <w:color w:val="auto"/>
        </w:rPr>
        <w:t>2</w:t>
      </w:r>
      <w:r>
        <w:rPr>
          <w:rFonts w:eastAsia="宋体"/>
          <w:color w:val="auto"/>
        </w:rPr>
        <w:t>.3.2区域</w:t>
      </w:r>
      <w:r>
        <w:rPr>
          <w:rFonts w:hint="eastAsia" w:eastAsia="宋体"/>
          <w:color w:val="auto"/>
        </w:rPr>
        <w:t>社会经济</w:t>
      </w:r>
      <w:r>
        <w:rPr>
          <w:rFonts w:eastAsia="宋体"/>
          <w:color w:val="auto"/>
        </w:rPr>
        <w:t>概况</w:t>
      </w:r>
    </w:p>
    <w:p w14:paraId="524FC1C0">
      <w:pPr>
        <w:pStyle w:val="69"/>
        <w:rPr>
          <w:color w:val="auto"/>
        </w:rPr>
      </w:pPr>
      <w:r>
        <w:rPr>
          <w:rFonts w:hint="eastAsia"/>
          <w:color w:val="auto"/>
        </w:rPr>
        <w:t>2</w:t>
      </w:r>
      <w:r>
        <w:rPr>
          <w:color w:val="auto"/>
        </w:rPr>
        <w:t>.3.2.1</w:t>
      </w:r>
      <w:r>
        <w:rPr>
          <w:rFonts w:hint="eastAsia"/>
          <w:color w:val="auto"/>
        </w:rPr>
        <w:t>行政</w:t>
      </w:r>
      <w:r>
        <w:rPr>
          <w:color w:val="auto"/>
        </w:rPr>
        <w:t>区划</w:t>
      </w:r>
    </w:p>
    <w:p w14:paraId="10681FFC">
      <w:pPr>
        <w:pStyle w:val="46"/>
        <w:ind w:firstLine="480"/>
        <w:rPr>
          <w:rFonts w:hint="eastAsia" w:eastAsia="宋体"/>
          <w:color w:val="auto"/>
          <w:sz w:val="24"/>
        </w:rPr>
      </w:pPr>
      <w:r>
        <w:rPr>
          <w:rFonts w:hint="eastAsia" w:eastAsia="宋体"/>
          <w:color w:val="auto"/>
          <w:sz w:val="24"/>
        </w:rPr>
        <w:t>鄠邑区是西安国际化大都市3个副中心城市之一，中国现代民间绘画之乡、中华诗词之乡、全国围棋之乡。鄠邑区下辖14个街道（甘亭街道、余下街道、玉蝉街道、五竹街道、大王街道、秦渡街道、草堂街道、庞光街道、祖庵街道、蒋村街道、涝店街道、甘河街道、石井街道、渭丰街道）、1个景区管理局。西安市政府于2017年4月将大王街办交由西咸新区托管，2018年11月，将秦渡街办、草堂街办和庞光街办交由西安高新区正式托管。</w:t>
      </w:r>
    </w:p>
    <w:p w14:paraId="514FC52A">
      <w:pPr>
        <w:pStyle w:val="46"/>
        <w:ind w:firstLine="480"/>
        <w:rPr>
          <w:rFonts w:eastAsia="宋体"/>
          <w:color w:val="auto"/>
          <w:sz w:val="24"/>
        </w:rPr>
      </w:pPr>
      <w:r>
        <w:rPr>
          <w:rFonts w:hint="eastAsia" w:eastAsia="宋体"/>
          <w:color w:val="auto"/>
          <w:sz w:val="24"/>
        </w:rPr>
        <w:t>根据第七次全国人口普查结果，全区户籍总人口641639人（其中托管秦渡、草堂、庞光、大王街道178516人）。全区户籍人口中，男性人口307663人，女性人口293511人。全区27个少数民族总人口1293人，占总人口的0.28%。</w:t>
      </w:r>
    </w:p>
    <w:p w14:paraId="706D0E62">
      <w:pPr>
        <w:pStyle w:val="69"/>
        <w:rPr>
          <w:color w:val="auto"/>
        </w:rPr>
      </w:pPr>
      <w:r>
        <w:rPr>
          <w:rFonts w:hint="eastAsia"/>
          <w:color w:val="auto"/>
        </w:rPr>
        <w:t>2</w:t>
      </w:r>
      <w:r>
        <w:rPr>
          <w:color w:val="auto"/>
        </w:rPr>
        <w:t>.3.2.2</w:t>
      </w:r>
      <w:r>
        <w:rPr>
          <w:rFonts w:hint="eastAsia"/>
          <w:color w:val="auto"/>
        </w:rPr>
        <w:t>社会经济概况</w:t>
      </w:r>
    </w:p>
    <w:p w14:paraId="6F78F02C">
      <w:pPr>
        <w:pStyle w:val="46"/>
        <w:ind w:firstLine="480"/>
        <w:rPr>
          <w:rFonts w:hint="eastAsia" w:eastAsia="宋体"/>
          <w:color w:val="auto"/>
          <w:sz w:val="24"/>
        </w:rPr>
      </w:pPr>
      <w:r>
        <w:rPr>
          <w:rFonts w:hint="eastAsia" w:eastAsia="宋体"/>
          <w:color w:val="auto"/>
          <w:sz w:val="24"/>
        </w:rPr>
        <w:t>2021年以来，鄠邑区以习近平总书记来陕考察重要讲话精神为指针，坚持“稳中求进”的工作总基调，立足新发展阶段，贯彻新发展理念，融入新发展格局。以十项重点工作为突破，加快实施“十四五”规划，全力推进“诗画鄠邑、品质新区”建设，做实“六稳”“六保”工作，全区经济运行平稳、转型加快、结构趋优，民生持续改善，经济社会发展再上新台阶，统筹疫情防控和经济社会发展成效持续显现，实现了“十四五”精彩开局。</w:t>
      </w:r>
    </w:p>
    <w:p w14:paraId="5622FDD7">
      <w:pPr>
        <w:pStyle w:val="46"/>
        <w:ind w:firstLine="480"/>
        <w:rPr>
          <w:rFonts w:hint="eastAsia" w:eastAsia="宋体"/>
          <w:color w:val="auto"/>
          <w:sz w:val="24"/>
        </w:rPr>
      </w:pPr>
      <w:r>
        <w:rPr>
          <w:rFonts w:hint="eastAsia" w:eastAsia="宋体"/>
          <w:color w:val="auto"/>
          <w:sz w:val="24"/>
        </w:rPr>
        <w:t>2021年实现生产总值266亿元，同比增长8.1%；工业增加114.7亿元，同比增长11.5%；规上工业增加值同比增长14.4%；服务业增加值108.5亿元，同比增长5.3%；固定资产投资153.4亿元，同比增长9.1%；社会消费品零售总额46.1亿元，同比增长11.8%；一般公共预算收入完成8.9亿元，同比增长12.4%</w:t>
      </w:r>
      <w:r>
        <w:rPr>
          <w:rFonts w:hint="eastAsia" w:eastAsia="宋体"/>
          <w:color w:val="auto"/>
          <w:sz w:val="24"/>
          <w:lang w:eastAsia="zh-CN"/>
        </w:rPr>
        <w:t>；</w:t>
      </w:r>
      <w:r>
        <w:rPr>
          <w:rFonts w:hint="eastAsia" w:eastAsia="宋体"/>
          <w:color w:val="auto"/>
          <w:sz w:val="24"/>
        </w:rPr>
        <w:t>一般公共预算支出完成37.4亿元，同比下降3.4%</w:t>
      </w:r>
      <w:r>
        <w:rPr>
          <w:rFonts w:hint="eastAsia" w:eastAsia="宋体"/>
          <w:color w:val="auto"/>
          <w:sz w:val="24"/>
          <w:lang w:eastAsia="zh-CN"/>
        </w:rPr>
        <w:t>；</w:t>
      </w:r>
      <w:r>
        <w:rPr>
          <w:rFonts w:hint="eastAsia" w:eastAsia="宋体"/>
          <w:color w:val="auto"/>
          <w:sz w:val="24"/>
        </w:rPr>
        <w:t>实际利用外资1190万美元；实际引进内资10.8亿元；城镇居民人均可支配收入27922元，同比增长8%；农村居民人均可支配收入16372元，同比增长11.2%；城镇登记失业率控制在3.8%，物价CPI指数控制在3%以内。主要经济指标实现了快速增长，鄠邑发展完成了由“破局”到“量变”的跨越。</w:t>
      </w:r>
    </w:p>
    <w:p w14:paraId="166CE420">
      <w:pPr>
        <w:pStyle w:val="69"/>
        <w:rPr>
          <w:color w:val="auto"/>
        </w:rPr>
      </w:pPr>
      <w:r>
        <w:rPr>
          <w:rFonts w:hint="eastAsia"/>
          <w:color w:val="auto"/>
        </w:rPr>
        <w:t>2</w:t>
      </w:r>
      <w:r>
        <w:rPr>
          <w:color w:val="auto"/>
        </w:rPr>
        <w:t>.3.2.</w:t>
      </w:r>
      <w:r>
        <w:rPr>
          <w:rFonts w:hint="eastAsia"/>
          <w:color w:val="auto"/>
          <w:lang w:val="en-US" w:eastAsia="zh-CN"/>
        </w:rPr>
        <w:t>3</w:t>
      </w:r>
      <w:r>
        <w:rPr>
          <w:rFonts w:hint="eastAsia"/>
          <w:color w:val="auto"/>
        </w:rPr>
        <w:t>交通设施</w:t>
      </w:r>
    </w:p>
    <w:p w14:paraId="74AD2C6D">
      <w:pPr>
        <w:pStyle w:val="46"/>
        <w:ind w:firstLine="480"/>
        <w:rPr>
          <w:rFonts w:hint="eastAsia" w:eastAsia="宋体"/>
          <w:color w:val="auto"/>
          <w:sz w:val="24"/>
        </w:rPr>
      </w:pPr>
      <w:r>
        <w:rPr>
          <w:rFonts w:hint="eastAsia" w:eastAsia="宋体"/>
          <w:color w:val="auto"/>
          <w:sz w:val="24"/>
        </w:rPr>
        <w:t>自古鄠邑为长安通往中国西部必经之地，为西安、咸阳、汉中三大城市的交汇点，区位优越、交通便利。公路网络层次分明，等级合理，对外通往各大城市，对内深入乡村农户。过境高速有：连霍高速（新西宝高速），西咸北环线高速，京昆高速（西汉高速），鄠邑至眉县高速（规划即将建设）。西成高铁经过鄠邑，在鄠邑区秦渡街办设有中间站，距鄠邑城区7.3km，距西安城区31km。鄠邑境内有国道西宝南线</w:t>
      </w:r>
      <w:r>
        <w:rPr>
          <w:rFonts w:hint="eastAsia" w:eastAsia="宋体"/>
          <w:color w:val="auto"/>
          <w:sz w:val="24"/>
          <w:lang w:eastAsia="zh-CN"/>
        </w:rPr>
        <w:t>（</w:t>
      </w:r>
      <w:r>
        <w:rPr>
          <w:rFonts w:hint="eastAsia" w:eastAsia="宋体"/>
          <w:color w:val="auto"/>
          <w:sz w:val="24"/>
        </w:rPr>
        <w:t>G108</w:t>
      </w:r>
      <w:r>
        <w:rPr>
          <w:rFonts w:hint="eastAsia" w:eastAsia="宋体"/>
          <w:color w:val="auto"/>
          <w:sz w:val="24"/>
          <w:lang w:eastAsia="zh-CN"/>
        </w:rPr>
        <w:t>）</w:t>
      </w:r>
      <w:r>
        <w:rPr>
          <w:rFonts w:hint="eastAsia" w:eastAsia="宋体"/>
          <w:color w:val="auto"/>
          <w:sz w:val="24"/>
        </w:rPr>
        <w:t>，环山旅游公路</w:t>
      </w:r>
      <w:r>
        <w:rPr>
          <w:rFonts w:hint="eastAsia" w:eastAsia="宋体"/>
          <w:color w:val="auto"/>
          <w:sz w:val="24"/>
          <w:lang w:eastAsia="zh-CN"/>
        </w:rPr>
        <w:t>（</w:t>
      </w:r>
      <w:r>
        <w:rPr>
          <w:rFonts w:hint="eastAsia" w:eastAsia="宋体"/>
          <w:color w:val="auto"/>
          <w:sz w:val="24"/>
        </w:rPr>
        <w:t>新107省道</w:t>
      </w:r>
      <w:r>
        <w:rPr>
          <w:rFonts w:hint="eastAsia" w:eastAsia="宋体"/>
          <w:color w:val="auto"/>
          <w:sz w:val="24"/>
          <w:lang w:eastAsia="zh-CN"/>
        </w:rPr>
        <w:t>）</w:t>
      </w:r>
      <w:r>
        <w:rPr>
          <w:rFonts w:hint="eastAsia" w:eastAsia="宋体"/>
          <w:color w:val="auto"/>
          <w:sz w:val="24"/>
        </w:rPr>
        <w:t>通过；县级主干道17条，经八纬九条主骨架公路形成了棋盘式道路网络；乡道16条里程228.9km，农村公路125条里程1940km；陇海铁路西余支线贯通南北设户县和余下车站；距西安咸阳国际机场16km，从西安城区上高速15分钟可到鄠邑。</w:t>
      </w:r>
    </w:p>
    <w:p w14:paraId="5EEA0FFD">
      <w:pPr>
        <w:pStyle w:val="46"/>
        <w:spacing w:line="240" w:lineRule="auto"/>
        <w:ind w:firstLine="48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206625" cy="3020060"/>
            <wp:effectExtent l="0" t="0" r="3175" b="8890"/>
            <wp:docPr id="3" name="图片 3" descr="169200197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2001976843"/>
                    <pic:cNvPicPr>
                      <a:picLocks noChangeAspect="1"/>
                    </pic:cNvPicPr>
                  </pic:nvPicPr>
                  <pic:blipFill>
                    <a:blip r:embed="rId20"/>
                    <a:stretch>
                      <a:fillRect/>
                    </a:stretch>
                  </pic:blipFill>
                  <pic:spPr>
                    <a:xfrm>
                      <a:off x="0" y="0"/>
                      <a:ext cx="2206625" cy="3020060"/>
                    </a:xfrm>
                    <a:prstGeom prst="rect">
                      <a:avLst/>
                    </a:prstGeom>
                  </pic:spPr>
                </pic:pic>
              </a:graphicData>
            </a:graphic>
          </wp:inline>
        </w:drawing>
      </w:r>
    </w:p>
    <w:p w14:paraId="6DF61D9A">
      <w:pPr>
        <w:pStyle w:val="46"/>
        <w:ind w:firstLine="480"/>
        <w:jc w:val="center"/>
        <w:rPr>
          <w:rFonts w:hint="default" w:eastAsia="宋体"/>
          <w:b/>
          <w:bCs/>
          <w:color w:val="auto"/>
          <w:sz w:val="24"/>
          <w:szCs w:val="24"/>
          <w:lang w:val="en-US" w:eastAsia="zh-CN"/>
        </w:rPr>
      </w:pPr>
      <w:r>
        <w:rPr>
          <w:rFonts w:hint="eastAsia" w:eastAsia="宋体"/>
          <w:b/>
          <w:bCs/>
          <w:color w:val="auto"/>
          <w:sz w:val="24"/>
          <w:szCs w:val="24"/>
          <w:lang w:val="en-US" w:eastAsia="zh-CN"/>
        </w:rPr>
        <w:t>图2.3-1    鄠邑区交通区位图</w:t>
      </w:r>
    </w:p>
    <w:p w14:paraId="253D7EB3">
      <w:pPr>
        <w:pStyle w:val="69"/>
        <w:rPr>
          <w:color w:val="auto"/>
        </w:rPr>
      </w:pPr>
      <w:r>
        <w:rPr>
          <w:rFonts w:hint="eastAsia"/>
          <w:color w:val="auto"/>
        </w:rPr>
        <w:t>2</w:t>
      </w:r>
      <w:r>
        <w:rPr>
          <w:color w:val="auto"/>
        </w:rPr>
        <w:t>.3.2.</w:t>
      </w:r>
      <w:r>
        <w:rPr>
          <w:rFonts w:hint="eastAsia"/>
          <w:color w:val="auto"/>
          <w:lang w:val="en-US" w:eastAsia="zh-CN"/>
        </w:rPr>
        <w:t>4</w:t>
      </w:r>
      <w:r>
        <w:rPr>
          <w:rFonts w:hint="eastAsia"/>
          <w:color w:val="auto"/>
        </w:rPr>
        <w:t>风景名胜</w:t>
      </w:r>
    </w:p>
    <w:p w14:paraId="318C5515">
      <w:pPr>
        <w:pStyle w:val="46"/>
        <w:ind w:firstLine="480"/>
        <w:rPr>
          <w:rFonts w:hint="eastAsia" w:eastAsia="宋体"/>
          <w:color w:val="auto"/>
          <w:sz w:val="24"/>
        </w:rPr>
      </w:pPr>
      <w:r>
        <w:rPr>
          <w:rFonts w:hint="eastAsia" w:eastAsia="宋体"/>
          <w:color w:val="auto"/>
          <w:sz w:val="24"/>
        </w:rPr>
        <w:t>鄠邑区境内的风景名胜较多，其中：城区主要有钟楼、文庙、农民画展览馆及渼陂湖水系生态文化区；太平—高冠片区主要有：太平国家森林公园、太平万花山景区、紫阁峪、圭峰山、草堂寺、高冠瀑布等；石井镇环山路一线主要有金龙峡、将军山古镇、阿姑泉牡丹苑等；北部区域主要有公输堂、渭河现代生态农业示范区；西部区域主要有玉蟾台、重阳宫；涝峪一线主要有朱雀国家森林公园、十寨沟、清凉山等。其中：</w:t>
      </w:r>
    </w:p>
    <w:p w14:paraId="100ABCCB">
      <w:pPr>
        <w:pStyle w:val="46"/>
        <w:ind w:firstLine="480"/>
        <w:rPr>
          <w:rFonts w:hint="eastAsia" w:eastAsia="宋体"/>
          <w:color w:val="auto"/>
          <w:sz w:val="24"/>
        </w:rPr>
      </w:pPr>
      <w:r>
        <w:rPr>
          <w:rFonts w:hint="eastAsia" w:eastAsia="宋体"/>
          <w:color w:val="auto"/>
          <w:sz w:val="24"/>
        </w:rPr>
        <w:t>太平国家森林公园位于西安市西南鄠邑太平峪以内。距西安44km、咸阳60km，总面积6085公顷。公园所处地貌为秦岭中山地。整个区域高差悬殊、峭壁林立、峰峦叠嶂、沟谷连绵、多瀑布、急流和险滩，形成了丰富奇妙的山水自然景观。园内有石门、黄羊坝、月宫潭、桦林湾、秦岭梁五大景区近百个景点。公园于2004年12月晋升为国家森林公园，2009年8月晋升为世界地质公园，2010年7月经国家旅游局评定为国家AAAA级旅游景区，2010年12月西安市政府认定为“西安服务业名牌”。</w:t>
      </w:r>
    </w:p>
    <w:p w14:paraId="0C3776A9">
      <w:pPr>
        <w:pStyle w:val="46"/>
        <w:ind w:firstLine="480"/>
        <w:rPr>
          <w:rFonts w:hint="eastAsia" w:eastAsia="宋体"/>
          <w:color w:val="auto"/>
          <w:sz w:val="24"/>
        </w:rPr>
      </w:pPr>
      <w:r>
        <w:rPr>
          <w:rFonts w:hint="eastAsia" w:eastAsia="宋体"/>
          <w:color w:val="auto"/>
          <w:sz w:val="24"/>
        </w:rPr>
        <w:t>朱雀国家森林公园位于鄠邑区南部，秦岭北麓，东涝河上游，面积3000公顷，有朱雀崖、秦岭梁、芦花河、奇秀峰、龙潭子、冰河翠六个景区被列入国家级森林公园。还有直插云霄的天柱峰，青莲峰，佛掌峰，渡仙峰，龙脊岭，有奇姿美态的莲台观音、聚仙山、醉仙台、玉笋佛云等。</w:t>
      </w:r>
    </w:p>
    <w:p w14:paraId="5F2AAC1D">
      <w:pPr>
        <w:pStyle w:val="46"/>
        <w:ind w:firstLine="480"/>
        <w:rPr>
          <w:rFonts w:hint="eastAsia" w:eastAsia="宋体"/>
          <w:color w:val="auto"/>
          <w:sz w:val="24"/>
        </w:rPr>
      </w:pPr>
      <w:r>
        <w:rPr>
          <w:rFonts w:hint="eastAsia" w:eastAsia="宋体"/>
          <w:color w:val="auto"/>
          <w:sz w:val="24"/>
        </w:rPr>
        <w:t>重阳宫位于鄠邑区祖庵镇，距城区10km。是道教全真派三大祖庭（北京白云观，山西永乐宫，陕西重阳宫）之一。是道教全真派祖师王重阳早年修道和遗蜕之所，享有“天下祖庭”、“全真圣地”之盛名。</w:t>
      </w:r>
    </w:p>
    <w:p w14:paraId="67D41DB8">
      <w:pPr>
        <w:pStyle w:val="46"/>
        <w:ind w:firstLine="480"/>
        <w:rPr>
          <w:rFonts w:hint="eastAsia" w:eastAsia="宋体"/>
          <w:color w:val="auto"/>
          <w:sz w:val="24"/>
        </w:rPr>
      </w:pPr>
      <w:r>
        <w:rPr>
          <w:rFonts w:hint="eastAsia" w:eastAsia="宋体"/>
          <w:color w:val="auto"/>
          <w:sz w:val="24"/>
        </w:rPr>
        <w:t>草堂寺位于陕西省西安市鄠邑区圭峰山北麓，被中国佛教三论宗、华严宗和日本佛教日莲宗尊奉为祖庭，在世界上独一无二。第一座国立翻译佛经译场，也是佛教三大译场中时间最长，规模最大的译场，是佛教中国化的起点，全国重点文物保护单位。</w:t>
      </w:r>
    </w:p>
    <w:p w14:paraId="5AE2743D">
      <w:pPr>
        <w:pStyle w:val="69"/>
        <w:rPr>
          <w:color w:val="auto"/>
        </w:rPr>
      </w:pPr>
      <w:r>
        <w:rPr>
          <w:rFonts w:hint="eastAsia"/>
          <w:color w:val="auto"/>
        </w:rPr>
        <w:t>2</w:t>
      </w:r>
      <w:r>
        <w:rPr>
          <w:color w:val="auto"/>
        </w:rPr>
        <w:t>.3.2.</w:t>
      </w:r>
      <w:r>
        <w:rPr>
          <w:rFonts w:hint="eastAsia"/>
          <w:color w:val="auto"/>
          <w:lang w:val="en-US" w:eastAsia="zh-CN"/>
        </w:rPr>
        <w:t>5</w:t>
      </w:r>
      <w:r>
        <w:rPr>
          <w:rFonts w:hint="eastAsia"/>
          <w:color w:val="auto"/>
        </w:rPr>
        <w:t>文化艺术</w:t>
      </w:r>
    </w:p>
    <w:p w14:paraId="577B759C">
      <w:pPr>
        <w:pStyle w:val="46"/>
        <w:ind w:firstLine="480"/>
        <w:rPr>
          <w:rFonts w:hint="eastAsia" w:eastAsia="宋体"/>
          <w:color w:val="auto"/>
          <w:sz w:val="24"/>
        </w:rPr>
      </w:pPr>
      <w:r>
        <w:rPr>
          <w:rFonts w:hint="eastAsia" w:eastAsia="宋体"/>
          <w:color w:val="auto"/>
          <w:sz w:val="24"/>
        </w:rPr>
        <w:t>鄠邑区历史文化悠久,人文底蕴深厚，民间艺术资源丰富、种类繁多。鼓舞、社火、敲锣鼓、秧歌、剪纸、皮影等艺术丰富了群众文化精神世界，农民画事业日益繁荣，非物质文化遗产保护成果丰硕极大地提升了鄠邑文化软实力。</w:t>
      </w:r>
    </w:p>
    <w:p w14:paraId="1C701E32">
      <w:pPr>
        <w:pStyle w:val="46"/>
        <w:ind w:firstLine="480"/>
        <w:rPr>
          <w:rFonts w:hint="eastAsia" w:eastAsia="宋体"/>
          <w:color w:val="auto"/>
          <w:sz w:val="24"/>
        </w:rPr>
      </w:pPr>
      <w:r>
        <w:rPr>
          <w:rFonts w:hint="eastAsia" w:eastAsia="宋体"/>
          <w:color w:val="auto"/>
          <w:sz w:val="24"/>
        </w:rPr>
        <w:t>民间艺术资源丰富、种类繁多。自周以来，先后有13个王朝建都长安，鄠邑是京畿之地。民间艺术与宫庭艺术相互影响，围绕古都市区建设而发展起来的剪纸、雕塑、装饰等民间工艺美术，世代相传。劳动人民在劳动之余创作的歌舞、戏曲、社火等民间艺术久传不衰，这是鄠邑文化艺术较为发达的历史渊源。大王凿齿村、庞光杨家堡的社火村芯子玄妙多变，内容新颖而闻名省内外。鄠邑的敲锣鼓、秧歌每逢春节期间，每个村都热闹非凡。鄠邑主要流行秦腔和眉户两大剧种，其中眉户多以普通人生活感情为题材，生辣活鲜，颇为百姓喜爱而普及于民间。鄠邑农民画文化底蕴深厚、画法独特、发展势头良好。农民画源于民间，在陕西关中地区的剪纸、壁画、年画、刺绣等汉族民间艺术基础上衍变，以朴实的绘画语言，详尽而生动地记录了农村生产劳动的壮观场面、热烈活泼的节庆场景和绚丽多彩的汉族民风民俗。农民画地域特色鲜明，画面简洁而饱满，想象大胆丰富，风格浪漫稚拙，装饰意味强烈，古拙中流露天工。农民画诞生于20世纪</w:t>
      </w:r>
      <w:r>
        <w:rPr>
          <w:rFonts w:hint="eastAsia" w:eastAsia="宋体"/>
          <w:color w:val="auto"/>
          <w:sz w:val="24"/>
          <w:lang w:val="en-US" w:eastAsia="zh-CN"/>
        </w:rPr>
        <w:t>5</w:t>
      </w:r>
      <w:r>
        <w:rPr>
          <w:rFonts w:hint="eastAsia" w:eastAsia="宋体"/>
          <w:color w:val="auto"/>
          <w:sz w:val="24"/>
        </w:rPr>
        <w:t>0年代末，发展于60～70年代，兴盛于80～90年代。1988年被国家文化部正式命名为“中国现代民间绘画乡”。进入21世纪后，鄠邑农民画作者队伍已发展到2100多人，骨干作者200多人，农民画专业户30多家。共创作作品3万余件，其中1200余件在国内获奖，600余件被国家和地方美术馆收藏，18700余件被国外博物馆和外国收藏家珍藏。数千件在美、英、德、法、日等68个国家和地区展出。28位农民画家先后35次出国访问、讲学、办展和表演。</w:t>
      </w:r>
    </w:p>
    <w:p w14:paraId="0DD83D32">
      <w:pPr>
        <w:pStyle w:val="46"/>
        <w:ind w:firstLine="480"/>
        <w:rPr>
          <w:rFonts w:eastAsia="宋体"/>
          <w:color w:val="auto"/>
          <w:sz w:val="24"/>
        </w:rPr>
      </w:pPr>
      <w:r>
        <w:rPr>
          <w:rFonts w:hint="eastAsia" w:eastAsia="宋体"/>
          <w:color w:val="auto"/>
          <w:sz w:val="24"/>
        </w:rPr>
        <w:t>非物质文化遗产保护成果丰硕。2004年，国家将民间艺术纳入非物质文化遗产保护范畴，区文化局设立非物质文化保护部，开展对全区非物质文化遗产的普查、建档和申报工作。共调查15大类，213项，全部填表建档。其中一期申报的“鄠邑曲子”被文化部批准为国家非物质文化遗产保护项目；“秦镇米面皮子制作工艺”、“鄠邑社火”、“鄠邑蒋村正月民俗活动”、“鄠邑民间布老虎”等被批准为省级非物质文化遗产保护项目；“李氏木刻工艺”等被批准为市级非物质文化遗产保护项目。</w:t>
      </w:r>
    </w:p>
    <w:bookmarkEnd w:id="12"/>
    <w:bookmarkEnd w:id="15"/>
    <w:bookmarkEnd w:id="16"/>
    <w:p w14:paraId="56315E25">
      <w:pPr>
        <w:pStyle w:val="59"/>
        <w:numPr>
          <w:ilvl w:val="0"/>
          <w:numId w:val="0"/>
        </w:numPr>
        <w:spacing w:before="120" w:after="120"/>
        <w:rPr>
          <w:rFonts w:eastAsia="宋体"/>
          <w:color w:val="auto"/>
          <w:sz w:val="32"/>
        </w:rPr>
      </w:pPr>
      <w:bookmarkStart w:id="21" w:name="_Toc14305"/>
      <w:r>
        <w:rPr>
          <w:rFonts w:eastAsia="宋体"/>
          <w:color w:val="auto"/>
          <w:sz w:val="32"/>
        </w:rPr>
        <w:t>3入河排污口</w:t>
      </w:r>
      <w:r>
        <w:rPr>
          <w:rFonts w:hint="eastAsia" w:eastAsia="宋体"/>
          <w:color w:val="auto"/>
          <w:sz w:val="32"/>
        </w:rPr>
        <w:t>设置</w:t>
      </w:r>
      <w:r>
        <w:rPr>
          <w:rFonts w:eastAsia="宋体"/>
          <w:color w:val="auto"/>
          <w:sz w:val="32"/>
        </w:rPr>
        <w:t>方案概况</w:t>
      </w:r>
      <w:bookmarkEnd w:id="21"/>
    </w:p>
    <w:p w14:paraId="1143410D">
      <w:pPr>
        <w:pStyle w:val="57"/>
        <w:numPr>
          <w:ilvl w:val="0"/>
          <w:numId w:val="0"/>
        </w:numPr>
        <w:spacing w:before="120" w:beforeLines="50" w:after="120" w:afterLines="50"/>
        <w:rPr>
          <w:rFonts w:hint="eastAsia" w:eastAsia="宋体"/>
          <w:color w:val="auto"/>
          <w:sz w:val="30"/>
          <w:lang w:eastAsia="zh-CN"/>
        </w:rPr>
      </w:pPr>
      <w:bookmarkStart w:id="22" w:name="_Toc29926"/>
      <w:bookmarkStart w:id="23" w:name="_Toc452912333"/>
      <w:bookmarkStart w:id="24" w:name="_Toc512677592"/>
      <w:r>
        <w:rPr>
          <w:rFonts w:hint="eastAsia" w:eastAsia="宋体"/>
          <w:color w:val="auto"/>
          <w:sz w:val="30"/>
        </w:rPr>
        <w:t>3</w:t>
      </w:r>
      <w:r>
        <w:rPr>
          <w:rFonts w:eastAsia="宋体"/>
          <w:color w:val="auto"/>
          <w:sz w:val="30"/>
        </w:rPr>
        <w:t>.</w:t>
      </w:r>
      <w:r>
        <w:rPr>
          <w:rFonts w:hint="eastAsia" w:eastAsia="宋体"/>
          <w:color w:val="auto"/>
          <w:sz w:val="30"/>
          <w:lang w:val="en-US" w:eastAsia="zh-CN"/>
        </w:rPr>
        <w:t>1</w:t>
      </w:r>
      <w:r>
        <w:rPr>
          <w:rFonts w:eastAsia="宋体"/>
          <w:color w:val="auto"/>
          <w:sz w:val="30"/>
        </w:rPr>
        <w:t>入河排污口</w:t>
      </w:r>
      <w:r>
        <w:rPr>
          <w:rFonts w:hint="eastAsia" w:eastAsia="宋体"/>
          <w:color w:val="auto"/>
          <w:sz w:val="30"/>
          <w:lang w:val="en-US" w:eastAsia="zh-CN"/>
        </w:rPr>
        <w:t>基本情况</w:t>
      </w:r>
      <w:bookmarkEnd w:id="22"/>
    </w:p>
    <w:p w14:paraId="7DD63A31">
      <w:pPr>
        <w:spacing w:line="500" w:lineRule="exact"/>
        <w:ind w:firstLine="480" w:firstLineChars="200"/>
        <w:rPr>
          <w:rFonts w:hint="default" w:eastAsia="宋体"/>
          <w:color w:val="auto"/>
          <w:szCs w:val="24"/>
          <w:lang w:val="en-US" w:eastAsia="zh-CN"/>
        </w:rPr>
      </w:pPr>
      <w:r>
        <w:rPr>
          <w:rFonts w:hint="eastAsia" w:eastAsia="宋体"/>
          <w:color w:val="auto"/>
          <w:sz w:val="24"/>
        </w:rPr>
        <w:t>西安市西南郊水厂近期工程第一阶段项目</w:t>
      </w:r>
      <w:r>
        <w:rPr>
          <w:rFonts w:hint="eastAsia" w:eastAsia="宋体"/>
          <w:color w:val="auto"/>
          <w:sz w:val="24"/>
          <w:lang w:val="en-US" w:eastAsia="zh-CN"/>
        </w:rPr>
        <w:t>废水</w:t>
      </w:r>
      <w:r>
        <w:rPr>
          <w:rFonts w:hint="eastAsia" w:eastAsia="宋体"/>
          <w:color w:val="auto"/>
          <w:sz w:val="24"/>
        </w:rPr>
        <w:t>管道选用DN1800mm球墨铸铁管下穿</w:t>
      </w:r>
      <w:r>
        <w:rPr>
          <w:rFonts w:hint="eastAsia" w:eastAsia="宋体"/>
          <w:color w:val="auto"/>
          <w:sz w:val="24"/>
          <w:lang w:val="en-US" w:eastAsia="zh-CN"/>
        </w:rPr>
        <w:t>新河</w:t>
      </w:r>
      <w:r>
        <w:rPr>
          <w:rFonts w:hint="eastAsia" w:eastAsia="宋体"/>
          <w:color w:val="auto"/>
          <w:sz w:val="24"/>
        </w:rPr>
        <w:t>堤岸，</w:t>
      </w:r>
      <w:r>
        <w:rPr>
          <w:rFonts w:hint="eastAsia" w:eastAsia="宋体"/>
          <w:color w:val="auto"/>
          <w:sz w:val="24"/>
          <w:lang w:val="en-US" w:eastAsia="zh-CN"/>
        </w:rPr>
        <w:t>管网施工</w:t>
      </w:r>
      <w:r>
        <w:rPr>
          <w:rFonts w:hint="eastAsia" w:eastAsia="宋体"/>
          <w:color w:val="auto"/>
          <w:sz w:val="24"/>
        </w:rPr>
        <w:t>采用</w:t>
      </w:r>
      <w:r>
        <w:rPr>
          <w:rFonts w:hint="eastAsia" w:eastAsia="宋体"/>
          <w:color w:val="auto"/>
          <w:sz w:val="24"/>
          <w:lang w:val="en-US" w:eastAsia="zh-CN"/>
        </w:rPr>
        <w:t>普通</w:t>
      </w:r>
      <w:r>
        <w:rPr>
          <w:rFonts w:hint="eastAsia" w:eastAsia="宋体"/>
          <w:color w:val="auto"/>
          <w:sz w:val="24"/>
        </w:rPr>
        <w:t>开挖</w:t>
      </w:r>
      <w:r>
        <w:rPr>
          <w:rFonts w:hint="eastAsia" w:eastAsia="宋体"/>
          <w:color w:val="auto"/>
          <w:sz w:val="24"/>
          <w:lang w:val="en-US" w:eastAsia="zh-CN"/>
        </w:rPr>
        <w:t>沟槽的</w:t>
      </w:r>
      <w:r>
        <w:rPr>
          <w:rFonts w:hint="eastAsia" w:eastAsia="宋体"/>
          <w:color w:val="auto"/>
          <w:sz w:val="24"/>
        </w:rPr>
        <w:t>施工方式</w:t>
      </w:r>
      <w:r>
        <w:rPr>
          <w:rFonts w:hint="eastAsia" w:eastAsia="宋体"/>
          <w:color w:val="auto"/>
          <w:sz w:val="24"/>
          <w:lang w:eastAsia="zh-CN"/>
        </w:rPr>
        <w:t>，</w:t>
      </w:r>
      <w:r>
        <w:rPr>
          <w:rFonts w:hint="eastAsia" w:eastAsia="宋体"/>
          <w:color w:val="auto"/>
          <w:sz w:val="24"/>
          <w:lang w:val="en-US" w:eastAsia="zh-CN"/>
        </w:rPr>
        <w:t>然后进行管基础制作、下管、稳管、接口、闭水试验、质量检查与验收等</w:t>
      </w:r>
      <w:r>
        <w:rPr>
          <w:rFonts w:hint="eastAsia" w:eastAsia="宋体"/>
          <w:color w:val="auto"/>
          <w:sz w:val="24"/>
        </w:rPr>
        <w:t>。管沟开挖和回填均采用机械开挖为主，人工为辅，开挖土方堆放于管沟一侧以备回填使用，余土外运处置。</w:t>
      </w:r>
      <w:r>
        <w:rPr>
          <w:rFonts w:hint="eastAsia" w:eastAsia="宋体"/>
          <w:color w:val="auto"/>
          <w:sz w:val="24"/>
          <w:lang w:val="en-US" w:eastAsia="zh-CN"/>
        </w:rPr>
        <w:t>废水</w:t>
      </w:r>
      <w:r>
        <w:rPr>
          <w:rFonts w:hint="eastAsia" w:eastAsia="宋体"/>
          <w:color w:val="auto"/>
          <w:sz w:val="24"/>
        </w:rPr>
        <w:t>排放口位于</w:t>
      </w:r>
      <w:r>
        <w:rPr>
          <w:rFonts w:hint="eastAsia" w:eastAsia="宋体"/>
          <w:color w:val="auto"/>
          <w:sz w:val="24"/>
          <w:lang w:val="en-US" w:eastAsia="zh-CN"/>
        </w:rPr>
        <w:t>新河右</w:t>
      </w:r>
      <w:r>
        <w:rPr>
          <w:rFonts w:hint="eastAsia" w:eastAsia="宋体"/>
          <w:color w:val="auto"/>
          <w:sz w:val="24"/>
        </w:rPr>
        <w:t>岸</w:t>
      </w:r>
      <w:r>
        <w:rPr>
          <w:rFonts w:hint="eastAsia" w:eastAsia="宋体"/>
          <w:color w:val="auto"/>
          <w:sz w:val="24"/>
          <w:lang w:val="en-US" w:eastAsia="zh-CN"/>
        </w:rPr>
        <w:t>距西厂界约35m处。河道坡度较缓，采用钢筋混凝土出水口。排放口翼墙坡度与边坡基本一致，排放口下口设护坡和护底，采用200mm厚C25素砼，下铺150mm厚碎石垫层，防止冲蚀。</w:t>
      </w:r>
      <w:r>
        <w:rPr>
          <w:rFonts w:hint="eastAsia"/>
          <w:color w:val="auto"/>
          <w:sz w:val="24"/>
          <w:lang w:val="en-US" w:eastAsia="zh-CN"/>
        </w:rPr>
        <w:t>废水总排口</w:t>
      </w:r>
      <w:r>
        <w:rPr>
          <w:rFonts w:hint="eastAsia" w:eastAsia="宋体"/>
          <w:color w:val="auto"/>
          <w:sz w:val="24"/>
          <w:lang w:val="en-US" w:eastAsia="zh-CN"/>
        </w:rPr>
        <w:t>经纬度</w:t>
      </w:r>
      <w:r>
        <w:rPr>
          <w:rFonts w:hint="default" w:eastAsia="宋体"/>
          <w:color w:val="auto"/>
          <w:sz w:val="24"/>
          <w:lang w:val="en-US" w:eastAsia="zh-CN"/>
        </w:rPr>
        <w:t>：E</w:t>
      </w:r>
      <w:r>
        <w:rPr>
          <w:rFonts w:hint="eastAsia" w:eastAsia="宋体"/>
          <w:color w:val="auto"/>
          <w:sz w:val="24"/>
          <w:lang w:val="en-US" w:eastAsia="zh-CN"/>
        </w:rPr>
        <w:t xml:space="preserve"> </w:t>
      </w:r>
      <w:r>
        <w:rPr>
          <w:rFonts w:hint="default" w:eastAsia="宋体"/>
          <w:color w:val="auto"/>
          <w:sz w:val="24"/>
          <w:lang w:val="en-US" w:eastAsia="zh-CN"/>
        </w:rPr>
        <w:t>108°38′18.789″</w:t>
      </w:r>
      <w:r>
        <w:rPr>
          <w:rFonts w:hint="eastAsia" w:eastAsia="宋体"/>
          <w:color w:val="auto"/>
          <w:sz w:val="24"/>
          <w:lang w:val="en-US" w:eastAsia="zh-CN"/>
        </w:rPr>
        <w:t>，</w:t>
      </w:r>
      <w:r>
        <w:rPr>
          <w:rFonts w:hint="default" w:eastAsia="宋体"/>
          <w:color w:val="auto"/>
          <w:sz w:val="24"/>
          <w:lang w:val="en-US" w:eastAsia="zh-CN"/>
        </w:rPr>
        <w:t>N</w:t>
      </w:r>
      <w:r>
        <w:rPr>
          <w:rFonts w:hint="eastAsia" w:eastAsia="宋体"/>
          <w:color w:val="auto"/>
          <w:sz w:val="24"/>
          <w:lang w:val="en-US" w:eastAsia="zh-CN"/>
        </w:rPr>
        <w:t xml:space="preserve"> </w:t>
      </w:r>
      <w:r>
        <w:rPr>
          <w:rFonts w:hint="default" w:eastAsia="宋体"/>
          <w:color w:val="auto"/>
          <w:sz w:val="24"/>
          <w:lang w:val="en-US" w:eastAsia="zh-CN"/>
        </w:rPr>
        <w:t>34°1′48.377″</w:t>
      </w:r>
      <w:r>
        <w:rPr>
          <w:rFonts w:hint="eastAsia" w:eastAsia="宋体"/>
          <w:color w:val="auto"/>
          <w:sz w:val="24"/>
          <w:lang w:val="en-US" w:eastAsia="zh-CN"/>
        </w:rPr>
        <w:t>。具体位置见图3.1-1。</w:t>
      </w:r>
      <w:r>
        <w:rPr>
          <w:rFonts w:hint="eastAsia"/>
          <w:color w:val="auto"/>
          <w:sz w:val="24"/>
          <w:lang w:val="en-US" w:eastAsia="zh-CN"/>
        </w:rPr>
        <w:t>废水总排口</w:t>
      </w:r>
      <w:r>
        <w:rPr>
          <w:rFonts w:hint="eastAsia" w:eastAsia="宋体"/>
          <w:color w:val="auto"/>
          <w:sz w:val="24"/>
          <w:lang w:val="en-US" w:eastAsia="zh-CN"/>
        </w:rPr>
        <w:t>照片见图3.1-2。</w:t>
      </w:r>
    </w:p>
    <w:p w14:paraId="36C77862">
      <w:pPr>
        <w:jc w:val="center"/>
        <w:rPr>
          <w:color w:val="auto"/>
          <w:szCs w:val="24"/>
        </w:rPr>
      </w:pPr>
      <w:r>
        <w:rPr>
          <w:rFonts w:hint="eastAsia" w:eastAsia="宋体"/>
          <w:color w:val="auto"/>
          <w:szCs w:val="24"/>
          <w:lang w:eastAsia="zh-CN"/>
        </w:rPr>
        <w:drawing>
          <wp:anchor distT="0" distB="0" distL="114935" distR="114935" simplePos="0" relativeHeight="251662336" behindDoc="0" locked="0" layoutInCell="1" allowOverlap="1">
            <wp:simplePos x="0" y="0"/>
            <wp:positionH relativeFrom="column">
              <wp:posOffset>5217795</wp:posOffset>
            </wp:positionH>
            <wp:positionV relativeFrom="paragraph">
              <wp:posOffset>31750</wp:posOffset>
            </wp:positionV>
            <wp:extent cx="506730" cy="506730"/>
            <wp:effectExtent l="0" t="0" r="7620" b="7620"/>
            <wp:wrapNone/>
            <wp:docPr id="12" name="图片 1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指北针"/>
                    <pic:cNvPicPr>
                      <a:picLocks noChangeAspect="1"/>
                    </pic:cNvPicPr>
                  </pic:nvPicPr>
                  <pic:blipFill>
                    <a:blip r:embed="rId14"/>
                    <a:stretch>
                      <a:fillRect/>
                    </a:stretch>
                  </pic:blipFill>
                  <pic:spPr>
                    <a:xfrm>
                      <a:off x="0" y="0"/>
                      <a:ext cx="506730" cy="506730"/>
                    </a:xfrm>
                    <a:prstGeom prst="rect">
                      <a:avLst/>
                    </a:prstGeom>
                  </pic:spPr>
                </pic:pic>
              </a:graphicData>
            </a:graphic>
          </wp:anchor>
        </w:drawing>
      </w:r>
      <w:r>
        <w:rPr>
          <w:color w:val="auto"/>
        </w:rPr>
        <w:drawing>
          <wp:inline distT="0" distB="0" distL="114300" distR="114300">
            <wp:extent cx="5723255" cy="4196715"/>
            <wp:effectExtent l="9525" t="9525" r="20320" b="2286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21"/>
                    <a:stretch>
                      <a:fillRect/>
                    </a:stretch>
                  </pic:blipFill>
                  <pic:spPr>
                    <a:xfrm>
                      <a:off x="0" y="0"/>
                      <a:ext cx="5723255" cy="4196715"/>
                    </a:xfrm>
                    <a:prstGeom prst="rect">
                      <a:avLst/>
                    </a:prstGeom>
                    <a:noFill/>
                    <a:ln>
                      <a:solidFill>
                        <a:schemeClr val="tx1"/>
                      </a:solidFill>
                    </a:ln>
                  </pic:spPr>
                </pic:pic>
              </a:graphicData>
            </a:graphic>
          </wp:inline>
        </w:drawing>
      </w:r>
    </w:p>
    <w:p w14:paraId="48735037">
      <w:pPr>
        <w:spacing w:line="500" w:lineRule="exact"/>
        <w:jc w:val="center"/>
        <w:rPr>
          <w:b/>
          <w:color w:val="auto"/>
          <w:szCs w:val="24"/>
        </w:rPr>
      </w:pPr>
      <w:r>
        <w:rPr>
          <w:b/>
          <w:color w:val="auto"/>
          <w:szCs w:val="24"/>
        </w:rPr>
        <w:t>图</w:t>
      </w:r>
      <w:r>
        <w:rPr>
          <w:rFonts w:hint="eastAsia"/>
          <w:b/>
          <w:color w:val="auto"/>
          <w:szCs w:val="24"/>
        </w:rPr>
        <w:t>3</w:t>
      </w:r>
      <w:r>
        <w:rPr>
          <w:b/>
          <w:color w:val="auto"/>
          <w:szCs w:val="24"/>
        </w:rPr>
        <w:t>.1-1</w:t>
      </w:r>
      <w:r>
        <w:rPr>
          <w:rFonts w:hint="eastAsia"/>
          <w:b/>
          <w:color w:val="auto"/>
          <w:szCs w:val="24"/>
          <w:lang w:val="en-US" w:eastAsia="zh-CN"/>
        </w:rPr>
        <w:t xml:space="preserve">    废水总</w:t>
      </w:r>
      <w:r>
        <w:rPr>
          <w:b/>
          <w:color w:val="auto"/>
          <w:szCs w:val="24"/>
        </w:rPr>
        <w:t>排口设置位置</w:t>
      </w:r>
    </w:p>
    <w:p w14:paraId="0018CA46">
      <w:pPr>
        <w:pStyle w:val="46"/>
        <w:spacing w:line="240" w:lineRule="auto"/>
        <w:ind w:left="0" w:leftChars="0" w:firstLine="0" w:firstLineChars="0"/>
        <w:rPr>
          <w:rFonts w:hint="eastAsia" w:eastAsia="宋体"/>
          <w:color w:val="auto"/>
          <w:sz w:val="24"/>
          <w:lang w:eastAsia="zh-CN"/>
        </w:rPr>
      </w:pPr>
      <w:r>
        <w:rPr>
          <w:rFonts w:hint="eastAsia" w:eastAsia="宋体"/>
          <w:color w:val="auto"/>
          <w:sz w:val="24"/>
          <w:lang w:eastAsia="zh-CN"/>
        </w:rPr>
        <w:drawing>
          <wp:inline distT="0" distB="0" distL="114300" distR="114300">
            <wp:extent cx="5715635" cy="2572385"/>
            <wp:effectExtent l="0" t="0" r="18415" b="18415"/>
            <wp:docPr id="9" name="图片 9" descr="94116c202bcc7b4a25e1d0588964c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116c202bcc7b4a25e1d0588964c3b"/>
                    <pic:cNvPicPr>
                      <a:picLocks noChangeAspect="1"/>
                    </pic:cNvPicPr>
                  </pic:nvPicPr>
                  <pic:blipFill>
                    <a:blip r:embed="rId22"/>
                    <a:stretch>
                      <a:fillRect/>
                    </a:stretch>
                  </pic:blipFill>
                  <pic:spPr>
                    <a:xfrm>
                      <a:off x="0" y="0"/>
                      <a:ext cx="5715635" cy="2572385"/>
                    </a:xfrm>
                    <a:prstGeom prst="rect">
                      <a:avLst/>
                    </a:prstGeom>
                  </pic:spPr>
                </pic:pic>
              </a:graphicData>
            </a:graphic>
          </wp:inline>
        </w:drawing>
      </w:r>
    </w:p>
    <w:p w14:paraId="399C07CC">
      <w:pPr>
        <w:spacing w:line="500" w:lineRule="exact"/>
        <w:jc w:val="center"/>
        <w:rPr>
          <w:rFonts w:hint="eastAsia" w:eastAsia="宋体"/>
          <w:b/>
          <w:color w:val="auto"/>
          <w:szCs w:val="24"/>
          <w:lang w:eastAsia="zh-CN"/>
        </w:rPr>
      </w:pPr>
      <w:r>
        <w:rPr>
          <w:b/>
          <w:color w:val="auto"/>
          <w:szCs w:val="24"/>
        </w:rPr>
        <w:t>图</w:t>
      </w:r>
      <w:r>
        <w:rPr>
          <w:rFonts w:hint="eastAsia"/>
          <w:b/>
          <w:color w:val="auto"/>
          <w:szCs w:val="24"/>
        </w:rPr>
        <w:t>3</w:t>
      </w:r>
      <w:r>
        <w:rPr>
          <w:b/>
          <w:color w:val="auto"/>
          <w:szCs w:val="24"/>
        </w:rPr>
        <w:t>.1-</w:t>
      </w:r>
      <w:r>
        <w:rPr>
          <w:rFonts w:hint="eastAsia"/>
          <w:b/>
          <w:color w:val="auto"/>
          <w:szCs w:val="24"/>
          <w:lang w:val="en-US" w:eastAsia="zh-CN"/>
        </w:rPr>
        <w:t>2    废水总</w:t>
      </w:r>
      <w:r>
        <w:rPr>
          <w:b/>
          <w:color w:val="auto"/>
          <w:szCs w:val="24"/>
        </w:rPr>
        <w:t>排口</w:t>
      </w:r>
      <w:r>
        <w:rPr>
          <w:rFonts w:hint="eastAsia"/>
          <w:b/>
          <w:color w:val="auto"/>
          <w:szCs w:val="24"/>
          <w:lang w:val="en-US" w:eastAsia="zh-CN"/>
        </w:rPr>
        <w:t>照片</w:t>
      </w:r>
    </w:p>
    <w:p w14:paraId="1CCA6ECA">
      <w:pPr>
        <w:pStyle w:val="57"/>
        <w:numPr>
          <w:ilvl w:val="0"/>
          <w:numId w:val="0"/>
        </w:numPr>
        <w:spacing w:before="120" w:beforeLines="50" w:after="120" w:afterLines="50"/>
        <w:rPr>
          <w:rFonts w:hint="eastAsia" w:eastAsia="宋体"/>
          <w:color w:val="auto"/>
          <w:sz w:val="30"/>
          <w:lang w:val="zh-CN" w:eastAsia="zh-CN"/>
        </w:rPr>
      </w:pPr>
      <w:bookmarkStart w:id="25" w:name="_Toc26060"/>
      <w:r>
        <w:rPr>
          <w:rFonts w:hint="eastAsia" w:eastAsia="宋体"/>
          <w:color w:val="auto"/>
          <w:sz w:val="30"/>
          <w:lang w:val="zh-CN" w:eastAsia="zh-CN"/>
        </w:rPr>
        <w:t>3.2排污口类型及排放方式</w:t>
      </w:r>
      <w:bookmarkEnd w:id="25"/>
    </w:p>
    <w:p w14:paraId="0C18AFD7">
      <w:pPr>
        <w:pStyle w:val="46"/>
        <w:ind w:firstLine="480"/>
        <w:rPr>
          <w:rFonts w:eastAsia="宋体"/>
          <w:color w:val="auto"/>
          <w:sz w:val="24"/>
        </w:rPr>
      </w:pPr>
      <w:r>
        <w:rPr>
          <w:rFonts w:hint="eastAsia" w:eastAsia="宋体"/>
          <w:color w:val="auto"/>
          <w:sz w:val="24"/>
        </w:rPr>
        <w:t>西安市西南郊水厂近期工程第一阶段项目</w:t>
      </w:r>
      <w:r>
        <w:rPr>
          <w:rFonts w:hint="eastAsia" w:eastAsia="宋体"/>
          <w:color w:val="auto"/>
          <w:sz w:val="24"/>
          <w:lang w:val="en-US" w:eastAsia="zh-CN"/>
        </w:rPr>
        <w:t>排放的废水主要为生产废水和生活污水</w:t>
      </w:r>
      <w:r>
        <w:rPr>
          <w:rFonts w:hint="eastAsia" w:eastAsia="宋体"/>
          <w:color w:val="auto"/>
          <w:sz w:val="24"/>
        </w:rPr>
        <w:t>。</w:t>
      </w:r>
      <w:r>
        <w:rPr>
          <w:rFonts w:hint="eastAsia" w:eastAsia="宋体"/>
          <w:color w:val="auto"/>
          <w:sz w:val="24"/>
          <w:lang w:val="en-US" w:eastAsia="zh-CN"/>
        </w:rPr>
        <w:t>生产废水</w:t>
      </w:r>
      <w:r>
        <w:rPr>
          <w:rFonts w:hint="eastAsia" w:eastAsia="宋体"/>
          <w:color w:val="auto"/>
          <w:sz w:val="24"/>
        </w:rPr>
        <w:t>主要为污泥的压滤液，</w:t>
      </w:r>
      <w:r>
        <w:rPr>
          <w:rFonts w:hint="eastAsia" w:eastAsia="宋体"/>
          <w:color w:val="auto"/>
          <w:sz w:val="24"/>
          <w:lang w:val="en-US" w:eastAsia="zh-CN"/>
        </w:rPr>
        <w:t>生产废水产生</w:t>
      </w:r>
      <w:r>
        <w:rPr>
          <w:rFonts w:eastAsia="宋体"/>
          <w:color w:val="auto"/>
          <w:sz w:val="24"/>
        </w:rPr>
        <w:t>量约</w:t>
      </w:r>
      <w:r>
        <w:rPr>
          <w:rFonts w:hint="eastAsia" w:eastAsia="宋体"/>
          <w:color w:val="auto"/>
          <w:sz w:val="24"/>
        </w:rPr>
        <w:t>427999</w:t>
      </w:r>
      <w:r>
        <w:rPr>
          <w:rFonts w:eastAsia="宋体"/>
          <w:color w:val="auto"/>
          <w:sz w:val="24"/>
        </w:rPr>
        <w:t>m</w:t>
      </w:r>
      <w:r>
        <w:rPr>
          <w:rFonts w:eastAsia="宋体"/>
          <w:color w:val="auto"/>
          <w:sz w:val="24"/>
          <w:vertAlign w:val="superscript"/>
        </w:rPr>
        <w:t>3</w:t>
      </w:r>
      <w:r>
        <w:rPr>
          <w:rFonts w:eastAsia="宋体"/>
          <w:color w:val="auto"/>
          <w:sz w:val="24"/>
        </w:rPr>
        <w:t>/a，</w:t>
      </w:r>
      <w:r>
        <w:rPr>
          <w:rFonts w:hint="eastAsia" w:eastAsia="宋体"/>
          <w:color w:val="auto"/>
          <w:sz w:val="24"/>
          <w:lang w:val="en-US" w:eastAsia="zh-CN"/>
        </w:rPr>
        <w:t>生活污水产生量约2730.2m</w:t>
      </w:r>
      <w:r>
        <w:rPr>
          <w:rFonts w:hint="eastAsia" w:eastAsia="宋体"/>
          <w:color w:val="auto"/>
          <w:sz w:val="24"/>
          <w:vertAlign w:val="superscript"/>
          <w:lang w:val="en-US" w:eastAsia="zh-CN"/>
        </w:rPr>
        <w:t>3</w:t>
      </w:r>
      <w:r>
        <w:rPr>
          <w:rFonts w:hint="eastAsia" w:eastAsia="宋体"/>
          <w:color w:val="auto"/>
          <w:sz w:val="24"/>
          <w:lang w:val="en-US" w:eastAsia="zh-CN"/>
        </w:rPr>
        <w:t>/a</w:t>
      </w:r>
      <w:r>
        <w:rPr>
          <w:rFonts w:eastAsia="宋体"/>
          <w:color w:val="auto"/>
          <w:sz w:val="24"/>
        </w:rPr>
        <w:t>。</w:t>
      </w:r>
      <w:r>
        <w:rPr>
          <w:rFonts w:hint="eastAsia" w:eastAsia="宋体"/>
          <w:color w:val="auto"/>
          <w:sz w:val="24"/>
        </w:rPr>
        <w:t>因此所设的入河排污口类型为混合废污水入河排污口。年工作时间为365天，排放方式属连续排放。</w:t>
      </w:r>
    </w:p>
    <w:bookmarkEnd w:id="23"/>
    <w:bookmarkEnd w:id="24"/>
    <w:p w14:paraId="72B44348">
      <w:pPr>
        <w:pStyle w:val="57"/>
        <w:numPr>
          <w:ilvl w:val="0"/>
          <w:numId w:val="0"/>
        </w:numPr>
        <w:spacing w:before="120" w:beforeLines="50" w:after="120" w:afterLines="50"/>
        <w:rPr>
          <w:rFonts w:hint="eastAsia" w:eastAsia="宋体"/>
          <w:color w:val="auto"/>
          <w:sz w:val="30"/>
          <w:lang w:val="zh-CN" w:eastAsia="zh-CN"/>
        </w:rPr>
      </w:pPr>
      <w:bookmarkStart w:id="26" w:name="_Toc512677597"/>
      <w:bookmarkStart w:id="27" w:name="_Toc452912339"/>
      <w:bookmarkStart w:id="28" w:name="_Toc22823"/>
      <w:r>
        <w:rPr>
          <w:rFonts w:hint="eastAsia" w:eastAsia="宋体"/>
          <w:color w:val="auto"/>
          <w:sz w:val="30"/>
          <w:lang w:val="zh-CN" w:eastAsia="zh-CN"/>
        </w:rPr>
        <w:t>3.</w:t>
      </w:r>
      <w:r>
        <w:rPr>
          <w:rFonts w:hint="eastAsia" w:eastAsia="宋体"/>
          <w:color w:val="auto"/>
          <w:sz w:val="30"/>
          <w:lang w:val="en-US" w:eastAsia="zh-CN"/>
        </w:rPr>
        <w:t>3</w:t>
      </w:r>
      <w:r>
        <w:rPr>
          <w:rFonts w:hint="eastAsia" w:eastAsia="宋体"/>
          <w:color w:val="auto"/>
          <w:sz w:val="30"/>
          <w:lang w:val="zh-CN" w:eastAsia="zh-CN"/>
        </w:rPr>
        <w:t>污染物种类</w:t>
      </w:r>
      <w:bookmarkEnd w:id="26"/>
      <w:bookmarkEnd w:id="27"/>
      <w:bookmarkEnd w:id="28"/>
    </w:p>
    <w:p w14:paraId="23ED64FA">
      <w:pPr>
        <w:pStyle w:val="46"/>
        <w:ind w:firstLine="480"/>
        <w:rPr>
          <w:rFonts w:eastAsia="宋体"/>
          <w:color w:val="auto"/>
          <w:sz w:val="24"/>
        </w:rPr>
      </w:pPr>
      <w:r>
        <w:rPr>
          <w:rFonts w:hint="eastAsia" w:eastAsia="宋体"/>
          <w:color w:val="auto"/>
          <w:sz w:val="24"/>
        </w:rPr>
        <w:t>西安市西南郊水厂近期工程第一阶段项目</w:t>
      </w:r>
      <w:r>
        <w:rPr>
          <w:rFonts w:eastAsia="宋体"/>
          <w:color w:val="auto"/>
          <w:sz w:val="24"/>
        </w:rPr>
        <w:t>所排的主要污染指标包括COD、BOD</w:t>
      </w:r>
      <w:r>
        <w:rPr>
          <w:rFonts w:eastAsia="宋体"/>
          <w:color w:val="auto"/>
          <w:sz w:val="24"/>
          <w:vertAlign w:val="subscript"/>
        </w:rPr>
        <w:t>5</w:t>
      </w:r>
      <w:r>
        <w:rPr>
          <w:rFonts w:eastAsia="宋体"/>
          <w:color w:val="auto"/>
          <w:sz w:val="24"/>
        </w:rPr>
        <w:t>、NH</w:t>
      </w:r>
      <w:r>
        <w:rPr>
          <w:rFonts w:eastAsia="宋体"/>
          <w:color w:val="auto"/>
          <w:sz w:val="24"/>
          <w:vertAlign w:val="subscript"/>
        </w:rPr>
        <w:t>3</w:t>
      </w:r>
      <w:r>
        <w:rPr>
          <w:rFonts w:eastAsia="宋体"/>
          <w:color w:val="auto"/>
          <w:sz w:val="24"/>
        </w:rPr>
        <w:t>-N、TP、TN、悬浮物等。</w:t>
      </w:r>
    </w:p>
    <w:p w14:paraId="3EE487AA">
      <w:pPr>
        <w:pStyle w:val="57"/>
        <w:numPr>
          <w:ilvl w:val="0"/>
          <w:numId w:val="0"/>
        </w:numPr>
        <w:spacing w:before="120" w:beforeLines="50" w:after="120" w:afterLines="50"/>
        <w:rPr>
          <w:rFonts w:hint="eastAsia" w:eastAsia="宋体"/>
          <w:color w:val="auto"/>
          <w:sz w:val="30"/>
          <w:lang w:val="zh-CN" w:eastAsia="zh-CN"/>
        </w:rPr>
      </w:pPr>
      <w:bookmarkStart w:id="29" w:name="_Toc452912341"/>
      <w:bookmarkStart w:id="30" w:name="_Toc13091"/>
      <w:bookmarkStart w:id="31" w:name="_Toc512677600"/>
      <w:r>
        <w:rPr>
          <w:rFonts w:hint="eastAsia" w:eastAsia="宋体"/>
          <w:color w:val="auto"/>
          <w:sz w:val="30"/>
          <w:lang w:val="zh-CN" w:eastAsia="zh-CN"/>
        </w:rPr>
        <w:t>3.4出水水质</w:t>
      </w:r>
      <w:bookmarkEnd w:id="29"/>
      <w:r>
        <w:rPr>
          <w:rFonts w:hint="eastAsia" w:eastAsia="宋体"/>
          <w:color w:val="auto"/>
          <w:sz w:val="30"/>
          <w:lang w:val="zh-CN" w:eastAsia="zh-CN"/>
        </w:rPr>
        <w:t>标准</w:t>
      </w:r>
      <w:bookmarkEnd w:id="30"/>
      <w:bookmarkEnd w:id="31"/>
    </w:p>
    <w:p w14:paraId="720A727B">
      <w:pPr>
        <w:pStyle w:val="46"/>
        <w:ind w:firstLine="480"/>
        <w:rPr>
          <w:rFonts w:eastAsia="宋体"/>
          <w:color w:val="auto"/>
          <w:sz w:val="24"/>
        </w:rPr>
      </w:pPr>
      <w:r>
        <w:rPr>
          <w:rFonts w:hint="eastAsia" w:eastAsia="宋体"/>
          <w:color w:val="auto"/>
          <w:sz w:val="24"/>
        </w:rPr>
        <w:t>设计出水水质按</w:t>
      </w:r>
      <w:r>
        <w:rPr>
          <w:rFonts w:hint="eastAsia" w:eastAsia="宋体"/>
          <w:color w:val="auto"/>
          <w:sz w:val="24"/>
          <w:lang w:eastAsia="zh-CN"/>
        </w:rPr>
        <w:t>《</w:t>
      </w:r>
      <w:r>
        <w:rPr>
          <w:rFonts w:hint="eastAsia" w:eastAsia="宋体"/>
          <w:color w:val="auto"/>
          <w:sz w:val="24"/>
        </w:rPr>
        <w:t>陕西省黄河流域污水综合排放标准》（DB61/224-2018）执行，</w:t>
      </w:r>
      <w:r>
        <w:rPr>
          <w:rFonts w:eastAsia="宋体"/>
          <w:color w:val="auto"/>
          <w:sz w:val="24"/>
        </w:rPr>
        <w:t>具体出水水质指标如下表3.</w:t>
      </w:r>
      <w:r>
        <w:rPr>
          <w:rFonts w:hint="eastAsia" w:eastAsia="宋体"/>
          <w:color w:val="auto"/>
          <w:sz w:val="24"/>
          <w:lang w:val="en-US" w:eastAsia="zh-CN"/>
        </w:rPr>
        <w:t>4-1</w:t>
      </w:r>
      <w:r>
        <w:rPr>
          <w:rFonts w:eastAsia="宋体"/>
          <w:color w:val="auto"/>
          <w:sz w:val="24"/>
        </w:rPr>
        <w:t>所示。</w:t>
      </w:r>
    </w:p>
    <w:p w14:paraId="0D306FFF">
      <w:pPr>
        <w:pStyle w:val="63"/>
        <w:spacing w:before="48" w:after="48"/>
        <w:rPr>
          <w:rFonts w:eastAsia="宋体"/>
          <w:color w:val="auto"/>
        </w:rPr>
      </w:pPr>
      <w:r>
        <w:rPr>
          <w:rFonts w:eastAsia="宋体"/>
          <w:color w:val="auto"/>
        </w:rPr>
        <w:t>表3.</w:t>
      </w:r>
      <w:r>
        <w:rPr>
          <w:rFonts w:hint="eastAsia" w:eastAsia="宋体"/>
          <w:color w:val="auto"/>
          <w:lang w:val="en-US" w:eastAsia="zh-CN"/>
        </w:rPr>
        <w:t>4</w:t>
      </w:r>
      <w:r>
        <w:rPr>
          <w:rFonts w:eastAsia="宋体"/>
          <w:color w:val="auto"/>
        </w:rPr>
        <w:t>-1</w:t>
      </w:r>
      <w:r>
        <w:rPr>
          <w:rFonts w:hint="eastAsia" w:eastAsia="宋体"/>
          <w:color w:val="auto"/>
          <w:lang w:val="en-US" w:eastAsia="zh-CN"/>
        </w:rPr>
        <w:t xml:space="preserve">    </w:t>
      </w:r>
      <w:r>
        <w:rPr>
          <w:rFonts w:eastAsia="宋体"/>
          <w:color w:val="auto"/>
        </w:rPr>
        <w:t>出水水质指标单位：mg/L</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1351"/>
        <w:gridCol w:w="1397"/>
        <w:gridCol w:w="1052"/>
        <w:gridCol w:w="1503"/>
        <w:gridCol w:w="1031"/>
        <w:gridCol w:w="1178"/>
      </w:tblGrid>
      <w:tr w14:paraId="2F398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Align w:val="center"/>
          </w:tcPr>
          <w:p w14:paraId="540A91DF">
            <w:pPr>
              <w:widowControl/>
              <w:jc w:val="center"/>
              <w:rPr>
                <w:b/>
                <w:color w:val="auto"/>
                <w:sz w:val="21"/>
                <w:szCs w:val="21"/>
              </w:rPr>
            </w:pPr>
            <w:r>
              <w:rPr>
                <w:b/>
                <w:color w:val="auto"/>
                <w:sz w:val="21"/>
                <w:szCs w:val="21"/>
              </w:rPr>
              <w:t>指标</w:t>
            </w:r>
          </w:p>
        </w:tc>
        <w:tc>
          <w:tcPr>
            <w:tcW w:w="731" w:type="pct"/>
            <w:vAlign w:val="center"/>
          </w:tcPr>
          <w:p w14:paraId="331E109F">
            <w:pPr>
              <w:widowControl/>
              <w:jc w:val="center"/>
              <w:rPr>
                <w:b/>
                <w:color w:val="auto"/>
                <w:sz w:val="21"/>
                <w:szCs w:val="21"/>
              </w:rPr>
            </w:pPr>
            <w:r>
              <w:rPr>
                <w:b/>
                <w:color w:val="auto"/>
                <w:sz w:val="21"/>
                <w:szCs w:val="21"/>
              </w:rPr>
              <w:t>COD</w:t>
            </w:r>
          </w:p>
        </w:tc>
        <w:tc>
          <w:tcPr>
            <w:tcW w:w="756" w:type="pct"/>
            <w:vAlign w:val="center"/>
          </w:tcPr>
          <w:p w14:paraId="48641B80">
            <w:pPr>
              <w:widowControl/>
              <w:jc w:val="center"/>
              <w:rPr>
                <w:b/>
                <w:color w:val="auto"/>
                <w:sz w:val="21"/>
                <w:szCs w:val="21"/>
              </w:rPr>
            </w:pPr>
            <w:r>
              <w:rPr>
                <w:b/>
                <w:color w:val="auto"/>
                <w:sz w:val="21"/>
                <w:szCs w:val="21"/>
              </w:rPr>
              <w:t>BOD</w:t>
            </w:r>
            <w:r>
              <w:rPr>
                <w:b/>
                <w:color w:val="auto"/>
                <w:sz w:val="21"/>
                <w:szCs w:val="21"/>
                <w:vertAlign w:val="subscript"/>
              </w:rPr>
              <w:t>5</w:t>
            </w:r>
          </w:p>
        </w:tc>
        <w:tc>
          <w:tcPr>
            <w:tcW w:w="569" w:type="pct"/>
            <w:vAlign w:val="center"/>
          </w:tcPr>
          <w:p w14:paraId="7D10345C">
            <w:pPr>
              <w:widowControl/>
              <w:jc w:val="center"/>
              <w:rPr>
                <w:b/>
                <w:color w:val="auto"/>
                <w:sz w:val="21"/>
                <w:szCs w:val="21"/>
              </w:rPr>
            </w:pPr>
            <w:r>
              <w:rPr>
                <w:b/>
                <w:color w:val="auto"/>
                <w:sz w:val="21"/>
                <w:szCs w:val="21"/>
              </w:rPr>
              <w:t>SS</w:t>
            </w:r>
          </w:p>
        </w:tc>
        <w:tc>
          <w:tcPr>
            <w:tcW w:w="813" w:type="pct"/>
            <w:vAlign w:val="center"/>
          </w:tcPr>
          <w:p w14:paraId="12810FA3">
            <w:pPr>
              <w:widowControl/>
              <w:jc w:val="center"/>
              <w:rPr>
                <w:b/>
                <w:color w:val="auto"/>
                <w:sz w:val="21"/>
                <w:szCs w:val="21"/>
              </w:rPr>
            </w:pPr>
            <w:r>
              <w:rPr>
                <w:b/>
                <w:color w:val="auto"/>
                <w:sz w:val="21"/>
                <w:szCs w:val="21"/>
              </w:rPr>
              <w:t>NH</w:t>
            </w:r>
            <w:r>
              <w:rPr>
                <w:b/>
                <w:color w:val="auto"/>
                <w:sz w:val="21"/>
                <w:szCs w:val="21"/>
                <w:vertAlign w:val="subscript"/>
              </w:rPr>
              <w:t>3</w:t>
            </w:r>
            <w:r>
              <w:rPr>
                <w:b/>
                <w:color w:val="auto"/>
                <w:sz w:val="21"/>
                <w:szCs w:val="21"/>
              </w:rPr>
              <w:t>-N</w:t>
            </w:r>
          </w:p>
        </w:tc>
        <w:tc>
          <w:tcPr>
            <w:tcW w:w="558" w:type="pct"/>
            <w:vAlign w:val="center"/>
          </w:tcPr>
          <w:p w14:paraId="55CD1F12">
            <w:pPr>
              <w:widowControl/>
              <w:jc w:val="center"/>
              <w:rPr>
                <w:b/>
                <w:color w:val="auto"/>
                <w:sz w:val="21"/>
                <w:szCs w:val="21"/>
              </w:rPr>
            </w:pPr>
            <w:r>
              <w:rPr>
                <w:b/>
                <w:color w:val="auto"/>
                <w:sz w:val="21"/>
                <w:szCs w:val="21"/>
              </w:rPr>
              <w:t>TN</w:t>
            </w:r>
          </w:p>
        </w:tc>
        <w:tc>
          <w:tcPr>
            <w:tcW w:w="637" w:type="pct"/>
            <w:vAlign w:val="center"/>
          </w:tcPr>
          <w:p w14:paraId="35DB8009">
            <w:pPr>
              <w:widowControl/>
              <w:jc w:val="center"/>
              <w:rPr>
                <w:b/>
                <w:color w:val="auto"/>
                <w:sz w:val="21"/>
                <w:szCs w:val="21"/>
              </w:rPr>
            </w:pPr>
            <w:r>
              <w:rPr>
                <w:b/>
                <w:color w:val="auto"/>
                <w:sz w:val="21"/>
                <w:szCs w:val="21"/>
              </w:rPr>
              <w:t>TP</w:t>
            </w:r>
          </w:p>
        </w:tc>
      </w:tr>
      <w:tr w14:paraId="28D195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36" w:type="pct"/>
            <w:vAlign w:val="center"/>
          </w:tcPr>
          <w:p w14:paraId="5CD1B2FD">
            <w:pPr>
              <w:widowControl/>
              <w:jc w:val="center"/>
              <w:rPr>
                <w:color w:val="auto"/>
                <w:sz w:val="21"/>
                <w:szCs w:val="21"/>
              </w:rPr>
            </w:pPr>
            <w:r>
              <w:rPr>
                <w:color w:val="auto"/>
                <w:sz w:val="21"/>
                <w:szCs w:val="21"/>
              </w:rPr>
              <w:t>水质</w:t>
            </w:r>
          </w:p>
        </w:tc>
        <w:tc>
          <w:tcPr>
            <w:tcW w:w="731" w:type="pct"/>
            <w:vAlign w:val="center"/>
          </w:tcPr>
          <w:p w14:paraId="0F587CB8">
            <w:pPr>
              <w:widowControl/>
              <w:jc w:val="center"/>
              <w:rPr>
                <w:color w:val="auto"/>
                <w:sz w:val="21"/>
                <w:szCs w:val="21"/>
              </w:rPr>
            </w:pPr>
            <w:r>
              <w:rPr>
                <w:color w:val="auto"/>
                <w:sz w:val="21"/>
                <w:szCs w:val="21"/>
              </w:rPr>
              <w:t>≤50</w:t>
            </w:r>
          </w:p>
        </w:tc>
        <w:tc>
          <w:tcPr>
            <w:tcW w:w="756" w:type="pct"/>
            <w:vAlign w:val="center"/>
          </w:tcPr>
          <w:p w14:paraId="6910F6C8">
            <w:pPr>
              <w:widowControl/>
              <w:jc w:val="center"/>
              <w:rPr>
                <w:color w:val="auto"/>
                <w:sz w:val="21"/>
                <w:szCs w:val="21"/>
              </w:rPr>
            </w:pPr>
            <w:r>
              <w:rPr>
                <w:color w:val="auto"/>
                <w:sz w:val="21"/>
                <w:szCs w:val="21"/>
              </w:rPr>
              <w:t>≤</w:t>
            </w:r>
            <w:r>
              <w:rPr>
                <w:rFonts w:hint="eastAsia"/>
                <w:color w:val="auto"/>
                <w:sz w:val="21"/>
                <w:szCs w:val="21"/>
                <w:lang w:val="en-US" w:eastAsia="zh-CN"/>
              </w:rPr>
              <w:t>2</w:t>
            </w:r>
            <w:r>
              <w:rPr>
                <w:color w:val="auto"/>
                <w:sz w:val="21"/>
                <w:szCs w:val="21"/>
              </w:rPr>
              <w:t>0</w:t>
            </w:r>
          </w:p>
        </w:tc>
        <w:tc>
          <w:tcPr>
            <w:tcW w:w="569" w:type="pct"/>
            <w:vAlign w:val="center"/>
          </w:tcPr>
          <w:p w14:paraId="4858F7DA">
            <w:pPr>
              <w:widowControl/>
              <w:jc w:val="center"/>
              <w:rPr>
                <w:color w:val="auto"/>
                <w:sz w:val="21"/>
                <w:szCs w:val="21"/>
              </w:rPr>
            </w:pPr>
            <w:r>
              <w:rPr>
                <w:color w:val="auto"/>
                <w:sz w:val="21"/>
                <w:szCs w:val="21"/>
              </w:rPr>
              <w:t>≤10</w:t>
            </w:r>
          </w:p>
        </w:tc>
        <w:tc>
          <w:tcPr>
            <w:tcW w:w="813" w:type="pct"/>
            <w:vAlign w:val="center"/>
          </w:tcPr>
          <w:p w14:paraId="489615EF">
            <w:pPr>
              <w:widowControl/>
              <w:jc w:val="center"/>
              <w:rPr>
                <w:color w:val="auto"/>
                <w:sz w:val="21"/>
                <w:szCs w:val="21"/>
              </w:rPr>
            </w:pPr>
            <w:r>
              <w:rPr>
                <w:color w:val="auto"/>
                <w:sz w:val="21"/>
                <w:szCs w:val="21"/>
              </w:rPr>
              <w:t>≤5</w:t>
            </w:r>
            <w:r>
              <w:rPr>
                <w:rFonts w:hint="eastAsia"/>
                <w:color w:val="auto"/>
                <w:sz w:val="21"/>
                <w:szCs w:val="21"/>
              </w:rPr>
              <w:t>（8）</w:t>
            </w:r>
          </w:p>
        </w:tc>
        <w:tc>
          <w:tcPr>
            <w:tcW w:w="558" w:type="pct"/>
            <w:vAlign w:val="center"/>
          </w:tcPr>
          <w:p w14:paraId="186F30F6">
            <w:pPr>
              <w:widowControl/>
              <w:jc w:val="center"/>
              <w:rPr>
                <w:color w:val="auto"/>
                <w:sz w:val="21"/>
                <w:szCs w:val="21"/>
              </w:rPr>
            </w:pPr>
            <w:r>
              <w:rPr>
                <w:color w:val="auto"/>
                <w:sz w:val="21"/>
                <w:szCs w:val="21"/>
              </w:rPr>
              <w:t>≤15</w:t>
            </w:r>
          </w:p>
        </w:tc>
        <w:tc>
          <w:tcPr>
            <w:tcW w:w="637" w:type="pct"/>
            <w:vAlign w:val="center"/>
          </w:tcPr>
          <w:p w14:paraId="35BEA997">
            <w:pPr>
              <w:widowControl/>
              <w:jc w:val="center"/>
              <w:rPr>
                <w:color w:val="auto"/>
                <w:sz w:val="21"/>
                <w:szCs w:val="21"/>
              </w:rPr>
            </w:pPr>
            <w:r>
              <w:rPr>
                <w:color w:val="auto"/>
                <w:sz w:val="21"/>
                <w:szCs w:val="21"/>
              </w:rPr>
              <w:t>≤0.</w:t>
            </w:r>
            <w:r>
              <w:rPr>
                <w:rFonts w:hint="eastAsia"/>
                <w:color w:val="auto"/>
                <w:sz w:val="21"/>
                <w:szCs w:val="21"/>
              </w:rPr>
              <w:t>5</w:t>
            </w:r>
          </w:p>
        </w:tc>
      </w:tr>
    </w:tbl>
    <w:p w14:paraId="24C9CBB9">
      <w:pPr>
        <w:pStyle w:val="46"/>
        <w:spacing w:line="240" w:lineRule="auto"/>
        <w:ind w:firstLine="361"/>
        <w:rPr>
          <w:rFonts w:eastAsia="宋体"/>
          <w:b/>
          <w:color w:val="auto"/>
          <w:sz w:val="21"/>
        </w:rPr>
      </w:pPr>
      <w:bookmarkStart w:id="32" w:name="_Toc512677601"/>
      <w:r>
        <w:rPr>
          <w:rFonts w:hint="eastAsia" w:eastAsia="宋体"/>
          <w:b/>
          <w:color w:val="auto"/>
          <w:sz w:val="18"/>
        </w:rPr>
        <w:t>注：水温</w:t>
      </w:r>
      <w:r>
        <w:rPr>
          <w:rFonts w:hint="default" w:ascii="Times New Roman" w:hAnsi="Times New Roman" w:eastAsia="宋体" w:cs="Times New Roman"/>
          <w:b/>
          <w:color w:val="auto"/>
          <w:sz w:val="18"/>
        </w:rPr>
        <w:t>≤</w:t>
      </w:r>
      <w:r>
        <w:rPr>
          <w:rFonts w:hint="eastAsia" w:eastAsia="宋体"/>
          <w:b/>
          <w:color w:val="auto"/>
          <w:sz w:val="18"/>
        </w:rPr>
        <w:t>12℃时执行括号内控制指标。</w:t>
      </w:r>
    </w:p>
    <w:p w14:paraId="0976C8F0">
      <w:pPr>
        <w:pStyle w:val="57"/>
        <w:numPr>
          <w:ilvl w:val="0"/>
          <w:numId w:val="0"/>
        </w:numPr>
        <w:spacing w:before="120" w:beforeLines="50" w:after="120" w:afterLines="50"/>
        <w:rPr>
          <w:rFonts w:hint="eastAsia" w:eastAsia="宋体"/>
          <w:color w:val="auto"/>
          <w:sz w:val="30"/>
          <w:lang w:val="zh-CN" w:eastAsia="zh-CN"/>
        </w:rPr>
      </w:pPr>
      <w:bookmarkStart w:id="33" w:name="_Toc13946"/>
      <w:r>
        <w:rPr>
          <w:rFonts w:hint="eastAsia" w:eastAsia="宋体"/>
          <w:color w:val="auto"/>
          <w:sz w:val="30"/>
          <w:lang w:val="zh-CN" w:eastAsia="zh-CN"/>
        </w:rPr>
        <w:t>3.5污染物排放总量分析</w:t>
      </w:r>
      <w:bookmarkEnd w:id="32"/>
      <w:bookmarkEnd w:id="33"/>
    </w:p>
    <w:p w14:paraId="416F3500">
      <w:pPr>
        <w:pStyle w:val="46"/>
        <w:ind w:firstLine="480"/>
        <w:rPr>
          <w:rFonts w:eastAsia="宋体"/>
          <w:color w:val="auto"/>
          <w:sz w:val="24"/>
        </w:rPr>
      </w:pPr>
      <w:r>
        <w:rPr>
          <w:rFonts w:eastAsia="宋体"/>
          <w:color w:val="auto"/>
          <w:sz w:val="24"/>
        </w:rPr>
        <w:t>常规污染指标的污染物排放浓度在正常工况运行条件下，为</w:t>
      </w:r>
      <w:r>
        <w:rPr>
          <w:rFonts w:hint="eastAsia" w:eastAsia="宋体"/>
          <w:color w:val="auto"/>
          <w:sz w:val="24"/>
          <w:lang w:val="en-US" w:eastAsia="zh-CN"/>
        </w:rPr>
        <w:t>水厂</w:t>
      </w:r>
      <w:r>
        <w:rPr>
          <w:rFonts w:eastAsia="宋体"/>
          <w:color w:val="auto"/>
          <w:sz w:val="24"/>
        </w:rPr>
        <w:t>规划设计出水浓度。根据</w:t>
      </w:r>
      <w:r>
        <w:rPr>
          <w:rFonts w:hint="eastAsia" w:eastAsia="宋体"/>
          <w:color w:val="auto"/>
          <w:sz w:val="24"/>
          <w:lang w:val="en-US" w:eastAsia="zh-CN"/>
        </w:rPr>
        <w:t>水厂一期</w:t>
      </w:r>
      <w:r>
        <w:rPr>
          <w:rFonts w:eastAsia="宋体"/>
          <w:color w:val="auto"/>
          <w:sz w:val="24"/>
        </w:rPr>
        <w:t>的设计规模及排放浓度可以计算出污染物质的排放总量。</w:t>
      </w:r>
      <w:bookmarkStart w:id="34" w:name="_Hlk515456786"/>
      <w:r>
        <w:rPr>
          <w:rFonts w:eastAsia="宋体"/>
          <w:color w:val="auto"/>
          <w:sz w:val="24"/>
        </w:rPr>
        <w:t>本工程建成后的实际排放水量为</w:t>
      </w:r>
      <w:r>
        <w:rPr>
          <w:rFonts w:hint="eastAsia" w:eastAsia="宋体"/>
          <w:color w:val="auto"/>
          <w:sz w:val="24"/>
          <w:lang w:val="en-US" w:eastAsia="zh-CN"/>
        </w:rPr>
        <w:t>1180.08m</w:t>
      </w:r>
      <w:r>
        <w:rPr>
          <w:rFonts w:hint="eastAsia" w:eastAsia="宋体"/>
          <w:color w:val="auto"/>
          <w:sz w:val="24"/>
          <w:vertAlign w:val="superscript"/>
          <w:lang w:val="en-US" w:eastAsia="zh-CN"/>
        </w:rPr>
        <w:t>3</w:t>
      </w:r>
      <w:r>
        <w:rPr>
          <w:rFonts w:eastAsia="宋体"/>
          <w:color w:val="auto"/>
          <w:sz w:val="24"/>
        </w:rPr>
        <w:t>/d，年排放水量</w:t>
      </w:r>
      <w:r>
        <w:rPr>
          <w:rFonts w:hint="eastAsia" w:eastAsia="宋体"/>
          <w:color w:val="auto"/>
          <w:sz w:val="24"/>
          <w:lang w:val="en-US" w:eastAsia="zh-CN"/>
        </w:rPr>
        <w:t>430729.2m</w:t>
      </w:r>
      <w:r>
        <w:rPr>
          <w:rFonts w:hint="eastAsia" w:eastAsia="宋体"/>
          <w:color w:val="auto"/>
          <w:sz w:val="24"/>
          <w:vertAlign w:val="superscript"/>
          <w:lang w:val="en-US" w:eastAsia="zh-CN"/>
        </w:rPr>
        <w:t>3</w:t>
      </w:r>
      <w:r>
        <w:rPr>
          <w:rFonts w:eastAsia="宋体"/>
          <w:color w:val="auto"/>
          <w:sz w:val="24"/>
        </w:rPr>
        <w:t>/</w:t>
      </w:r>
      <w:r>
        <w:rPr>
          <w:rFonts w:hint="eastAsia" w:eastAsia="宋体"/>
          <w:color w:val="auto"/>
          <w:sz w:val="24"/>
        </w:rPr>
        <w:t>a。</w:t>
      </w:r>
      <w:r>
        <w:rPr>
          <w:rFonts w:eastAsia="宋体"/>
          <w:color w:val="auto"/>
          <w:sz w:val="24"/>
        </w:rPr>
        <w:t>经计算，满负荷投产后，</w:t>
      </w:r>
      <w:r>
        <w:rPr>
          <w:rFonts w:hint="eastAsia" w:eastAsia="宋体"/>
          <w:color w:val="auto"/>
          <w:sz w:val="24"/>
          <w:lang w:val="en-US" w:eastAsia="zh-CN"/>
        </w:rPr>
        <w:t>废水</w:t>
      </w:r>
      <w:r>
        <w:rPr>
          <w:rFonts w:eastAsia="宋体"/>
          <w:color w:val="auto"/>
          <w:sz w:val="24"/>
        </w:rPr>
        <w:t>正常排放情况下</w:t>
      </w:r>
      <w:r>
        <w:rPr>
          <w:rFonts w:hint="eastAsia" w:eastAsia="宋体"/>
          <w:color w:val="auto"/>
          <w:sz w:val="24"/>
        </w:rPr>
        <w:t>，</w:t>
      </w:r>
      <w:r>
        <w:rPr>
          <w:rFonts w:eastAsia="宋体"/>
          <w:color w:val="auto"/>
          <w:sz w:val="24"/>
        </w:rPr>
        <w:t>本项目BOD</w:t>
      </w:r>
      <w:r>
        <w:rPr>
          <w:rFonts w:eastAsia="宋体"/>
          <w:color w:val="auto"/>
          <w:sz w:val="24"/>
          <w:vertAlign w:val="subscript"/>
        </w:rPr>
        <w:t>5</w:t>
      </w:r>
      <w:r>
        <w:rPr>
          <w:rFonts w:eastAsia="宋体"/>
          <w:color w:val="auto"/>
          <w:sz w:val="24"/>
        </w:rPr>
        <w:t>排放总量为</w:t>
      </w:r>
      <w:r>
        <w:rPr>
          <w:rFonts w:hint="eastAsia" w:eastAsia="宋体"/>
          <w:color w:val="auto"/>
          <w:sz w:val="24"/>
          <w:lang w:val="en-US" w:eastAsia="zh-CN"/>
        </w:rPr>
        <w:t>2.62</w:t>
      </w:r>
      <w:r>
        <w:rPr>
          <w:rFonts w:eastAsia="宋体"/>
          <w:color w:val="auto"/>
          <w:sz w:val="24"/>
        </w:rPr>
        <w:t>t/a，SS排放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0.22</w:t>
      </w:r>
      <w:r>
        <w:rPr>
          <w:rFonts w:eastAsia="宋体"/>
          <w:color w:val="auto"/>
          <w:sz w:val="24"/>
        </w:rPr>
        <w:t>t/a</w:t>
      </w:r>
      <w:r>
        <w:rPr>
          <w:rFonts w:hint="eastAsia" w:eastAsia="宋体"/>
          <w:color w:val="auto"/>
          <w:sz w:val="24"/>
        </w:rPr>
        <w:t>，T</w:t>
      </w:r>
      <w:r>
        <w:rPr>
          <w:rFonts w:eastAsia="宋体"/>
          <w:color w:val="auto"/>
          <w:sz w:val="24"/>
        </w:rPr>
        <w:t>N排放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6.44</w:t>
      </w:r>
      <w:r>
        <w:rPr>
          <w:rFonts w:eastAsia="宋体"/>
          <w:color w:val="auto"/>
          <w:sz w:val="24"/>
        </w:rPr>
        <w:t>t/a，TP排放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0.13</w:t>
      </w:r>
      <w:r>
        <w:rPr>
          <w:rFonts w:eastAsia="宋体"/>
          <w:color w:val="auto"/>
          <w:sz w:val="24"/>
        </w:rPr>
        <w:t>t/a</w:t>
      </w:r>
      <w:r>
        <w:rPr>
          <w:rFonts w:hint="eastAsia" w:eastAsia="宋体"/>
          <w:color w:val="auto"/>
          <w:sz w:val="24"/>
          <w:lang w:eastAsia="zh-CN"/>
        </w:rPr>
        <w:t>，</w:t>
      </w:r>
      <w:r>
        <w:rPr>
          <w:rFonts w:eastAsia="宋体"/>
          <w:color w:val="auto"/>
          <w:sz w:val="24"/>
        </w:rPr>
        <w:t>COD排放总量为</w:t>
      </w:r>
      <w:r>
        <w:rPr>
          <w:rFonts w:hint="eastAsia" w:eastAsia="宋体"/>
          <w:color w:val="auto"/>
          <w:sz w:val="24"/>
          <w:lang w:val="en-US" w:eastAsia="zh-CN"/>
        </w:rPr>
        <w:t>12.98</w:t>
      </w:r>
      <w:r>
        <w:rPr>
          <w:rFonts w:eastAsia="宋体"/>
          <w:color w:val="auto"/>
          <w:sz w:val="24"/>
        </w:rPr>
        <w:t>t/a，氨氮排放总量为</w:t>
      </w:r>
      <w:r>
        <w:rPr>
          <w:rFonts w:hint="eastAsia" w:eastAsia="宋体"/>
          <w:color w:val="auto"/>
          <w:sz w:val="24"/>
          <w:lang w:val="en-US" w:eastAsia="zh-CN"/>
        </w:rPr>
        <w:t>0.66</w:t>
      </w:r>
      <w:r>
        <w:rPr>
          <w:rFonts w:eastAsia="宋体"/>
          <w:color w:val="auto"/>
          <w:sz w:val="24"/>
        </w:rPr>
        <w:t>t/a。</w:t>
      </w:r>
      <w:bookmarkEnd w:id="34"/>
      <w:r>
        <w:rPr>
          <w:rFonts w:eastAsia="宋体"/>
          <w:color w:val="auto"/>
          <w:sz w:val="24"/>
        </w:rPr>
        <w:t>污染排放情况见表3.</w:t>
      </w:r>
      <w:r>
        <w:rPr>
          <w:rFonts w:hint="eastAsia" w:eastAsia="宋体"/>
          <w:color w:val="auto"/>
          <w:sz w:val="24"/>
          <w:lang w:val="en-US" w:eastAsia="zh-CN"/>
        </w:rPr>
        <w:t>5-1</w:t>
      </w:r>
      <w:r>
        <w:rPr>
          <w:rFonts w:eastAsia="宋体"/>
          <w:color w:val="auto"/>
          <w:sz w:val="24"/>
        </w:rPr>
        <w:t>。</w:t>
      </w:r>
    </w:p>
    <w:p w14:paraId="26EB93C7">
      <w:pPr>
        <w:pStyle w:val="63"/>
        <w:spacing w:before="48" w:after="48"/>
        <w:rPr>
          <w:rFonts w:hint="eastAsia" w:eastAsia="宋体"/>
          <w:color w:val="auto"/>
          <w:sz w:val="21"/>
          <w:szCs w:val="21"/>
          <w:lang w:val="en-US" w:eastAsia="zh-CN"/>
        </w:rPr>
      </w:pPr>
      <w:r>
        <w:rPr>
          <w:rFonts w:eastAsia="宋体"/>
          <w:color w:val="auto"/>
          <w:sz w:val="21"/>
          <w:szCs w:val="21"/>
        </w:rPr>
        <w:t>表3.</w:t>
      </w:r>
      <w:r>
        <w:rPr>
          <w:rFonts w:hint="eastAsia" w:eastAsia="宋体"/>
          <w:color w:val="auto"/>
          <w:sz w:val="21"/>
          <w:szCs w:val="21"/>
          <w:lang w:val="en-US" w:eastAsia="zh-CN"/>
        </w:rPr>
        <w:t xml:space="preserve">5-1    </w:t>
      </w:r>
      <w:r>
        <w:rPr>
          <w:rFonts w:eastAsia="宋体"/>
          <w:color w:val="auto"/>
          <w:sz w:val="21"/>
          <w:szCs w:val="21"/>
        </w:rPr>
        <w:t>污染物排放浓度及总量</w:t>
      </w:r>
      <w:r>
        <w:rPr>
          <w:rFonts w:hint="eastAsia" w:eastAsia="宋体"/>
          <w:color w:val="auto"/>
          <w:sz w:val="21"/>
          <w:szCs w:val="21"/>
          <w:lang w:val="en-US" w:eastAsia="zh-CN"/>
        </w:rPr>
        <w:t>一览表</w:t>
      </w:r>
    </w:p>
    <w:tbl>
      <w:tblPr>
        <w:tblStyle w:val="25"/>
        <w:tblW w:w="4983" w:type="pct"/>
        <w:jc w:val="center"/>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Layout w:type="autofit"/>
        <w:tblCellMar>
          <w:top w:w="0" w:type="dxa"/>
          <w:left w:w="0" w:type="dxa"/>
          <w:bottom w:w="0" w:type="dxa"/>
          <w:right w:w="0" w:type="dxa"/>
        </w:tblCellMar>
      </w:tblPr>
      <w:tblGrid>
        <w:gridCol w:w="2250"/>
        <w:gridCol w:w="1044"/>
        <w:gridCol w:w="1046"/>
        <w:gridCol w:w="1022"/>
        <w:gridCol w:w="864"/>
        <w:gridCol w:w="1553"/>
        <w:gridCol w:w="1216"/>
      </w:tblGrid>
      <w:tr w14:paraId="0528EE4A">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3" w:hRule="atLeast"/>
          <w:jc w:val="center"/>
        </w:trPr>
        <w:tc>
          <w:tcPr>
            <w:tcW w:w="1250" w:type="pct"/>
            <w:vAlign w:val="center"/>
          </w:tcPr>
          <w:p w14:paraId="58313851">
            <w:pPr>
              <w:pStyle w:val="41"/>
              <w:rPr>
                <w:b/>
                <w:color w:val="auto"/>
                <w:sz w:val="21"/>
                <w:szCs w:val="21"/>
              </w:rPr>
            </w:pPr>
            <w:bookmarkStart w:id="35" w:name="OLE_LINK2"/>
            <w:r>
              <w:rPr>
                <w:b/>
                <w:color w:val="auto"/>
                <w:sz w:val="21"/>
                <w:szCs w:val="21"/>
              </w:rPr>
              <w:t>项目</w:t>
            </w:r>
          </w:p>
        </w:tc>
        <w:tc>
          <w:tcPr>
            <w:tcW w:w="580" w:type="pct"/>
            <w:vAlign w:val="center"/>
          </w:tcPr>
          <w:p w14:paraId="4CF5CD4E">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Style w:val="97"/>
                <w:rFonts w:hint="default" w:ascii="Times New Roman" w:hAnsi="Times New Roman" w:eastAsia="宋体" w:cs="Times New Roman"/>
                <w:b/>
                <w:bCs w:val="0"/>
                <w:color w:val="auto"/>
                <w:sz w:val="21"/>
                <w:szCs w:val="21"/>
                <w:lang w:val="en-US" w:eastAsia="zh-CN" w:bidi="ar"/>
              </w:rPr>
              <w:t>SS</w:t>
            </w:r>
          </w:p>
        </w:tc>
        <w:tc>
          <w:tcPr>
            <w:tcW w:w="581" w:type="pct"/>
            <w:vAlign w:val="center"/>
          </w:tcPr>
          <w:p w14:paraId="319F6EED">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Fonts w:hint="default" w:ascii="Times New Roman" w:hAnsi="Times New Roman" w:eastAsia="宋体" w:cs="Times New Roman"/>
                <w:b/>
                <w:bCs w:val="0"/>
                <w:i w:val="0"/>
                <w:iCs w:val="0"/>
                <w:color w:val="auto"/>
                <w:kern w:val="0"/>
                <w:sz w:val="21"/>
                <w:szCs w:val="21"/>
                <w:u w:val="none"/>
                <w:lang w:val="en-US" w:eastAsia="zh-CN" w:bidi="ar"/>
              </w:rPr>
              <w:t>COD</w:t>
            </w:r>
          </w:p>
        </w:tc>
        <w:tc>
          <w:tcPr>
            <w:tcW w:w="568" w:type="pct"/>
            <w:vAlign w:val="center"/>
          </w:tcPr>
          <w:p w14:paraId="4F4BDC9A">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Style w:val="97"/>
                <w:rFonts w:hint="default" w:ascii="Times New Roman" w:hAnsi="Times New Roman" w:eastAsia="宋体" w:cs="Times New Roman"/>
                <w:b/>
                <w:bCs w:val="0"/>
                <w:color w:val="auto"/>
                <w:sz w:val="21"/>
                <w:szCs w:val="21"/>
                <w:lang w:val="en-US" w:eastAsia="zh-CN" w:bidi="ar"/>
              </w:rPr>
              <w:t>NH</w:t>
            </w:r>
            <w:r>
              <w:rPr>
                <w:rStyle w:val="97"/>
                <w:rFonts w:hint="default" w:ascii="Times New Roman" w:hAnsi="Times New Roman" w:eastAsia="宋体" w:cs="Times New Roman"/>
                <w:b/>
                <w:bCs w:val="0"/>
                <w:color w:val="auto"/>
                <w:sz w:val="21"/>
                <w:szCs w:val="21"/>
                <w:vertAlign w:val="subscript"/>
                <w:lang w:val="en-US" w:eastAsia="zh-CN" w:bidi="ar"/>
              </w:rPr>
              <w:t>3</w:t>
            </w:r>
            <w:r>
              <w:rPr>
                <w:rStyle w:val="97"/>
                <w:rFonts w:hint="default" w:ascii="Times New Roman" w:hAnsi="Times New Roman" w:eastAsia="宋体" w:cs="Times New Roman"/>
                <w:b/>
                <w:bCs w:val="0"/>
                <w:color w:val="auto"/>
                <w:sz w:val="21"/>
                <w:szCs w:val="21"/>
                <w:lang w:val="en-US" w:eastAsia="zh-CN" w:bidi="ar"/>
              </w:rPr>
              <w:t>-N</w:t>
            </w:r>
          </w:p>
        </w:tc>
        <w:tc>
          <w:tcPr>
            <w:tcW w:w="480" w:type="pct"/>
            <w:vAlign w:val="center"/>
          </w:tcPr>
          <w:p w14:paraId="3BED43B4">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Style w:val="99"/>
                <w:rFonts w:hint="default" w:ascii="Times New Roman" w:hAnsi="Times New Roman" w:eastAsia="宋体" w:cs="Times New Roman"/>
                <w:b/>
                <w:bCs w:val="0"/>
                <w:color w:val="auto"/>
                <w:sz w:val="21"/>
                <w:szCs w:val="21"/>
                <w:lang w:val="en-US" w:eastAsia="zh-CN" w:bidi="ar"/>
              </w:rPr>
              <w:t>总氮</w:t>
            </w:r>
          </w:p>
        </w:tc>
        <w:tc>
          <w:tcPr>
            <w:tcW w:w="863" w:type="pct"/>
            <w:vAlign w:val="center"/>
          </w:tcPr>
          <w:p w14:paraId="4E12CD99">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Style w:val="99"/>
                <w:rFonts w:hint="default" w:ascii="Times New Roman" w:hAnsi="Times New Roman" w:eastAsia="宋体" w:cs="Times New Roman"/>
                <w:b/>
                <w:bCs w:val="0"/>
                <w:color w:val="auto"/>
                <w:sz w:val="21"/>
                <w:szCs w:val="21"/>
                <w:lang w:val="en-US" w:eastAsia="zh-CN" w:bidi="ar"/>
              </w:rPr>
              <w:t>总磷</w:t>
            </w:r>
          </w:p>
        </w:tc>
        <w:tc>
          <w:tcPr>
            <w:tcW w:w="675" w:type="pct"/>
            <w:vAlign w:val="center"/>
          </w:tcPr>
          <w:p w14:paraId="5E9F1385">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b/>
                <w:color w:val="auto"/>
                <w:sz w:val="21"/>
                <w:szCs w:val="21"/>
              </w:rPr>
            </w:pPr>
            <w:r>
              <w:rPr>
                <w:rStyle w:val="97"/>
                <w:rFonts w:hint="default" w:ascii="Times New Roman" w:hAnsi="Times New Roman" w:eastAsia="宋体" w:cs="Times New Roman"/>
                <w:b/>
                <w:bCs w:val="0"/>
                <w:color w:val="auto"/>
                <w:sz w:val="21"/>
                <w:szCs w:val="21"/>
                <w:lang w:val="en-US" w:eastAsia="zh-CN" w:bidi="ar"/>
              </w:rPr>
              <w:t>BOD</w:t>
            </w:r>
            <w:r>
              <w:rPr>
                <w:rStyle w:val="97"/>
                <w:rFonts w:hint="default" w:ascii="Times New Roman" w:hAnsi="Times New Roman" w:eastAsia="宋体" w:cs="Times New Roman"/>
                <w:b/>
                <w:bCs w:val="0"/>
                <w:color w:val="auto"/>
                <w:sz w:val="21"/>
                <w:szCs w:val="21"/>
                <w:vertAlign w:val="subscript"/>
                <w:lang w:val="en-US" w:eastAsia="zh-CN" w:bidi="ar"/>
              </w:rPr>
              <w:t>5</w:t>
            </w:r>
          </w:p>
        </w:tc>
      </w:tr>
      <w:tr w14:paraId="75E79F65">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70" w:hRule="atLeast"/>
          <w:jc w:val="center"/>
        </w:trPr>
        <w:tc>
          <w:tcPr>
            <w:tcW w:w="1250" w:type="pct"/>
            <w:vAlign w:val="center"/>
          </w:tcPr>
          <w:p w14:paraId="63860127">
            <w:pPr>
              <w:pStyle w:val="41"/>
              <w:rPr>
                <w:color w:val="auto"/>
                <w:sz w:val="21"/>
                <w:szCs w:val="21"/>
              </w:rPr>
            </w:pPr>
            <w:r>
              <w:rPr>
                <w:color w:val="auto"/>
                <w:sz w:val="21"/>
                <w:szCs w:val="21"/>
              </w:rPr>
              <w:t>排放浓度（mg/L）</w:t>
            </w:r>
          </w:p>
        </w:tc>
        <w:tc>
          <w:tcPr>
            <w:tcW w:w="580" w:type="pct"/>
            <w:vAlign w:val="center"/>
          </w:tcPr>
          <w:p w14:paraId="41BFCF48">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w:t>
            </w:r>
          </w:p>
        </w:tc>
        <w:tc>
          <w:tcPr>
            <w:tcW w:w="581" w:type="pct"/>
            <w:vAlign w:val="center"/>
          </w:tcPr>
          <w:p w14:paraId="640D8F7B">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30</w:t>
            </w:r>
          </w:p>
        </w:tc>
        <w:tc>
          <w:tcPr>
            <w:tcW w:w="568" w:type="pct"/>
            <w:vAlign w:val="center"/>
          </w:tcPr>
          <w:p w14:paraId="68B0090D">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1.57</w:t>
            </w:r>
          </w:p>
        </w:tc>
        <w:tc>
          <w:tcPr>
            <w:tcW w:w="480" w:type="pct"/>
            <w:vAlign w:val="center"/>
          </w:tcPr>
          <w:p w14:paraId="6C31966F">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14.95</w:t>
            </w:r>
          </w:p>
        </w:tc>
        <w:tc>
          <w:tcPr>
            <w:tcW w:w="863" w:type="pct"/>
            <w:vAlign w:val="center"/>
          </w:tcPr>
          <w:p w14:paraId="79963AC7">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w:t>
            </w:r>
          </w:p>
        </w:tc>
        <w:tc>
          <w:tcPr>
            <w:tcW w:w="675" w:type="pct"/>
            <w:vAlign w:val="center"/>
          </w:tcPr>
          <w:p w14:paraId="09AFC250">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6.13</w:t>
            </w:r>
          </w:p>
        </w:tc>
      </w:tr>
      <w:tr w14:paraId="5574A042">
        <w:tblPrEx>
          <w:tblBorders>
            <w:top w:val="single" w:color="auto" w:sz="12" w:space="0"/>
            <w:left w:val="none" w:color="auto" w:sz="0" w:space="0"/>
            <w:bottom w:val="single" w:color="auto" w:sz="12" w:space="0"/>
            <w:right w:val="none" w:color="auto" w:sz="0" w:space="0"/>
            <w:insideH w:val="single" w:color="auto" w:sz="2" w:space="0"/>
            <w:insideV w:val="single" w:color="auto" w:sz="4" w:space="0"/>
          </w:tblBorders>
          <w:tblCellMar>
            <w:top w:w="0" w:type="dxa"/>
            <w:left w:w="0" w:type="dxa"/>
            <w:bottom w:w="0" w:type="dxa"/>
            <w:right w:w="0" w:type="dxa"/>
          </w:tblCellMar>
        </w:tblPrEx>
        <w:trPr>
          <w:trHeight w:val="397" w:hRule="atLeast"/>
          <w:jc w:val="center"/>
        </w:trPr>
        <w:tc>
          <w:tcPr>
            <w:tcW w:w="1250" w:type="pct"/>
            <w:vAlign w:val="center"/>
          </w:tcPr>
          <w:p w14:paraId="4EF31611">
            <w:pPr>
              <w:pStyle w:val="41"/>
              <w:rPr>
                <w:color w:val="auto"/>
                <w:sz w:val="21"/>
                <w:szCs w:val="21"/>
              </w:rPr>
            </w:pPr>
            <w:r>
              <w:rPr>
                <w:color w:val="auto"/>
                <w:sz w:val="21"/>
                <w:szCs w:val="21"/>
              </w:rPr>
              <w:t>排放量</w:t>
            </w:r>
            <w:r>
              <w:rPr>
                <w:rFonts w:hint="eastAsia"/>
                <w:color w:val="auto"/>
                <w:sz w:val="21"/>
                <w:szCs w:val="21"/>
              </w:rPr>
              <w:t>（t/a）</w:t>
            </w:r>
          </w:p>
        </w:tc>
        <w:tc>
          <w:tcPr>
            <w:tcW w:w="580" w:type="pct"/>
            <w:vAlign w:val="center"/>
          </w:tcPr>
          <w:p w14:paraId="486BCADB">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0.22</w:t>
            </w:r>
          </w:p>
        </w:tc>
        <w:tc>
          <w:tcPr>
            <w:tcW w:w="581" w:type="pct"/>
            <w:vAlign w:val="center"/>
          </w:tcPr>
          <w:p w14:paraId="110BD653">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12.98</w:t>
            </w:r>
          </w:p>
        </w:tc>
        <w:tc>
          <w:tcPr>
            <w:tcW w:w="568" w:type="pct"/>
            <w:vAlign w:val="center"/>
          </w:tcPr>
          <w:p w14:paraId="6D842C6C">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0.66</w:t>
            </w:r>
          </w:p>
        </w:tc>
        <w:tc>
          <w:tcPr>
            <w:tcW w:w="480" w:type="pct"/>
            <w:vAlign w:val="center"/>
          </w:tcPr>
          <w:p w14:paraId="05706AE1">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6.44</w:t>
            </w:r>
          </w:p>
        </w:tc>
        <w:tc>
          <w:tcPr>
            <w:tcW w:w="863" w:type="pct"/>
            <w:vAlign w:val="center"/>
          </w:tcPr>
          <w:p w14:paraId="24199D3A">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675" w:type="pct"/>
            <w:vAlign w:val="center"/>
          </w:tcPr>
          <w:p w14:paraId="2D190094">
            <w:pPr>
              <w:keepNext w:val="0"/>
              <w:keepLines w:val="0"/>
              <w:pageBreakBefore w:val="0"/>
              <w:widowControl/>
              <w:suppressLineNumbers w:val="0"/>
              <w:kinsoku/>
              <w:wordWrap/>
              <w:overflowPunct/>
              <w:topLinePunct w:val="0"/>
              <w:autoSpaceDE/>
              <w:autoSpaceDN/>
              <w:bidi w:val="0"/>
              <w:adjustRightInd/>
              <w:spacing w:line="240" w:lineRule="auto"/>
              <w:ind w:left="0" w:left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2.62</w:t>
            </w:r>
          </w:p>
        </w:tc>
      </w:tr>
      <w:bookmarkEnd w:id="35"/>
    </w:tbl>
    <w:p w14:paraId="02239023">
      <w:pPr>
        <w:pStyle w:val="46"/>
        <w:adjustRightInd w:val="0"/>
        <w:snapToGrid w:val="0"/>
        <w:spacing w:line="240" w:lineRule="auto"/>
        <w:ind w:firstLine="361"/>
        <w:rPr>
          <w:rFonts w:eastAsia="宋体"/>
          <w:b/>
          <w:color w:val="auto"/>
          <w:sz w:val="18"/>
        </w:rPr>
      </w:pPr>
    </w:p>
    <w:p w14:paraId="1D4ADB72">
      <w:pPr>
        <w:pStyle w:val="46"/>
        <w:ind w:firstLine="480"/>
        <w:rPr>
          <w:rFonts w:eastAsia="宋体"/>
          <w:color w:val="auto"/>
          <w:sz w:val="24"/>
        </w:rPr>
      </w:pPr>
      <w:r>
        <w:rPr>
          <w:rFonts w:eastAsia="宋体"/>
          <w:color w:val="auto"/>
          <w:sz w:val="24"/>
        </w:rPr>
        <w:br w:type="page"/>
      </w:r>
    </w:p>
    <w:p w14:paraId="5468CC1B">
      <w:pPr>
        <w:pStyle w:val="59"/>
        <w:numPr>
          <w:ilvl w:val="0"/>
          <w:numId w:val="0"/>
        </w:numPr>
        <w:spacing w:before="120" w:after="120"/>
        <w:rPr>
          <w:rFonts w:eastAsia="宋体"/>
          <w:color w:val="auto"/>
          <w:sz w:val="32"/>
        </w:rPr>
      </w:pPr>
      <w:bookmarkStart w:id="36" w:name="_Toc12357"/>
      <w:r>
        <w:rPr>
          <w:rFonts w:eastAsia="宋体"/>
          <w:color w:val="auto"/>
          <w:sz w:val="32"/>
        </w:rPr>
        <w:t>4</w:t>
      </w:r>
      <w:r>
        <w:rPr>
          <w:rFonts w:hint="eastAsia" w:eastAsia="宋体"/>
          <w:color w:val="auto"/>
          <w:sz w:val="32"/>
        </w:rPr>
        <w:t>水域</w:t>
      </w:r>
      <w:r>
        <w:rPr>
          <w:rFonts w:eastAsia="宋体"/>
          <w:color w:val="auto"/>
          <w:sz w:val="32"/>
        </w:rPr>
        <w:t>管理要求和现有取排水状况</w:t>
      </w:r>
      <w:bookmarkEnd w:id="36"/>
    </w:p>
    <w:p w14:paraId="7811DE43">
      <w:pPr>
        <w:pStyle w:val="57"/>
        <w:numPr>
          <w:ilvl w:val="0"/>
          <w:numId w:val="0"/>
        </w:numPr>
        <w:spacing w:before="120" w:beforeLines="50" w:after="120" w:afterLines="50"/>
        <w:rPr>
          <w:rFonts w:eastAsia="宋体"/>
          <w:color w:val="auto"/>
          <w:sz w:val="30"/>
        </w:rPr>
      </w:pPr>
      <w:bookmarkStart w:id="37" w:name="_Toc20575"/>
      <w:r>
        <w:rPr>
          <w:rFonts w:hint="eastAsia" w:eastAsia="宋体"/>
          <w:color w:val="auto"/>
          <w:sz w:val="30"/>
        </w:rPr>
        <w:t>4</w:t>
      </w:r>
      <w:r>
        <w:rPr>
          <w:rFonts w:eastAsia="宋体"/>
          <w:color w:val="auto"/>
          <w:sz w:val="30"/>
        </w:rPr>
        <w:t>.1水功能区（水域）保护水质管理要求</w:t>
      </w:r>
      <w:bookmarkEnd w:id="37"/>
    </w:p>
    <w:p w14:paraId="424197FD">
      <w:pPr>
        <w:pStyle w:val="61"/>
        <w:numPr>
          <w:ilvl w:val="0"/>
          <w:numId w:val="0"/>
        </w:numPr>
        <w:spacing w:before="0" w:after="0"/>
        <w:rPr>
          <w:rFonts w:hint="default" w:eastAsia="宋体"/>
          <w:color w:val="auto"/>
          <w:lang w:val="en-US" w:eastAsia="zh-CN"/>
        </w:rPr>
      </w:pPr>
      <w:r>
        <w:rPr>
          <w:rFonts w:hint="eastAsia" w:eastAsia="宋体"/>
          <w:color w:val="auto"/>
        </w:rPr>
        <w:t>4</w:t>
      </w:r>
      <w:r>
        <w:rPr>
          <w:rFonts w:eastAsia="宋体"/>
          <w:color w:val="auto"/>
        </w:rPr>
        <w:t>.</w:t>
      </w:r>
      <w:r>
        <w:rPr>
          <w:rFonts w:hint="eastAsia" w:eastAsia="宋体"/>
          <w:color w:val="auto"/>
          <w:lang w:val="en-US" w:eastAsia="zh-CN"/>
        </w:rPr>
        <w:t>1</w:t>
      </w:r>
      <w:r>
        <w:rPr>
          <w:rFonts w:eastAsia="宋体"/>
          <w:color w:val="auto"/>
        </w:rPr>
        <w:t>.1</w:t>
      </w:r>
      <w:r>
        <w:rPr>
          <w:rFonts w:hint="eastAsia" w:eastAsia="宋体"/>
          <w:color w:val="auto"/>
          <w:lang w:val="en-US" w:eastAsia="zh-CN"/>
        </w:rPr>
        <w:t>水功能区划分</w:t>
      </w:r>
    </w:p>
    <w:p w14:paraId="222614E1">
      <w:pPr>
        <w:pStyle w:val="46"/>
        <w:ind w:firstLine="480"/>
        <w:rPr>
          <w:rFonts w:eastAsia="宋体"/>
          <w:color w:val="auto"/>
          <w:sz w:val="24"/>
        </w:rPr>
      </w:pPr>
      <w:r>
        <w:rPr>
          <w:rFonts w:hint="eastAsia" w:eastAsia="宋体"/>
          <w:color w:val="auto"/>
          <w:sz w:val="24"/>
        </w:rPr>
        <w:t>根据《中华人民共和国水法》，在全国范围内对江河、湖泊、水库、运河、渠道等地表水体实行水功能区管理，水功能区划采用两级体系，一级水功能区分四类：保护区、保留区、开发利用区和缓冲区；二级区划在一级功能区化的开发利用区内分为七类：饮用水源区、工业用水区、渔业用水区、景观娱乐用水区、农业用水区、过渡区、排污控制区。</w:t>
      </w:r>
    </w:p>
    <w:p w14:paraId="4746ADDB">
      <w:pPr>
        <w:pStyle w:val="46"/>
        <w:ind w:firstLine="480"/>
        <w:rPr>
          <w:rFonts w:eastAsia="宋体"/>
          <w:color w:val="auto"/>
          <w:sz w:val="24"/>
        </w:rPr>
      </w:pPr>
      <w:r>
        <w:rPr>
          <w:rFonts w:hint="eastAsia" w:eastAsia="宋体"/>
          <w:color w:val="auto"/>
          <w:sz w:val="24"/>
        </w:rPr>
        <w:t>根据陕西省人民政府批复的《陕西省水功能区划》（陕政办发[2004]100号），新河并未进行水功能区划。</w:t>
      </w:r>
      <w:r>
        <w:rPr>
          <w:rFonts w:eastAsia="宋体"/>
          <w:color w:val="auto"/>
          <w:sz w:val="24"/>
        </w:rPr>
        <w:t>根据《</w:t>
      </w:r>
      <w:r>
        <w:rPr>
          <w:rFonts w:hint="eastAsia" w:eastAsia="宋体"/>
          <w:color w:val="auto"/>
          <w:sz w:val="24"/>
          <w:lang w:val="en-US" w:eastAsia="zh-CN"/>
        </w:rPr>
        <w:t>西安市</w:t>
      </w:r>
      <w:r>
        <w:rPr>
          <w:rFonts w:eastAsia="宋体"/>
          <w:color w:val="auto"/>
          <w:sz w:val="24"/>
        </w:rPr>
        <w:t>水环境功能区划</w:t>
      </w:r>
      <w:r>
        <w:rPr>
          <w:rFonts w:hint="eastAsia" w:eastAsia="宋体"/>
          <w:color w:val="auto"/>
          <w:sz w:val="24"/>
          <w:lang w:val="en-US" w:eastAsia="zh-CN"/>
        </w:rPr>
        <w:t>分方案</w:t>
      </w:r>
      <w:r>
        <w:rPr>
          <w:rFonts w:eastAsia="宋体"/>
          <w:color w:val="auto"/>
          <w:sz w:val="24"/>
        </w:rPr>
        <w:t>》，本项目</w:t>
      </w:r>
      <w:r>
        <w:rPr>
          <w:rFonts w:hint="eastAsia" w:eastAsia="宋体"/>
          <w:color w:val="auto"/>
          <w:sz w:val="24"/>
          <w:lang w:val="en-US" w:eastAsia="zh-CN"/>
        </w:rPr>
        <w:t>废水总排口所在地表水环境功能区划属于</w:t>
      </w:r>
      <w:r>
        <w:rPr>
          <w:rFonts w:hint="default" w:ascii="Times New Roman" w:hAnsi="Times New Roman" w:eastAsia="宋体" w:cs="Times New Roman"/>
          <w:color w:val="auto"/>
          <w:sz w:val="24"/>
        </w:rPr>
        <w:t>Ⅳ</w:t>
      </w:r>
      <w:r>
        <w:rPr>
          <w:rFonts w:eastAsia="宋体"/>
          <w:color w:val="auto"/>
          <w:sz w:val="24"/>
        </w:rPr>
        <w:t>类</w:t>
      </w:r>
      <w:r>
        <w:rPr>
          <w:rFonts w:hint="eastAsia" w:eastAsia="宋体"/>
          <w:color w:val="auto"/>
          <w:sz w:val="24"/>
          <w:lang w:val="en-US" w:eastAsia="zh-CN"/>
        </w:rPr>
        <w:t>水</w:t>
      </w:r>
      <w:r>
        <w:rPr>
          <w:rFonts w:eastAsia="宋体"/>
          <w:color w:val="auto"/>
          <w:sz w:val="24"/>
        </w:rPr>
        <w:t>。</w:t>
      </w:r>
      <w:r>
        <w:rPr>
          <w:rFonts w:hint="eastAsia" w:eastAsia="宋体"/>
          <w:color w:val="auto"/>
          <w:sz w:val="24"/>
        </w:rPr>
        <w:t>根据原西安市环保局《关于转发&lt;陕西省水功能区划&gt;（西安部分）的通知》可知，本项目排污口所在河段为新河，新河户县全水域水质管理目标为《地表水环境质量标准》IV类水水质标准，水功能一级区为户县（现鄠邑区）开发利用区，二级区为新河排污控制区。本水环境功能区划图见下图</w:t>
      </w:r>
      <w:r>
        <w:rPr>
          <w:rFonts w:eastAsia="宋体"/>
          <w:color w:val="auto"/>
          <w:sz w:val="24"/>
        </w:rPr>
        <w:t>4.1-1。</w:t>
      </w:r>
    </w:p>
    <w:p w14:paraId="4558DB12">
      <w:pPr>
        <w:pStyle w:val="46"/>
        <w:spacing w:line="240" w:lineRule="auto"/>
        <w:ind w:left="0" w:leftChars="0" w:firstLine="0" w:firstLineChars="0"/>
        <w:rPr>
          <w:rFonts w:hint="eastAsia" w:eastAsia="宋体"/>
          <w:color w:val="auto"/>
          <w:sz w:val="24"/>
          <w:lang w:eastAsia="zh-CN"/>
        </w:rPr>
      </w:pPr>
      <w:r>
        <w:rPr>
          <w:rFonts w:hint="eastAsia" w:eastAsia="宋体"/>
          <w:color w:val="auto"/>
          <w:sz w:val="24"/>
          <w:lang w:eastAsia="zh-CN"/>
        </w:rPr>
        <w:drawing>
          <wp:inline distT="0" distB="0" distL="114300" distR="114300">
            <wp:extent cx="5728970" cy="3223895"/>
            <wp:effectExtent l="0" t="0" r="5080" b="14605"/>
            <wp:docPr id="22" name="图片 22" descr="1.正文0610会后修改稿完整版_合并_页面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正文0610会后修改稿完整版_合并_页面_078"/>
                    <pic:cNvPicPr>
                      <a:picLocks noChangeAspect="1"/>
                    </pic:cNvPicPr>
                  </pic:nvPicPr>
                  <pic:blipFill>
                    <a:blip r:embed="rId23"/>
                    <a:stretch>
                      <a:fillRect/>
                    </a:stretch>
                  </pic:blipFill>
                  <pic:spPr>
                    <a:xfrm>
                      <a:off x="0" y="0"/>
                      <a:ext cx="5728970" cy="3223895"/>
                    </a:xfrm>
                    <a:prstGeom prst="rect">
                      <a:avLst/>
                    </a:prstGeom>
                  </pic:spPr>
                </pic:pic>
              </a:graphicData>
            </a:graphic>
          </wp:inline>
        </w:drawing>
      </w:r>
    </w:p>
    <w:p w14:paraId="24B82685">
      <w:pPr>
        <w:pStyle w:val="63"/>
        <w:spacing w:before="48" w:after="48"/>
        <w:rPr>
          <w:rFonts w:hint="eastAsia" w:eastAsia="宋体"/>
          <w:b/>
          <w:bCs w:val="0"/>
          <w:color w:val="auto"/>
          <w:lang w:val="en-US" w:eastAsia="zh-CN"/>
        </w:rPr>
      </w:pPr>
      <w:r>
        <w:rPr>
          <w:rFonts w:hint="eastAsia" w:eastAsia="宋体"/>
          <w:b/>
          <w:bCs w:val="0"/>
          <w:color w:val="auto"/>
          <w:lang w:val="en-US" w:eastAsia="zh-CN"/>
        </w:rPr>
        <w:t>图</w:t>
      </w:r>
      <w:r>
        <w:rPr>
          <w:rFonts w:eastAsia="宋体"/>
          <w:b/>
          <w:bCs w:val="0"/>
          <w:color w:val="auto"/>
        </w:rPr>
        <w:t>4.</w:t>
      </w:r>
      <w:r>
        <w:rPr>
          <w:rFonts w:hint="eastAsia" w:eastAsia="宋体"/>
          <w:b/>
          <w:bCs w:val="0"/>
          <w:color w:val="auto"/>
          <w:lang w:val="en-US" w:eastAsia="zh-CN"/>
        </w:rPr>
        <w:t>1</w:t>
      </w:r>
      <w:r>
        <w:rPr>
          <w:rFonts w:eastAsia="宋体"/>
          <w:b/>
          <w:bCs w:val="0"/>
          <w:color w:val="auto"/>
        </w:rPr>
        <w:t>-1</w:t>
      </w:r>
      <w:r>
        <w:rPr>
          <w:rFonts w:hint="eastAsia" w:eastAsia="宋体"/>
          <w:b/>
          <w:bCs w:val="0"/>
          <w:color w:val="auto"/>
          <w:lang w:val="en-US" w:eastAsia="zh-CN"/>
        </w:rPr>
        <w:t xml:space="preserve">    西安市水环境功能区划分方案</w:t>
      </w:r>
    </w:p>
    <w:p w14:paraId="75D0F16C">
      <w:pPr>
        <w:pStyle w:val="61"/>
        <w:numPr>
          <w:ilvl w:val="0"/>
          <w:numId w:val="0"/>
        </w:numPr>
        <w:spacing w:before="0" w:after="0"/>
        <w:rPr>
          <w:rFonts w:hint="default" w:eastAsia="宋体"/>
          <w:color w:val="auto"/>
          <w:lang w:val="en-US" w:eastAsia="zh-CN"/>
        </w:rPr>
      </w:pPr>
      <w:r>
        <w:rPr>
          <w:rFonts w:hint="eastAsia" w:eastAsia="宋体"/>
          <w:color w:val="auto"/>
        </w:rPr>
        <w:t>4</w:t>
      </w:r>
      <w:r>
        <w:rPr>
          <w:rFonts w:eastAsia="宋体"/>
          <w:color w:val="auto"/>
        </w:rPr>
        <w:t>.</w:t>
      </w:r>
      <w:r>
        <w:rPr>
          <w:rFonts w:hint="eastAsia" w:eastAsia="宋体"/>
          <w:color w:val="auto"/>
          <w:lang w:val="en-US" w:eastAsia="zh-CN"/>
        </w:rPr>
        <w:t>1</w:t>
      </w:r>
      <w:r>
        <w:rPr>
          <w:rFonts w:eastAsia="宋体"/>
          <w:color w:val="auto"/>
        </w:rPr>
        <w:t>.2</w:t>
      </w:r>
      <w:r>
        <w:rPr>
          <w:rFonts w:hint="eastAsia" w:eastAsia="宋体"/>
          <w:color w:val="auto"/>
          <w:lang w:val="en-US" w:eastAsia="zh-CN"/>
        </w:rPr>
        <w:t>管理要求</w:t>
      </w:r>
    </w:p>
    <w:p w14:paraId="40BCC623">
      <w:pPr>
        <w:pStyle w:val="46"/>
        <w:ind w:firstLine="480"/>
        <w:rPr>
          <w:rFonts w:hint="eastAsia" w:eastAsia="宋体"/>
          <w:color w:val="auto"/>
          <w:sz w:val="24"/>
          <w:lang w:val="en-US" w:eastAsia="zh-CN"/>
        </w:rPr>
      </w:pPr>
      <w:r>
        <w:rPr>
          <w:rFonts w:hint="eastAsia" w:eastAsia="宋体"/>
          <w:color w:val="auto"/>
          <w:sz w:val="24"/>
          <w:lang w:val="en-US" w:eastAsia="zh-CN"/>
        </w:rPr>
        <w:t>《水功能区监督管理办法》第四条规定：“国家实行水功能区限制纳污制度和水功能区开发强度限制制度。县级以上地方人民政府应当加强水功能区限制纳污红线管理，严格控制对其水量水质产生重大影响的开发行为，严格控制入河湖排污口设置和污染物排放总量，保障水功能区水质达标和水生态安全，维护水域功能和生态服务功能”。</w:t>
      </w:r>
    </w:p>
    <w:p w14:paraId="4EC087A0">
      <w:pPr>
        <w:pStyle w:val="46"/>
        <w:ind w:firstLine="480"/>
        <w:rPr>
          <w:rFonts w:hint="default" w:eastAsia="宋体"/>
          <w:color w:val="auto"/>
          <w:sz w:val="24"/>
          <w:lang w:val="en-US" w:eastAsia="zh-CN"/>
        </w:rPr>
      </w:pPr>
      <w:r>
        <w:rPr>
          <w:rFonts w:hint="eastAsia" w:eastAsia="宋体"/>
          <w:color w:val="auto"/>
          <w:sz w:val="24"/>
          <w:lang w:val="en-US" w:eastAsia="zh-CN"/>
        </w:rPr>
        <w:t>本项目废水水质在满足《陕西省黄河流域污水综合排放标准》（DB61/224-2018）相关要求的同时，还应满足以下管理要求：</w:t>
      </w:r>
    </w:p>
    <w:p w14:paraId="6B8A4598">
      <w:pPr>
        <w:pStyle w:val="46"/>
        <w:ind w:firstLine="480"/>
        <w:rPr>
          <w:rFonts w:hint="eastAsia" w:eastAsia="宋体"/>
          <w:color w:val="auto"/>
          <w:sz w:val="24"/>
          <w:lang w:val="en-US" w:eastAsia="zh-CN"/>
        </w:rPr>
      </w:pPr>
      <w:r>
        <w:rPr>
          <w:rFonts w:hint="eastAsia" w:eastAsia="宋体"/>
          <w:color w:val="auto"/>
          <w:sz w:val="24"/>
          <w:lang w:val="en-US" w:eastAsia="zh-CN"/>
        </w:rPr>
        <w:t>（1）排入新河的污染物总量应不使纳污水功能区的纳污总量超过其纳污能力；</w:t>
      </w:r>
    </w:p>
    <w:p w14:paraId="3425703C">
      <w:pPr>
        <w:pStyle w:val="46"/>
        <w:ind w:firstLine="480"/>
        <w:rPr>
          <w:rFonts w:hint="eastAsia" w:eastAsia="宋体"/>
          <w:color w:val="auto"/>
          <w:sz w:val="24"/>
          <w:lang w:val="en-US" w:eastAsia="zh-CN"/>
        </w:rPr>
      </w:pPr>
      <w:r>
        <w:rPr>
          <w:rFonts w:hint="eastAsia" w:eastAsia="宋体"/>
          <w:color w:val="auto"/>
          <w:sz w:val="24"/>
          <w:lang w:val="en-US" w:eastAsia="zh-CN"/>
        </w:rPr>
        <w:t>（2）排污应不会对下游合法取用水造成实质性影响；</w:t>
      </w:r>
    </w:p>
    <w:p w14:paraId="6543D4B3">
      <w:pPr>
        <w:pStyle w:val="46"/>
        <w:ind w:firstLine="480"/>
        <w:rPr>
          <w:rFonts w:hint="eastAsia" w:eastAsia="宋体"/>
          <w:color w:val="auto"/>
          <w:sz w:val="24"/>
          <w:lang w:val="en-US" w:eastAsia="zh-CN"/>
        </w:rPr>
      </w:pPr>
      <w:r>
        <w:rPr>
          <w:rFonts w:hint="eastAsia" w:eastAsia="宋体"/>
          <w:color w:val="auto"/>
          <w:sz w:val="24"/>
          <w:lang w:val="en-US" w:eastAsia="zh-CN"/>
        </w:rPr>
        <w:t>（3）排污与河段内其他入河排污口的叠加影响应能够控制在水功能区要求内。</w:t>
      </w:r>
    </w:p>
    <w:p w14:paraId="63E4FF08">
      <w:pPr>
        <w:pStyle w:val="46"/>
        <w:ind w:firstLine="480"/>
        <w:rPr>
          <w:rFonts w:eastAsia="宋体"/>
          <w:color w:val="auto"/>
          <w:sz w:val="24"/>
        </w:rPr>
      </w:pPr>
      <w:r>
        <w:rPr>
          <w:rFonts w:hint="eastAsia" w:eastAsia="宋体"/>
          <w:color w:val="auto"/>
          <w:sz w:val="24"/>
          <w:lang w:val="en-US" w:eastAsia="zh-CN"/>
        </w:rPr>
        <w:t>在满足上述入河排污口设置管理要求的基础上，排污亦应满足当地生态环境局有关要求。</w:t>
      </w:r>
    </w:p>
    <w:p w14:paraId="6B93859C">
      <w:pPr>
        <w:pStyle w:val="57"/>
        <w:numPr>
          <w:ilvl w:val="0"/>
          <w:numId w:val="0"/>
        </w:numPr>
        <w:spacing w:before="120" w:beforeLines="50" w:after="120" w:afterLines="50"/>
        <w:rPr>
          <w:rFonts w:eastAsia="宋体"/>
          <w:color w:val="auto"/>
          <w:sz w:val="30"/>
        </w:rPr>
      </w:pPr>
      <w:bookmarkStart w:id="38" w:name="_Toc15567"/>
      <w:r>
        <w:rPr>
          <w:rFonts w:hint="eastAsia" w:eastAsia="宋体"/>
          <w:color w:val="auto"/>
          <w:sz w:val="30"/>
        </w:rPr>
        <w:t>4</w:t>
      </w:r>
      <w:r>
        <w:rPr>
          <w:rFonts w:eastAsia="宋体"/>
          <w:color w:val="auto"/>
          <w:sz w:val="30"/>
        </w:rPr>
        <w:t>.2水功能区（水域）现有取排水状况</w:t>
      </w:r>
      <w:bookmarkEnd w:id="38"/>
    </w:p>
    <w:p w14:paraId="5209F4EE">
      <w:pPr>
        <w:pStyle w:val="46"/>
        <w:ind w:firstLine="480"/>
        <w:rPr>
          <w:rFonts w:eastAsia="宋体"/>
          <w:color w:val="auto"/>
          <w:sz w:val="24"/>
        </w:rPr>
      </w:pPr>
      <w:r>
        <w:rPr>
          <w:rFonts w:hint="eastAsia" w:eastAsia="宋体"/>
          <w:color w:val="auto"/>
          <w:sz w:val="24"/>
          <w:lang w:val="en-US" w:eastAsia="zh-CN"/>
        </w:rPr>
        <w:t>根据《西安市鄠邑区新河河道生态治理》（科技创新与应用2018年16期，周全）一文提到，</w:t>
      </w:r>
      <w:r>
        <w:rPr>
          <w:rFonts w:hint="eastAsia" w:eastAsia="宋体"/>
          <w:color w:val="auto"/>
          <w:sz w:val="24"/>
        </w:rPr>
        <w:t>新河实属排水性渠道</w:t>
      </w:r>
      <w:r>
        <w:rPr>
          <w:rFonts w:hint="eastAsia" w:eastAsia="宋体"/>
          <w:color w:val="auto"/>
          <w:sz w:val="24"/>
          <w:lang w:eastAsia="zh-CN"/>
        </w:rPr>
        <w:t>，</w:t>
      </w:r>
      <w:r>
        <w:rPr>
          <w:rFonts w:hint="eastAsia" w:eastAsia="宋体"/>
          <w:color w:val="auto"/>
          <w:sz w:val="24"/>
        </w:rPr>
        <w:t>其水情随降雨变化而变化</w:t>
      </w:r>
      <w:r>
        <w:rPr>
          <w:rFonts w:hint="eastAsia" w:eastAsia="宋体"/>
          <w:color w:val="auto"/>
          <w:sz w:val="24"/>
          <w:lang w:eastAsia="zh-CN"/>
        </w:rPr>
        <w:t>，</w:t>
      </w:r>
      <w:r>
        <w:rPr>
          <w:rFonts w:hint="eastAsia" w:eastAsia="宋体"/>
          <w:color w:val="auto"/>
          <w:sz w:val="24"/>
        </w:rPr>
        <w:t>汛期河流水量主要由降雨补给</w:t>
      </w:r>
      <w:r>
        <w:rPr>
          <w:rFonts w:hint="eastAsia" w:eastAsia="宋体"/>
          <w:color w:val="auto"/>
          <w:sz w:val="24"/>
          <w:lang w:eastAsia="zh-CN"/>
        </w:rPr>
        <w:t>，</w:t>
      </w:r>
      <w:r>
        <w:rPr>
          <w:rFonts w:hint="eastAsia" w:eastAsia="宋体"/>
          <w:color w:val="auto"/>
          <w:sz w:val="24"/>
        </w:rPr>
        <w:t>枯水季节主要依靠稳定的地下水补给。根据收集资料和现场调查，本论证范围内无其他河道取水用水户和渔业养殖户。</w:t>
      </w:r>
      <w:r>
        <w:rPr>
          <w:rFonts w:hint="eastAsia" w:eastAsia="宋体"/>
          <w:color w:val="auto"/>
          <w:sz w:val="24"/>
          <w:lang w:val="en-US" w:eastAsia="zh-CN"/>
        </w:rPr>
        <w:t>本次</w:t>
      </w:r>
      <w:r>
        <w:rPr>
          <w:rFonts w:eastAsia="宋体"/>
          <w:color w:val="auto"/>
          <w:sz w:val="24"/>
        </w:rPr>
        <w:t>论证范围内不涉及重要生态敏感区中</w:t>
      </w:r>
      <w:r>
        <w:rPr>
          <w:rFonts w:hint="eastAsia" w:eastAsia="宋体"/>
          <w:color w:val="auto"/>
          <w:sz w:val="24"/>
          <w:lang w:eastAsia="zh-CN"/>
        </w:rPr>
        <w:t>的</w:t>
      </w:r>
      <w:r>
        <w:rPr>
          <w:rFonts w:eastAsia="宋体"/>
          <w:color w:val="auto"/>
          <w:sz w:val="24"/>
        </w:rPr>
        <w:t>重要湿地、重要水生生物的自然产卵场及索饵场、越冬场和洄游通道、天然渔场等区域。</w:t>
      </w:r>
    </w:p>
    <w:p w14:paraId="0806D3D3">
      <w:pPr>
        <w:pStyle w:val="61"/>
        <w:numPr>
          <w:ilvl w:val="0"/>
          <w:numId w:val="0"/>
        </w:numPr>
        <w:spacing w:before="0" w:after="0"/>
        <w:rPr>
          <w:rFonts w:eastAsia="宋体"/>
          <w:color w:val="auto"/>
        </w:rPr>
      </w:pPr>
      <w:r>
        <w:rPr>
          <w:rFonts w:hint="eastAsia" w:eastAsia="宋体"/>
          <w:color w:val="auto"/>
        </w:rPr>
        <w:t>4</w:t>
      </w:r>
      <w:r>
        <w:rPr>
          <w:rFonts w:eastAsia="宋体"/>
          <w:color w:val="auto"/>
        </w:rPr>
        <w:t>.2.1取水状况</w:t>
      </w:r>
    </w:p>
    <w:p w14:paraId="5025CD04">
      <w:pPr>
        <w:pStyle w:val="46"/>
        <w:ind w:firstLine="480"/>
        <w:rPr>
          <w:rFonts w:eastAsia="宋体"/>
          <w:color w:val="auto"/>
          <w:sz w:val="24"/>
        </w:rPr>
      </w:pPr>
      <w:r>
        <w:rPr>
          <w:rFonts w:hint="eastAsia" w:eastAsia="宋体"/>
          <w:color w:val="auto"/>
          <w:sz w:val="24"/>
        </w:rPr>
        <w:t>根据《西安市水环境功能区划分方案》，本项目废水总排口所在地表水环境功能区划属于</w:t>
      </w:r>
      <w:r>
        <w:rPr>
          <w:rFonts w:hint="default" w:ascii="Times New Roman" w:hAnsi="Times New Roman" w:eastAsia="宋体" w:cs="Times New Roman"/>
          <w:color w:val="auto"/>
          <w:sz w:val="24"/>
        </w:rPr>
        <w:t>Ⅳ</w:t>
      </w:r>
      <w:r>
        <w:rPr>
          <w:rFonts w:hint="eastAsia" w:eastAsia="宋体"/>
          <w:color w:val="auto"/>
          <w:sz w:val="24"/>
        </w:rPr>
        <w:t>类水。经现场现状调查</w:t>
      </w:r>
      <w:r>
        <w:rPr>
          <w:rFonts w:hint="eastAsia" w:eastAsia="宋体"/>
          <w:color w:val="auto"/>
          <w:sz w:val="24"/>
          <w:lang w:val="en-US" w:eastAsia="zh-CN"/>
        </w:rPr>
        <w:t>确认</w:t>
      </w:r>
      <w:r>
        <w:rPr>
          <w:rFonts w:hint="eastAsia" w:eastAsia="宋体"/>
          <w:color w:val="auto"/>
          <w:sz w:val="24"/>
        </w:rPr>
        <w:t>，目前，附近住户取水方式为自来水用水，在水功能区内没有从河道取用水户。</w:t>
      </w:r>
    </w:p>
    <w:p w14:paraId="75A91A9B">
      <w:pPr>
        <w:pStyle w:val="61"/>
        <w:numPr>
          <w:ilvl w:val="0"/>
          <w:numId w:val="0"/>
        </w:numPr>
        <w:spacing w:before="0" w:after="0"/>
        <w:rPr>
          <w:rFonts w:eastAsia="宋体"/>
          <w:color w:val="auto"/>
        </w:rPr>
      </w:pPr>
      <w:r>
        <w:rPr>
          <w:rFonts w:hint="eastAsia" w:eastAsia="宋体"/>
          <w:color w:val="auto"/>
        </w:rPr>
        <w:t>4</w:t>
      </w:r>
      <w:r>
        <w:rPr>
          <w:rFonts w:eastAsia="宋体"/>
          <w:color w:val="auto"/>
        </w:rPr>
        <w:t>.2.2</w:t>
      </w:r>
      <w:r>
        <w:rPr>
          <w:rFonts w:hint="eastAsia" w:eastAsia="宋体"/>
          <w:color w:val="auto"/>
        </w:rPr>
        <w:t>排水</w:t>
      </w:r>
      <w:r>
        <w:rPr>
          <w:rFonts w:eastAsia="宋体"/>
          <w:color w:val="auto"/>
        </w:rPr>
        <w:t>状况</w:t>
      </w:r>
    </w:p>
    <w:p w14:paraId="20264FCE">
      <w:pPr>
        <w:pStyle w:val="46"/>
        <w:ind w:firstLine="480"/>
        <w:rPr>
          <w:rFonts w:eastAsia="宋体"/>
          <w:color w:val="auto"/>
          <w:sz w:val="24"/>
        </w:rPr>
      </w:pPr>
      <w:r>
        <w:rPr>
          <w:rFonts w:hint="eastAsia" w:eastAsia="宋体"/>
          <w:color w:val="auto"/>
          <w:sz w:val="24"/>
        </w:rPr>
        <w:t>根据西安市环保局统计，新河鄠邑区境内有17处入河排污口正常排水，其中3处工业企业排口，3处污水集中处理设施排口，其余为雨洪排口，均为规模以下排污口（规模以上：日排废污水300m³或年排废污水10万m³以上）。</w:t>
      </w:r>
      <w:r>
        <w:rPr>
          <w:rFonts w:eastAsia="宋体"/>
          <w:color w:val="auto"/>
          <w:sz w:val="24"/>
        </w:rPr>
        <w:t>经调查</w:t>
      </w:r>
      <w:r>
        <w:rPr>
          <w:rFonts w:hint="eastAsia" w:eastAsia="宋体"/>
          <w:color w:val="auto"/>
          <w:sz w:val="24"/>
        </w:rPr>
        <w:t>，</w:t>
      </w:r>
      <w:r>
        <w:rPr>
          <w:rFonts w:hint="eastAsia" w:eastAsia="宋体"/>
          <w:color w:val="auto"/>
          <w:sz w:val="24"/>
          <w:lang w:val="en-US" w:eastAsia="zh-CN"/>
        </w:rPr>
        <w:t>评价区新</w:t>
      </w:r>
      <w:r>
        <w:rPr>
          <w:rFonts w:hint="eastAsia" w:eastAsia="宋体"/>
          <w:color w:val="auto"/>
          <w:sz w:val="24"/>
        </w:rPr>
        <w:t>河</w:t>
      </w:r>
      <w:r>
        <w:rPr>
          <w:rFonts w:eastAsia="宋体"/>
          <w:color w:val="auto"/>
          <w:sz w:val="24"/>
        </w:rPr>
        <w:t>内共有</w:t>
      </w:r>
      <w:r>
        <w:rPr>
          <w:rFonts w:hint="eastAsia" w:eastAsia="宋体"/>
          <w:color w:val="auto"/>
          <w:sz w:val="24"/>
          <w:lang w:val="en-US" w:eastAsia="zh-CN"/>
        </w:rPr>
        <w:t>2</w:t>
      </w:r>
      <w:r>
        <w:rPr>
          <w:rFonts w:eastAsia="宋体"/>
          <w:color w:val="auto"/>
          <w:sz w:val="24"/>
        </w:rPr>
        <w:t>个</w:t>
      </w:r>
      <w:r>
        <w:rPr>
          <w:rFonts w:hint="eastAsia" w:eastAsia="宋体"/>
          <w:color w:val="auto"/>
          <w:sz w:val="24"/>
          <w:lang w:val="en-US" w:eastAsia="zh-CN"/>
        </w:rPr>
        <w:t>引汉济渭工程</w:t>
      </w:r>
      <w:r>
        <w:rPr>
          <w:rFonts w:eastAsia="宋体"/>
          <w:color w:val="auto"/>
          <w:sz w:val="24"/>
        </w:rPr>
        <w:t>排</w:t>
      </w:r>
      <w:r>
        <w:rPr>
          <w:rFonts w:hint="eastAsia" w:eastAsia="宋体"/>
          <w:color w:val="auto"/>
          <w:sz w:val="24"/>
          <w:lang w:val="en-US" w:eastAsia="zh-CN"/>
        </w:rPr>
        <w:t>渣口用于排放雨水，位于项目总排口上游</w:t>
      </w:r>
      <w:r>
        <w:rPr>
          <w:rFonts w:eastAsia="宋体"/>
          <w:color w:val="auto"/>
          <w:sz w:val="24"/>
        </w:rPr>
        <w:t>。基本情况见表4.2</w:t>
      </w:r>
      <w:r>
        <w:rPr>
          <w:rFonts w:hint="eastAsia" w:eastAsia="宋体"/>
          <w:color w:val="auto"/>
          <w:sz w:val="24"/>
          <w:lang w:val="en-US" w:eastAsia="zh-CN"/>
        </w:rPr>
        <w:t>-1</w:t>
      </w:r>
      <w:r>
        <w:rPr>
          <w:rFonts w:eastAsia="宋体"/>
          <w:color w:val="auto"/>
          <w:sz w:val="24"/>
        </w:rPr>
        <w:t>。</w:t>
      </w:r>
    </w:p>
    <w:p w14:paraId="01DC9A4C">
      <w:pPr>
        <w:pStyle w:val="63"/>
        <w:keepNext w:val="0"/>
        <w:keepLines w:val="0"/>
        <w:pageBreakBefore w:val="0"/>
        <w:widowControl/>
        <w:kinsoku/>
        <w:wordWrap/>
        <w:overflowPunct/>
        <w:topLinePunct w:val="0"/>
        <w:autoSpaceDE/>
        <w:autoSpaceDN/>
        <w:bidi w:val="0"/>
        <w:adjustRightInd/>
        <w:snapToGrid w:val="0"/>
        <w:spacing w:before="48" w:after="48" w:line="500" w:lineRule="exact"/>
        <w:textAlignment w:val="auto"/>
        <w:rPr>
          <w:rFonts w:eastAsia="宋体"/>
          <w:color w:val="auto"/>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linePitch="312" w:charSpace="0"/>
        </w:sectPr>
      </w:pPr>
    </w:p>
    <w:p w14:paraId="4EFCCC63">
      <w:pPr>
        <w:pStyle w:val="63"/>
        <w:keepNext w:val="0"/>
        <w:keepLines w:val="0"/>
        <w:pageBreakBefore w:val="0"/>
        <w:widowControl/>
        <w:kinsoku/>
        <w:wordWrap/>
        <w:overflowPunct/>
        <w:topLinePunct w:val="0"/>
        <w:autoSpaceDE/>
        <w:autoSpaceDN/>
        <w:bidi w:val="0"/>
        <w:adjustRightInd/>
        <w:snapToGrid w:val="0"/>
        <w:spacing w:before="48" w:after="48" w:line="500" w:lineRule="exact"/>
        <w:textAlignment w:val="auto"/>
        <w:rPr>
          <w:rFonts w:eastAsia="宋体"/>
          <w:color w:val="auto"/>
        </w:rPr>
      </w:pPr>
      <w:r>
        <w:rPr>
          <w:rFonts w:eastAsia="宋体"/>
          <w:color w:val="auto"/>
        </w:rPr>
        <w:t>表4.2-</w:t>
      </w:r>
      <w:r>
        <w:rPr>
          <w:rFonts w:hint="eastAsia" w:eastAsia="宋体"/>
          <w:color w:val="auto"/>
          <w:lang w:val="en-US" w:eastAsia="zh-CN"/>
        </w:rPr>
        <w:t>1    新</w:t>
      </w:r>
      <w:r>
        <w:rPr>
          <w:rFonts w:hint="eastAsia" w:eastAsia="宋体"/>
          <w:color w:val="auto"/>
        </w:rPr>
        <w:t>河入河排污口基本信息</w:t>
      </w:r>
      <w:r>
        <w:rPr>
          <w:rFonts w:hint="eastAsia" w:eastAsia="宋体"/>
          <w:color w:val="auto"/>
          <w:lang w:val="en-US" w:eastAsia="zh-CN"/>
        </w:rPr>
        <w:t>一览</w:t>
      </w:r>
      <w:r>
        <w:rPr>
          <w:rFonts w:eastAsia="宋体"/>
          <w:color w:val="auto"/>
        </w:rPr>
        <w:t>表</w:t>
      </w:r>
    </w:p>
    <w:tbl>
      <w:tblPr>
        <w:tblStyle w:val="25"/>
        <w:tblpPr w:leftFromText="180" w:rightFromText="180" w:vertAnchor="text" w:tblpXSpec="center" w:tblpY="1"/>
        <w:tblOverlap w:val="never"/>
        <w:tblW w:w="516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
        <w:gridCol w:w="375"/>
        <w:gridCol w:w="930"/>
        <w:gridCol w:w="645"/>
        <w:gridCol w:w="690"/>
        <w:gridCol w:w="780"/>
        <w:gridCol w:w="945"/>
        <w:gridCol w:w="690"/>
        <w:gridCol w:w="1025"/>
        <w:gridCol w:w="420"/>
        <w:gridCol w:w="495"/>
        <w:gridCol w:w="495"/>
        <w:gridCol w:w="685"/>
        <w:gridCol w:w="690"/>
        <w:gridCol w:w="720"/>
        <w:gridCol w:w="750"/>
        <w:gridCol w:w="570"/>
        <w:gridCol w:w="1205"/>
        <w:gridCol w:w="375"/>
        <w:gridCol w:w="435"/>
        <w:gridCol w:w="465"/>
        <w:gridCol w:w="465"/>
        <w:gridCol w:w="450"/>
      </w:tblGrid>
      <w:tr w14:paraId="2C57A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9" w:type="pct"/>
            <w:vMerge w:val="restart"/>
            <w:shd w:val="clear" w:color="auto" w:fill="auto"/>
            <w:vAlign w:val="center"/>
          </w:tcPr>
          <w:p w14:paraId="0E034C2F">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序号</w:t>
            </w:r>
          </w:p>
        </w:tc>
        <w:tc>
          <w:tcPr>
            <w:tcW w:w="127" w:type="pct"/>
            <w:vMerge w:val="restart"/>
            <w:shd w:val="clear" w:color="auto" w:fill="auto"/>
            <w:vAlign w:val="center"/>
          </w:tcPr>
          <w:p w14:paraId="6F9D9FA9">
            <w:pPr>
              <w:pStyle w:val="65"/>
              <w:framePr w:hSpace="0" w:wrap="auto" w:vAnchor="margin" w:hAnchor="text" w:xAlign="left" w:yAlign="inline"/>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区/县</w:t>
            </w:r>
          </w:p>
        </w:tc>
        <w:tc>
          <w:tcPr>
            <w:tcW w:w="317" w:type="pct"/>
            <w:vMerge w:val="restart"/>
            <w:shd w:val="clear" w:color="auto" w:fill="auto"/>
            <w:vAlign w:val="center"/>
          </w:tcPr>
          <w:p w14:paraId="79530A21">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入河排污口名称</w:t>
            </w:r>
          </w:p>
        </w:tc>
        <w:tc>
          <w:tcPr>
            <w:tcW w:w="220" w:type="pct"/>
            <w:vMerge w:val="restart"/>
            <w:shd w:val="clear" w:color="auto" w:fill="auto"/>
            <w:vAlign w:val="center"/>
          </w:tcPr>
          <w:p w14:paraId="4F1851E8">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入河排污口编号</w:t>
            </w:r>
          </w:p>
        </w:tc>
        <w:tc>
          <w:tcPr>
            <w:tcW w:w="824" w:type="pct"/>
            <w:gridSpan w:val="3"/>
            <w:shd w:val="clear" w:color="auto" w:fill="auto"/>
            <w:vAlign w:val="center"/>
          </w:tcPr>
          <w:p w14:paraId="122897D4">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入河排污口位置</w:t>
            </w:r>
          </w:p>
        </w:tc>
        <w:tc>
          <w:tcPr>
            <w:tcW w:w="235" w:type="pct"/>
            <w:vMerge w:val="restart"/>
            <w:shd w:val="clear" w:color="auto" w:fill="auto"/>
            <w:vAlign w:val="center"/>
          </w:tcPr>
          <w:p w14:paraId="6D9DF779">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入河排污口类型</w:t>
            </w:r>
          </w:p>
        </w:tc>
        <w:tc>
          <w:tcPr>
            <w:tcW w:w="349" w:type="pct"/>
            <w:vMerge w:val="restart"/>
            <w:shd w:val="clear" w:color="auto" w:fill="auto"/>
            <w:vAlign w:val="center"/>
          </w:tcPr>
          <w:p w14:paraId="7F197E42">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污、废水来源</w:t>
            </w:r>
          </w:p>
        </w:tc>
        <w:tc>
          <w:tcPr>
            <w:tcW w:w="143" w:type="pct"/>
            <w:vMerge w:val="restart"/>
            <w:shd w:val="clear" w:color="auto" w:fill="auto"/>
            <w:vAlign w:val="center"/>
          </w:tcPr>
          <w:p w14:paraId="3DED4983">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排放规律</w:t>
            </w:r>
          </w:p>
        </w:tc>
        <w:tc>
          <w:tcPr>
            <w:tcW w:w="168" w:type="pct"/>
            <w:vMerge w:val="restart"/>
            <w:shd w:val="clear" w:color="auto" w:fill="auto"/>
            <w:vAlign w:val="center"/>
          </w:tcPr>
          <w:p w14:paraId="12F104C1">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入河方式</w:t>
            </w:r>
          </w:p>
        </w:tc>
        <w:tc>
          <w:tcPr>
            <w:tcW w:w="168" w:type="pct"/>
            <w:vMerge w:val="restart"/>
            <w:shd w:val="clear" w:color="auto" w:fill="auto"/>
            <w:vAlign w:val="center"/>
          </w:tcPr>
          <w:p w14:paraId="7D7A8A51">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排放方式</w:t>
            </w:r>
          </w:p>
        </w:tc>
        <w:tc>
          <w:tcPr>
            <w:tcW w:w="233" w:type="pct"/>
            <w:vMerge w:val="restart"/>
            <w:shd w:val="clear" w:color="auto" w:fill="auto"/>
            <w:vAlign w:val="center"/>
          </w:tcPr>
          <w:p w14:paraId="2F0D2801">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bCs w:val="0"/>
                <w:color w:val="auto"/>
                <w:sz w:val="18"/>
                <w:szCs w:val="18"/>
              </w:rPr>
              <w:t>废水排放量(万t/a)</w:t>
            </w:r>
          </w:p>
        </w:tc>
        <w:tc>
          <w:tcPr>
            <w:tcW w:w="931" w:type="pct"/>
            <w:gridSpan w:val="4"/>
            <w:shd w:val="clear" w:color="auto" w:fill="auto"/>
            <w:vAlign w:val="center"/>
          </w:tcPr>
          <w:p w14:paraId="0D2EC432">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排放因子、排放量及达标性</w:t>
            </w:r>
          </w:p>
        </w:tc>
        <w:tc>
          <w:tcPr>
            <w:tcW w:w="411" w:type="pct"/>
            <w:vMerge w:val="restart"/>
            <w:shd w:val="clear" w:color="auto" w:fill="auto"/>
            <w:vAlign w:val="center"/>
          </w:tcPr>
          <w:p w14:paraId="6BACAD75">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执行排放</w:t>
            </w:r>
          </w:p>
          <w:p w14:paraId="553B0E37">
            <w:pPr>
              <w:pStyle w:val="65"/>
              <w:framePr w:hSpace="0" w:wrap="auto" w:vAnchor="margin" w:hAnchor="text" w:xAlign="left" w:yAlign="inline"/>
              <w:rPr>
                <w:rFonts w:hint="default" w:ascii="Times New Roman" w:hAnsi="Times New Roman" w:cs="Times New Roman"/>
                <w:b/>
                <w:bCs w:val="0"/>
                <w:color w:val="auto"/>
                <w:sz w:val="18"/>
                <w:szCs w:val="18"/>
              </w:rPr>
            </w:pPr>
            <w:r>
              <w:rPr>
                <w:rFonts w:hint="default" w:ascii="Times New Roman" w:hAnsi="Times New Roman" w:cs="Times New Roman"/>
                <w:b/>
                <w:bCs w:val="0"/>
                <w:color w:val="auto"/>
                <w:sz w:val="18"/>
                <w:szCs w:val="18"/>
              </w:rPr>
              <w:t>标准</w:t>
            </w:r>
          </w:p>
        </w:tc>
        <w:tc>
          <w:tcPr>
            <w:tcW w:w="747" w:type="pct"/>
            <w:gridSpan w:val="5"/>
            <w:shd w:val="clear" w:color="auto" w:fill="auto"/>
            <w:vAlign w:val="center"/>
          </w:tcPr>
          <w:p w14:paraId="12E51B83">
            <w:pPr>
              <w:pStyle w:val="65"/>
              <w:framePr w:hSpace="0" w:wrap="auto" w:vAnchor="margin" w:hAnchor="text" w:xAlign="left" w:yAlign="inline"/>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排入水体</w:t>
            </w:r>
          </w:p>
        </w:tc>
      </w:tr>
      <w:tr w14:paraId="08F602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9" w:type="pct"/>
            <w:vMerge w:val="continue"/>
            <w:shd w:val="clear" w:color="auto" w:fill="auto"/>
            <w:vAlign w:val="center"/>
          </w:tcPr>
          <w:p w14:paraId="69FFDB27">
            <w:pPr>
              <w:pStyle w:val="65"/>
              <w:framePr w:hSpace="0" w:wrap="auto" w:vAnchor="margin" w:hAnchor="text" w:xAlign="left" w:yAlign="inline"/>
              <w:rPr>
                <w:rFonts w:hint="default" w:ascii="Times New Roman" w:hAnsi="Times New Roman" w:cs="Times New Roman"/>
                <w:b/>
                <w:bCs w:val="0"/>
                <w:color w:val="auto"/>
                <w:sz w:val="18"/>
                <w:szCs w:val="18"/>
              </w:rPr>
            </w:pPr>
          </w:p>
        </w:tc>
        <w:tc>
          <w:tcPr>
            <w:tcW w:w="127" w:type="pct"/>
            <w:vMerge w:val="continue"/>
            <w:shd w:val="clear" w:color="auto" w:fill="auto"/>
            <w:vAlign w:val="center"/>
          </w:tcPr>
          <w:p w14:paraId="4A2BA886">
            <w:pPr>
              <w:pStyle w:val="65"/>
              <w:framePr w:hSpace="0" w:wrap="auto" w:vAnchor="margin" w:hAnchor="text" w:xAlign="left" w:yAlign="inline"/>
              <w:rPr>
                <w:rFonts w:hint="default" w:ascii="Times New Roman" w:hAnsi="Times New Roman" w:eastAsia="宋体" w:cs="Times New Roman"/>
                <w:b/>
                <w:bCs w:val="0"/>
                <w:color w:val="auto"/>
                <w:sz w:val="18"/>
                <w:szCs w:val="18"/>
                <w:lang w:val="en-US" w:eastAsia="zh-CN"/>
              </w:rPr>
            </w:pPr>
          </w:p>
        </w:tc>
        <w:tc>
          <w:tcPr>
            <w:tcW w:w="317" w:type="pct"/>
            <w:vMerge w:val="continue"/>
            <w:shd w:val="clear" w:color="auto" w:fill="auto"/>
            <w:vAlign w:val="center"/>
          </w:tcPr>
          <w:p w14:paraId="5D1CF37B">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220" w:type="pct"/>
            <w:vMerge w:val="continue"/>
            <w:shd w:val="clear" w:color="auto" w:fill="auto"/>
            <w:vAlign w:val="center"/>
          </w:tcPr>
          <w:p w14:paraId="0BB54C0C">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235" w:type="pct"/>
            <w:vMerge w:val="restart"/>
            <w:shd w:val="clear" w:color="auto" w:fill="auto"/>
            <w:vAlign w:val="center"/>
          </w:tcPr>
          <w:p w14:paraId="01AB0021">
            <w:pPr>
              <w:pStyle w:val="65"/>
              <w:framePr w:hSpace="0" w:wrap="auto" w:vAnchor="margin" w:hAnchor="text" w:xAlign="left" w:yAlign="inline"/>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经度</w:t>
            </w:r>
          </w:p>
        </w:tc>
        <w:tc>
          <w:tcPr>
            <w:tcW w:w="266" w:type="pct"/>
            <w:vMerge w:val="restart"/>
            <w:shd w:val="clear" w:color="auto" w:fill="auto"/>
            <w:vAlign w:val="center"/>
          </w:tcPr>
          <w:p w14:paraId="743D685D">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cs="Times New Roman"/>
                <w:b/>
                <w:bCs w:val="0"/>
                <w:color w:val="auto"/>
                <w:sz w:val="18"/>
                <w:szCs w:val="18"/>
                <w:lang w:val="en-US" w:eastAsia="zh-CN"/>
              </w:rPr>
              <w:t>纬度</w:t>
            </w:r>
          </w:p>
        </w:tc>
        <w:tc>
          <w:tcPr>
            <w:tcW w:w="322" w:type="pct"/>
            <w:vMerge w:val="restart"/>
            <w:shd w:val="clear" w:color="auto" w:fill="auto"/>
            <w:vAlign w:val="center"/>
          </w:tcPr>
          <w:p w14:paraId="2864BA62">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地址</w:t>
            </w:r>
          </w:p>
        </w:tc>
        <w:tc>
          <w:tcPr>
            <w:tcW w:w="235" w:type="pct"/>
            <w:vMerge w:val="continue"/>
            <w:shd w:val="clear" w:color="auto" w:fill="auto"/>
            <w:vAlign w:val="center"/>
          </w:tcPr>
          <w:p w14:paraId="163FCB2F">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349" w:type="pct"/>
            <w:vMerge w:val="continue"/>
            <w:shd w:val="clear" w:color="auto" w:fill="auto"/>
            <w:vAlign w:val="center"/>
          </w:tcPr>
          <w:p w14:paraId="08C3AC9A">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143" w:type="pct"/>
            <w:vMerge w:val="continue"/>
            <w:shd w:val="clear" w:color="auto" w:fill="auto"/>
            <w:vAlign w:val="center"/>
          </w:tcPr>
          <w:p w14:paraId="52AE3688">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168" w:type="pct"/>
            <w:vMerge w:val="continue"/>
            <w:shd w:val="clear" w:color="auto" w:fill="auto"/>
            <w:vAlign w:val="center"/>
          </w:tcPr>
          <w:p w14:paraId="0C920E72">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168" w:type="pct"/>
            <w:vMerge w:val="continue"/>
            <w:shd w:val="clear" w:color="auto" w:fill="auto"/>
            <w:vAlign w:val="center"/>
          </w:tcPr>
          <w:p w14:paraId="4377E465">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233" w:type="pct"/>
            <w:vMerge w:val="continue"/>
            <w:shd w:val="clear" w:color="auto" w:fill="auto"/>
            <w:vAlign w:val="center"/>
          </w:tcPr>
          <w:p w14:paraId="5FFBE42A">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235" w:type="pct"/>
            <w:vMerge w:val="restart"/>
            <w:shd w:val="clear" w:color="auto" w:fill="auto"/>
            <w:vAlign w:val="center"/>
          </w:tcPr>
          <w:p w14:paraId="042B0481">
            <w:pPr>
              <w:pStyle w:val="65"/>
              <w:framePr w:hSpace="0" w:wrap="auto" w:vAnchor="margin" w:hAnchor="text" w:xAlign="left" w:yAlign="inline"/>
              <w:rPr>
                <w:rFonts w:hint="default" w:ascii="Times New Roman" w:hAnsi="Times New Roman" w:eastAsia="宋体" w:cs="Times New Roman"/>
                <w:b/>
                <w:bCs w:val="0"/>
                <w:color w:val="auto"/>
                <w:sz w:val="18"/>
                <w:szCs w:val="18"/>
                <w:lang w:val="en-US" w:eastAsia="zh-CN"/>
              </w:rPr>
            </w:pPr>
            <w:r>
              <w:rPr>
                <w:rFonts w:hint="default" w:ascii="Times New Roman" w:hAnsi="Times New Roman" w:cs="Times New Roman"/>
                <w:b/>
                <w:bCs w:val="0"/>
                <w:color w:val="auto"/>
                <w:sz w:val="18"/>
                <w:szCs w:val="18"/>
                <w:lang w:val="en-US" w:eastAsia="zh-CN"/>
              </w:rPr>
              <w:t>污染物</w:t>
            </w:r>
          </w:p>
        </w:tc>
        <w:tc>
          <w:tcPr>
            <w:tcW w:w="245" w:type="pct"/>
            <w:vMerge w:val="restart"/>
            <w:shd w:val="clear" w:color="auto" w:fill="auto"/>
            <w:vAlign w:val="center"/>
          </w:tcPr>
          <w:p w14:paraId="78472F6D">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排放浓度（mg/L)</w:t>
            </w:r>
          </w:p>
        </w:tc>
        <w:tc>
          <w:tcPr>
            <w:tcW w:w="255" w:type="pct"/>
            <w:vMerge w:val="restart"/>
            <w:shd w:val="clear" w:color="auto" w:fill="auto"/>
            <w:vAlign w:val="center"/>
          </w:tcPr>
          <w:p w14:paraId="2A914116">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排放量(t/a)</w:t>
            </w:r>
          </w:p>
        </w:tc>
        <w:tc>
          <w:tcPr>
            <w:tcW w:w="194" w:type="pct"/>
            <w:vMerge w:val="restart"/>
            <w:shd w:val="clear" w:color="auto" w:fill="auto"/>
            <w:vAlign w:val="center"/>
          </w:tcPr>
          <w:p w14:paraId="5C2B737E">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是否达标</w:t>
            </w:r>
          </w:p>
        </w:tc>
        <w:tc>
          <w:tcPr>
            <w:tcW w:w="411" w:type="pct"/>
            <w:vMerge w:val="continue"/>
            <w:shd w:val="clear" w:color="auto" w:fill="auto"/>
            <w:vAlign w:val="center"/>
          </w:tcPr>
          <w:p w14:paraId="35438E46">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p>
        </w:tc>
        <w:tc>
          <w:tcPr>
            <w:tcW w:w="127" w:type="pct"/>
            <w:vMerge w:val="restart"/>
            <w:shd w:val="clear" w:color="auto" w:fill="auto"/>
            <w:vAlign w:val="center"/>
          </w:tcPr>
          <w:p w14:paraId="0AF7271F">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河流名称</w:t>
            </w:r>
          </w:p>
        </w:tc>
        <w:tc>
          <w:tcPr>
            <w:tcW w:w="307" w:type="pct"/>
            <w:gridSpan w:val="2"/>
            <w:shd w:val="clear" w:color="auto" w:fill="auto"/>
            <w:vAlign w:val="center"/>
          </w:tcPr>
          <w:p w14:paraId="57F63536">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水功能</w:t>
            </w:r>
          </w:p>
        </w:tc>
        <w:tc>
          <w:tcPr>
            <w:tcW w:w="158" w:type="pct"/>
            <w:vMerge w:val="restart"/>
            <w:shd w:val="clear" w:color="auto" w:fill="auto"/>
            <w:vAlign w:val="center"/>
          </w:tcPr>
          <w:p w14:paraId="3B4C9515">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水质目标</w:t>
            </w:r>
          </w:p>
        </w:tc>
        <w:tc>
          <w:tcPr>
            <w:tcW w:w="153" w:type="pct"/>
            <w:vMerge w:val="restart"/>
            <w:shd w:val="clear" w:color="auto" w:fill="auto"/>
            <w:vAlign w:val="center"/>
          </w:tcPr>
          <w:p w14:paraId="02A5A896">
            <w:pPr>
              <w:pStyle w:val="65"/>
              <w:framePr w:hSpace="0" w:wrap="auto" w:vAnchor="margin" w:hAnchor="text" w:xAlign="left" w:yAlign="inline"/>
              <w:rPr>
                <w:rFonts w:hint="default" w:ascii="Times New Roman" w:hAnsi="Times New Roman" w:eastAsia="宋体" w:cs="Times New Roman"/>
                <w:b/>
                <w:bCs w:val="0"/>
                <w:color w:val="auto"/>
                <w:sz w:val="18"/>
                <w:szCs w:val="18"/>
                <w:lang w:eastAsia="zh-CN"/>
              </w:rPr>
            </w:pPr>
            <w:r>
              <w:rPr>
                <w:rFonts w:hint="default" w:ascii="Times New Roman" w:hAnsi="Times New Roman" w:eastAsia="宋体" w:cs="Times New Roman"/>
                <w:b/>
                <w:bCs w:val="0"/>
                <w:color w:val="auto"/>
                <w:sz w:val="18"/>
                <w:szCs w:val="18"/>
                <w:lang w:eastAsia="zh-CN"/>
              </w:rPr>
              <w:t>是否达标</w:t>
            </w:r>
          </w:p>
        </w:tc>
      </w:tr>
      <w:tr w14:paraId="0FDB6B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9" w:type="pct"/>
            <w:vMerge w:val="continue"/>
            <w:shd w:val="clear" w:color="auto" w:fill="auto"/>
            <w:vAlign w:val="center"/>
          </w:tcPr>
          <w:p w14:paraId="4EAE45EA">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22F01FC8">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6694EC7B">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56A64DF4">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4AAE4606">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41304B46">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06C8F78E">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6D169332">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7E185226">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6E17D297">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F633D0B">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635626A">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40DD6337">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77709F28">
            <w:pPr>
              <w:pStyle w:val="65"/>
              <w:framePr w:hSpace="0" w:wrap="auto" w:vAnchor="margin" w:hAnchor="text" w:xAlign="left" w:yAlign="inline"/>
              <w:rPr>
                <w:rFonts w:hint="default" w:ascii="Times New Roman" w:hAnsi="Times New Roman" w:cs="Times New Roman"/>
                <w:color w:val="auto"/>
                <w:sz w:val="18"/>
                <w:szCs w:val="18"/>
              </w:rPr>
            </w:pPr>
          </w:p>
        </w:tc>
        <w:tc>
          <w:tcPr>
            <w:tcW w:w="245" w:type="pct"/>
            <w:vMerge w:val="continue"/>
            <w:shd w:val="clear" w:color="auto" w:fill="auto"/>
            <w:vAlign w:val="center"/>
          </w:tcPr>
          <w:p w14:paraId="17A668E9">
            <w:pPr>
              <w:pStyle w:val="65"/>
              <w:framePr w:hSpace="0" w:wrap="auto" w:vAnchor="margin" w:hAnchor="text" w:xAlign="left" w:yAlign="inline"/>
              <w:rPr>
                <w:rFonts w:hint="default" w:ascii="Times New Roman" w:hAnsi="Times New Roman" w:cs="Times New Roman"/>
                <w:color w:val="auto"/>
                <w:sz w:val="18"/>
                <w:szCs w:val="18"/>
              </w:rPr>
            </w:pPr>
          </w:p>
        </w:tc>
        <w:tc>
          <w:tcPr>
            <w:tcW w:w="255" w:type="pct"/>
            <w:vMerge w:val="continue"/>
            <w:shd w:val="clear" w:color="auto" w:fill="auto"/>
            <w:vAlign w:val="center"/>
          </w:tcPr>
          <w:p w14:paraId="0DABB562">
            <w:pPr>
              <w:pStyle w:val="65"/>
              <w:framePr w:hSpace="0" w:wrap="auto" w:vAnchor="margin" w:hAnchor="text" w:xAlign="left" w:yAlign="inline"/>
              <w:rPr>
                <w:rFonts w:hint="default" w:ascii="Times New Roman" w:hAnsi="Times New Roman" w:cs="Times New Roman"/>
                <w:color w:val="auto"/>
                <w:sz w:val="18"/>
                <w:szCs w:val="18"/>
              </w:rPr>
            </w:pPr>
          </w:p>
        </w:tc>
        <w:tc>
          <w:tcPr>
            <w:tcW w:w="194" w:type="pct"/>
            <w:vMerge w:val="continue"/>
            <w:shd w:val="clear" w:color="auto" w:fill="auto"/>
            <w:vAlign w:val="center"/>
          </w:tcPr>
          <w:p w14:paraId="47D1219B">
            <w:pPr>
              <w:pStyle w:val="65"/>
              <w:framePr w:hSpace="0" w:wrap="auto" w:vAnchor="margin" w:hAnchor="text" w:xAlign="left" w:yAlign="inline"/>
              <w:rPr>
                <w:rFonts w:hint="default" w:ascii="Times New Roman" w:hAnsi="Times New Roman" w:cs="Times New Roman"/>
                <w:color w:val="auto"/>
                <w:sz w:val="18"/>
                <w:szCs w:val="18"/>
              </w:rPr>
            </w:pPr>
          </w:p>
        </w:tc>
        <w:tc>
          <w:tcPr>
            <w:tcW w:w="411" w:type="pct"/>
            <w:vMerge w:val="continue"/>
            <w:shd w:val="clear" w:color="auto" w:fill="auto"/>
            <w:vAlign w:val="center"/>
          </w:tcPr>
          <w:p w14:paraId="20AA4466">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3869078C">
            <w:pPr>
              <w:pStyle w:val="65"/>
              <w:framePr w:hSpace="0" w:wrap="auto" w:vAnchor="margin" w:hAnchor="text" w:xAlign="left" w:yAlign="inline"/>
              <w:rPr>
                <w:rFonts w:hint="default" w:ascii="Times New Roman" w:hAnsi="Times New Roman" w:cs="Times New Roman"/>
                <w:color w:val="auto"/>
                <w:sz w:val="18"/>
                <w:szCs w:val="18"/>
              </w:rPr>
            </w:pPr>
          </w:p>
        </w:tc>
        <w:tc>
          <w:tcPr>
            <w:tcW w:w="148" w:type="pct"/>
            <w:shd w:val="clear" w:color="auto" w:fill="auto"/>
            <w:vAlign w:val="center"/>
          </w:tcPr>
          <w:p w14:paraId="4F4C23CC">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b/>
                <w:bCs w:val="0"/>
                <w:color w:val="auto"/>
                <w:sz w:val="18"/>
                <w:szCs w:val="18"/>
                <w:lang w:eastAsia="zh-CN"/>
              </w:rPr>
              <w:t>一级区</w:t>
            </w:r>
          </w:p>
        </w:tc>
        <w:tc>
          <w:tcPr>
            <w:tcW w:w="158" w:type="pct"/>
            <w:shd w:val="clear" w:color="auto" w:fill="auto"/>
            <w:vAlign w:val="center"/>
          </w:tcPr>
          <w:p w14:paraId="01108295">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b/>
                <w:bCs w:val="0"/>
                <w:color w:val="auto"/>
                <w:sz w:val="18"/>
                <w:szCs w:val="18"/>
                <w:lang w:eastAsia="zh-CN"/>
              </w:rPr>
              <w:t>二级区</w:t>
            </w:r>
          </w:p>
        </w:tc>
        <w:tc>
          <w:tcPr>
            <w:tcW w:w="158" w:type="pct"/>
            <w:vMerge w:val="continue"/>
            <w:shd w:val="clear" w:color="auto" w:fill="auto"/>
            <w:vAlign w:val="center"/>
          </w:tcPr>
          <w:p w14:paraId="6EF31F7C">
            <w:pPr>
              <w:pStyle w:val="65"/>
              <w:framePr w:hSpace="0" w:wrap="auto" w:vAnchor="margin" w:hAnchor="text" w:xAlign="left" w:yAlign="inline"/>
              <w:rPr>
                <w:rFonts w:hint="default" w:ascii="Times New Roman" w:hAnsi="Times New Roman" w:cs="Times New Roman"/>
                <w:color w:val="auto"/>
                <w:sz w:val="18"/>
                <w:szCs w:val="18"/>
              </w:rPr>
            </w:pPr>
          </w:p>
        </w:tc>
        <w:tc>
          <w:tcPr>
            <w:tcW w:w="153" w:type="pct"/>
            <w:vMerge w:val="continue"/>
            <w:shd w:val="clear" w:color="auto" w:fill="auto"/>
            <w:vAlign w:val="center"/>
          </w:tcPr>
          <w:p w14:paraId="68D8C552">
            <w:pPr>
              <w:pStyle w:val="65"/>
              <w:framePr w:hSpace="0" w:wrap="auto" w:vAnchor="margin" w:hAnchor="text" w:xAlign="left" w:yAlign="inline"/>
              <w:rPr>
                <w:rFonts w:hint="default" w:ascii="Times New Roman" w:hAnsi="Times New Roman" w:cs="Times New Roman"/>
                <w:color w:val="auto"/>
                <w:sz w:val="18"/>
                <w:szCs w:val="18"/>
              </w:rPr>
            </w:pPr>
          </w:p>
        </w:tc>
      </w:tr>
      <w:tr w14:paraId="2169E5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19" w:type="pct"/>
            <w:vMerge w:val="restart"/>
            <w:shd w:val="clear" w:color="auto" w:fill="auto"/>
            <w:vAlign w:val="center"/>
          </w:tcPr>
          <w:p w14:paraId="2AC12F9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27" w:type="pct"/>
            <w:vMerge w:val="restart"/>
            <w:shd w:val="clear" w:color="auto" w:fill="auto"/>
            <w:vAlign w:val="center"/>
          </w:tcPr>
          <w:p w14:paraId="0C55F0F7">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鄠邑区</w:t>
            </w:r>
          </w:p>
        </w:tc>
        <w:tc>
          <w:tcPr>
            <w:tcW w:w="317" w:type="pct"/>
            <w:vMerge w:val="restart"/>
            <w:shd w:val="clear" w:color="auto" w:fill="auto"/>
            <w:vAlign w:val="center"/>
          </w:tcPr>
          <w:p w14:paraId="392F062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鄠邑区石井镇蔡家坡村污水处理厂排口</w:t>
            </w:r>
          </w:p>
        </w:tc>
        <w:tc>
          <w:tcPr>
            <w:tcW w:w="220" w:type="pct"/>
            <w:vMerge w:val="restart"/>
            <w:shd w:val="clear" w:color="auto" w:fill="auto"/>
            <w:vAlign w:val="center"/>
          </w:tcPr>
          <w:p w14:paraId="2B17DFA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610118X02</w:t>
            </w:r>
          </w:p>
        </w:tc>
        <w:tc>
          <w:tcPr>
            <w:tcW w:w="235" w:type="pct"/>
            <w:vMerge w:val="restart"/>
            <w:shd w:val="clear" w:color="auto" w:fill="auto"/>
            <w:vAlign w:val="center"/>
          </w:tcPr>
          <w:p w14:paraId="3A3F187C">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108°38′11.0″</w:t>
            </w:r>
          </w:p>
        </w:tc>
        <w:tc>
          <w:tcPr>
            <w:tcW w:w="266" w:type="pct"/>
            <w:vMerge w:val="restart"/>
            <w:shd w:val="clear" w:color="auto" w:fill="auto"/>
            <w:vAlign w:val="center"/>
          </w:tcPr>
          <w:p w14:paraId="47E69930">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34°01′17.0″</w:t>
            </w:r>
          </w:p>
        </w:tc>
        <w:tc>
          <w:tcPr>
            <w:tcW w:w="322" w:type="pct"/>
            <w:vMerge w:val="restart"/>
            <w:shd w:val="clear" w:color="auto" w:fill="auto"/>
            <w:vAlign w:val="center"/>
          </w:tcPr>
          <w:p w14:paraId="6759F0F9">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蔡家坡污水处理厂西侧河东岸</w:t>
            </w:r>
          </w:p>
        </w:tc>
        <w:tc>
          <w:tcPr>
            <w:tcW w:w="235" w:type="pct"/>
            <w:vMerge w:val="restart"/>
            <w:shd w:val="clear" w:color="auto" w:fill="auto"/>
            <w:vAlign w:val="center"/>
          </w:tcPr>
          <w:p w14:paraId="4C40B9EE">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污水集中处理设施排口</w:t>
            </w:r>
          </w:p>
        </w:tc>
        <w:tc>
          <w:tcPr>
            <w:tcW w:w="349" w:type="pct"/>
            <w:vMerge w:val="restart"/>
            <w:shd w:val="clear" w:color="auto" w:fill="auto"/>
            <w:vAlign w:val="center"/>
          </w:tcPr>
          <w:p w14:paraId="5392E492">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蔡家坡污水处理厂排水</w:t>
            </w:r>
          </w:p>
        </w:tc>
        <w:tc>
          <w:tcPr>
            <w:tcW w:w="143" w:type="pct"/>
            <w:vMerge w:val="restart"/>
            <w:shd w:val="clear" w:color="auto" w:fill="auto"/>
            <w:vAlign w:val="center"/>
          </w:tcPr>
          <w:p w14:paraId="3D96B75E">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连续</w:t>
            </w:r>
          </w:p>
        </w:tc>
        <w:tc>
          <w:tcPr>
            <w:tcW w:w="168" w:type="pct"/>
            <w:vMerge w:val="restart"/>
            <w:shd w:val="clear" w:color="auto" w:fill="auto"/>
            <w:vAlign w:val="center"/>
          </w:tcPr>
          <w:p w14:paraId="15200755">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4FA7D882">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管道</w:t>
            </w:r>
          </w:p>
        </w:tc>
        <w:tc>
          <w:tcPr>
            <w:tcW w:w="233" w:type="pct"/>
            <w:vMerge w:val="restart"/>
            <w:shd w:val="clear" w:color="auto" w:fill="auto"/>
            <w:vAlign w:val="center"/>
          </w:tcPr>
          <w:p w14:paraId="08F14D31">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35" w:type="pct"/>
            <w:shd w:val="clear" w:color="auto" w:fill="auto"/>
            <w:vAlign w:val="center"/>
          </w:tcPr>
          <w:p w14:paraId="7D3B2AAA">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COD</w:t>
            </w:r>
          </w:p>
        </w:tc>
        <w:tc>
          <w:tcPr>
            <w:tcW w:w="245" w:type="pct"/>
            <w:shd w:val="clear" w:color="auto" w:fill="auto"/>
            <w:vAlign w:val="center"/>
          </w:tcPr>
          <w:p w14:paraId="72BCA951">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255" w:type="pct"/>
            <w:shd w:val="clear" w:color="auto" w:fill="auto"/>
            <w:vAlign w:val="center"/>
          </w:tcPr>
          <w:p w14:paraId="1AD37570">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6.57</w:t>
            </w:r>
          </w:p>
        </w:tc>
        <w:tc>
          <w:tcPr>
            <w:tcW w:w="194" w:type="pct"/>
            <w:shd w:val="clear" w:color="auto" w:fill="auto"/>
            <w:vAlign w:val="center"/>
          </w:tcPr>
          <w:p w14:paraId="16177AD5">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restart"/>
            <w:shd w:val="clear" w:color="auto" w:fill="auto"/>
            <w:vAlign w:val="center"/>
          </w:tcPr>
          <w:p w14:paraId="6DCC6860">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lang w:eastAsia="zh-CN"/>
              </w:rPr>
              <w:t>城镇污水处理厂污染物排放标准</w:t>
            </w:r>
            <w:r>
              <w:rPr>
                <w:rFonts w:hint="default" w:ascii="Times New Roman" w:hAnsi="Times New Roman" w:cs="Times New Roman"/>
                <w:color w:val="auto"/>
                <w:sz w:val="18"/>
                <w:szCs w:val="18"/>
                <w:lang w:eastAsia="zh-CN"/>
              </w:rPr>
              <w:t>》</w:t>
            </w:r>
            <w:r>
              <w:rPr>
                <w:rFonts w:hint="default" w:ascii="Times New Roman" w:hAnsi="Times New Roman" w:eastAsia="宋体" w:cs="Times New Roman"/>
                <w:color w:val="auto"/>
                <w:sz w:val="18"/>
                <w:szCs w:val="18"/>
                <w:lang w:eastAsia="zh-CN"/>
              </w:rPr>
              <w:t>（一级A）</w:t>
            </w:r>
          </w:p>
        </w:tc>
        <w:tc>
          <w:tcPr>
            <w:tcW w:w="127" w:type="pct"/>
            <w:vMerge w:val="restart"/>
            <w:shd w:val="clear" w:color="auto" w:fill="auto"/>
            <w:vAlign w:val="center"/>
          </w:tcPr>
          <w:p w14:paraId="5EEDD568">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新河</w:t>
            </w:r>
          </w:p>
        </w:tc>
        <w:tc>
          <w:tcPr>
            <w:tcW w:w="148" w:type="pct"/>
            <w:vMerge w:val="restart"/>
            <w:shd w:val="clear" w:color="auto" w:fill="auto"/>
            <w:vAlign w:val="center"/>
          </w:tcPr>
          <w:p w14:paraId="5C697B7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34D1E45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585EFECE">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2292B299">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是</w:t>
            </w:r>
          </w:p>
        </w:tc>
      </w:tr>
      <w:tr w14:paraId="0F833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19" w:type="pct"/>
            <w:vMerge w:val="continue"/>
            <w:shd w:val="clear" w:color="auto" w:fill="auto"/>
            <w:vAlign w:val="center"/>
          </w:tcPr>
          <w:p w14:paraId="06499B43">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5A9C4F74">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56ADCA49">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09CF8433">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75DF4D22">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3D0C7E1F">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44C37377">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57661063">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194A1DCA">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1E49894D">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6001459C">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31B58D3E">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7548829D">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02B8B1D4">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氨氮</w:t>
            </w:r>
          </w:p>
        </w:tc>
        <w:tc>
          <w:tcPr>
            <w:tcW w:w="245" w:type="pct"/>
            <w:shd w:val="clear" w:color="auto" w:fill="auto"/>
            <w:vAlign w:val="center"/>
          </w:tcPr>
          <w:p w14:paraId="40B3772C">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1.5（3）</w:t>
            </w:r>
          </w:p>
        </w:tc>
        <w:tc>
          <w:tcPr>
            <w:tcW w:w="255" w:type="pct"/>
            <w:shd w:val="clear" w:color="auto" w:fill="auto"/>
            <w:vAlign w:val="center"/>
          </w:tcPr>
          <w:p w14:paraId="12B781F8">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0.3285</w:t>
            </w:r>
          </w:p>
        </w:tc>
        <w:tc>
          <w:tcPr>
            <w:tcW w:w="194" w:type="pct"/>
            <w:shd w:val="clear" w:color="auto" w:fill="auto"/>
            <w:vAlign w:val="center"/>
          </w:tcPr>
          <w:p w14:paraId="5F1FE22B">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continue"/>
            <w:shd w:val="clear" w:color="auto" w:fill="auto"/>
            <w:vAlign w:val="center"/>
          </w:tcPr>
          <w:p w14:paraId="39BF120D">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27" w:type="pct"/>
            <w:vMerge w:val="continue"/>
            <w:shd w:val="clear" w:color="auto" w:fill="auto"/>
            <w:vAlign w:val="center"/>
          </w:tcPr>
          <w:p w14:paraId="1E02B62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48" w:type="pct"/>
            <w:vMerge w:val="continue"/>
            <w:shd w:val="clear" w:color="auto" w:fill="auto"/>
            <w:vAlign w:val="center"/>
          </w:tcPr>
          <w:p w14:paraId="678E328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8" w:type="pct"/>
            <w:vMerge w:val="continue"/>
            <w:shd w:val="clear" w:color="auto" w:fill="auto"/>
            <w:vAlign w:val="center"/>
          </w:tcPr>
          <w:p w14:paraId="77F71608">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8" w:type="pct"/>
            <w:vMerge w:val="continue"/>
            <w:shd w:val="clear" w:color="auto" w:fill="auto"/>
            <w:vAlign w:val="center"/>
          </w:tcPr>
          <w:p w14:paraId="7CF1FD9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3" w:type="pct"/>
            <w:vMerge w:val="continue"/>
            <w:shd w:val="clear" w:color="auto" w:fill="auto"/>
            <w:vAlign w:val="center"/>
          </w:tcPr>
          <w:p w14:paraId="6C55824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r>
      <w:tr w14:paraId="3ECB3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19" w:type="pct"/>
            <w:vMerge w:val="continue"/>
            <w:shd w:val="clear" w:color="auto" w:fill="auto"/>
            <w:vAlign w:val="center"/>
          </w:tcPr>
          <w:p w14:paraId="10DBE22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27" w:type="pct"/>
            <w:vMerge w:val="continue"/>
            <w:shd w:val="clear" w:color="auto" w:fill="auto"/>
            <w:vAlign w:val="center"/>
          </w:tcPr>
          <w:p w14:paraId="24E6BC05">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317" w:type="pct"/>
            <w:vMerge w:val="continue"/>
            <w:shd w:val="clear" w:color="auto" w:fill="auto"/>
            <w:vAlign w:val="center"/>
          </w:tcPr>
          <w:p w14:paraId="42A6E502">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20" w:type="pct"/>
            <w:vMerge w:val="continue"/>
            <w:shd w:val="clear" w:color="auto" w:fill="auto"/>
            <w:vAlign w:val="center"/>
          </w:tcPr>
          <w:p w14:paraId="6E78CC92">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35" w:type="pct"/>
            <w:vMerge w:val="continue"/>
            <w:shd w:val="clear" w:color="auto" w:fill="auto"/>
            <w:vAlign w:val="center"/>
          </w:tcPr>
          <w:p w14:paraId="603D5E8F">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66" w:type="pct"/>
            <w:vMerge w:val="continue"/>
            <w:shd w:val="clear" w:color="auto" w:fill="auto"/>
            <w:vAlign w:val="center"/>
          </w:tcPr>
          <w:p w14:paraId="186F1A6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322" w:type="pct"/>
            <w:vMerge w:val="continue"/>
            <w:shd w:val="clear" w:color="auto" w:fill="auto"/>
            <w:vAlign w:val="center"/>
          </w:tcPr>
          <w:p w14:paraId="007BC716">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35" w:type="pct"/>
            <w:vMerge w:val="continue"/>
            <w:shd w:val="clear" w:color="auto" w:fill="auto"/>
            <w:vAlign w:val="center"/>
          </w:tcPr>
          <w:p w14:paraId="4AA3927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349" w:type="pct"/>
            <w:vMerge w:val="continue"/>
            <w:shd w:val="clear" w:color="auto" w:fill="auto"/>
            <w:vAlign w:val="center"/>
          </w:tcPr>
          <w:p w14:paraId="5181A63B">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43" w:type="pct"/>
            <w:vMerge w:val="continue"/>
            <w:shd w:val="clear" w:color="auto" w:fill="auto"/>
            <w:vAlign w:val="center"/>
          </w:tcPr>
          <w:p w14:paraId="3073936D">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68" w:type="pct"/>
            <w:vMerge w:val="continue"/>
            <w:shd w:val="clear" w:color="auto" w:fill="auto"/>
            <w:vAlign w:val="center"/>
          </w:tcPr>
          <w:p w14:paraId="0AB9A751">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68" w:type="pct"/>
            <w:vMerge w:val="continue"/>
            <w:shd w:val="clear" w:color="auto" w:fill="auto"/>
            <w:vAlign w:val="center"/>
          </w:tcPr>
          <w:p w14:paraId="60ECE635">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33" w:type="pct"/>
            <w:vMerge w:val="continue"/>
            <w:shd w:val="clear" w:color="auto" w:fill="auto"/>
            <w:vAlign w:val="center"/>
          </w:tcPr>
          <w:p w14:paraId="6802344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235" w:type="pct"/>
            <w:shd w:val="clear" w:color="auto" w:fill="auto"/>
            <w:vAlign w:val="center"/>
          </w:tcPr>
          <w:p w14:paraId="0A01441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总磷</w:t>
            </w:r>
          </w:p>
        </w:tc>
        <w:tc>
          <w:tcPr>
            <w:tcW w:w="245" w:type="pct"/>
            <w:shd w:val="clear" w:color="auto" w:fill="auto"/>
            <w:vAlign w:val="center"/>
          </w:tcPr>
          <w:p w14:paraId="43995A5E">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0.3</w:t>
            </w:r>
          </w:p>
        </w:tc>
        <w:tc>
          <w:tcPr>
            <w:tcW w:w="255" w:type="pct"/>
            <w:shd w:val="clear" w:color="auto" w:fill="auto"/>
            <w:vAlign w:val="center"/>
          </w:tcPr>
          <w:p w14:paraId="4FEACD32">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0.0657</w:t>
            </w:r>
          </w:p>
        </w:tc>
        <w:tc>
          <w:tcPr>
            <w:tcW w:w="194" w:type="pct"/>
            <w:shd w:val="clear" w:color="auto" w:fill="auto"/>
            <w:vAlign w:val="center"/>
          </w:tcPr>
          <w:p w14:paraId="6A5CF31E">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continue"/>
            <w:shd w:val="clear" w:color="auto" w:fill="auto"/>
            <w:vAlign w:val="center"/>
          </w:tcPr>
          <w:p w14:paraId="585062CC">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27" w:type="pct"/>
            <w:vMerge w:val="continue"/>
            <w:shd w:val="clear" w:color="auto" w:fill="auto"/>
            <w:vAlign w:val="center"/>
          </w:tcPr>
          <w:p w14:paraId="5FC9A691">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48" w:type="pct"/>
            <w:vMerge w:val="continue"/>
            <w:shd w:val="clear" w:color="auto" w:fill="auto"/>
            <w:vAlign w:val="center"/>
          </w:tcPr>
          <w:p w14:paraId="4F47CFF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8" w:type="pct"/>
            <w:vMerge w:val="continue"/>
            <w:shd w:val="clear" w:color="auto" w:fill="auto"/>
            <w:vAlign w:val="center"/>
          </w:tcPr>
          <w:p w14:paraId="2FA9FE8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8" w:type="pct"/>
            <w:vMerge w:val="continue"/>
            <w:shd w:val="clear" w:color="auto" w:fill="auto"/>
            <w:vAlign w:val="center"/>
          </w:tcPr>
          <w:p w14:paraId="26AB1626">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c>
          <w:tcPr>
            <w:tcW w:w="153" w:type="pct"/>
            <w:vMerge w:val="continue"/>
            <w:shd w:val="clear" w:color="auto" w:fill="auto"/>
            <w:vAlign w:val="center"/>
          </w:tcPr>
          <w:p w14:paraId="4E9198FD">
            <w:pPr>
              <w:pStyle w:val="65"/>
              <w:framePr w:hSpace="0" w:wrap="auto" w:vAnchor="margin" w:hAnchor="text" w:xAlign="left" w:yAlign="inline"/>
              <w:rPr>
                <w:rFonts w:hint="default" w:ascii="Times New Roman" w:hAnsi="Times New Roman" w:eastAsia="宋体" w:cs="Times New Roman"/>
                <w:color w:val="auto"/>
                <w:sz w:val="18"/>
                <w:szCs w:val="18"/>
                <w:lang w:eastAsia="zh-CN"/>
              </w:rPr>
            </w:pPr>
          </w:p>
        </w:tc>
      </w:tr>
      <w:tr w14:paraId="36506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19" w:type="pct"/>
            <w:vMerge w:val="restart"/>
            <w:shd w:val="clear" w:color="auto" w:fill="auto"/>
            <w:vAlign w:val="center"/>
          </w:tcPr>
          <w:p w14:paraId="5A161652">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p>
        </w:tc>
        <w:tc>
          <w:tcPr>
            <w:tcW w:w="127" w:type="pct"/>
            <w:vMerge w:val="continue"/>
            <w:shd w:val="clear" w:color="auto" w:fill="auto"/>
            <w:vAlign w:val="center"/>
          </w:tcPr>
          <w:p w14:paraId="07DDB93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17" w:type="pct"/>
            <w:vMerge w:val="restart"/>
            <w:shd w:val="clear" w:color="auto" w:fill="auto"/>
            <w:vAlign w:val="center"/>
          </w:tcPr>
          <w:p w14:paraId="6B6A03F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西安北方惠安化学工业有限公司及西安北方硝化棉有限公司西安分公司排污口</w:t>
            </w:r>
          </w:p>
        </w:tc>
        <w:tc>
          <w:tcPr>
            <w:tcW w:w="220" w:type="pct"/>
            <w:vMerge w:val="restart"/>
            <w:shd w:val="clear" w:color="auto" w:fill="auto"/>
            <w:vAlign w:val="center"/>
          </w:tcPr>
          <w:p w14:paraId="308E2A2C">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610</w:t>
            </w:r>
            <w:r>
              <w:rPr>
                <w:rFonts w:hint="default" w:ascii="Times New Roman" w:hAnsi="Times New Roman" w:cs="Times New Roman"/>
                <w:color w:val="auto"/>
                <w:sz w:val="18"/>
                <w:szCs w:val="18"/>
                <w:lang w:val="en-US" w:eastAsia="zh-CN"/>
              </w:rPr>
              <w:t>118T0</w:t>
            </w:r>
            <w:r>
              <w:rPr>
                <w:rFonts w:hint="default" w:ascii="Times New Roman" w:hAnsi="Times New Roman" w:eastAsia="宋体" w:cs="Times New Roman"/>
                <w:color w:val="auto"/>
                <w:sz w:val="18"/>
                <w:szCs w:val="18"/>
                <w:lang w:eastAsia="zh-CN"/>
              </w:rPr>
              <w:t>1</w:t>
            </w:r>
          </w:p>
        </w:tc>
        <w:tc>
          <w:tcPr>
            <w:tcW w:w="235" w:type="pct"/>
            <w:vMerge w:val="restart"/>
            <w:shd w:val="clear" w:color="auto" w:fill="auto"/>
            <w:vAlign w:val="center"/>
          </w:tcPr>
          <w:p w14:paraId="76EDD198">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108°37′56.0″</w:t>
            </w:r>
          </w:p>
        </w:tc>
        <w:tc>
          <w:tcPr>
            <w:tcW w:w="266" w:type="pct"/>
            <w:vMerge w:val="restart"/>
            <w:shd w:val="clear" w:color="auto" w:fill="auto"/>
            <w:vAlign w:val="center"/>
          </w:tcPr>
          <w:p w14:paraId="32D685ED">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34°04′46.0″</w:t>
            </w:r>
          </w:p>
        </w:tc>
        <w:tc>
          <w:tcPr>
            <w:tcW w:w="322" w:type="pct"/>
            <w:vMerge w:val="restart"/>
            <w:shd w:val="clear" w:color="auto" w:fill="auto"/>
            <w:vAlign w:val="center"/>
          </w:tcPr>
          <w:p w14:paraId="54ABB53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西屯村西安北方惠安化学工业有限公司</w:t>
            </w:r>
          </w:p>
        </w:tc>
        <w:tc>
          <w:tcPr>
            <w:tcW w:w="235" w:type="pct"/>
            <w:vMerge w:val="restart"/>
            <w:shd w:val="clear" w:color="auto" w:fill="auto"/>
            <w:vAlign w:val="center"/>
          </w:tcPr>
          <w:p w14:paraId="637C0856">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工业企业排口</w:t>
            </w:r>
          </w:p>
        </w:tc>
        <w:tc>
          <w:tcPr>
            <w:tcW w:w="349" w:type="pct"/>
            <w:vMerge w:val="restart"/>
            <w:shd w:val="clear" w:color="auto" w:fill="auto"/>
            <w:vAlign w:val="center"/>
          </w:tcPr>
          <w:p w14:paraId="05B18FC9">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西安北方惠安化学工业有限公司及西安北方硝化棉有限公司西安分公司经处理厂处理后的水</w:t>
            </w:r>
          </w:p>
        </w:tc>
        <w:tc>
          <w:tcPr>
            <w:tcW w:w="143" w:type="pct"/>
            <w:vMerge w:val="restart"/>
            <w:shd w:val="clear" w:color="auto" w:fill="auto"/>
            <w:vAlign w:val="center"/>
          </w:tcPr>
          <w:p w14:paraId="5ADCF630">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连续</w:t>
            </w:r>
          </w:p>
        </w:tc>
        <w:tc>
          <w:tcPr>
            <w:tcW w:w="168" w:type="pct"/>
            <w:vMerge w:val="restart"/>
            <w:shd w:val="clear" w:color="auto" w:fill="auto"/>
            <w:vAlign w:val="center"/>
          </w:tcPr>
          <w:p w14:paraId="6B7FAD5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39746AB7">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渠</w:t>
            </w:r>
          </w:p>
        </w:tc>
        <w:tc>
          <w:tcPr>
            <w:tcW w:w="233" w:type="pct"/>
            <w:vMerge w:val="restart"/>
            <w:shd w:val="clear" w:color="auto" w:fill="auto"/>
            <w:vAlign w:val="center"/>
          </w:tcPr>
          <w:p w14:paraId="35B7CC09">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179.89</w:t>
            </w:r>
          </w:p>
        </w:tc>
        <w:tc>
          <w:tcPr>
            <w:tcW w:w="235" w:type="pct"/>
            <w:shd w:val="clear" w:color="auto" w:fill="auto"/>
            <w:vAlign w:val="center"/>
          </w:tcPr>
          <w:p w14:paraId="7516C36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COD</w:t>
            </w:r>
          </w:p>
        </w:tc>
        <w:tc>
          <w:tcPr>
            <w:tcW w:w="501" w:type="pct"/>
            <w:gridSpan w:val="2"/>
            <w:vMerge w:val="restart"/>
            <w:shd w:val="clear" w:color="auto" w:fill="auto"/>
            <w:vAlign w:val="center"/>
          </w:tcPr>
          <w:p w14:paraId="433FFDB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相关数据涉密，不向外公开</w:t>
            </w:r>
          </w:p>
        </w:tc>
        <w:tc>
          <w:tcPr>
            <w:tcW w:w="194" w:type="pct"/>
            <w:shd w:val="clear" w:color="auto" w:fill="auto"/>
            <w:vAlign w:val="center"/>
          </w:tcPr>
          <w:p w14:paraId="659DF72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restart"/>
            <w:shd w:val="clear" w:color="auto" w:fill="auto"/>
            <w:vAlign w:val="center"/>
          </w:tcPr>
          <w:p w14:paraId="788789C3">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《陕西省黄河流域污水综合排放标准》（DB61/224-2018）其他单位水污染排放浓度限值</w:t>
            </w:r>
          </w:p>
        </w:tc>
        <w:tc>
          <w:tcPr>
            <w:tcW w:w="127" w:type="pct"/>
            <w:vMerge w:val="restart"/>
            <w:shd w:val="clear" w:color="auto" w:fill="auto"/>
            <w:vAlign w:val="center"/>
          </w:tcPr>
          <w:p w14:paraId="2C4E6E70">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新河支河潭峪流</w:t>
            </w:r>
          </w:p>
        </w:tc>
        <w:tc>
          <w:tcPr>
            <w:tcW w:w="148" w:type="pct"/>
            <w:vMerge w:val="restart"/>
            <w:shd w:val="clear" w:color="auto" w:fill="auto"/>
            <w:vAlign w:val="center"/>
          </w:tcPr>
          <w:p w14:paraId="1807AB4F">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15421899">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67C93E80">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72F29A2E">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是</w:t>
            </w:r>
          </w:p>
        </w:tc>
      </w:tr>
      <w:tr w14:paraId="7E545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19" w:type="pct"/>
            <w:vMerge w:val="continue"/>
            <w:shd w:val="clear" w:color="auto" w:fill="auto"/>
            <w:vAlign w:val="center"/>
          </w:tcPr>
          <w:p w14:paraId="12ABC7A2">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20761A0A">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74E009EA">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49844756">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1F927B6F">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7BD5423A">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76CAF859">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053ACB16">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22D46439">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506023E9">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CEB808E">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31AB4681">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1F19CE2A">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13406667">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氨氮</w:t>
            </w:r>
          </w:p>
        </w:tc>
        <w:tc>
          <w:tcPr>
            <w:tcW w:w="501" w:type="pct"/>
            <w:gridSpan w:val="2"/>
            <w:vMerge w:val="continue"/>
            <w:shd w:val="clear" w:color="auto" w:fill="auto"/>
            <w:vAlign w:val="center"/>
          </w:tcPr>
          <w:p w14:paraId="6CD73E58">
            <w:pPr>
              <w:pStyle w:val="65"/>
              <w:framePr w:hSpace="0" w:wrap="auto" w:vAnchor="margin" w:hAnchor="text" w:xAlign="left" w:yAlign="inline"/>
              <w:rPr>
                <w:rFonts w:hint="default" w:ascii="Times New Roman" w:hAnsi="Times New Roman" w:cs="Times New Roman"/>
                <w:color w:val="auto"/>
                <w:sz w:val="18"/>
                <w:szCs w:val="18"/>
              </w:rPr>
            </w:pPr>
          </w:p>
        </w:tc>
        <w:tc>
          <w:tcPr>
            <w:tcW w:w="194" w:type="pct"/>
            <w:shd w:val="clear" w:color="auto" w:fill="auto"/>
            <w:vAlign w:val="center"/>
          </w:tcPr>
          <w:p w14:paraId="62CE4EDB">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continue"/>
            <w:shd w:val="clear" w:color="auto" w:fill="auto"/>
            <w:vAlign w:val="center"/>
          </w:tcPr>
          <w:p w14:paraId="09863FC0">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0008AAF5">
            <w:pPr>
              <w:pStyle w:val="65"/>
              <w:framePr w:hSpace="0" w:wrap="auto" w:vAnchor="margin" w:hAnchor="text" w:xAlign="left" w:yAlign="inline"/>
              <w:rPr>
                <w:rFonts w:hint="default" w:ascii="Times New Roman" w:hAnsi="Times New Roman" w:cs="Times New Roman"/>
                <w:color w:val="auto"/>
                <w:sz w:val="18"/>
                <w:szCs w:val="18"/>
              </w:rPr>
            </w:pPr>
          </w:p>
        </w:tc>
        <w:tc>
          <w:tcPr>
            <w:tcW w:w="148" w:type="pct"/>
            <w:vMerge w:val="continue"/>
            <w:shd w:val="clear" w:color="auto" w:fill="auto"/>
            <w:vAlign w:val="center"/>
          </w:tcPr>
          <w:p w14:paraId="2FC19F3C">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3B1E15C2">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122ECC2A">
            <w:pPr>
              <w:pStyle w:val="65"/>
              <w:framePr w:hSpace="0" w:wrap="auto" w:vAnchor="margin" w:hAnchor="text" w:xAlign="left" w:yAlign="inline"/>
              <w:rPr>
                <w:rFonts w:hint="default" w:ascii="Times New Roman" w:hAnsi="Times New Roman" w:cs="Times New Roman"/>
                <w:color w:val="auto"/>
                <w:sz w:val="18"/>
                <w:szCs w:val="18"/>
              </w:rPr>
            </w:pPr>
          </w:p>
        </w:tc>
        <w:tc>
          <w:tcPr>
            <w:tcW w:w="153" w:type="pct"/>
            <w:vMerge w:val="continue"/>
            <w:shd w:val="clear" w:color="auto" w:fill="auto"/>
            <w:vAlign w:val="center"/>
          </w:tcPr>
          <w:p w14:paraId="6073009C">
            <w:pPr>
              <w:pStyle w:val="65"/>
              <w:framePr w:hSpace="0" w:wrap="auto" w:vAnchor="margin" w:hAnchor="text" w:xAlign="left" w:yAlign="inline"/>
              <w:rPr>
                <w:rFonts w:hint="default" w:ascii="Times New Roman" w:hAnsi="Times New Roman" w:cs="Times New Roman"/>
                <w:color w:val="auto"/>
                <w:sz w:val="18"/>
                <w:szCs w:val="18"/>
              </w:rPr>
            </w:pPr>
          </w:p>
        </w:tc>
      </w:tr>
      <w:tr w14:paraId="446FD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9" w:type="pct"/>
            <w:vMerge w:val="continue"/>
            <w:shd w:val="clear" w:color="auto" w:fill="auto"/>
            <w:vAlign w:val="center"/>
          </w:tcPr>
          <w:p w14:paraId="39C41CF0">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4E5062E8">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44D0331C">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768FB046">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2DE139D6">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319A904A">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04022522">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7E21737C">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357A8C82">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780A2B6E">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21FD6F3F">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17797BBE">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5966771A">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5D647C06">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其他</w:t>
            </w:r>
          </w:p>
        </w:tc>
        <w:tc>
          <w:tcPr>
            <w:tcW w:w="501" w:type="pct"/>
            <w:gridSpan w:val="2"/>
            <w:vMerge w:val="continue"/>
            <w:shd w:val="clear" w:color="auto" w:fill="auto"/>
            <w:vAlign w:val="center"/>
          </w:tcPr>
          <w:p w14:paraId="2D708FD4">
            <w:pPr>
              <w:pStyle w:val="65"/>
              <w:framePr w:hSpace="0" w:wrap="auto" w:vAnchor="margin" w:hAnchor="text" w:xAlign="left" w:yAlign="inline"/>
              <w:rPr>
                <w:rFonts w:hint="default" w:ascii="Times New Roman" w:hAnsi="Times New Roman" w:cs="Times New Roman"/>
                <w:color w:val="auto"/>
                <w:sz w:val="18"/>
                <w:szCs w:val="18"/>
              </w:rPr>
            </w:pPr>
          </w:p>
        </w:tc>
        <w:tc>
          <w:tcPr>
            <w:tcW w:w="194" w:type="pct"/>
            <w:shd w:val="clear" w:color="auto" w:fill="auto"/>
            <w:vAlign w:val="center"/>
          </w:tcPr>
          <w:p w14:paraId="07069B99">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411" w:type="pct"/>
            <w:vMerge w:val="continue"/>
            <w:shd w:val="clear" w:color="auto" w:fill="auto"/>
            <w:vAlign w:val="center"/>
          </w:tcPr>
          <w:p w14:paraId="5C9CA2BB">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3313464B">
            <w:pPr>
              <w:pStyle w:val="65"/>
              <w:framePr w:hSpace="0" w:wrap="auto" w:vAnchor="margin" w:hAnchor="text" w:xAlign="left" w:yAlign="inline"/>
              <w:rPr>
                <w:rFonts w:hint="default" w:ascii="Times New Roman" w:hAnsi="Times New Roman" w:cs="Times New Roman"/>
                <w:color w:val="auto"/>
                <w:sz w:val="18"/>
                <w:szCs w:val="18"/>
              </w:rPr>
            </w:pPr>
          </w:p>
        </w:tc>
        <w:tc>
          <w:tcPr>
            <w:tcW w:w="148" w:type="pct"/>
            <w:vMerge w:val="continue"/>
            <w:shd w:val="clear" w:color="auto" w:fill="auto"/>
            <w:vAlign w:val="center"/>
          </w:tcPr>
          <w:p w14:paraId="541E6632">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5B3D8E5A">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44AE6526">
            <w:pPr>
              <w:pStyle w:val="65"/>
              <w:framePr w:hSpace="0" w:wrap="auto" w:vAnchor="margin" w:hAnchor="text" w:xAlign="left" w:yAlign="inline"/>
              <w:rPr>
                <w:rFonts w:hint="default" w:ascii="Times New Roman" w:hAnsi="Times New Roman" w:cs="Times New Roman"/>
                <w:color w:val="auto"/>
                <w:sz w:val="18"/>
                <w:szCs w:val="18"/>
              </w:rPr>
            </w:pPr>
          </w:p>
        </w:tc>
        <w:tc>
          <w:tcPr>
            <w:tcW w:w="153" w:type="pct"/>
            <w:vMerge w:val="continue"/>
            <w:shd w:val="clear" w:color="auto" w:fill="auto"/>
            <w:vAlign w:val="center"/>
          </w:tcPr>
          <w:p w14:paraId="5FCA0E22">
            <w:pPr>
              <w:pStyle w:val="65"/>
              <w:framePr w:hSpace="0" w:wrap="auto" w:vAnchor="margin" w:hAnchor="text" w:xAlign="left" w:yAlign="inline"/>
              <w:rPr>
                <w:rFonts w:hint="default" w:ascii="Times New Roman" w:hAnsi="Times New Roman" w:cs="Times New Roman"/>
                <w:color w:val="auto"/>
                <w:sz w:val="18"/>
                <w:szCs w:val="18"/>
              </w:rPr>
            </w:pPr>
          </w:p>
        </w:tc>
      </w:tr>
      <w:tr w14:paraId="009E5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 w:type="pct"/>
            <w:vMerge w:val="restart"/>
            <w:shd w:val="clear" w:color="auto" w:fill="auto"/>
            <w:vAlign w:val="center"/>
          </w:tcPr>
          <w:p w14:paraId="17C39AB9">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w:t>
            </w:r>
          </w:p>
        </w:tc>
        <w:tc>
          <w:tcPr>
            <w:tcW w:w="127" w:type="pct"/>
            <w:vMerge w:val="continue"/>
            <w:shd w:val="clear" w:color="auto" w:fill="auto"/>
            <w:vAlign w:val="center"/>
          </w:tcPr>
          <w:p w14:paraId="53DCB366">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restart"/>
            <w:shd w:val="clear" w:color="auto" w:fill="auto"/>
            <w:vAlign w:val="center"/>
          </w:tcPr>
          <w:p w14:paraId="4166FA86">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鄠邑区第三污水处理厂外</w:t>
            </w:r>
            <w:r>
              <w:rPr>
                <w:rFonts w:hint="default" w:ascii="Times New Roman" w:hAnsi="Times New Roman" w:cs="Times New Roman"/>
                <w:color w:val="auto"/>
                <w:sz w:val="18"/>
                <w:szCs w:val="18"/>
                <w:lang w:val="en-US" w:eastAsia="zh-CN"/>
              </w:rPr>
              <w:t>排口</w:t>
            </w:r>
          </w:p>
        </w:tc>
        <w:tc>
          <w:tcPr>
            <w:tcW w:w="220" w:type="pct"/>
            <w:vMerge w:val="restart"/>
            <w:shd w:val="clear" w:color="auto" w:fill="auto"/>
            <w:vAlign w:val="center"/>
          </w:tcPr>
          <w:p w14:paraId="5DBCA4C3">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35" w:type="pct"/>
            <w:vMerge w:val="restart"/>
            <w:shd w:val="clear" w:color="auto" w:fill="auto"/>
            <w:vAlign w:val="center"/>
          </w:tcPr>
          <w:p w14:paraId="5D8028A3">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108°38′18″</w:t>
            </w:r>
          </w:p>
        </w:tc>
        <w:tc>
          <w:tcPr>
            <w:tcW w:w="266" w:type="pct"/>
            <w:vMerge w:val="restart"/>
            <w:shd w:val="clear" w:color="auto" w:fill="auto"/>
            <w:vAlign w:val="center"/>
          </w:tcPr>
          <w:p w14:paraId="7461512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w:t>
            </w:r>
            <w:r>
              <w:rPr>
                <w:rFonts w:hint="default" w:ascii="Times New Roman" w:hAnsi="Times New Roman" w:cs="Times New Roman"/>
                <w:color w:val="auto"/>
                <w:sz w:val="18"/>
                <w:szCs w:val="18"/>
                <w:lang w:val="en-US" w:eastAsia="zh-CN"/>
              </w:rPr>
              <w:t>0</w:t>
            </w:r>
            <w:r>
              <w:rPr>
                <w:rFonts w:hint="default" w:ascii="Times New Roman" w:hAnsi="Times New Roman" w:cs="Times New Roman"/>
                <w:color w:val="auto"/>
                <w:sz w:val="18"/>
                <w:szCs w:val="18"/>
              </w:rPr>
              <w:t>4′49″</w:t>
            </w:r>
          </w:p>
        </w:tc>
        <w:tc>
          <w:tcPr>
            <w:tcW w:w="322" w:type="pct"/>
            <w:vMerge w:val="restart"/>
            <w:shd w:val="clear" w:color="auto" w:fill="auto"/>
            <w:vAlign w:val="center"/>
          </w:tcPr>
          <w:p w14:paraId="41E62E7E">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西安市鄠邑区新城路南侧新河西岸</w:t>
            </w:r>
          </w:p>
        </w:tc>
        <w:tc>
          <w:tcPr>
            <w:tcW w:w="235" w:type="pct"/>
            <w:vMerge w:val="restart"/>
            <w:shd w:val="clear" w:color="auto" w:fill="auto"/>
            <w:vAlign w:val="center"/>
          </w:tcPr>
          <w:p w14:paraId="13D7E6B9">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污水集中处理设施排口</w:t>
            </w:r>
          </w:p>
        </w:tc>
        <w:tc>
          <w:tcPr>
            <w:tcW w:w="349" w:type="pct"/>
            <w:vMerge w:val="restart"/>
            <w:shd w:val="clear" w:color="auto" w:fill="auto"/>
            <w:vAlign w:val="center"/>
          </w:tcPr>
          <w:p w14:paraId="2C6B7E35">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鄠邑区第三污水处理厂</w:t>
            </w:r>
            <w:r>
              <w:rPr>
                <w:rFonts w:hint="default" w:ascii="Times New Roman" w:hAnsi="Times New Roman" w:cs="Times New Roman"/>
                <w:color w:val="auto"/>
                <w:sz w:val="18"/>
                <w:szCs w:val="18"/>
                <w:lang w:val="en-US" w:eastAsia="zh-CN"/>
              </w:rPr>
              <w:t>排水</w:t>
            </w:r>
          </w:p>
        </w:tc>
        <w:tc>
          <w:tcPr>
            <w:tcW w:w="143" w:type="pct"/>
            <w:vMerge w:val="restart"/>
            <w:shd w:val="clear" w:color="auto" w:fill="auto"/>
            <w:vAlign w:val="center"/>
          </w:tcPr>
          <w:p w14:paraId="5BFC1EE2">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连续</w:t>
            </w:r>
          </w:p>
        </w:tc>
        <w:tc>
          <w:tcPr>
            <w:tcW w:w="168" w:type="pct"/>
            <w:vMerge w:val="restart"/>
            <w:shd w:val="clear" w:color="auto" w:fill="auto"/>
            <w:vAlign w:val="center"/>
          </w:tcPr>
          <w:p w14:paraId="668E0D8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44EA4A37">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管道</w:t>
            </w:r>
          </w:p>
        </w:tc>
        <w:tc>
          <w:tcPr>
            <w:tcW w:w="233" w:type="pct"/>
            <w:vMerge w:val="restart"/>
            <w:shd w:val="clear" w:color="auto" w:fill="auto"/>
            <w:vAlign w:val="center"/>
          </w:tcPr>
          <w:p w14:paraId="17DB6E8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1095</w:t>
            </w:r>
          </w:p>
        </w:tc>
        <w:tc>
          <w:tcPr>
            <w:tcW w:w="235" w:type="pct"/>
            <w:shd w:val="clear" w:color="auto" w:fill="auto"/>
            <w:vAlign w:val="center"/>
          </w:tcPr>
          <w:p w14:paraId="22D654F3">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COD</w:t>
            </w:r>
          </w:p>
        </w:tc>
        <w:tc>
          <w:tcPr>
            <w:tcW w:w="245" w:type="pct"/>
            <w:shd w:val="clear" w:color="auto" w:fill="auto"/>
            <w:vAlign w:val="center"/>
          </w:tcPr>
          <w:p w14:paraId="1652B38D">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p>
        </w:tc>
        <w:tc>
          <w:tcPr>
            <w:tcW w:w="255" w:type="pct"/>
            <w:shd w:val="clear" w:color="auto" w:fill="auto"/>
            <w:vAlign w:val="center"/>
          </w:tcPr>
          <w:p w14:paraId="35D76544">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328.5</w:t>
            </w:r>
          </w:p>
        </w:tc>
        <w:tc>
          <w:tcPr>
            <w:tcW w:w="194" w:type="pct"/>
            <w:shd w:val="clear" w:color="auto" w:fill="auto"/>
            <w:vAlign w:val="center"/>
          </w:tcPr>
          <w:p w14:paraId="2651EC80">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restart"/>
            <w:shd w:val="clear" w:color="auto" w:fill="auto"/>
            <w:vAlign w:val="center"/>
          </w:tcPr>
          <w:p w14:paraId="06FCEBF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《陕西省黄河流域污水综合排放标准》</w:t>
            </w:r>
            <w:r>
              <w:rPr>
                <w:rFonts w:hint="default" w:ascii="Times New Roman" w:hAnsi="Times New Roman" w:eastAsia="宋体" w:cs="Times New Roman"/>
                <w:color w:val="auto"/>
                <w:sz w:val="18"/>
                <w:szCs w:val="18"/>
                <w:lang w:eastAsia="zh-CN"/>
              </w:rPr>
              <w:t>（DB61/224-2018）</w:t>
            </w:r>
            <w:r>
              <w:rPr>
                <w:rFonts w:hint="default" w:ascii="Times New Roman" w:hAnsi="Times New Roman" w:cs="Times New Roman"/>
                <w:color w:val="auto"/>
                <w:sz w:val="18"/>
                <w:szCs w:val="18"/>
              </w:rPr>
              <w:t>表1中A标准</w:t>
            </w:r>
          </w:p>
        </w:tc>
        <w:tc>
          <w:tcPr>
            <w:tcW w:w="127" w:type="pct"/>
            <w:vMerge w:val="restart"/>
            <w:shd w:val="clear" w:color="auto" w:fill="auto"/>
            <w:vAlign w:val="center"/>
          </w:tcPr>
          <w:p w14:paraId="25C219D8">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新河</w:t>
            </w:r>
          </w:p>
        </w:tc>
        <w:tc>
          <w:tcPr>
            <w:tcW w:w="148" w:type="pct"/>
            <w:vMerge w:val="restart"/>
            <w:shd w:val="clear" w:color="auto" w:fill="auto"/>
            <w:vAlign w:val="center"/>
          </w:tcPr>
          <w:p w14:paraId="2C9BCDD1">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59D8E569">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24AAD5AD">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1C5196BB">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是</w:t>
            </w:r>
          </w:p>
        </w:tc>
      </w:tr>
      <w:tr w14:paraId="33C8A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 w:type="pct"/>
            <w:vMerge w:val="continue"/>
            <w:shd w:val="clear" w:color="auto" w:fill="auto"/>
            <w:vAlign w:val="center"/>
          </w:tcPr>
          <w:p w14:paraId="43DA37BF">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311F2754">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4D826001">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04A5C6B1">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65870E56">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4650D0F9">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290FE7D6">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26C72D14">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2A1A813F">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1EB23E44">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7DFE6829">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96A03FE">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4B74705A">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73C2B912">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氨氮</w:t>
            </w:r>
          </w:p>
        </w:tc>
        <w:tc>
          <w:tcPr>
            <w:tcW w:w="245" w:type="pct"/>
            <w:shd w:val="clear" w:color="auto" w:fill="auto"/>
            <w:vAlign w:val="center"/>
          </w:tcPr>
          <w:p w14:paraId="68AFF306">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1.5（3）</w:t>
            </w:r>
          </w:p>
        </w:tc>
        <w:tc>
          <w:tcPr>
            <w:tcW w:w="255" w:type="pct"/>
            <w:shd w:val="clear" w:color="auto" w:fill="auto"/>
            <w:vAlign w:val="center"/>
          </w:tcPr>
          <w:p w14:paraId="2ED1C619">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16.43</w:t>
            </w:r>
          </w:p>
        </w:tc>
        <w:tc>
          <w:tcPr>
            <w:tcW w:w="194" w:type="pct"/>
            <w:shd w:val="clear" w:color="auto" w:fill="auto"/>
            <w:vAlign w:val="center"/>
          </w:tcPr>
          <w:p w14:paraId="6FDECE9A">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continue"/>
            <w:shd w:val="clear" w:color="auto" w:fill="auto"/>
            <w:vAlign w:val="center"/>
          </w:tcPr>
          <w:p w14:paraId="68009399">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558F7559">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8" w:type="pct"/>
            <w:vMerge w:val="continue"/>
            <w:shd w:val="clear" w:color="auto" w:fill="auto"/>
            <w:vAlign w:val="center"/>
          </w:tcPr>
          <w:p w14:paraId="2D4F160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6759C671">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389233F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3" w:type="pct"/>
            <w:vMerge w:val="continue"/>
            <w:shd w:val="clear" w:color="auto" w:fill="auto"/>
            <w:vAlign w:val="center"/>
          </w:tcPr>
          <w:p w14:paraId="546C7BB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r>
      <w:tr w14:paraId="2838D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19" w:type="pct"/>
            <w:vMerge w:val="restart"/>
            <w:shd w:val="clear" w:color="auto" w:fill="auto"/>
            <w:vAlign w:val="center"/>
          </w:tcPr>
          <w:p w14:paraId="1117C229">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w:t>
            </w:r>
          </w:p>
        </w:tc>
        <w:tc>
          <w:tcPr>
            <w:tcW w:w="127" w:type="pct"/>
            <w:vMerge w:val="continue"/>
            <w:shd w:val="clear" w:color="auto" w:fill="auto"/>
            <w:vAlign w:val="center"/>
          </w:tcPr>
          <w:p w14:paraId="5F7B8E6B">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restart"/>
            <w:shd w:val="clear" w:color="auto" w:fill="auto"/>
            <w:vAlign w:val="center"/>
          </w:tcPr>
          <w:p w14:paraId="249647E2">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西安金鹏水务工程有限公司总排口</w:t>
            </w:r>
          </w:p>
        </w:tc>
        <w:tc>
          <w:tcPr>
            <w:tcW w:w="220" w:type="pct"/>
            <w:vMerge w:val="restart"/>
            <w:shd w:val="clear" w:color="auto" w:fill="auto"/>
            <w:vAlign w:val="center"/>
          </w:tcPr>
          <w:p w14:paraId="6B47A0A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610118X04</w:t>
            </w:r>
          </w:p>
        </w:tc>
        <w:tc>
          <w:tcPr>
            <w:tcW w:w="235" w:type="pct"/>
            <w:vMerge w:val="restart"/>
            <w:shd w:val="clear" w:color="auto" w:fill="auto"/>
            <w:vAlign w:val="center"/>
          </w:tcPr>
          <w:p w14:paraId="21A16A8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108°39′53.0″</w:t>
            </w:r>
          </w:p>
        </w:tc>
        <w:tc>
          <w:tcPr>
            <w:tcW w:w="266" w:type="pct"/>
            <w:vMerge w:val="restart"/>
            <w:shd w:val="clear" w:color="auto" w:fill="auto"/>
            <w:vAlign w:val="center"/>
          </w:tcPr>
          <w:p w14:paraId="63306ED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34°09′18.0″</w:t>
            </w:r>
          </w:p>
        </w:tc>
        <w:tc>
          <w:tcPr>
            <w:tcW w:w="322" w:type="pct"/>
            <w:vMerge w:val="restart"/>
            <w:shd w:val="clear" w:color="auto" w:fill="auto"/>
            <w:vAlign w:val="center"/>
          </w:tcPr>
          <w:p w14:paraId="150D4ED7">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五竹镇韩旗寨村西安金鹏水务工程有限公司</w:t>
            </w:r>
          </w:p>
        </w:tc>
        <w:tc>
          <w:tcPr>
            <w:tcW w:w="235" w:type="pct"/>
            <w:vMerge w:val="restart"/>
            <w:shd w:val="clear" w:color="auto" w:fill="auto"/>
            <w:vAlign w:val="center"/>
          </w:tcPr>
          <w:p w14:paraId="36F65F70">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污水集中处理设施排口</w:t>
            </w:r>
          </w:p>
        </w:tc>
        <w:tc>
          <w:tcPr>
            <w:tcW w:w="349" w:type="pct"/>
            <w:vMerge w:val="restart"/>
            <w:shd w:val="clear" w:color="auto" w:fill="auto"/>
            <w:vAlign w:val="center"/>
          </w:tcPr>
          <w:p w14:paraId="693FCD64">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二污排水</w:t>
            </w:r>
          </w:p>
        </w:tc>
        <w:tc>
          <w:tcPr>
            <w:tcW w:w="143" w:type="pct"/>
            <w:vMerge w:val="restart"/>
            <w:shd w:val="clear" w:color="auto" w:fill="auto"/>
            <w:vAlign w:val="center"/>
          </w:tcPr>
          <w:p w14:paraId="1C208ED0">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连续</w:t>
            </w:r>
          </w:p>
        </w:tc>
        <w:tc>
          <w:tcPr>
            <w:tcW w:w="168" w:type="pct"/>
            <w:vMerge w:val="restart"/>
            <w:shd w:val="clear" w:color="auto" w:fill="auto"/>
            <w:vAlign w:val="center"/>
          </w:tcPr>
          <w:p w14:paraId="052435B7">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4D451970">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管道</w:t>
            </w:r>
          </w:p>
        </w:tc>
        <w:tc>
          <w:tcPr>
            <w:tcW w:w="233" w:type="pct"/>
            <w:vMerge w:val="restart"/>
            <w:shd w:val="clear" w:color="auto" w:fill="auto"/>
            <w:vAlign w:val="center"/>
          </w:tcPr>
          <w:p w14:paraId="49A4FA8B">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1279.6</w:t>
            </w:r>
          </w:p>
        </w:tc>
        <w:tc>
          <w:tcPr>
            <w:tcW w:w="235" w:type="pct"/>
            <w:shd w:val="clear" w:color="auto" w:fill="auto"/>
            <w:vAlign w:val="center"/>
          </w:tcPr>
          <w:p w14:paraId="28CDAF66">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COD</w:t>
            </w:r>
          </w:p>
        </w:tc>
        <w:tc>
          <w:tcPr>
            <w:tcW w:w="245" w:type="pct"/>
            <w:shd w:val="clear" w:color="auto" w:fill="auto"/>
            <w:vAlign w:val="center"/>
          </w:tcPr>
          <w:p w14:paraId="3F63EBF7">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30</w:t>
            </w:r>
          </w:p>
        </w:tc>
        <w:tc>
          <w:tcPr>
            <w:tcW w:w="255" w:type="pct"/>
            <w:shd w:val="clear" w:color="auto" w:fill="auto"/>
            <w:vAlign w:val="center"/>
          </w:tcPr>
          <w:p w14:paraId="1F29BA5D">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657</w:t>
            </w:r>
          </w:p>
        </w:tc>
        <w:tc>
          <w:tcPr>
            <w:tcW w:w="194" w:type="pct"/>
            <w:shd w:val="clear" w:color="auto" w:fill="auto"/>
            <w:vAlign w:val="center"/>
          </w:tcPr>
          <w:p w14:paraId="25E8E2D3">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restart"/>
            <w:shd w:val="clear" w:color="auto" w:fill="auto"/>
            <w:vAlign w:val="center"/>
          </w:tcPr>
          <w:p w14:paraId="786AD6F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《陕西省黄河流域污水综合排放标准》（DB61/224-2018）中的A标准（其中TN根据《西安市城镇污水处理厂再生水化提标改造和加盖除臭工程三年行动方案（2018-2020年）》（市政办发[2018]100号）要求执行12mg/L）</w:t>
            </w:r>
          </w:p>
        </w:tc>
        <w:tc>
          <w:tcPr>
            <w:tcW w:w="127" w:type="pct"/>
            <w:vMerge w:val="restart"/>
            <w:shd w:val="clear" w:color="auto" w:fill="auto"/>
            <w:vAlign w:val="center"/>
          </w:tcPr>
          <w:p w14:paraId="51915FB6">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新河</w:t>
            </w:r>
          </w:p>
        </w:tc>
        <w:tc>
          <w:tcPr>
            <w:tcW w:w="148" w:type="pct"/>
            <w:vMerge w:val="restart"/>
            <w:shd w:val="clear" w:color="auto" w:fill="auto"/>
            <w:vAlign w:val="center"/>
          </w:tcPr>
          <w:p w14:paraId="068FA5D6">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06AA4194">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2A5AF8B5">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3889403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是</w:t>
            </w:r>
          </w:p>
        </w:tc>
      </w:tr>
      <w:tr w14:paraId="75ED3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119" w:type="pct"/>
            <w:vMerge w:val="continue"/>
            <w:shd w:val="clear" w:color="auto" w:fill="auto"/>
            <w:vAlign w:val="center"/>
          </w:tcPr>
          <w:p w14:paraId="4A865B23">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73802F24">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283EBC78">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488AA8AF">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1AA93543">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727E51F0">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2F2CF939">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30C5E114">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2F8A4B4A">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3994FEAA">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837594F">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05D7D47E">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55364F4A">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24AAA146">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氨氮</w:t>
            </w:r>
          </w:p>
        </w:tc>
        <w:tc>
          <w:tcPr>
            <w:tcW w:w="245" w:type="pct"/>
            <w:shd w:val="clear" w:color="auto" w:fill="auto"/>
            <w:vAlign w:val="center"/>
          </w:tcPr>
          <w:p w14:paraId="095AFB9E">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1.5（3）</w:t>
            </w:r>
          </w:p>
        </w:tc>
        <w:tc>
          <w:tcPr>
            <w:tcW w:w="255" w:type="pct"/>
            <w:shd w:val="clear" w:color="auto" w:fill="auto"/>
            <w:vAlign w:val="center"/>
          </w:tcPr>
          <w:p w14:paraId="39A6508A">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32.85</w:t>
            </w:r>
          </w:p>
        </w:tc>
        <w:tc>
          <w:tcPr>
            <w:tcW w:w="194" w:type="pct"/>
            <w:shd w:val="clear" w:color="auto" w:fill="auto"/>
            <w:vAlign w:val="center"/>
          </w:tcPr>
          <w:p w14:paraId="603D5E7B">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continue"/>
            <w:shd w:val="clear" w:color="auto" w:fill="auto"/>
            <w:vAlign w:val="center"/>
          </w:tcPr>
          <w:p w14:paraId="4F97216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07236FC0">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8" w:type="pct"/>
            <w:vMerge w:val="continue"/>
            <w:shd w:val="clear" w:color="auto" w:fill="auto"/>
            <w:vAlign w:val="center"/>
          </w:tcPr>
          <w:p w14:paraId="70B2ACA1">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1172AC72">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34CC99AB">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3" w:type="pct"/>
            <w:vMerge w:val="continue"/>
            <w:shd w:val="clear" w:color="auto" w:fill="auto"/>
            <w:vAlign w:val="center"/>
          </w:tcPr>
          <w:p w14:paraId="4FFC223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r>
      <w:tr w14:paraId="5A5D8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19" w:type="pct"/>
            <w:vMerge w:val="continue"/>
            <w:shd w:val="clear" w:color="auto" w:fill="auto"/>
            <w:vAlign w:val="center"/>
          </w:tcPr>
          <w:p w14:paraId="3D03E43D">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5C52ACD1">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17" w:type="pct"/>
            <w:vMerge w:val="continue"/>
            <w:shd w:val="clear" w:color="auto" w:fill="auto"/>
            <w:vAlign w:val="center"/>
          </w:tcPr>
          <w:p w14:paraId="35D6E8A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20" w:type="pct"/>
            <w:vMerge w:val="continue"/>
            <w:shd w:val="clear" w:color="auto" w:fill="auto"/>
            <w:vAlign w:val="center"/>
          </w:tcPr>
          <w:p w14:paraId="792D41EB">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vMerge w:val="continue"/>
            <w:shd w:val="clear" w:color="auto" w:fill="auto"/>
            <w:vAlign w:val="center"/>
          </w:tcPr>
          <w:p w14:paraId="42766ECC">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66" w:type="pct"/>
            <w:vMerge w:val="continue"/>
            <w:shd w:val="clear" w:color="auto" w:fill="auto"/>
            <w:vAlign w:val="center"/>
          </w:tcPr>
          <w:p w14:paraId="65CB349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22" w:type="pct"/>
            <w:vMerge w:val="continue"/>
            <w:shd w:val="clear" w:color="auto" w:fill="auto"/>
            <w:vAlign w:val="center"/>
          </w:tcPr>
          <w:p w14:paraId="0A32901D">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vMerge w:val="continue"/>
            <w:shd w:val="clear" w:color="auto" w:fill="auto"/>
            <w:vAlign w:val="center"/>
          </w:tcPr>
          <w:p w14:paraId="67F37A9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49" w:type="pct"/>
            <w:vMerge w:val="continue"/>
            <w:shd w:val="clear" w:color="auto" w:fill="auto"/>
            <w:vAlign w:val="center"/>
          </w:tcPr>
          <w:p w14:paraId="646C3534">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3" w:type="pct"/>
            <w:vMerge w:val="continue"/>
            <w:shd w:val="clear" w:color="auto" w:fill="auto"/>
            <w:vAlign w:val="center"/>
          </w:tcPr>
          <w:p w14:paraId="35006BA3">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68" w:type="pct"/>
            <w:vMerge w:val="continue"/>
            <w:shd w:val="clear" w:color="auto" w:fill="auto"/>
            <w:vAlign w:val="center"/>
          </w:tcPr>
          <w:p w14:paraId="51999408">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68" w:type="pct"/>
            <w:vMerge w:val="continue"/>
            <w:shd w:val="clear" w:color="auto" w:fill="auto"/>
            <w:vAlign w:val="center"/>
          </w:tcPr>
          <w:p w14:paraId="314755D3">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3" w:type="pct"/>
            <w:vMerge w:val="continue"/>
            <w:shd w:val="clear" w:color="auto" w:fill="auto"/>
            <w:vAlign w:val="center"/>
          </w:tcPr>
          <w:p w14:paraId="15E43DF9">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shd w:val="clear" w:color="auto" w:fill="auto"/>
            <w:vAlign w:val="center"/>
          </w:tcPr>
          <w:p w14:paraId="5892849F">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总磷</w:t>
            </w:r>
          </w:p>
        </w:tc>
        <w:tc>
          <w:tcPr>
            <w:tcW w:w="245" w:type="pct"/>
            <w:shd w:val="clear" w:color="auto" w:fill="auto"/>
            <w:vAlign w:val="center"/>
          </w:tcPr>
          <w:p w14:paraId="25C9E8BD">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0.3</w:t>
            </w:r>
          </w:p>
        </w:tc>
        <w:tc>
          <w:tcPr>
            <w:tcW w:w="255" w:type="pct"/>
            <w:shd w:val="clear" w:color="auto" w:fill="auto"/>
            <w:vAlign w:val="center"/>
          </w:tcPr>
          <w:p w14:paraId="5534E48A">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6.57</w:t>
            </w:r>
          </w:p>
        </w:tc>
        <w:tc>
          <w:tcPr>
            <w:tcW w:w="194" w:type="pct"/>
            <w:shd w:val="clear" w:color="auto" w:fill="auto"/>
            <w:vAlign w:val="center"/>
          </w:tcPr>
          <w:p w14:paraId="4A43CA75">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continue"/>
            <w:shd w:val="clear" w:color="auto" w:fill="auto"/>
            <w:vAlign w:val="center"/>
          </w:tcPr>
          <w:p w14:paraId="07DC9662">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1DAF3815">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8" w:type="pct"/>
            <w:vMerge w:val="continue"/>
            <w:shd w:val="clear" w:color="auto" w:fill="auto"/>
            <w:vAlign w:val="center"/>
          </w:tcPr>
          <w:p w14:paraId="18C0B05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171DFC0E">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406498B0">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3" w:type="pct"/>
            <w:vMerge w:val="continue"/>
            <w:shd w:val="clear" w:color="auto" w:fill="auto"/>
            <w:vAlign w:val="center"/>
          </w:tcPr>
          <w:p w14:paraId="7DC0A515">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r>
      <w:tr w14:paraId="650603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9" w:type="pct"/>
            <w:vMerge w:val="restart"/>
            <w:shd w:val="clear" w:color="auto" w:fill="auto"/>
            <w:vAlign w:val="center"/>
          </w:tcPr>
          <w:p w14:paraId="62A8381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c>
          <w:tcPr>
            <w:tcW w:w="127" w:type="pct"/>
            <w:vMerge w:val="continue"/>
            <w:shd w:val="clear" w:color="auto" w:fill="auto"/>
            <w:vAlign w:val="center"/>
          </w:tcPr>
          <w:p w14:paraId="417EDDE2">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restart"/>
            <w:shd w:val="clear" w:color="auto" w:fill="auto"/>
            <w:vAlign w:val="center"/>
          </w:tcPr>
          <w:p w14:paraId="4AB6E72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西安金鹏水务工程有限公司溢流口</w:t>
            </w:r>
          </w:p>
        </w:tc>
        <w:tc>
          <w:tcPr>
            <w:tcW w:w="220" w:type="pct"/>
            <w:vMerge w:val="restart"/>
            <w:shd w:val="clear" w:color="auto" w:fill="auto"/>
            <w:vAlign w:val="center"/>
          </w:tcPr>
          <w:p w14:paraId="1F4E0944">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610118X05</w:t>
            </w:r>
          </w:p>
        </w:tc>
        <w:tc>
          <w:tcPr>
            <w:tcW w:w="235" w:type="pct"/>
            <w:vMerge w:val="restart"/>
            <w:shd w:val="clear" w:color="auto" w:fill="auto"/>
            <w:vAlign w:val="center"/>
          </w:tcPr>
          <w:p w14:paraId="3D82B68D">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108°34′49.0″</w:t>
            </w:r>
          </w:p>
        </w:tc>
        <w:tc>
          <w:tcPr>
            <w:tcW w:w="266" w:type="pct"/>
            <w:vMerge w:val="restart"/>
            <w:shd w:val="clear" w:color="auto" w:fill="auto"/>
            <w:vAlign w:val="center"/>
          </w:tcPr>
          <w:p w14:paraId="3121D8F3">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34°07′26.0″</w:t>
            </w:r>
          </w:p>
        </w:tc>
        <w:tc>
          <w:tcPr>
            <w:tcW w:w="322" w:type="pct"/>
            <w:vMerge w:val="restart"/>
            <w:shd w:val="clear" w:color="auto" w:fill="auto"/>
            <w:vAlign w:val="center"/>
          </w:tcPr>
          <w:p w14:paraId="453A5B83">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五竹镇韩旗寨村铁路以东桥南200m</w:t>
            </w:r>
          </w:p>
        </w:tc>
        <w:tc>
          <w:tcPr>
            <w:tcW w:w="235" w:type="pct"/>
            <w:vMerge w:val="restart"/>
            <w:shd w:val="clear" w:color="auto" w:fill="auto"/>
            <w:vAlign w:val="center"/>
          </w:tcPr>
          <w:p w14:paraId="48E47596">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污水集中处理设施排口</w:t>
            </w:r>
          </w:p>
        </w:tc>
        <w:tc>
          <w:tcPr>
            <w:tcW w:w="349" w:type="pct"/>
            <w:vMerge w:val="restart"/>
            <w:shd w:val="clear" w:color="auto" w:fill="auto"/>
            <w:vAlign w:val="center"/>
          </w:tcPr>
          <w:p w14:paraId="676F97BE">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二污溢流排水</w:t>
            </w:r>
          </w:p>
        </w:tc>
        <w:tc>
          <w:tcPr>
            <w:tcW w:w="143" w:type="pct"/>
            <w:vMerge w:val="restart"/>
            <w:shd w:val="clear" w:color="auto" w:fill="auto"/>
            <w:vAlign w:val="center"/>
          </w:tcPr>
          <w:p w14:paraId="5401EEA9">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间歇</w:t>
            </w:r>
          </w:p>
        </w:tc>
        <w:tc>
          <w:tcPr>
            <w:tcW w:w="168" w:type="pct"/>
            <w:vMerge w:val="restart"/>
            <w:shd w:val="clear" w:color="auto" w:fill="auto"/>
            <w:vAlign w:val="center"/>
          </w:tcPr>
          <w:p w14:paraId="6593DCF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19E0FC31">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管道</w:t>
            </w:r>
          </w:p>
        </w:tc>
        <w:tc>
          <w:tcPr>
            <w:tcW w:w="233" w:type="pct"/>
            <w:vMerge w:val="restart"/>
            <w:shd w:val="clear" w:color="auto" w:fill="auto"/>
            <w:vAlign w:val="center"/>
          </w:tcPr>
          <w:p w14:paraId="76631CD5">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35" w:type="pct"/>
            <w:shd w:val="clear" w:color="auto" w:fill="auto"/>
            <w:vAlign w:val="center"/>
          </w:tcPr>
          <w:p w14:paraId="5165D76F">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COD</w:t>
            </w:r>
          </w:p>
        </w:tc>
        <w:tc>
          <w:tcPr>
            <w:tcW w:w="245" w:type="pct"/>
            <w:shd w:val="clear" w:color="auto" w:fill="auto"/>
            <w:vAlign w:val="center"/>
          </w:tcPr>
          <w:p w14:paraId="3B253B2D">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55" w:type="pct"/>
            <w:shd w:val="clear" w:color="auto" w:fill="auto"/>
            <w:vAlign w:val="center"/>
          </w:tcPr>
          <w:p w14:paraId="72564477">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94" w:type="pct"/>
            <w:shd w:val="clear" w:color="auto" w:fill="auto"/>
            <w:vAlign w:val="center"/>
          </w:tcPr>
          <w:p w14:paraId="7ED18314">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restart"/>
            <w:shd w:val="clear" w:color="auto" w:fill="auto"/>
            <w:vAlign w:val="center"/>
          </w:tcPr>
          <w:p w14:paraId="5E289858">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《陕西省黄河流域污水综合排放标准》（DB61/224-2018）A级标准</w:t>
            </w:r>
          </w:p>
        </w:tc>
        <w:tc>
          <w:tcPr>
            <w:tcW w:w="127" w:type="pct"/>
            <w:vMerge w:val="restart"/>
            <w:shd w:val="clear" w:color="auto" w:fill="auto"/>
            <w:vAlign w:val="center"/>
          </w:tcPr>
          <w:p w14:paraId="31C8532A">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新河</w:t>
            </w:r>
          </w:p>
        </w:tc>
        <w:tc>
          <w:tcPr>
            <w:tcW w:w="148" w:type="pct"/>
            <w:vMerge w:val="restart"/>
            <w:shd w:val="clear" w:color="auto" w:fill="auto"/>
            <w:vAlign w:val="center"/>
          </w:tcPr>
          <w:p w14:paraId="6EF6A2BE">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7FBC4F06">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1CCB9C1F">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0386657C">
            <w:pPr>
              <w:pStyle w:val="65"/>
              <w:framePr w:hSpace="0" w:wrap="auto" w:vAnchor="margin" w:hAnchor="text" w:xAlign="left" w:yAlign="inline"/>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eastAsia="zh-CN"/>
              </w:rPr>
              <w:t>是</w:t>
            </w:r>
          </w:p>
        </w:tc>
      </w:tr>
      <w:tr w14:paraId="14660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9" w:type="pct"/>
            <w:vMerge w:val="continue"/>
            <w:shd w:val="clear" w:color="auto" w:fill="auto"/>
            <w:vAlign w:val="center"/>
          </w:tcPr>
          <w:p w14:paraId="44302D6B">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464C4230">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76D510C7">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0332023D">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16739A6C">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716FCBB9">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6B0B4824">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07275061">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6CCB8C5A">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49CB94C0">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4A4CA7AC">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66AF1B61">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31500966">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4F6D2B28">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氨氮</w:t>
            </w:r>
          </w:p>
        </w:tc>
        <w:tc>
          <w:tcPr>
            <w:tcW w:w="245" w:type="pct"/>
            <w:shd w:val="clear" w:color="auto" w:fill="auto"/>
            <w:vAlign w:val="center"/>
          </w:tcPr>
          <w:p w14:paraId="137CB748">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55" w:type="pct"/>
            <w:shd w:val="clear" w:color="auto" w:fill="auto"/>
            <w:vAlign w:val="center"/>
          </w:tcPr>
          <w:p w14:paraId="61795F37">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94" w:type="pct"/>
            <w:shd w:val="clear" w:color="auto" w:fill="auto"/>
            <w:vAlign w:val="center"/>
          </w:tcPr>
          <w:p w14:paraId="3D4DCC99">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是</w:t>
            </w:r>
          </w:p>
        </w:tc>
        <w:tc>
          <w:tcPr>
            <w:tcW w:w="411" w:type="pct"/>
            <w:vMerge w:val="continue"/>
            <w:shd w:val="clear" w:color="auto" w:fill="auto"/>
            <w:vAlign w:val="center"/>
          </w:tcPr>
          <w:p w14:paraId="6F30562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1CE767E0">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8" w:type="pct"/>
            <w:vMerge w:val="continue"/>
            <w:shd w:val="clear" w:color="auto" w:fill="auto"/>
            <w:vAlign w:val="center"/>
          </w:tcPr>
          <w:p w14:paraId="2AA0FD24">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5336236C">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7467160B">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3" w:type="pct"/>
            <w:vMerge w:val="continue"/>
            <w:shd w:val="clear" w:color="auto" w:fill="auto"/>
            <w:vAlign w:val="center"/>
          </w:tcPr>
          <w:p w14:paraId="3EE85B8D">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r>
      <w:tr w14:paraId="673F42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119" w:type="pct"/>
            <w:vMerge w:val="continue"/>
            <w:shd w:val="clear" w:color="auto" w:fill="auto"/>
            <w:vAlign w:val="center"/>
          </w:tcPr>
          <w:p w14:paraId="073B2223">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3F531970">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17" w:type="pct"/>
            <w:vMerge w:val="continue"/>
            <w:shd w:val="clear" w:color="auto" w:fill="auto"/>
            <w:vAlign w:val="center"/>
          </w:tcPr>
          <w:p w14:paraId="6AD88822">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20" w:type="pct"/>
            <w:vMerge w:val="continue"/>
            <w:shd w:val="clear" w:color="auto" w:fill="auto"/>
            <w:vAlign w:val="center"/>
          </w:tcPr>
          <w:p w14:paraId="2A98BEA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vMerge w:val="continue"/>
            <w:shd w:val="clear" w:color="auto" w:fill="auto"/>
            <w:vAlign w:val="center"/>
          </w:tcPr>
          <w:p w14:paraId="3299E242">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66" w:type="pct"/>
            <w:vMerge w:val="continue"/>
            <w:shd w:val="clear" w:color="auto" w:fill="auto"/>
            <w:vAlign w:val="center"/>
          </w:tcPr>
          <w:p w14:paraId="15BBE86C">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22" w:type="pct"/>
            <w:vMerge w:val="continue"/>
            <w:shd w:val="clear" w:color="auto" w:fill="auto"/>
            <w:vAlign w:val="center"/>
          </w:tcPr>
          <w:p w14:paraId="0F518F0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vMerge w:val="continue"/>
            <w:shd w:val="clear" w:color="auto" w:fill="auto"/>
            <w:vAlign w:val="center"/>
          </w:tcPr>
          <w:p w14:paraId="3904FA53">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49" w:type="pct"/>
            <w:vMerge w:val="continue"/>
            <w:shd w:val="clear" w:color="auto" w:fill="auto"/>
            <w:vAlign w:val="center"/>
          </w:tcPr>
          <w:p w14:paraId="457587E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3" w:type="pct"/>
            <w:vMerge w:val="continue"/>
            <w:shd w:val="clear" w:color="auto" w:fill="auto"/>
            <w:vAlign w:val="center"/>
          </w:tcPr>
          <w:p w14:paraId="74A0D47E">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68" w:type="pct"/>
            <w:vMerge w:val="continue"/>
            <w:shd w:val="clear" w:color="auto" w:fill="auto"/>
            <w:vAlign w:val="center"/>
          </w:tcPr>
          <w:p w14:paraId="6AE934E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68" w:type="pct"/>
            <w:vMerge w:val="continue"/>
            <w:shd w:val="clear" w:color="auto" w:fill="auto"/>
            <w:vAlign w:val="center"/>
          </w:tcPr>
          <w:p w14:paraId="49993F7E">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3" w:type="pct"/>
            <w:vMerge w:val="continue"/>
            <w:shd w:val="clear" w:color="auto" w:fill="auto"/>
            <w:vAlign w:val="center"/>
          </w:tcPr>
          <w:p w14:paraId="344B43D2">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235" w:type="pct"/>
            <w:shd w:val="clear" w:color="auto" w:fill="auto"/>
            <w:vAlign w:val="center"/>
          </w:tcPr>
          <w:p w14:paraId="3567C7D0">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其他</w:t>
            </w:r>
          </w:p>
        </w:tc>
        <w:tc>
          <w:tcPr>
            <w:tcW w:w="245" w:type="pct"/>
            <w:shd w:val="clear" w:color="auto" w:fill="auto"/>
            <w:vAlign w:val="center"/>
          </w:tcPr>
          <w:p w14:paraId="1AB9416C">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55" w:type="pct"/>
            <w:shd w:val="clear" w:color="auto" w:fill="auto"/>
            <w:vAlign w:val="center"/>
          </w:tcPr>
          <w:p w14:paraId="5BAC151D">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94" w:type="pct"/>
            <w:shd w:val="clear" w:color="auto" w:fill="auto"/>
            <w:vAlign w:val="center"/>
          </w:tcPr>
          <w:p w14:paraId="6E2E0C46">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411" w:type="pct"/>
            <w:vMerge w:val="continue"/>
            <w:shd w:val="clear" w:color="auto" w:fill="auto"/>
            <w:vAlign w:val="center"/>
          </w:tcPr>
          <w:p w14:paraId="47B8F918">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27" w:type="pct"/>
            <w:vMerge w:val="continue"/>
            <w:shd w:val="clear" w:color="auto" w:fill="auto"/>
            <w:vAlign w:val="center"/>
          </w:tcPr>
          <w:p w14:paraId="626C587B">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48" w:type="pct"/>
            <w:vMerge w:val="continue"/>
            <w:shd w:val="clear" w:color="auto" w:fill="auto"/>
            <w:vAlign w:val="center"/>
          </w:tcPr>
          <w:p w14:paraId="3E0F699A">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1D096957">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8" w:type="pct"/>
            <w:vMerge w:val="continue"/>
            <w:shd w:val="clear" w:color="auto" w:fill="auto"/>
            <w:vAlign w:val="center"/>
          </w:tcPr>
          <w:p w14:paraId="17D6A971">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153" w:type="pct"/>
            <w:vMerge w:val="continue"/>
            <w:shd w:val="clear" w:color="auto" w:fill="auto"/>
            <w:vAlign w:val="center"/>
          </w:tcPr>
          <w:p w14:paraId="06F4FDBD">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r>
      <w:tr w14:paraId="1B8B6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119" w:type="pct"/>
            <w:vMerge w:val="restart"/>
            <w:shd w:val="clear" w:color="auto" w:fill="auto"/>
            <w:vAlign w:val="center"/>
          </w:tcPr>
          <w:p w14:paraId="1BC7E530">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127" w:type="pct"/>
            <w:vMerge w:val="continue"/>
            <w:shd w:val="clear" w:color="auto" w:fill="auto"/>
            <w:vAlign w:val="center"/>
          </w:tcPr>
          <w:p w14:paraId="3C9A45BE">
            <w:pPr>
              <w:pStyle w:val="65"/>
              <w:framePr w:hSpace="0" w:wrap="auto" w:vAnchor="margin" w:hAnchor="text" w:xAlign="left" w:yAlign="inline"/>
              <w:rPr>
                <w:rFonts w:hint="default" w:ascii="Times New Roman" w:hAnsi="Times New Roman" w:cs="Times New Roman"/>
                <w:color w:val="auto"/>
                <w:sz w:val="18"/>
                <w:szCs w:val="18"/>
                <w:lang w:val="en-US" w:eastAsia="zh-CN"/>
              </w:rPr>
            </w:pPr>
          </w:p>
        </w:tc>
        <w:tc>
          <w:tcPr>
            <w:tcW w:w="317" w:type="pct"/>
            <w:vMerge w:val="restart"/>
            <w:shd w:val="clear" w:color="auto" w:fill="auto"/>
            <w:vAlign w:val="center"/>
          </w:tcPr>
          <w:p w14:paraId="3FDA1BFC">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西安国维淀粉有限责任公司排污口</w:t>
            </w:r>
          </w:p>
        </w:tc>
        <w:tc>
          <w:tcPr>
            <w:tcW w:w="220" w:type="pct"/>
            <w:vMerge w:val="restart"/>
            <w:shd w:val="clear" w:color="auto" w:fill="auto"/>
            <w:vAlign w:val="center"/>
          </w:tcPr>
          <w:p w14:paraId="5BA7124E">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610118H01</w:t>
            </w:r>
          </w:p>
        </w:tc>
        <w:tc>
          <w:tcPr>
            <w:tcW w:w="235" w:type="pct"/>
            <w:vMerge w:val="restart"/>
            <w:shd w:val="clear" w:color="auto" w:fill="auto"/>
            <w:vAlign w:val="center"/>
          </w:tcPr>
          <w:p w14:paraId="0D3D615B">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108°39′52.0″</w:t>
            </w:r>
          </w:p>
        </w:tc>
        <w:tc>
          <w:tcPr>
            <w:tcW w:w="266" w:type="pct"/>
            <w:vMerge w:val="restart"/>
            <w:shd w:val="clear" w:color="auto" w:fill="auto"/>
            <w:vAlign w:val="center"/>
          </w:tcPr>
          <w:p w14:paraId="578C2919">
            <w:pPr>
              <w:pStyle w:val="65"/>
              <w:framePr w:hSpace="0" w:wrap="auto" w:vAnchor="margin" w:hAnchor="text" w:xAlign="left" w:yAlign="inline"/>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34°09′23.0″</w:t>
            </w:r>
          </w:p>
        </w:tc>
        <w:tc>
          <w:tcPr>
            <w:tcW w:w="322" w:type="pct"/>
            <w:vMerge w:val="restart"/>
            <w:shd w:val="clear" w:color="auto" w:fill="auto"/>
            <w:vAlign w:val="center"/>
          </w:tcPr>
          <w:p w14:paraId="0D44314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沣京工业园区西安国维淀粉有限责任公司</w:t>
            </w:r>
          </w:p>
        </w:tc>
        <w:tc>
          <w:tcPr>
            <w:tcW w:w="235" w:type="pct"/>
            <w:vMerge w:val="restart"/>
            <w:shd w:val="clear" w:color="auto" w:fill="auto"/>
            <w:vAlign w:val="center"/>
          </w:tcPr>
          <w:p w14:paraId="063EA6D7">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工业企业排口</w:t>
            </w:r>
          </w:p>
        </w:tc>
        <w:tc>
          <w:tcPr>
            <w:tcW w:w="349" w:type="pct"/>
            <w:vMerge w:val="restart"/>
            <w:shd w:val="clear" w:color="auto" w:fill="auto"/>
            <w:vAlign w:val="center"/>
          </w:tcPr>
          <w:p w14:paraId="6A9A2284">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西安国维淀粉有限责任公司排水</w:t>
            </w:r>
          </w:p>
        </w:tc>
        <w:tc>
          <w:tcPr>
            <w:tcW w:w="143" w:type="pct"/>
            <w:vMerge w:val="restart"/>
            <w:shd w:val="clear" w:color="auto" w:fill="auto"/>
            <w:vAlign w:val="center"/>
          </w:tcPr>
          <w:p w14:paraId="4F8BC2A1">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连续</w:t>
            </w:r>
          </w:p>
        </w:tc>
        <w:tc>
          <w:tcPr>
            <w:tcW w:w="168" w:type="pct"/>
            <w:vMerge w:val="restart"/>
            <w:shd w:val="clear" w:color="auto" w:fill="auto"/>
            <w:vAlign w:val="center"/>
          </w:tcPr>
          <w:p w14:paraId="715ACDB5">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直接</w:t>
            </w:r>
          </w:p>
        </w:tc>
        <w:tc>
          <w:tcPr>
            <w:tcW w:w="168" w:type="pct"/>
            <w:vMerge w:val="restart"/>
            <w:shd w:val="clear" w:color="auto" w:fill="auto"/>
            <w:vAlign w:val="center"/>
          </w:tcPr>
          <w:p w14:paraId="67EE7D6A">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管道</w:t>
            </w:r>
          </w:p>
        </w:tc>
        <w:tc>
          <w:tcPr>
            <w:tcW w:w="233" w:type="pct"/>
            <w:vMerge w:val="restart"/>
            <w:shd w:val="clear" w:color="auto" w:fill="auto"/>
            <w:vAlign w:val="center"/>
          </w:tcPr>
          <w:p w14:paraId="138D25FC">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159.10</w:t>
            </w:r>
          </w:p>
        </w:tc>
        <w:tc>
          <w:tcPr>
            <w:tcW w:w="235" w:type="pct"/>
            <w:shd w:val="clear" w:color="auto" w:fill="auto"/>
            <w:vAlign w:val="center"/>
          </w:tcPr>
          <w:p w14:paraId="39C0EA34">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COD</w:t>
            </w:r>
          </w:p>
        </w:tc>
        <w:tc>
          <w:tcPr>
            <w:tcW w:w="245" w:type="pct"/>
            <w:shd w:val="clear" w:color="auto" w:fill="auto"/>
            <w:vAlign w:val="center"/>
          </w:tcPr>
          <w:p w14:paraId="557F50B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50</w:t>
            </w:r>
          </w:p>
        </w:tc>
        <w:tc>
          <w:tcPr>
            <w:tcW w:w="255" w:type="pct"/>
            <w:shd w:val="clear" w:color="auto" w:fill="auto"/>
            <w:vAlign w:val="center"/>
          </w:tcPr>
          <w:p w14:paraId="27BE02FC">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79.55</w:t>
            </w:r>
          </w:p>
        </w:tc>
        <w:tc>
          <w:tcPr>
            <w:tcW w:w="194" w:type="pct"/>
            <w:shd w:val="clear" w:color="auto" w:fill="auto"/>
            <w:vAlign w:val="center"/>
          </w:tcPr>
          <w:p w14:paraId="2AA84C60">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restart"/>
            <w:shd w:val="clear" w:color="auto" w:fill="auto"/>
            <w:vAlign w:val="center"/>
          </w:tcPr>
          <w:p w14:paraId="6DF6DDAE">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《陕西省黄河流域污水综合排放标准》（DB61/224-2018）其他单位水污染排放浓度限值</w:t>
            </w:r>
          </w:p>
        </w:tc>
        <w:tc>
          <w:tcPr>
            <w:tcW w:w="127" w:type="pct"/>
            <w:vMerge w:val="restart"/>
            <w:shd w:val="clear" w:color="auto" w:fill="auto"/>
            <w:vAlign w:val="center"/>
          </w:tcPr>
          <w:p w14:paraId="0CF97C84">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新河支流黄柏河</w:t>
            </w:r>
          </w:p>
        </w:tc>
        <w:tc>
          <w:tcPr>
            <w:tcW w:w="148" w:type="pct"/>
            <w:vMerge w:val="restart"/>
            <w:shd w:val="clear" w:color="auto" w:fill="auto"/>
            <w:vAlign w:val="center"/>
          </w:tcPr>
          <w:p w14:paraId="3FE2B5CB">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户县开发利用区</w:t>
            </w:r>
          </w:p>
        </w:tc>
        <w:tc>
          <w:tcPr>
            <w:tcW w:w="158" w:type="pct"/>
            <w:vMerge w:val="restart"/>
            <w:shd w:val="clear" w:color="auto" w:fill="auto"/>
            <w:vAlign w:val="center"/>
          </w:tcPr>
          <w:p w14:paraId="267837FD">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新河排污控制区</w:t>
            </w:r>
          </w:p>
        </w:tc>
        <w:tc>
          <w:tcPr>
            <w:tcW w:w="158" w:type="pct"/>
            <w:vMerge w:val="restart"/>
            <w:shd w:val="clear" w:color="auto" w:fill="auto"/>
            <w:vAlign w:val="center"/>
          </w:tcPr>
          <w:p w14:paraId="6B1C7FD1">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IV</w:t>
            </w:r>
          </w:p>
        </w:tc>
        <w:tc>
          <w:tcPr>
            <w:tcW w:w="153" w:type="pct"/>
            <w:vMerge w:val="restart"/>
            <w:shd w:val="clear" w:color="auto" w:fill="auto"/>
            <w:vAlign w:val="center"/>
          </w:tcPr>
          <w:p w14:paraId="08665482">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是</w:t>
            </w:r>
          </w:p>
        </w:tc>
      </w:tr>
      <w:tr w14:paraId="64B07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19" w:type="pct"/>
            <w:vMerge w:val="continue"/>
            <w:shd w:val="clear" w:color="auto" w:fill="auto"/>
            <w:vAlign w:val="center"/>
          </w:tcPr>
          <w:p w14:paraId="2AD20601">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72A10088">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3CBC2C64">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4860261A">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72446739">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46743632">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5F8EC20F">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36A15DFB">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7434E50A">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4BF7F8D7">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3B10929C">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1D856EC4">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51D4F37E">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3843D059">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氨氮</w:t>
            </w:r>
          </w:p>
        </w:tc>
        <w:tc>
          <w:tcPr>
            <w:tcW w:w="245" w:type="pct"/>
            <w:shd w:val="clear" w:color="auto" w:fill="auto"/>
            <w:vAlign w:val="center"/>
          </w:tcPr>
          <w:p w14:paraId="3A2933D6">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8</w:t>
            </w:r>
          </w:p>
        </w:tc>
        <w:tc>
          <w:tcPr>
            <w:tcW w:w="255" w:type="pct"/>
            <w:shd w:val="clear" w:color="auto" w:fill="auto"/>
            <w:vAlign w:val="center"/>
          </w:tcPr>
          <w:p w14:paraId="649F804F">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12.73</w:t>
            </w:r>
          </w:p>
        </w:tc>
        <w:tc>
          <w:tcPr>
            <w:tcW w:w="194" w:type="pct"/>
            <w:shd w:val="clear" w:color="auto" w:fill="auto"/>
            <w:vAlign w:val="center"/>
          </w:tcPr>
          <w:p w14:paraId="61D86CBC">
            <w:pPr>
              <w:pStyle w:val="65"/>
              <w:framePr w:hSpace="0" w:wrap="auto" w:vAnchor="margin" w:hAnchor="text" w:xAlign="left" w:yAlign="inline"/>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是</w:t>
            </w:r>
          </w:p>
        </w:tc>
        <w:tc>
          <w:tcPr>
            <w:tcW w:w="411" w:type="pct"/>
            <w:vMerge w:val="continue"/>
            <w:shd w:val="clear" w:color="auto" w:fill="auto"/>
            <w:vAlign w:val="center"/>
          </w:tcPr>
          <w:p w14:paraId="4F8C38B2">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16A9B5D9">
            <w:pPr>
              <w:pStyle w:val="65"/>
              <w:framePr w:hSpace="0" w:wrap="auto" w:vAnchor="margin" w:hAnchor="text" w:xAlign="left" w:yAlign="inline"/>
              <w:rPr>
                <w:rFonts w:hint="default" w:ascii="Times New Roman" w:hAnsi="Times New Roman" w:cs="Times New Roman"/>
                <w:color w:val="auto"/>
                <w:sz w:val="18"/>
                <w:szCs w:val="18"/>
              </w:rPr>
            </w:pPr>
          </w:p>
        </w:tc>
        <w:tc>
          <w:tcPr>
            <w:tcW w:w="148" w:type="pct"/>
            <w:vMerge w:val="continue"/>
            <w:shd w:val="clear" w:color="auto" w:fill="auto"/>
            <w:vAlign w:val="center"/>
          </w:tcPr>
          <w:p w14:paraId="15C8D8FC">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3811856A">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74DE5D64">
            <w:pPr>
              <w:pStyle w:val="65"/>
              <w:framePr w:hSpace="0" w:wrap="auto" w:vAnchor="margin" w:hAnchor="text" w:xAlign="left" w:yAlign="inline"/>
              <w:rPr>
                <w:rFonts w:hint="default" w:ascii="Times New Roman" w:hAnsi="Times New Roman" w:cs="Times New Roman"/>
                <w:color w:val="auto"/>
                <w:sz w:val="18"/>
                <w:szCs w:val="18"/>
              </w:rPr>
            </w:pPr>
          </w:p>
        </w:tc>
        <w:tc>
          <w:tcPr>
            <w:tcW w:w="153" w:type="pct"/>
            <w:vMerge w:val="continue"/>
            <w:shd w:val="clear" w:color="auto" w:fill="auto"/>
            <w:vAlign w:val="center"/>
          </w:tcPr>
          <w:p w14:paraId="2F927D4C">
            <w:pPr>
              <w:pStyle w:val="65"/>
              <w:framePr w:hSpace="0" w:wrap="auto" w:vAnchor="margin" w:hAnchor="text" w:xAlign="left" w:yAlign="inline"/>
              <w:rPr>
                <w:rFonts w:hint="default" w:ascii="Times New Roman" w:hAnsi="Times New Roman" w:cs="Times New Roman"/>
                <w:color w:val="auto"/>
                <w:sz w:val="18"/>
                <w:szCs w:val="18"/>
              </w:rPr>
            </w:pPr>
          </w:p>
        </w:tc>
      </w:tr>
      <w:tr w14:paraId="2E129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19" w:type="pct"/>
            <w:vMerge w:val="continue"/>
            <w:shd w:val="clear" w:color="auto" w:fill="auto"/>
            <w:vAlign w:val="center"/>
          </w:tcPr>
          <w:p w14:paraId="1BE6C863">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20EC3D1C">
            <w:pPr>
              <w:pStyle w:val="65"/>
              <w:framePr w:hSpace="0" w:wrap="auto" w:vAnchor="margin" w:hAnchor="text" w:xAlign="left" w:yAlign="inline"/>
              <w:rPr>
                <w:rFonts w:hint="default" w:ascii="Times New Roman" w:hAnsi="Times New Roman" w:cs="Times New Roman"/>
                <w:color w:val="auto"/>
                <w:sz w:val="18"/>
                <w:szCs w:val="18"/>
              </w:rPr>
            </w:pPr>
          </w:p>
        </w:tc>
        <w:tc>
          <w:tcPr>
            <w:tcW w:w="317" w:type="pct"/>
            <w:vMerge w:val="continue"/>
            <w:shd w:val="clear" w:color="auto" w:fill="auto"/>
            <w:vAlign w:val="center"/>
          </w:tcPr>
          <w:p w14:paraId="5B1975DE">
            <w:pPr>
              <w:pStyle w:val="65"/>
              <w:framePr w:hSpace="0" w:wrap="auto" w:vAnchor="margin" w:hAnchor="text" w:xAlign="left" w:yAlign="inline"/>
              <w:rPr>
                <w:rFonts w:hint="default" w:ascii="Times New Roman" w:hAnsi="Times New Roman" w:cs="Times New Roman"/>
                <w:color w:val="auto"/>
                <w:sz w:val="18"/>
                <w:szCs w:val="18"/>
              </w:rPr>
            </w:pPr>
          </w:p>
        </w:tc>
        <w:tc>
          <w:tcPr>
            <w:tcW w:w="220" w:type="pct"/>
            <w:vMerge w:val="continue"/>
            <w:shd w:val="clear" w:color="auto" w:fill="auto"/>
            <w:vAlign w:val="center"/>
          </w:tcPr>
          <w:p w14:paraId="049FD8A8">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3F1F9F51">
            <w:pPr>
              <w:pStyle w:val="65"/>
              <w:framePr w:hSpace="0" w:wrap="auto" w:vAnchor="margin" w:hAnchor="text" w:xAlign="left" w:yAlign="inline"/>
              <w:rPr>
                <w:rFonts w:hint="default" w:ascii="Times New Roman" w:hAnsi="Times New Roman" w:cs="Times New Roman"/>
                <w:color w:val="auto"/>
                <w:sz w:val="18"/>
                <w:szCs w:val="18"/>
              </w:rPr>
            </w:pPr>
          </w:p>
        </w:tc>
        <w:tc>
          <w:tcPr>
            <w:tcW w:w="266" w:type="pct"/>
            <w:vMerge w:val="continue"/>
            <w:shd w:val="clear" w:color="auto" w:fill="auto"/>
            <w:vAlign w:val="center"/>
          </w:tcPr>
          <w:p w14:paraId="4D963993">
            <w:pPr>
              <w:pStyle w:val="65"/>
              <w:framePr w:hSpace="0" w:wrap="auto" w:vAnchor="margin" w:hAnchor="text" w:xAlign="left" w:yAlign="inline"/>
              <w:rPr>
                <w:rFonts w:hint="default" w:ascii="Times New Roman" w:hAnsi="Times New Roman" w:cs="Times New Roman"/>
                <w:color w:val="auto"/>
                <w:sz w:val="18"/>
                <w:szCs w:val="18"/>
              </w:rPr>
            </w:pPr>
          </w:p>
        </w:tc>
        <w:tc>
          <w:tcPr>
            <w:tcW w:w="322" w:type="pct"/>
            <w:vMerge w:val="continue"/>
            <w:shd w:val="clear" w:color="auto" w:fill="auto"/>
            <w:vAlign w:val="center"/>
          </w:tcPr>
          <w:p w14:paraId="67D89C95">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vMerge w:val="continue"/>
            <w:shd w:val="clear" w:color="auto" w:fill="auto"/>
            <w:vAlign w:val="center"/>
          </w:tcPr>
          <w:p w14:paraId="0704DEA7">
            <w:pPr>
              <w:pStyle w:val="65"/>
              <w:framePr w:hSpace="0" w:wrap="auto" w:vAnchor="margin" w:hAnchor="text" w:xAlign="left" w:yAlign="inline"/>
              <w:rPr>
                <w:rFonts w:hint="default" w:ascii="Times New Roman" w:hAnsi="Times New Roman" w:cs="Times New Roman"/>
                <w:color w:val="auto"/>
                <w:sz w:val="18"/>
                <w:szCs w:val="18"/>
              </w:rPr>
            </w:pPr>
          </w:p>
        </w:tc>
        <w:tc>
          <w:tcPr>
            <w:tcW w:w="349" w:type="pct"/>
            <w:vMerge w:val="continue"/>
            <w:shd w:val="clear" w:color="auto" w:fill="auto"/>
            <w:vAlign w:val="center"/>
          </w:tcPr>
          <w:p w14:paraId="31932107">
            <w:pPr>
              <w:pStyle w:val="65"/>
              <w:framePr w:hSpace="0" w:wrap="auto" w:vAnchor="margin" w:hAnchor="text" w:xAlign="left" w:yAlign="inline"/>
              <w:rPr>
                <w:rFonts w:hint="default" w:ascii="Times New Roman" w:hAnsi="Times New Roman" w:cs="Times New Roman"/>
                <w:color w:val="auto"/>
                <w:sz w:val="18"/>
                <w:szCs w:val="18"/>
              </w:rPr>
            </w:pPr>
          </w:p>
        </w:tc>
        <w:tc>
          <w:tcPr>
            <w:tcW w:w="143" w:type="pct"/>
            <w:vMerge w:val="continue"/>
            <w:shd w:val="clear" w:color="auto" w:fill="auto"/>
            <w:vAlign w:val="center"/>
          </w:tcPr>
          <w:p w14:paraId="017D4818">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1A8BEABB">
            <w:pPr>
              <w:pStyle w:val="65"/>
              <w:framePr w:hSpace="0" w:wrap="auto" w:vAnchor="margin" w:hAnchor="text" w:xAlign="left" w:yAlign="inline"/>
              <w:rPr>
                <w:rFonts w:hint="default" w:ascii="Times New Roman" w:hAnsi="Times New Roman" w:cs="Times New Roman"/>
                <w:color w:val="auto"/>
                <w:sz w:val="18"/>
                <w:szCs w:val="18"/>
              </w:rPr>
            </w:pPr>
          </w:p>
        </w:tc>
        <w:tc>
          <w:tcPr>
            <w:tcW w:w="168" w:type="pct"/>
            <w:vMerge w:val="continue"/>
            <w:shd w:val="clear" w:color="auto" w:fill="auto"/>
            <w:vAlign w:val="center"/>
          </w:tcPr>
          <w:p w14:paraId="666ADECC">
            <w:pPr>
              <w:pStyle w:val="65"/>
              <w:framePr w:hSpace="0" w:wrap="auto" w:vAnchor="margin" w:hAnchor="text" w:xAlign="left" w:yAlign="inline"/>
              <w:rPr>
                <w:rFonts w:hint="default" w:ascii="Times New Roman" w:hAnsi="Times New Roman" w:cs="Times New Roman"/>
                <w:color w:val="auto"/>
                <w:sz w:val="18"/>
                <w:szCs w:val="18"/>
              </w:rPr>
            </w:pPr>
          </w:p>
        </w:tc>
        <w:tc>
          <w:tcPr>
            <w:tcW w:w="233" w:type="pct"/>
            <w:vMerge w:val="continue"/>
            <w:shd w:val="clear" w:color="auto" w:fill="auto"/>
            <w:vAlign w:val="center"/>
          </w:tcPr>
          <w:p w14:paraId="5206B4A9">
            <w:pPr>
              <w:pStyle w:val="65"/>
              <w:framePr w:hSpace="0" w:wrap="auto" w:vAnchor="margin" w:hAnchor="text" w:xAlign="left" w:yAlign="inline"/>
              <w:rPr>
                <w:rFonts w:hint="default" w:ascii="Times New Roman" w:hAnsi="Times New Roman" w:cs="Times New Roman"/>
                <w:color w:val="auto"/>
                <w:sz w:val="18"/>
                <w:szCs w:val="18"/>
              </w:rPr>
            </w:pPr>
          </w:p>
        </w:tc>
        <w:tc>
          <w:tcPr>
            <w:tcW w:w="235" w:type="pct"/>
            <w:shd w:val="clear" w:color="auto" w:fill="auto"/>
            <w:vAlign w:val="center"/>
          </w:tcPr>
          <w:p w14:paraId="45C4C4AE">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其他</w:t>
            </w:r>
          </w:p>
        </w:tc>
        <w:tc>
          <w:tcPr>
            <w:tcW w:w="245" w:type="pct"/>
            <w:shd w:val="clear" w:color="auto" w:fill="auto"/>
            <w:vAlign w:val="center"/>
          </w:tcPr>
          <w:p w14:paraId="601B311C">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55" w:type="pct"/>
            <w:shd w:val="clear" w:color="auto" w:fill="auto"/>
            <w:vAlign w:val="center"/>
          </w:tcPr>
          <w:p w14:paraId="50512A6D">
            <w:pPr>
              <w:pStyle w:val="65"/>
              <w:framePr w:hSpace="0" w:wrap="auto" w:vAnchor="margin" w:hAnchor="text" w:xAlign="left" w:yAlign="inline"/>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194" w:type="pct"/>
            <w:shd w:val="clear" w:color="auto" w:fill="auto"/>
            <w:vAlign w:val="center"/>
          </w:tcPr>
          <w:p w14:paraId="5F8AC22B">
            <w:pPr>
              <w:pStyle w:val="65"/>
              <w:framePr w:hSpace="0" w:wrap="auto" w:vAnchor="margin" w:hAnchor="text" w:xAlign="left" w:yAlign="inline"/>
              <w:rPr>
                <w:rFonts w:hint="default" w:ascii="Times New Roman" w:hAnsi="Times New Roman" w:cs="Times New Roman"/>
                <w:color w:val="auto"/>
                <w:sz w:val="18"/>
                <w:szCs w:val="18"/>
              </w:rPr>
            </w:pPr>
          </w:p>
        </w:tc>
        <w:tc>
          <w:tcPr>
            <w:tcW w:w="411" w:type="pct"/>
            <w:vMerge w:val="continue"/>
            <w:shd w:val="clear" w:color="auto" w:fill="auto"/>
            <w:vAlign w:val="center"/>
          </w:tcPr>
          <w:p w14:paraId="7BFBE8B5">
            <w:pPr>
              <w:pStyle w:val="65"/>
              <w:framePr w:hSpace="0" w:wrap="auto" w:vAnchor="margin" w:hAnchor="text" w:xAlign="left" w:yAlign="inline"/>
              <w:rPr>
                <w:rFonts w:hint="default" w:ascii="Times New Roman" w:hAnsi="Times New Roman" w:cs="Times New Roman"/>
                <w:color w:val="auto"/>
                <w:sz w:val="18"/>
                <w:szCs w:val="18"/>
              </w:rPr>
            </w:pPr>
          </w:p>
        </w:tc>
        <w:tc>
          <w:tcPr>
            <w:tcW w:w="127" w:type="pct"/>
            <w:vMerge w:val="continue"/>
            <w:shd w:val="clear" w:color="auto" w:fill="auto"/>
            <w:vAlign w:val="center"/>
          </w:tcPr>
          <w:p w14:paraId="6B75219F">
            <w:pPr>
              <w:pStyle w:val="65"/>
              <w:framePr w:hSpace="0" w:wrap="auto" w:vAnchor="margin" w:hAnchor="text" w:xAlign="left" w:yAlign="inline"/>
              <w:rPr>
                <w:rFonts w:hint="default" w:ascii="Times New Roman" w:hAnsi="Times New Roman" w:cs="Times New Roman"/>
                <w:color w:val="auto"/>
                <w:sz w:val="18"/>
                <w:szCs w:val="18"/>
              </w:rPr>
            </w:pPr>
          </w:p>
        </w:tc>
        <w:tc>
          <w:tcPr>
            <w:tcW w:w="148" w:type="pct"/>
            <w:vMerge w:val="continue"/>
            <w:shd w:val="clear" w:color="auto" w:fill="auto"/>
            <w:vAlign w:val="center"/>
          </w:tcPr>
          <w:p w14:paraId="3AC82B67">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69A3F305">
            <w:pPr>
              <w:pStyle w:val="65"/>
              <w:framePr w:hSpace="0" w:wrap="auto" w:vAnchor="margin" w:hAnchor="text" w:xAlign="left" w:yAlign="inline"/>
              <w:rPr>
                <w:rFonts w:hint="default" w:ascii="Times New Roman" w:hAnsi="Times New Roman" w:cs="Times New Roman"/>
                <w:color w:val="auto"/>
                <w:sz w:val="18"/>
                <w:szCs w:val="18"/>
              </w:rPr>
            </w:pPr>
          </w:p>
        </w:tc>
        <w:tc>
          <w:tcPr>
            <w:tcW w:w="158" w:type="pct"/>
            <w:vMerge w:val="continue"/>
            <w:shd w:val="clear" w:color="auto" w:fill="auto"/>
            <w:vAlign w:val="center"/>
          </w:tcPr>
          <w:p w14:paraId="71EA1406">
            <w:pPr>
              <w:pStyle w:val="65"/>
              <w:framePr w:hSpace="0" w:wrap="auto" w:vAnchor="margin" w:hAnchor="text" w:xAlign="left" w:yAlign="inline"/>
              <w:rPr>
                <w:rFonts w:hint="default" w:ascii="Times New Roman" w:hAnsi="Times New Roman" w:cs="Times New Roman"/>
                <w:color w:val="auto"/>
                <w:sz w:val="18"/>
                <w:szCs w:val="18"/>
              </w:rPr>
            </w:pPr>
          </w:p>
        </w:tc>
        <w:tc>
          <w:tcPr>
            <w:tcW w:w="153" w:type="pct"/>
            <w:vMerge w:val="continue"/>
            <w:shd w:val="clear" w:color="auto" w:fill="auto"/>
            <w:vAlign w:val="center"/>
          </w:tcPr>
          <w:p w14:paraId="73B86E03">
            <w:pPr>
              <w:pStyle w:val="65"/>
              <w:framePr w:hSpace="0" w:wrap="auto" w:vAnchor="margin" w:hAnchor="text" w:xAlign="left" w:yAlign="inline"/>
              <w:rPr>
                <w:rFonts w:hint="default" w:ascii="Times New Roman" w:hAnsi="Times New Roman" w:cs="Times New Roman"/>
                <w:color w:val="auto"/>
                <w:sz w:val="18"/>
                <w:szCs w:val="18"/>
              </w:rPr>
            </w:pPr>
          </w:p>
        </w:tc>
      </w:tr>
    </w:tbl>
    <w:p w14:paraId="267EB13A">
      <w:pPr>
        <w:pStyle w:val="63"/>
        <w:keepNext w:val="0"/>
        <w:keepLines w:val="0"/>
        <w:pageBreakBefore w:val="0"/>
        <w:widowControl/>
        <w:kinsoku/>
        <w:wordWrap/>
        <w:overflowPunct/>
        <w:topLinePunct w:val="0"/>
        <w:autoSpaceDE/>
        <w:autoSpaceDN/>
        <w:bidi w:val="0"/>
        <w:adjustRightInd/>
        <w:snapToGrid w:val="0"/>
        <w:spacing w:before="48" w:after="48" w:line="500" w:lineRule="exact"/>
        <w:textAlignment w:val="auto"/>
        <w:rPr>
          <w:rFonts w:hint="eastAsia" w:eastAsia="宋体"/>
          <w:color w:val="auto"/>
          <w:lang w:eastAsia="zh-CN"/>
        </w:rPr>
      </w:pPr>
    </w:p>
    <w:p w14:paraId="2B56FD16">
      <w:pPr>
        <w:pStyle w:val="63"/>
        <w:keepNext w:val="0"/>
        <w:keepLines w:val="0"/>
        <w:pageBreakBefore w:val="0"/>
        <w:widowControl/>
        <w:kinsoku/>
        <w:wordWrap/>
        <w:overflowPunct/>
        <w:topLinePunct w:val="0"/>
        <w:autoSpaceDE/>
        <w:autoSpaceDN/>
        <w:bidi w:val="0"/>
        <w:adjustRightInd/>
        <w:snapToGrid w:val="0"/>
        <w:spacing w:before="48" w:after="48" w:line="240" w:lineRule="auto"/>
        <w:textAlignment w:val="auto"/>
        <w:rPr>
          <w:rFonts w:hint="eastAsia" w:eastAsia="宋体"/>
          <w:color w:val="auto"/>
          <w:lang w:eastAsia="zh-CN"/>
        </w:rPr>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425" w:num="1"/>
          <w:docGrid w:linePitch="312" w:charSpace="0"/>
        </w:sectPr>
      </w:pPr>
      <w:r>
        <w:rPr>
          <w:rFonts w:hint="eastAsia" w:eastAsia="宋体"/>
          <w:color w:val="auto"/>
          <w:lang w:eastAsia="zh-CN"/>
        </w:rPr>
        <w:drawing>
          <wp:anchor distT="0" distB="0" distL="114935" distR="114935" simplePos="0" relativeHeight="251676672" behindDoc="0" locked="0" layoutInCell="1" allowOverlap="1">
            <wp:simplePos x="0" y="0"/>
            <wp:positionH relativeFrom="column">
              <wp:posOffset>8256270</wp:posOffset>
            </wp:positionH>
            <wp:positionV relativeFrom="paragraph">
              <wp:posOffset>12065</wp:posOffset>
            </wp:positionV>
            <wp:extent cx="574675" cy="574675"/>
            <wp:effectExtent l="0" t="0" r="15875" b="15875"/>
            <wp:wrapNone/>
            <wp:docPr id="62" name="图片 62"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指北针"/>
                    <pic:cNvPicPr>
                      <a:picLocks noChangeAspect="1"/>
                    </pic:cNvPicPr>
                  </pic:nvPicPr>
                  <pic:blipFill>
                    <a:blip r:embed="rId14"/>
                    <a:stretch>
                      <a:fillRect/>
                    </a:stretch>
                  </pic:blipFill>
                  <pic:spPr>
                    <a:xfrm>
                      <a:off x="0" y="0"/>
                      <a:ext cx="574675" cy="574675"/>
                    </a:xfrm>
                    <a:prstGeom prst="rect">
                      <a:avLst/>
                    </a:prstGeom>
                  </pic:spPr>
                </pic:pic>
              </a:graphicData>
            </a:graphic>
          </wp:anchor>
        </w:drawing>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3476625</wp:posOffset>
                </wp:positionH>
                <wp:positionV relativeFrom="paragraph">
                  <wp:posOffset>3134360</wp:posOffset>
                </wp:positionV>
                <wp:extent cx="539750" cy="32385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53975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124FF">
                            <w:pPr>
                              <w:rPr>
                                <w:rFonts w:hint="default" w:eastAsia="宋体"/>
                                <w:b/>
                                <w:bCs/>
                                <w:lang w:val="en-US" w:eastAsia="zh-CN"/>
                              </w:rPr>
                            </w:pPr>
                            <w:r>
                              <w:rPr>
                                <w:rFonts w:hint="eastAsia"/>
                                <w:b/>
                                <w:bCs/>
                                <w:lang w:val="en-US" w:eastAsia="zh-CN"/>
                              </w:rPr>
                              <w:t>右岸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75pt;margin-top:246.8pt;height:25.5pt;width:42.5pt;z-index:251675648;mso-width-relative:page;mso-height-relative:page;" filled="f" stroked="f" coordsize="21600,21600" o:gfxdata="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AWOSdsAAAALAQAADwAAAAAAAAABACAAAAAiAAAAZHJz&#10;L2Rvd25yZXYueG1sUEsBAhQAFAAAAAgAh07iQGVc+zI6AgAAZwQAAA4AAAAAAAAAAQAgAAAAKgEA&#10;AGRycy9lMm9Eb2MueG1sUEsFBgAAAAAGAAYAWQEAANYFAAAAAA==&#10;">
                <v:fill on="f" focussize="0,0"/>
                <v:stroke on="f" weight="0.5pt"/>
                <v:imagedata o:title=""/>
                <o:lock v:ext="edit" aspectratio="f"/>
                <v:textbox>
                  <w:txbxContent>
                    <w:p w14:paraId="07B124FF">
                      <w:pPr>
                        <w:rPr>
                          <w:rFonts w:hint="default" w:eastAsia="宋体"/>
                          <w:b/>
                          <w:bCs/>
                          <w:lang w:val="en-US" w:eastAsia="zh-CN"/>
                        </w:rPr>
                      </w:pPr>
                      <w:r>
                        <w:rPr>
                          <w:rFonts w:hint="eastAsia"/>
                          <w:b/>
                          <w:bCs/>
                          <w:lang w:val="en-US" w:eastAsia="zh-CN"/>
                        </w:rPr>
                        <w:t>右岸</w:t>
                      </w:r>
                    </w:p>
                  </w:txbxContent>
                </v:textbox>
              </v:shape>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790575</wp:posOffset>
                </wp:positionH>
                <wp:positionV relativeFrom="paragraph">
                  <wp:posOffset>2105660</wp:posOffset>
                </wp:positionV>
                <wp:extent cx="539750" cy="3238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53975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31388">
                            <w:pPr>
                              <w:rPr>
                                <w:rFonts w:hint="default" w:eastAsia="宋体"/>
                                <w:b/>
                                <w:bCs/>
                                <w:lang w:val="en-US" w:eastAsia="zh-CN"/>
                              </w:rPr>
                            </w:pPr>
                            <w:r>
                              <w:rPr>
                                <w:rFonts w:hint="eastAsia"/>
                                <w:b/>
                                <w:bCs/>
                                <w:lang w:val="en-US" w:eastAsia="zh-CN"/>
                              </w:rPr>
                              <w:t>左岸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25pt;margin-top:165.8pt;height:25.5pt;width:42.5pt;z-index:251674624;mso-width-relative:page;mso-height-relative:page;" filled="f" stroked="f" coordsize="21600,21600" o:gfxdata="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BaPUk2wAAAAsBAAAPAAAAAAAAAAEAIAAAACIAAABkcnMv&#10;ZG93bnJldi54bWxQSwECFAAUAAAACACHTuJAytvP0DkCAABnBAAADgAAAAAAAAABACAAAAAqAQAA&#10;ZHJzL2Uyb0RvYy54bWxQSwUGAAAAAAYABgBZAQAA1QUAAAAA&#10;">
                <v:fill on="f" focussize="0,0"/>
                <v:stroke on="f" weight="0.5pt"/>
                <v:imagedata o:title=""/>
                <o:lock v:ext="edit" aspectratio="f"/>
                <v:textbox>
                  <w:txbxContent>
                    <w:p w14:paraId="6E031388">
                      <w:pPr>
                        <w:rPr>
                          <w:rFonts w:hint="default" w:eastAsia="宋体"/>
                          <w:b/>
                          <w:bCs/>
                          <w:lang w:val="en-US" w:eastAsia="zh-CN"/>
                        </w:rPr>
                      </w:pPr>
                      <w:r>
                        <w:rPr>
                          <w:rFonts w:hint="eastAsia"/>
                          <w:b/>
                          <w:bCs/>
                          <w:lang w:val="en-US" w:eastAsia="zh-CN"/>
                        </w:rPr>
                        <w:t>左岸</w:t>
                      </w:r>
                    </w:p>
                  </w:txbxContent>
                </v:textbox>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3184525</wp:posOffset>
                </wp:positionH>
                <wp:positionV relativeFrom="paragraph">
                  <wp:posOffset>5318760</wp:posOffset>
                </wp:positionV>
                <wp:extent cx="3111500" cy="323850"/>
                <wp:effectExtent l="0" t="0" r="0" b="0"/>
                <wp:wrapNone/>
                <wp:docPr id="49" name="文本框 49"/>
                <wp:cNvGraphicFramePr/>
                <a:graphic xmlns:a="http://schemas.openxmlformats.org/drawingml/2006/main">
                  <a:graphicData uri="http://schemas.microsoft.com/office/word/2010/wordprocessingShape">
                    <wps:wsp>
                      <wps:cNvSpPr txBox="1"/>
                      <wps:spPr>
                        <a:xfrm>
                          <a:off x="4581525" y="6652260"/>
                          <a:ext cx="3111500"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4FD141">
                            <w:pPr>
                              <w:rPr>
                                <w:rFonts w:hint="default" w:eastAsia="宋体"/>
                                <w:b/>
                                <w:bCs/>
                                <w:lang w:val="en-US" w:eastAsia="zh-CN"/>
                              </w:rPr>
                            </w:pPr>
                            <w:r>
                              <w:rPr>
                                <w:rFonts w:hint="eastAsia"/>
                                <w:b/>
                                <w:bCs/>
                                <w:lang w:val="en-US" w:eastAsia="zh-CN"/>
                              </w:rPr>
                              <w:t>附图4.2-1    引汉济渭工程排渣口位置图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5pt;margin-top:418.8pt;height:25.5pt;width:245pt;z-index:251673600;mso-width-relative:page;mso-height-relative:page;" filled="f" stroked="f" coordsize="21600,21600" o:gfxdata="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RemXK2wAAAAsBAAAPAAAAAAAA&#10;AAEAIAAAACIAAABkcnMvZG93bnJldi54bWxQSwECFAAUAAAACACHTuJAFL56LEgCAAB0BAAADgAA&#10;AAAAAAABACAAAAAqAQAAZHJzL2Uyb0RvYy54bWxQSwUGAAAAAAYABgBZAQAA5AUAAAAA&#10;">
                <v:fill on="f" focussize="0,0"/>
                <v:stroke on="f" weight="0.5pt"/>
                <v:imagedata o:title=""/>
                <o:lock v:ext="edit" aspectratio="f"/>
                <v:textbox>
                  <w:txbxContent>
                    <w:p w14:paraId="374FD141">
                      <w:pPr>
                        <w:rPr>
                          <w:rFonts w:hint="default" w:eastAsia="宋体"/>
                          <w:b/>
                          <w:bCs/>
                          <w:lang w:val="en-US" w:eastAsia="zh-CN"/>
                        </w:rPr>
                      </w:pPr>
                      <w:r>
                        <w:rPr>
                          <w:rFonts w:hint="eastAsia"/>
                          <w:b/>
                          <w:bCs/>
                          <w:lang w:val="en-US" w:eastAsia="zh-CN"/>
                        </w:rPr>
                        <w:t>附图4.2-1    引汉济渭工程排渣口位置图</w:t>
                      </w:r>
                    </w:p>
                  </w:txbxContent>
                </v:textbox>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3381375</wp:posOffset>
                </wp:positionH>
                <wp:positionV relativeFrom="paragraph">
                  <wp:posOffset>3042920</wp:posOffset>
                </wp:positionV>
                <wp:extent cx="1618615" cy="1186180"/>
                <wp:effectExtent l="773430" t="6350" r="8255" b="140970"/>
                <wp:wrapNone/>
                <wp:docPr id="38" name="矩形标注 38"/>
                <wp:cNvGraphicFramePr/>
                <a:graphic xmlns:a="http://schemas.openxmlformats.org/drawingml/2006/main">
                  <a:graphicData uri="http://schemas.microsoft.com/office/word/2010/wordprocessingShape">
                    <wps:wsp>
                      <wps:cNvSpPr/>
                      <wps:spPr>
                        <a:xfrm>
                          <a:off x="0" y="0"/>
                          <a:ext cx="1618615" cy="1186180"/>
                        </a:xfrm>
                        <a:prstGeom prst="wedgeRectCallout">
                          <a:avLst>
                            <a:gd name="adj1" fmla="val -95468"/>
                            <a:gd name="adj2" fmla="val 5979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410B4">
                            <w:pPr>
                              <w:jc w:val="left"/>
                              <w:rPr>
                                <w:rFonts w:hint="eastAsia" w:eastAsia="宋体"/>
                                <w:b/>
                                <w:bCs/>
                                <w:color w:val="C00000"/>
                                <w:lang w:val="en-US" w:eastAsia="zh-CN"/>
                              </w:rPr>
                            </w:pPr>
                            <w:r>
                              <w:rPr>
                                <w:rFonts w:hint="eastAsia" w:eastAsia="宋体"/>
                                <w:b/>
                                <w:bCs/>
                                <w:color w:val="C00000"/>
                                <w:lang w:val="en-US" w:eastAsia="zh-CN"/>
                              </w:rPr>
                              <w:drawing>
                                <wp:inline distT="0" distB="0" distL="114300" distR="114300">
                                  <wp:extent cx="0" cy="0"/>
                                  <wp:effectExtent l="0" t="0" r="0" b="0"/>
                                  <wp:docPr id="46" name="图片 46" descr="16951955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5195579670"/>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eastAsia="宋体"/>
                                <w:b/>
                                <w:bCs/>
                                <w:color w:val="C00000"/>
                                <w:lang w:val="en-US" w:eastAsia="zh-CN"/>
                              </w:rPr>
                              <w:drawing>
                                <wp:inline distT="0" distB="0" distL="114300" distR="114300">
                                  <wp:extent cx="1450975" cy="1021715"/>
                                  <wp:effectExtent l="0" t="0" r="15875" b="6985"/>
                                  <wp:docPr id="47" name="图片 47" descr="16951955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5195579670"/>
                                          <pic:cNvPicPr>
                                            <a:picLocks noChangeAspect="1"/>
                                          </pic:cNvPicPr>
                                        </pic:nvPicPr>
                                        <pic:blipFill>
                                          <a:blip r:embed="rId24"/>
                                          <a:stretch>
                                            <a:fillRect/>
                                          </a:stretch>
                                        </pic:blipFill>
                                        <pic:spPr>
                                          <a:xfrm>
                                            <a:off x="0" y="0"/>
                                            <a:ext cx="1450975" cy="1021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6.25pt;margin-top:239.6pt;height:93.4pt;width:127.45pt;z-index:251672576;v-text-anchor:middle;mso-width-relative:page;mso-height-relative:page;" filled="f" stroked="t" coordsize="21600,21600" o:gfxdata="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mIXd8NsAAAALAQAADwAAAAAAAAABACAAAAAiAAAAZHJzL2Rv&#10;d25yZXYueG1sUEsBAhQAFAAAAAgAh07iQNY0IOWpAgAAPQUAAA4AAAAAAAAAAQAgAAAAKgEAAGRy&#10;cy9lMm9Eb2MueG1sUEsFBgAAAAAGAAYAWQEAAEUGAAAAAA==&#10;" adj="-9821,23716">
                <v:fill on="f" focussize="0,0"/>
                <v:stroke weight="1pt" color="#000000 [3213]" miterlimit="8" joinstyle="miter"/>
                <v:imagedata o:title=""/>
                <o:lock v:ext="edit" aspectratio="f"/>
                <v:textbox>
                  <w:txbxContent>
                    <w:p w14:paraId="48A410B4">
                      <w:pPr>
                        <w:jc w:val="left"/>
                        <w:rPr>
                          <w:rFonts w:hint="eastAsia" w:eastAsia="宋体"/>
                          <w:b/>
                          <w:bCs/>
                          <w:color w:val="C00000"/>
                          <w:lang w:val="en-US" w:eastAsia="zh-CN"/>
                        </w:rPr>
                      </w:pPr>
                      <w:r>
                        <w:rPr>
                          <w:rFonts w:hint="eastAsia" w:eastAsia="宋体"/>
                          <w:b/>
                          <w:bCs/>
                          <w:color w:val="C00000"/>
                          <w:lang w:val="en-US" w:eastAsia="zh-CN"/>
                        </w:rPr>
                        <w:drawing>
                          <wp:inline distT="0" distB="0" distL="114300" distR="114300">
                            <wp:extent cx="0" cy="0"/>
                            <wp:effectExtent l="0" t="0" r="0" b="0"/>
                            <wp:docPr id="46" name="图片 46" descr="16951955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95195579670"/>
                                    <pic:cNvPicPr>
                                      <a:picLocks noChangeAspect="1"/>
                                    </pic:cNvPicPr>
                                  </pic:nvPicPr>
                                  <pic:blipFill>
                                    <a:blip r:embed="rId24"/>
                                    <a:stretch>
                                      <a:fillRect/>
                                    </a:stretch>
                                  </pic:blipFill>
                                  <pic:spPr>
                                    <a:xfrm>
                                      <a:off x="0" y="0"/>
                                      <a:ext cx="0" cy="0"/>
                                    </a:xfrm>
                                    <a:prstGeom prst="rect">
                                      <a:avLst/>
                                    </a:prstGeom>
                                  </pic:spPr>
                                </pic:pic>
                              </a:graphicData>
                            </a:graphic>
                          </wp:inline>
                        </w:drawing>
                      </w:r>
                      <w:r>
                        <w:rPr>
                          <w:rFonts w:hint="eastAsia" w:eastAsia="宋体"/>
                          <w:b/>
                          <w:bCs/>
                          <w:color w:val="C00000"/>
                          <w:lang w:val="en-US" w:eastAsia="zh-CN"/>
                        </w:rPr>
                        <w:drawing>
                          <wp:inline distT="0" distB="0" distL="114300" distR="114300">
                            <wp:extent cx="1450975" cy="1021715"/>
                            <wp:effectExtent l="0" t="0" r="15875" b="6985"/>
                            <wp:docPr id="47" name="图片 47" descr="169519557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95195579670"/>
                                    <pic:cNvPicPr>
                                      <a:picLocks noChangeAspect="1"/>
                                    </pic:cNvPicPr>
                                  </pic:nvPicPr>
                                  <pic:blipFill>
                                    <a:blip r:embed="rId24"/>
                                    <a:stretch>
                                      <a:fillRect/>
                                    </a:stretch>
                                  </pic:blipFill>
                                  <pic:spPr>
                                    <a:xfrm>
                                      <a:off x="0" y="0"/>
                                      <a:ext cx="1450975" cy="1021715"/>
                                    </a:xfrm>
                                    <a:prstGeom prst="rect">
                                      <a:avLst/>
                                    </a:prstGeom>
                                  </pic:spPr>
                                </pic:pic>
                              </a:graphicData>
                            </a:graphic>
                          </wp:inline>
                        </w:drawing>
                      </w:r>
                    </w:p>
                  </w:txbxContent>
                </v:textbox>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695325</wp:posOffset>
                </wp:positionH>
                <wp:positionV relativeFrom="paragraph">
                  <wp:posOffset>2045970</wp:posOffset>
                </wp:positionV>
                <wp:extent cx="1567180" cy="1053465"/>
                <wp:effectExtent l="6350" t="6350" r="312420" b="1283335"/>
                <wp:wrapNone/>
                <wp:docPr id="36" name="矩形标注 36"/>
                <wp:cNvGraphicFramePr/>
                <a:graphic xmlns:a="http://schemas.openxmlformats.org/drawingml/2006/main">
                  <a:graphicData uri="http://schemas.microsoft.com/office/word/2010/wordprocessingShape">
                    <wps:wsp>
                      <wps:cNvSpPr/>
                      <wps:spPr>
                        <a:xfrm>
                          <a:off x="3527425" y="5283835"/>
                          <a:ext cx="1567180" cy="1053465"/>
                        </a:xfrm>
                        <a:prstGeom prst="wedgeRectCallout">
                          <a:avLst>
                            <a:gd name="adj1" fmla="val 68273"/>
                            <a:gd name="adj2" fmla="val 16645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C7FA1">
                            <w:pPr>
                              <w:jc w:val="left"/>
                              <w:rPr>
                                <w:rFonts w:hint="eastAsia" w:eastAsia="宋体"/>
                                <w:b/>
                                <w:bCs/>
                                <w:color w:val="C00000"/>
                                <w:lang w:val="en-US" w:eastAsia="zh-CN"/>
                              </w:rPr>
                            </w:pPr>
                            <w:r>
                              <w:rPr>
                                <w:rFonts w:hint="eastAsia" w:eastAsia="宋体"/>
                                <w:b/>
                                <w:bCs/>
                                <w:color w:val="C00000"/>
                                <w:lang w:val="en-US" w:eastAsia="zh-CN"/>
                              </w:rPr>
                              <w:drawing>
                                <wp:inline distT="0" distB="0" distL="114300" distR="114300">
                                  <wp:extent cx="1357630" cy="957580"/>
                                  <wp:effectExtent l="0" t="0" r="13970" b="13970"/>
                                  <wp:docPr id="37" name="图片 37" descr="169519550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5195509011"/>
                                          <pic:cNvPicPr>
                                            <a:picLocks noChangeAspect="1"/>
                                          </pic:cNvPicPr>
                                        </pic:nvPicPr>
                                        <pic:blipFill>
                                          <a:blip r:embed="rId25"/>
                                          <a:stretch>
                                            <a:fillRect/>
                                          </a:stretch>
                                        </pic:blipFill>
                                        <pic:spPr>
                                          <a:xfrm>
                                            <a:off x="0" y="0"/>
                                            <a:ext cx="1357630" cy="95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4.75pt;margin-top:161.1pt;height:82.95pt;width:123.4pt;z-index:251671552;v-text-anchor:middle;mso-width-relative:page;mso-height-relative:page;" filled="f" stroked="t" coordsize="21600,21600" o:gfxdata="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nauCz2gAAAAsBAAAPAAAAAAAAAAEAIAAA&#10;ACIAAABkcnMvZG93bnJldi54bWxQSwECFAAUAAAACACHTuJAROkjjrUCAABJBQAADgAAAAAAAAAB&#10;ACAAAAApAQAAZHJzL2Uyb0RvYy54bWxQSwUGAAAAAAYABgBZAQAAUAYAAAAA&#10;" adj="25547,46754">
                <v:fill on="f" focussize="0,0"/>
                <v:stroke weight="1pt" color="#000000 [3213]" miterlimit="8" joinstyle="miter"/>
                <v:imagedata o:title=""/>
                <o:lock v:ext="edit" aspectratio="f"/>
                <v:textbox>
                  <w:txbxContent>
                    <w:p w14:paraId="2B1C7FA1">
                      <w:pPr>
                        <w:jc w:val="left"/>
                        <w:rPr>
                          <w:rFonts w:hint="eastAsia" w:eastAsia="宋体"/>
                          <w:b/>
                          <w:bCs/>
                          <w:color w:val="C00000"/>
                          <w:lang w:val="en-US" w:eastAsia="zh-CN"/>
                        </w:rPr>
                      </w:pPr>
                      <w:r>
                        <w:rPr>
                          <w:rFonts w:hint="eastAsia" w:eastAsia="宋体"/>
                          <w:b/>
                          <w:bCs/>
                          <w:color w:val="C00000"/>
                          <w:lang w:val="en-US" w:eastAsia="zh-CN"/>
                        </w:rPr>
                        <w:drawing>
                          <wp:inline distT="0" distB="0" distL="114300" distR="114300">
                            <wp:extent cx="1357630" cy="957580"/>
                            <wp:effectExtent l="0" t="0" r="13970" b="13970"/>
                            <wp:docPr id="37" name="图片 37" descr="1695195509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95195509011"/>
                                    <pic:cNvPicPr>
                                      <a:picLocks noChangeAspect="1"/>
                                    </pic:cNvPicPr>
                                  </pic:nvPicPr>
                                  <pic:blipFill>
                                    <a:blip r:embed="rId25"/>
                                    <a:stretch>
                                      <a:fillRect/>
                                    </a:stretch>
                                  </pic:blipFill>
                                  <pic:spPr>
                                    <a:xfrm>
                                      <a:off x="0" y="0"/>
                                      <a:ext cx="1357630" cy="957580"/>
                                    </a:xfrm>
                                    <a:prstGeom prst="rect">
                                      <a:avLst/>
                                    </a:prstGeom>
                                  </pic:spPr>
                                </pic:pic>
                              </a:graphicData>
                            </a:graphic>
                          </wp:inline>
                        </w:drawing>
                      </w:r>
                    </w:p>
                  </w:txbxContent>
                </v:textbox>
              </v:shape>
            </w:pict>
          </mc:Fallback>
        </mc:AlternateContent>
      </w:r>
      <w:r>
        <w:rPr>
          <w:color w:val="auto"/>
        </w:rPr>
        <w:drawing>
          <wp:inline distT="0" distB="0" distL="114300" distR="114300">
            <wp:extent cx="8854440" cy="5655310"/>
            <wp:effectExtent l="9525" t="9525" r="13335" b="1206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6"/>
                    <a:stretch>
                      <a:fillRect/>
                    </a:stretch>
                  </pic:blipFill>
                  <pic:spPr>
                    <a:xfrm>
                      <a:off x="0" y="0"/>
                      <a:ext cx="8854440" cy="5655310"/>
                    </a:xfrm>
                    <a:prstGeom prst="rect">
                      <a:avLst/>
                    </a:prstGeom>
                    <a:noFill/>
                    <a:ln>
                      <a:solidFill>
                        <a:schemeClr val="tx1"/>
                      </a:solidFill>
                    </a:ln>
                  </pic:spPr>
                </pic:pic>
              </a:graphicData>
            </a:graphic>
          </wp:inline>
        </w:drawing>
      </w:r>
    </w:p>
    <w:p w14:paraId="72B306D5">
      <w:pPr>
        <w:pStyle w:val="57"/>
        <w:numPr>
          <w:ilvl w:val="0"/>
          <w:numId w:val="0"/>
        </w:numPr>
        <w:spacing w:before="120" w:beforeLines="50" w:after="120" w:afterLines="50"/>
        <w:rPr>
          <w:rFonts w:eastAsia="宋体"/>
          <w:color w:val="auto"/>
          <w:sz w:val="30"/>
        </w:rPr>
      </w:pPr>
      <w:bookmarkStart w:id="39" w:name="_Toc29112"/>
      <w:r>
        <w:rPr>
          <w:rFonts w:hint="eastAsia" w:eastAsia="宋体"/>
          <w:color w:val="auto"/>
          <w:sz w:val="30"/>
        </w:rPr>
        <w:t>4</w:t>
      </w:r>
      <w:r>
        <w:rPr>
          <w:rFonts w:eastAsia="宋体"/>
          <w:color w:val="auto"/>
          <w:sz w:val="30"/>
        </w:rPr>
        <w:t>.3水功能区（水域）水质现状</w:t>
      </w:r>
      <w:bookmarkEnd w:id="39"/>
    </w:p>
    <w:p w14:paraId="3EF23C90">
      <w:pPr>
        <w:pStyle w:val="61"/>
        <w:numPr>
          <w:ilvl w:val="0"/>
          <w:numId w:val="0"/>
        </w:numPr>
        <w:spacing w:before="0" w:after="0"/>
        <w:rPr>
          <w:rFonts w:eastAsia="宋体"/>
          <w:color w:val="auto"/>
        </w:rPr>
      </w:pPr>
      <w:bookmarkStart w:id="40" w:name="_Toc512677612"/>
      <w:r>
        <w:rPr>
          <w:rFonts w:hint="eastAsia" w:eastAsia="宋体"/>
          <w:color w:val="auto"/>
        </w:rPr>
        <w:t>4</w:t>
      </w:r>
      <w:r>
        <w:rPr>
          <w:rFonts w:eastAsia="宋体"/>
          <w:color w:val="auto"/>
        </w:rPr>
        <w:t>.3.1</w:t>
      </w:r>
      <w:r>
        <w:rPr>
          <w:rFonts w:hint="eastAsia" w:eastAsia="宋体"/>
          <w:color w:val="auto"/>
        </w:rPr>
        <w:t>地表水环境质量</w:t>
      </w:r>
    </w:p>
    <w:p w14:paraId="12A78C64">
      <w:pPr>
        <w:pStyle w:val="46"/>
        <w:ind w:firstLine="480"/>
        <w:rPr>
          <w:rFonts w:hint="eastAsia" w:eastAsia="宋体"/>
          <w:color w:val="auto"/>
          <w:sz w:val="24"/>
        </w:rPr>
      </w:pPr>
      <w:r>
        <w:rPr>
          <w:rFonts w:hint="eastAsia" w:eastAsia="宋体"/>
          <w:color w:val="auto"/>
          <w:sz w:val="24"/>
        </w:rPr>
        <w:t>新河水域功能为IV类。本次地表水环境质量现状评价收集2019~2021年连续3年的新河地表水监测断面的例行监测资料，该数据来源于西安市环境监测站，例行监测断面为文涝路省控断面，距离本项目排污口16.4km。具体监测结果见下表：</w:t>
      </w:r>
    </w:p>
    <w:p w14:paraId="221CA411">
      <w:pPr>
        <w:pStyle w:val="63"/>
        <w:spacing w:before="48" w:after="48"/>
        <w:rPr>
          <w:rFonts w:hint="eastAsia" w:eastAsia="宋体"/>
          <w:color w:val="auto"/>
        </w:rPr>
      </w:pPr>
      <w:r>
        <w:rPr>
          <w:rFonts w:eastAsia="宋体"/>
          <w:color w:val="auto"/>
        </w:rPr>
        <w:t>表4.3-1</w:t>
      </w:r>
      <w:r>
        <w:rPr>
          <w:rFonts w:hint="eastAsia" w:eastAsia="宋体"/>
          <w:color w:val="auto"/>
          <w:lang w:val="en-US" w:eastAsia="zh-CN"/>
        </w:rPr>
        <w:t xml:space="preserve">    新河水质2019~2021年</w:t>
      </w:r>
      <w:r>
        <w:rPr>
          <w:rFonts w:hint="eastAsia" w:eastAsia="宋体"/>
          <w:color w:val="auto"/>
        </w:rPr>
        <w:t>监测</w:t>
      </w:r>
      <w:r>
        <w:rPr>
          <w:rFonts w:hint="eastAsia" w:eastAsia="宋体"/>
          <w:color w:val="auto"/>
          <w:lang w:val="en-US" w:eastAsia="zh-CN"/>
        </w:rPr>
        <w:t>结果统计分析</w:t>
      </w:r>
      <w:r>
        <w:rPr>
          <w:rFonts w:hint="eastAsia" w:eastAsia="宋体"/>
          <w:color w:val="auto"/>
        </w:rPr>
        <w:t>表</w:t>
      </w:r>
    </w:p>
    <w:p w14:paraId="4D7E3E6C">
      <w:pPr>
        <w:pStyle w:val="63"/>
        <w:spacing w:before="48" w:after="48"/>
        <w:jc w:val="right"/>
        <w:rPr>
          <w:rFonts w:hint="default" w:eastAsia="宋体"/>
          <w:color w:val="auto"/>
          <w:lang w:val="en-US" w:eastAsia="zh-CN"/>
        </w:rPr>
      </w:pPr>
      <w:r>
        <w:rPr>
          <w:rFonts w:hint="eastAsia" w:eastAsia="宋体"/>
          <w:color w:val="auto"/>
          <w:lang w:val="en-US" w:eastAsia="zh-CN"/>
        </w:rPr>
        <w:t>单位：mg/L</w:t>
      </w:r>
    </w:p>
    <w:tbl>
      <w:tblPr>
        <w:tblStyle w:val="25"/>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912"/>
        <w:gridCol w:w="1465"/>
        <w:gridCol w:w="1465"/>
        <w:gridCol w:w="1465"/>
        <w:gridCol w:w="1465"/>
        <w:gridCol w:w="1470"/>
      </w:tblGrid>
      <w:tr w14:paraId="683320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1A5F58B">
            <w:pPr>
              <w:pStyle w:val="65"/>
              <w:framePr w:hSpace="0" w:wrap="auto" w:vAnchor="margin" w:hAnchor="text" w:xAlign="left" w:yAlign="inline"/>
              <w:jc w:val="center"/>
              <w:rPr>
                <w:b/>
                <w:bCs w:val="0"/>
                <w:color w:val="auto"/>
              </w:rPr>
            </w:pPr>
            <w:r>
              <w:rPr>
                <w:rFonts w:hint="eastAsia"/>
                <w:b/>
                <w:bCs w:val="0"/>
                <w:color w:val="auto"/>
              </w:rPr>
              <w:t>监测时间</w:t>
            </w:r>
          </w:p>
        </w:tc>
        <w:tc>
          <w:tcPr>
            <w:tcW w:w="792" w:type="pct"/>
            <w:shd w:val="clear" w:color="auto" w:fill="auto"/>
            <w:vAlign w:val="center"/>
          </w:tcPr>
          <w:p w14:paraId="6CB45FBB">
            <w:pPr>
              <w:pStyle w:val="65"/>
              <w:framePr w:hSpace="0" w:wrap="auto" w:vAnchor="margin" w:hAnchor="text" w:xAlign="left" w:yAlign="inline"/>
              <w:jc w:val="center"/>
              <w:rPr>
                <w:rFonts w:hint="default" w:eastAsia="宋体"/>
                <w:b/>
                <w:bCs w:val="0"/>
                <w:color w:val="auto"/>
                <w:lang w:val="en-US" w:eastAsia="zh-CN"/>
              </w:rPr>
            </w:pPr>
            <w:r>
              <w:rPr>
                <w:rFonts w:hint="eastAsia"/>
                <w:b/>
                <w:bCs w:val="0"/>
                <w:color w:val="auto"/>
                <w:lang w:val="en-US" w:eastAsia="zh-CN"/>
              </w:rPr>
              <w:t>溶解氧</w:t>
            </w:r>
          </w:p>
        </w:tc>
        <w:tc>
          <w:tcPr>
            <w:tcW w:w="792" w:type="pct"/>
            <w:shd w:val="clear" w:color="auto" w:fill="auto"/>
            <w:vAlign w:val="center"/>
          </w:tcPr>
          <w:p w14:paraId="68589C9D">
            <w:pPr>
              <w:pStyle w:val="65"/>
              <w:framePr w:hSpace="0" w:wrap="auto" w:vAnchor="margin" w:hAnchor="text" w:xAlign="left" w:yAlign="inline"/>
              <w:jc w:val="center"/>
              <w:rPr>
                <w:rFonts w:hint="eastAsia" w:eastAsia="宋体"/>
                <w:b/>
                <w:bCs w:val="0"/>
                <w:color w:val="auto"/>
                <w:lang w:val="en-US" w:eastAsia="zh-CN"/>
              </w:rPr>
            </w:pPr>
            <w:r>
              <w:rPr>
                <w:rFonts w:hint="eastAsia"/>
                <w:b/>
                <w:bCs w:val="0"/>
                <w:color w:val="auto"/>
                <w:lang w:val="en-US" w:eastAsia="zh-CN"/>
              </w:rPr>
              <w:t>氨氮</w:t>
            </w:r>
          </w:p>
        </w:tc>
        <w:tc>
          <w:tcPr>
            <w:tcW w:w="792" w:type="pct"/>
            <w:shd w:val="clear" w:color="auto" w:fill="auto"/>
            <w:vAlign w:val="center"/>
          </w:tcPr>
          <w:p w14:paraId="508B9202">
            <w:pPr>
              <w:pStyle w:val="65"/>
              <w:framePr w:hSpace="0" w:wrap="auto" w:vAnchor="margin" w:hAnchor="text" w:xAlign="left" w:yAlign="inline"/>
              <w:jc w:val="center"/>
              <w:rPr>
                <w:rFonts w:hint="default" w:eastAsia="宋体"/>
                <w:b/>
                <w:bCs w:val="0"/>
                <w:color w:val="auto"/>
                <w:lang w:val="en-US" w:eastAsia="zh-CN"/>
              </w:rPr>
            </w:pPr>
            <w:r>
              <w:rPr>
                <w:rFonts w:hint="eastAsia"/>
                <w:b/>
                <w:bCs w:val="0"/>
                <w:color w:val="auto"/>
                <w:lang w:val="en-US" w:eastAsia="zh-CN"/>
              </w:rPr>
              <w:t>化学需氧量</w:t>
            </w:r>
          </w:p>
        </w:tc>
        <w:tc>
          <w:tcPr>
            <w:tcW w:w="792" w:type="pct"/>
            <w:shd w:val="clear" w:color="auto" w:fill="auto"/>
            <w:vAlign w:val="center"/>
          </w:tcPr>
          <w:p w14:paraId="6DD9EA08">
            <w:pPr>
              <w:pStyle w:val="65"/>
              <w:framePr w:hSpace="0" w:wrap="auto" w:vAnchor="margin" w:hAnchor="text" w:xAlign="left" w:yAlign="inline"/>
              <w:jc w:val="center"/>
              <w:rPr>
                <w:rFonts w:hint="eastAsia" w:eastAsia="宋体"/>
                <w:b/>
                <w:bCs w:val="0"/>
                <w:color w:val="auto"/>
                <w:lang w:val="en-US" w:eastAsia="zh-CN"/>
              </w:rPr>
            </w:pPr>
            <w:r>
              <w:rPr>
                <w:rFonts w:hint="eastAsia"/>
                <w:b/>
                <w:bCs w:val="0"/>
                <w:color w:val="auto"/>
                <w:lang w:val="en-US" w:eastAsia="zh-CN"/>
              </w:rPr>
              <w:t>总氮</w:t>
            </w:r>
          </w:p>
        </w:tc>
        <w:tc>
          <w:tcPr>
            <w:tcW w:w="795" w:type="pct"/>
            <w:shd w:val="clear" w:color="auto" w:fill="auto"/>
            <w:vAlign w:val="center"/>
          </w:tcPr>
          <w:p w14:paraId="3F259708">
            <w:pPr>
              <w:pStyle w:val="65"/>
              <w:framePr w:hSpace="0" w:wrap="auto" w:vAnchor="margin" w:hAnchor="text" w:xAlign="left" w:yAlign="inline"/>
              <w:jc w:val="center"/>
              <w:rPr>
                <w:rFonts w:hint="eastAsia" w:eastAsia="宋体"/>
                <w:b/>
                <w:bCs w:val="0"/>
                <w:color w:val="auto"/>
                <w:lang w:val="en-US" w:eastAsia="zh-CN"/>
              </w:rPr>
            </w:pPr>
            <w:r>
              <w:rPr>
                <w:rFonts w:hint="eastAsia"/>
                <w:b/>
                <w:bCs w:val="0"/>
                <w:color w:val="auto"/>
                <w:lang w:val="en-US" w:eastAsia="zh-CN"/>
              </w:rPr>
              <w:t>总磷</w:t>
            </w:r>
          </w:p>
        </w:tc>
      </w:tr>
      <w:tr w14:paraId="75AEF13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60B35D20">
            <w:pPr>
              <w:pStyle w:val="65"/>
              <w:framePr w:hSpace="0" w:wrap="auto" w:vAnchor="margin" w:hAnchor="text" w:xAlign="left" w:yAlign="inline"/>
              <w:jc w:val="center"/>
              <w:rPr>
                <w:color w:val="auto"/>
              </w:rPr>
            </w:pPr>
            <w:r>
              <w:rPr>
                <w:rFonts w:hint="eastAsia"/>
                <w:color w:val="auto"/>
              </w:rPr>
              <w:t>2019.1</w:t>
            </w:r>
          </w:p>
        </w:tc>
        <w:tc>
          <w:tcPr>
            <w:tcW w:w="792" w:type="pct"/>
            <w:shd w:val="clear" w:color="auto" w:fill="auto"/>
            <w:vAlign w:val="center"/>
          </w:tcPr>
          <w:p w14:paraId="6FBFB14D">
            <w:pPr>
              <w:jc w:val="center"/>
              <w:rPr>
                <w:color w:val="auto"/>
                <w:sz w:val="21"/>
                <w:szCs w:val="21"/>
              </w:rPr>
            </w:pPr>
            <w:r>
              <w:rPr>
                <w:rFonts w:hint="eastAsia"/>
                <w:color w:val="auto"/>
                <w:sz w:val="21"/>
                <w:szCs w:val="21"/>
              </w:rPr>
              <w:t>4.29</w:t>
            </w:r>
          </w:p>
        </w:tc>
        <w:tc>
          <w:tcPr>
            <w:tcW w:w="792" w:type="pct"/>
            <w:shd w:val="clear" w:color="auto" w:fill="auto"/>
            <w:vAlign w:val="center"/>
          </w:tcPr>
          <w:p w14:paraId="70D7B41E">
            <w:pPr>
              <w:jc w:val="center"/>
              <w:rPr>
                <w:color w:val="auto"/>
                <w:sz w:val="21"/>
                <w:szCs w:val="21"/>
              </w:rPr>
            </w:pPr>
            <w:r>
              <w:rPr>
                <w:rFonts w:hint="eastAsia"/>
                <w:color w:val="auto"/>
                <w:sz w:val="21"/>
                <w:szCs w:val="21"/>
              </w:rPr>
              <w:t>4.5820</w:t>
            </w:r>
          </w:p>
        </w:tc>
        <w:tc>
          <w:tcPr>
            <w:tcW w:w="792" w:type="pct"/>
            <w:shd w:val="clear" w:color="auto" w:fill="auto"/>
            <w:vAlign w:val="center"/>
          </w:tcPr>
          <w:p w14:paraId="249CE216">
            <w:pPr>
              <w:jc w:val="center"/>
              <w:rPr>
                <w:color w:val="auto"/>
                <w:sz w:val="21"/>
                <w:szCs w:val="21"/>
              </w:rPr>
            </w:pPr>
            <w:r>
              <w:rPr>
                <w:rFonts w:hint="eastAsia"/>
                <w:color w:val="auto"/>
                <w:sz w:val="21"/>
                <w:szCs w:val="21"/>
              </w:rPr>
              <w:t>11.00</w:t>
            </w:r>
          </w:p>
        </w:tc>
        <w:tc>
          <w:tcPr>
            <w:tcW w:w="792" w:type="pct"/>
            <w:shd w:val="clear" w:color="auto" w:fill="auto"/>
            <w:vAlign w:val="center"/>
          </w:tcPr>
          <w:p w14:paraId="338852A2">
            <w:pPr>
              <w:jc w:val="center"/>
              <w:rPr>
                <w:color w:val="auto"/>
                <w:sz w:val="21"/>
                <w:szCs w:val="21"/>
              </w:rPr>
            </w:pPr>
            <w:r>
              <w:rPr>
                <w:rFonts w:hint="eastAsia"/>
                <w:color w:val="auto"/>
                <w:sz w:val="21"/>
                <w:szCs w:val="21"/>
              </w:rPr>
              <w:t>15.800</w:t>
            </w:r>
          </w:p>
        </w:tc>
        <w:tc>
          <w:tcPr>
            <w:tcW w:w="795" w:type="pct"/>
            <w:shd w:val="clear" w:color="auto" w:fill="auto"/>
            <w:vAlign w:val="center"/>
          </w:tcPr>
          <w:p w14:paraId="2EAB3072">
            <w:pPr>
              <w:jc w:val="center"/>
              <w:rPr>
                <w:color w:val="auto"/>
                <w:sz w:val="21"/>
                <w:szCs w:val="21"/>
              </w:rPr>
            </w:pPr>
            <w:r>
              <w:rPr>
                <w:rFonts w:hint="eastAsia"/>
                <w:color w:val="auto"/>
                <w:sz w:val="21"/>
                <w:szCs w:val="21"/>
              </w:rPr>
              <w:t>0.340</w:t>
            </w:r>
          </w:p>
        </w:tc>
      </w:tr>
      <w:tr w14:paraId="28C1DCC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207EEC3">
            <w:pPr>
              <w:pStyle w:val="65"/>
              <w:framePr w:hSpace="0" w:wrap="auto" w:vAnchor="margin" w:hAnchor="text" w:xAlign="left" w:yAlign="inline"/>
              <w:jc w:val="center"/>
              <w:rPr>
                <w:color w:val="auto"/>
              </w:rPr>
            </w:pPr>
            <w:r>
              <w:rPr>
                <w:rFonts w:hint="eastAsia"/>
                <w:color w:val="auto"/>
              </w:rPr>
              <w:t>2019.2</w:t>
            </w:r>
          </w:p>
        </w:tc>
        <w:tc>
          <w:tcPr>
            <w:tcW w:w="792" w:type="pct"/>
            <w:shd w:val="clear" w:color="auto" w:fill="auto"/>
            <w:vAlign w:val="center"/>
          </w:tcPr>
          <w:p w14:paraId="6568C74A">
            <w:pPr>
              <w:jc w:val="center"/>
              <w:rPr>
                <w:color w:val="auto"/>
                <w:sz w:val="21"/>
                <w:szCs w:val="21"/>
              </w:rPr>
            </w:pPr>
            <w:r>
              <w:rPr>
                <w:rFonts w:hint="eastAsia"/>
                <w:color w:val="auto"/>
                <w:sz w:val="21"/>
                <w:szCs w:val="21"/>
              </w:rPr>
              <w:t>7.30</w:t>
            </w:r>
          </w:p>
        </w:tc>
        <w:tc>
          <w:tcPr>
            <w:tcW w:w="792" w:type="pct"/>
            <w:shd w:val="clear" w:color="auto" w:fill="auto"/>
            <w:vAlign w:val="center"/>
          </w:tcPr>
          <w:p w14:paraId="3BEFE74C">
            <w:pPr>
              <w:jc w:val="center"/>
              <w:rPr>
                <w:color w:val="auto"/>
                <w:sz w:val="21"/>
                <w:szCs w:val="21"/>
              </w:rPr>
            </w:pPr>
            <w:r>
              <w:rPr>
                <w:rFonts w:hint="eastAsia"/>
                <w:color w:val="auto"/>
                <w:sz w:val="21"/>
                <w:szCs w:val="21"/>
              </w:rPr>
              <w:t>4.4420</w:t>
            </w:r>
          </w:p>
        </w:tc>
        <w:tc>
          <w:tcPr>
            <w:tcW w:w="792" w:type="pct"/>
            <w:shd w:val="clear" w:color="auto" w:fill="auto"/>
            <w:vAlign w:val="center"/>
          </w:tcPr>
          <w:p w14:paraId="6343C83E">
            <w:pPr>
              <w:jc w:val="center"/>
              <w:rPr>
                <w:color w:val="auto"/>
                <w:sz w:val="21"/>
                <w:szCs w:val="21"/>
              </w:rPr>
            </w:pPr>
            <w:r>
              <w:rPr>
                <w:rFonts w:hint="eastAsia"/>
                <w:color w:val="auto"/>
                <w:sz w:val="21"/>
                <w:szCs w:val="21"/>
              </w:rPr>
              <w:t>19.00</w:t>
            </w:r>
          </w:p>
        </w:tc>
        <w:tc>
          <w:tcPr>
            <w:tcW w:w="792" w:type="pct"/>
            <w:shd w:val="clear" w:color="auto" w:fill="auto"/>
            <w:vAlign w:val="center"/>
          </w:tcPr>
          <w:p w14:paraId="497FF0E9">
            <w:pPr>
              <w:jc w:val="center"/>
              <w:rPr>
                <w:color w:val="auto"/>
                <w:sz w:val="21"/>
                <w:szCs w:val="21"/>
              </w:rPr>
            </w:pPr>
            <w:r>
              <w:rPr>
                <w:rFonts w:hint="eastAsia"/>
                <w:color w:val="auto"/>
                <w:sz w:val="21"/>
                <w:szCs w:val="21"/>
              </w:rPr>
              <w:t>12.200</w:t>
            </w:r>
          </w:p>
        </w:tc>
        <w:tc>
          <w:tcPr>
            <w:tcW w:w="795" w:type="pct"/>
            <w:shd w:val="clear" w:color="auto" w:fill="auto"/>
            <w:vAlign w:val="center"/>
          </w:tcPr>
          <w:p w14:paraId="74D3BC1F">
            <w:pPr>
              <w:jc w:val="center"/>
              <w:rPr>
                <w:color w:val="auto"/>
                <w:sz w:val="21"/>
                <w:szCs w:val="21"/>
              </w:rPr>
            </w:pPr>
            <w:r>
              <w:rPr>
                <w:rFonts w:hint="eastAsia"/>
                <w:color w:val="auto"/>
                <w:sz w:val="21"/>
                <w:szCs w:val="21"/>
              </w:rPr>
              <w:t>0.290</w:t>
            </w:r>
          </w:p>
        </w:tc>
      </w:tr>
      <w:tr w14:paraId="20D21BB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F5CC430">
            <w:pPr>
              <w:pStyle w:val="65"/>
              <w:framePr w:hSpace="0" w:wrap="auto" w:vAnchor="margin" w:hAnchor="text" w:xAlign="left" w:yAlign="inline"/>
              <w:jc w:val="center"/>
              <w:rPr>
                <w:color w:val="auto"/>
              </w:rPr>
            </w:pPr>
            <w:r>
              <w:rPr>
                <w:rFonts w:hint="eastAsia"/>
                <w:color w:val="auto"/>
              </w:rPr>
              <w:t>2019.3</w:t>
            </w:r>
          </w:p>
        </w:tc>
        <w:tc>
          <w:tcPr>
            <w:tcW w:w="792" w:type="pct"/>
            <w:shd w:val="clear" w:color="auto" w:fill="auto"/>
            <w:vAlign w:val="center"/>
          </w:tcPr>
          <w:p w14:paraId="15C8B5BA">
            <w:pPr>
              <w:jc w:val="center"/>
              <w:rPr>
                <w:color w:val="auto"/>
                <w:sz w:val="21"/>
                <w:szCs w:val="21"/>
              </w:rPr>
            </w:pPr>
            <w:r>
              <w:rPr>
                <w:rFonts w:hint="eastAsia"/>
                <w:color w:val="auto"/>
                <w:sz w:val="21"/>
                <w:szCs w:val="21"/>
              </w:rPr>
              <w:t>9.25</w:t>
            </w:r>
          </w:p>
        </w:tc>
        <w:tc>
          <w:tcPr>
            <w:tcW w:w="792" w:type="pct"/>
            <w:shd w:val="clear" w:color="auto" w:fill="auto"/>
            <w:vAlign w:val="center"/>
          </w:tcPr>
          <w:p w14:paraId="59C682C5">
            <w:pPr>
              <w:jc w:val="center"/>
              <w:rPr>
                <w:color w:val="auto"/>
                <w:sz w:val="21"/>
                <w:szCs w:val="21"/>
              </w:rPr>
            </w:pPr>
            <w:r>
              <w:rPr>
                <w:rFonts w:hint="eastAsia"/>
                <w:color w:val="auto"/>
                <w:sz w:val="21"/>
                <w:szCs w:val="21"/>
              </w:rPr>
              <w:t>5.2550</w:t>
            </w:r>
          </w:p>
        </w:tc>
        <w:tc>
          <w:tcPr>
            <w:tcW w:w="792" w:type="pct"/>
            <w:shd w:val="clear" w:color="auto" w:fill="auto"/>
            <w:vAlign w:val="center"/>
          </w:tcPr>
          <w:p w14:paraId="7B3FDAD8">
            <w:pPr>
              <w:jc w:val="center"/>
              <w:rPr>
                <w:color w:val="auto"/>
                <w:sz w:val="21"/>
                <w:szCs w:val="21"/>
              </w:rPr>
            </w:pPr>
            <w:r>
              <w:rPr>
                <w:rFonts w:hint="eastAsia"/>
                <w:color w:val="auto"/>
                <w:sz w:val="21"/>
                <w:szCs w:val="21"/>
              </w:rPr>
              <w:t>16.00</w:t>
            </w:r>
          </w:p>
        </w:tc>
        <w:tc>
          <w:tcPr>
            <w:tcW w:w="792" w:type="pct"/>
            <w:shd w:val="clear" w:color="auto" w:fill="auto"/>
            <w:vAlign w:val="center"/>
          </w:tcPr>
          <w:p w14:paraId="6DF442BE">
            <w:pPr>
              <w:jc w:val="center"/>
              <w:rPr>
                <w:color w:val="auto"/>
                <w:sz w:val="21"/>
                <w:szCs w:val="21"/>
              </w:rPr>
            </w:pPr>
            <w:r>
              <w:rPr>
                <w:rFonts w:hint="eastAsia"/>
                <w:color w:val="auto"/>
                <w:sz w:val="21"/>
                <w:szCs w:val="21"/>
              </w:rPr>
              <w:t>9.560</w:t>
            </w:r>
          </w:p>
        </w:tc>
        <w:tc>
          <w:tcPr>
            <w:tcW w:w="795" w:type="pct"/>
            <w:shd w:val="clear" w:color="auto" w:fill="auto"/>
            <w:vAlign w:val="center"/>
          </w:tcPr>
          <w:p w14:paraId="6ED3EC47">
            <w:pPr>
              <w:jc w:val="center"/>
              <w:rPr>
                <w:color w:val="auto"/>
                <w:sz w:val="21"/>
                <w:szCs w:val="21"/>
              </w:rPr>
            </w:pPr>
            <w:r>
              <w:rPr>
                <w:rFonts w:hint="eastAsia"/>
                <w:color w:val="auto"/>
                <w:sz w:val="21"/>
                <w:szCs w:val="21"/>
              </w:rPr>
              <w:t>0.340</w:t>
            </w:r>
          </w:p>
        </w:tc>
      </w:tr>
      <w:tr w14:paraId="64B19D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173EBB5">
            <w:pPr>
              <w:pStyle w:val="65"/>
              <w:framePr w:hSpace="0" w:wrap="auto" w:vAnchor="margin" w:hAnchor="text" w:xAlign="left" w:yAlign="inline"/>
              <w:jc w:val="center"/>
              <w:rPr>
                <w:color w:val="auto"/>
              </w:rPr>
            </w:pPr>
            <w:r>
              <w:rPr>
                <w:rFonts w:hint="eastAsia"/>
                <w:color w:val="auto"/>
              </w:rPr>
              <w:t>2019.4</w:t>
            </w:r>
          </w:p>
        </w:tc>
        <w:tc>
          <w:tcPr>
            <w:tcW w:w="792" w:type="pct"/>
            <w:shd w:val="clear" w:color="auto" w:fill="auto"/>
            <w:vAlign w:val="center"/>
          </w:tcPr>
          <w:p w14:paraId="4C1F5616">
            <w:pPr>
              <w:jc w:val="center"/>
              <w:rPr>
                <w:color w:val="auto"/>
                <w:sz w:val="21"/>
                <w:szCs w:val="21"/>
              </w:rPr>
            </w:pPr>
            <w:r>
              <w:rPr>
                <w:rFonts w:hint="eastAsia"/>
                <w:color w:val="auto"/>
                <w:sz w:val="21"/>
                <w:szCs w:val="21"/>
              </w:rPr>
              <w:t>5.87</w:t>
            </w:r>
          </w:p>
        </w:tc>
        <w:tc>
          <w:tcPr>
            <w:tcW w:w="792" w:type="pct"/>
            <w:shd w:val="clear" w:color="auto" w:fill="auto"/>
            <w:vAlign w:val="center"/>
          </w:tcPr>
          <w:p w14:paraId="3667489A">
            <w:pPr>
              <w:jc w:val="center"/>
              <w:rPr>
                <w:color w:val="auto"/>
                <w:sz w:val="21"/>
                <w:szCs w:val="21"/>
              </w:rPr>
            </w:pPr>
            <w:r>
              <w:rPr>
                <w:rFonts w:hint="eastAsia"/>
                <w:color w:val="auto"/>
                <w:sz w:val="21"/>
                <w:szCs w:val="21"/>
              </w:rPr>
              <w:t>5.8300</w:t>
            </w:r>
          </w:p>
        </w:tc>
        <w:tc>
          <w:tcPr>
            <w:tcW w:w="792" w:type="pct"/>
            <w:shd w:val="clear" w:color="auto" w:fill="auto"/>
            <w:vAlign w:val="center"/>
          </w:tcPr>
          <w:p w14:paraId="240894D3">
            <w:pPr>
              <w:jc w:val="center"/>
              <w:rPr>
                <w:color w:val="auto"/>
                <w:sz w:val="21"/>
                <w:szCs w:val="21"/>
              </w:rPr>
            </w:pPr>
            <w:r>
              <w:rPr>
                <w:rFonts w:hint="eastAsia"/>
                <w:color w:val="auto"/>
                <w:sz w:val="21"/>
                <w:szCs w:val="21"/>
              </w:rPr>
              <w:t>19.00</w:t>
            </w:r>
          </w:p>
        </w:tc>
        <w:tc>
          <w:tcPr>
            <w:tcW w:w="792" w:type="pct"/>
            <w:shd w:val="clear" w:color="auto" w:fill="auto"/>
            <w:vAlign w:val="center"/>
          </w:tcPr>
          <w:p w14:paraId="7E8A12F6">
            <w:pPr>
              <w:jc w:val="center"/>
              <w:rPr>
                <w:color w:val="auto"/>
                <w:sz w:val="21"/>
                <w:szCs w:val="21"/>
              </w:rPr>
            </w:pPr>
            <w:r>
              <w:rPr>
                <w:rFonts w:hint="eastAsia"/>
                <w:color w:val="auto"/>
                <w:sz w:val="21"/>
                <w:szCs w:val="21"/>
              </w:rPr>
              <w:t>11.400</w:t>
            </w:r>
          </w:p>
        </w:tc>
        <w:tc>
          <w:tcPr>
            <w:tcW w:w="795" w:type="pct"/>
            <w:shd w:val="clear" w:color="auto" w:fill="auto"/>
            <w:vAlign w:val="center"/>
          </w:tcPr>
          <w:p w14:paraId="5823B19A">
            <w:pPr>
              <w:jc w:val="center"/>
              <w:rPr>
                <w:color w:val="auto"/>
                <w:sz w:val="21"/>
                <w:szCs w:val="21"/>
              </w:rPr>
            </w:pPr>
            <w:r>
              <w:rPr>
                <w:rFonts w:hint="eastAsia"/>
                <w:color w:val="auto"/>
                <w:sz w:val="21"/>
                <w:szCs w:val="21"/>
              </w:rPr>
              <w:t>0.300</w:t>
            </w:r>
          </w:p>
        </w:tc>
      </w:tr>
      <w:tr w14:paraId="0C83D54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29AEC78">
            <w:pPr>
              <w:pStyle w:val="65"/>
              <w:framePr w:hSpace="0" w:wrap="auto" w:vAnchor="margin" w:hAnchor="text" w:xAlign="left" w:yAlign="inline"/>
              <w:jc w:val="center"/>
              <w:rPr>
                <w:color w:val="auto"/>
              </w:rPr>
            </w:pPr>
            <w:r>
              <w:rPr>
                <w:rFonts w:hint="eastAsia"/>
                <w:color w:val="auto"/>
              </w:rPr>
              <w:t>2019.5</w:t>
            </w:r>
          </w:p>
        </w:tc>
        <w:tc>
          <w:tcPr>
            <w:tcW w:w="792" w:type="pct"/>
            <w:shd w:val="clear" w:color="auto" w:fill="auto"/>
            <w:vAlign w:val="center"/>
          </w:tcPr>
          <w:p w14:paraId="01DB7511">
            <w:pPr>
              <w:jc w:val="center"/>
              <w:rPr>
                <w:color w:val="auto"/>
                <w:sz w:val="21"/>
                <w:szCs w:val="21"/>
              </w:rPr>
            </w:pPr>
            <w:r>
              <w:rPr>
                <w:rFonts w:hint="eastAsia"/>
                <w:color w:val="auto"/>
                <w:sz w:val="21"/>
                <w:szCs w:val="21"/>
              </w:rPr>
              <w:t>7.32</w:t>
            </w:r>
          </w:p>
        </w:tc>
        <w:tc>
          <w:tcPr>
            <w:tcW w:w="792" w:type="pct"/>
            <w:shd w:val="clear" w:color="auto" w:fill="auto"/>
            <w:vAlign w:val="center"/>
          </w:tcPr>
          <w:p w14:paraId="1BDA251F">
            <w:pPr>
              <w:jc w:val="center"/>
              <w:rPr>
                <w:color w:val="auto"/>
                <w:sz w:val="21"/>
                <w:szCs w:val="21"/>
              </w:rPr>
            </w:pPr>
            <w:r>
              <w:rPr>
                <w:rFonts w:hint="eastAsia"/>
                <w:color w:val="auto"/>
                <w:sz w:val="21"/>
                <w:szCs w:val="21"/>
              </w:rPr>
              <w:t>4.7780</w:t>
            </w:r>
          </w:p>
        </w:tc>
        <w:tc>
          <w:tcPr>
            <w:tcW w:w="792" w:type="pct"/>
            <w:shd w:val="clear" w:color="auto" w:fill="auto"/>
            <w:vAlign w:val="center"/>
          </w:tcPr>
          <w:p w14:paraId="09F6E2F4">
            <w:pPr>
              <w:jc w:val="center"/>
              <w:rPr>
                <w:color w:val="auto"/>
                <w:sz w:val="21"/>
                <w:szCs w:val="21"/>
              </w:rPr>
            </w:pPr>
            <w:r>
              <w:rPr>
                <w:rFonts w:hint="eastAsia"/>
                <w:color w:val="auto"/>
                <w:sz w:val="21"/>
                <w:szCs w:val="21"/>
              </w:rPr>
              <w:t>20.00</w:t>
            </w:r>
          </w:p>
        </w:tc>
        <w:tc>
          <w:tcPr>
            <w:tcW w:w="792" w:type="pct"/>
            <w:shd w:val="clear" w:color="auto" w:fill="auto"/>
            <w:vAlign w:val="center"/>
          </w:tcPr>
          <w:p w14:paraId="7860D878">
            <w:pPr>
              <w:jc w:val="center"/>
              <w:rPr>
                <w:color w:val="auto"/>
                <w:sz w:val="21"/>
                <w:szCs w:val="21"/>
              </w:rPr>
            </w:pPr>
            <w:r>
              <w:rPr>
                <w:rFonts w:hint="eastAsia"/>
                <w:color w:val="auto"/>
                <w:sz w:val="21"/>
                <w:szCs w:val="21"/>
              </w:rPr>
              <w:t>12.200</w:t>
            </w:r>
          </w:p>
        </w:tc>
        <w:tc>
          <w:tcPr>
            <w:tcW w:w="795" w:type="pct"/>
            <w:shd w:val="clear" w:color="auto" w:fill="auto"/>
            <w:vAlign w:val="center"/>
          </w:tcPr>
          <w:p w14:paraId="7F3FD120">
            <w:pPr>
              <w:jc w:val="center"/>
              <w:rPr>
                <w:color w:val="auto"/>
                <w:sz w:val="21"/>
                <w:szCs w:val="21"/>
              </w:rPr>
            </w:pPr>
            <w:r>
              <w:rPr>
                <w:rFonts w:hint="eastAsia"/>
                <w:color w:val="auto"/>
                <w:sz w:val="21"/>
                <w:szCs w:val="21"/>
              </w:rPr>
              <w:t>0.250</w:t>
            </w:r>
          </w:p>
        </w:tc>
      </w:tr>
      <w:tr w14:paraId="64FFF79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3136182">
            <w:pPr>
              <w:pStyle w:val="65"/>
              <w:framePr w:hSpace="0" w:wrap="auto" w:vAnchor="margin" w:hAnchor="text" w:xAlign="left" w:yAlign="inline"/>
              <w:jc w:val="center"/>
              <w:rPr>
                <w:color w:val="auto"/>
              </w:rPr>
            </w:pPr>
            <w:r>
              <w:rPr>
                <w:rFonts w:hint="eastAsia"/>
                <w:color w:val="auto"/>
              </w:rPr>
              <w:t>2019.6</w:t>
            </w:r>
          </w:p>
        </w:tc>
        <w:tc>
          <w:tcPr>
            <w:tcW w:w="792" w:type="pct"/>
            <w:shd w:val="clear" w:color="auto" w:fill="auto"/>
            <w:vAlign w:val="center"/>
          </w:tcPr>
          <w:p w14:paraId="04206699">
            <w:pPr>
              <w:jc w:val="center"/>
              <w:rPr>
                <w:color w:val="auto"/>
                <w:sz w:val="21"/>
                <w:szCs w:val="21"/>
              </w:rPr>
            </w:pPr>
            <w:r>
              <w:rPr>
                <w:rFonts w:hint="eastAsia"/>
                <w:color w:val="auto"/>
                <w:sz w:val="21"/>
                <w:szCs w:val="21"/>
              </w:rPr>
              <w:t>3.40</w:t>
            </w:r>
          </w:p>
        </w:tc>
        <w:tc>
          <w:tcPr>
            <w:tcW w:w="792" w:type="pct"/>
            <w:shd w:val="clear" w:color="auto" w:fill="auto"/>
            <w:vAlign w:val="center"/>
          </w:tcPr>
          <w:p w14:paraId="72B70238">
            <w:pPr>
              <w:jc w:val="center"/>
              <w:rPr>
                <w:color w:val="auto"/>
                <w:sz w:val="21"/>
                <w:szCs w:val="21"/>
              </w:rPr>
            </w:pPr>
            <w:r>
              <w:rPr>
                <w:rFonts w:hint="eastAsia"/>
                <w:color w:val="auto"/>
                <w:sz w:val="21"/>
                <w:szCs w:val="21"/>
              </w:rPr>
              <w:t>7.0030</w:t>
            </w:r>
          </w:p>
        </w:tc>
        <w:tc>
          <w:tcPr>
            <w:tcW w:w="792" w:type="pct"/>
            <w:shd w:val="clear" w:color="auto" w:fill="auto"/>
            <w:vAlign w:val="center"/>
          </w:tcPr>
          <w:p w14:paraId="1D2747DE">
            <w:pPr>
              <w:jc w:val="center"/>
              <w:rPr>
                <w:color w:val="auto"/>
                <w:sz w:val="21"/>
                <w:szCs w:val="21"/>
              </w:rPr>
            </w:pPr>
            <w:r>
              <w:rPr>
                <w:rFonts w:hint="eastAsia"/>
                <w:color w:val="auto"/>
                <w:sz w:val="21"/>
                <w:szCs w:val="21"/>
              </w:rPr>
              <w:t>28.00</w:t>
            </w:r>
          </w:p>
        </w:tc>
        <w:tc>
          <w:tcPr>
            <w:tcW w:w="792" w:type="pct"/>
            <w:shd w:val="clear" w:color="auto" w:fill="auto"/>
            <w:vAlign w:val="center"/>
          </w:tcPr>
          <w:p w14:paraId="1BA9ADC9">
            <w:pPr>
              <w:jc w:val="center"/>
              <w:rPr>
                <w:color w:val="auto"/>
                <w:sz w:val="21"/>
                <w:szCs w:val="21"/>
              </w:rPr>
            </w:pPr>
            <w:r>
              <w:rPr>
                <w:rFonts w:hint="eastAsia"/>
                <w:color w:val="auto"/>
                <w:sz w:val="21"/>
                <w:szCs w:val="21"/>
              </w:rPr>
              <w:t>11.000</w:t>
            </w:r>
          </w:p>
        </w:tc>
        <w:tc>
          <w:tcPr>
            <w:tcW w:w="795" w:type="pct"/>
            <w:shd w:val="clear" w:color="auto" w:fill="auto"/>
            <w:vAlign w:val="center"/>
          </w:tcPr>
          <w:p w14:paraId="58256C2E">
            <w:pPr>
              <w:jc w:val="center"/>
              <w:rPr>
                <w:color w:val="auto"/>
                <w:sz w:val="21"/>
                <w:szCs w:val="21"/>
              </w:rPr>
            </w:pPr>
            <w:r>
              <w:rPr>
                <w:rFonts w:hint="eastAsia"/>
                <w:color w:val="auto"/>
                <w:sz w:val="21"/>
                <w:szCs w:val="21"/>
              </w:rPr>
              <w:t>0.350</w:t>
            </w:r>
          </w:p>
        </w:tc>
      </w:tr>
      <w:tr w14:paraId="622095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71FDEA9B">
            <w:pPr>
              <w:pStyle w:val="65"/>
              <w:framePr w:hSpace="0" w:wrap="auto" w:vAnchor="margin" w:hAnchor="text" w:xAlign="left" w:yAlign="inline"/>
              <w:jc w:val="center"/>
              <w:rPr>
                <w:color w:val="auto"/>
              </w:rPr>
            </w:pPr>
            <w:r>
              <w:rPr>
                <w:rFonts w:hint="eastAsia"/>
                <w:color w:val="auto"/>
              </w:rPr>
              <w:t>2019.7</w:t>
            </w:r>
          </w:p>
        </w:tc>
        <w:tc>
          <w:tcPr>
            <w:tcW w:w="792" w:type="pct"/>
            <w:shd w:val="clear" w:color="auto" w:fill="auto"/>
            <w:vAlign w:val="center"/>
          </w:tcPr>
          <w:p w14:paraId="63248F69">
            <w:pPr>
              <w:jc w:val="center"/>
              <w:rPr>
                <w:color w:val="auto"/>
                <w:sz w:val="21"/>
                <w:szCs w:val="21"/>
              </w:rPr>
            </w:pPr>
            <w:r>
              <w:rPr>
                <w:rFonts w:hint="eastAsia"/>
                <w:color w:val="auto"/>
                <w:sz w:val="21"/>
                <w:szCs w:val="21"/>
              </w:rPr>
              <w:t>5.17</w:t>
            </w:r>
          </w:p>
        </w:tc>
        <w:tc>
          <w:tcPr>
            <w:tcW w:w="792" w:type="pct"/>
            <w:shd w:val="clear" w:color="auto" w:fill="auto"/>
            <w:vAlign w:val="center"/>
          </w:tcPr>
          <w:p w14:paraId="0FFE0059">
            <w:pPr>
              <w:jc w:val="center"/>
              <w:rPr>
                <w:color w:val="auto"/>
                <w:sz w:val="21"/>
                <w:szCs w:val="21"/>
              </w:rPr>
            </w:pPr>
            <w:r>
              <w:rPr>
                <w:rFonts w:hint="eastAsia"/>
                <w:color w:val="auto"/>
                <w:sz w:val="21"/>
                <w:szCs w:val="21"/>
              </w:rPr>
              <w:t>3.0880</w:t>
            </w:r>
          </w:p>
        </w:tc>
        <w:tc>
          <w:tcPr>
            <w:tcW w:w="792" w:type="pct"/>
            <w:shd w:val="clear" w:color="auto" w:fill="auto"/>
            <w:vAlign w:val="center"/>
          </w:tcPr>
          <w:p w14:paraId="55B5425F">
            <w:pPr>
              <w:jc w:val="center"/>
              <w:rPr>
                <w:color w:val="auto"/>
                <w:sz w:val="21"/>
                <w:szCs w:val="21"/>
              </w:rPr>
            </w:pPr>
            <w:r>
              <w:rPr>
                <w:rFonts w:hint="eastAsia"/>
                <w:color w:val="auto"/>
                <w:sz w:val="21"/>
                <w:szCs w:val="21"/>
              </w:rPr>
              <w:t>14.00</w:t>
            </w:r>
          </w:p>
        </w:tc>
        <w:tc>
          <w:tcPr>
            <w:tcW w:w="792" w:type="pct"/>
            <w:shd w:val="clear" w:color="auto" w:fill="auto"/>
            <w:vAlign w:val="center"/>
          </w:tcPr>
          <w:p w14:paraId="20BC61A3">
            <w:pPr>
              <w:jc w:val="center"/>
              <w:rPr>
                <w:color w:val="auto"/>
                <w:sz w:val="21"/>
                <w:szCs w:val="21"/>
              </w:rPr>
            </w:pPr>
            <w:r>
              <w:rPr>
                <w:rFonts w:hint="eastAsia"/>
                <w:color w:val="auto"/>
                <w:sz w:val="21"/>
                <w:szCs w:val="21"/>
              </w:rPr>
              <w:t>12.300</w:t>
            </w:r>
          </w:p>
        </w:tc>
        <w:tc>
          <w:tcPr>
            <w:tcW w:w="795" w:type="pct"/>
            <w:shd w:val="clear" w:color="auto" w:fill="auto"/>
            <w:vAlign w:val="center"/>
          </w:tcPr>
          <w:p w14:paraId="2B7A49DF">
            <w:pPr>
              <w:jc w:val="center"/>
              <w:rPr>
                <w:color w:val="auto"/>
                <w:sz w:val="21"/>
                <w:szCs w:val="21"/>
              </w:rPr>
            </w:pPr>
            <w:r>
              <w:rPr>
                <w:rFonts w:hint="eastAsia"/>
                <w:color w:val="auto"/>
                <w:sz w:val="21"/>
                <w:szCs w:val="21"/>
              </w:rPr>
              <w:t>0.200</w:t>
            </w:r>
          </w:p>
        </w:tc>
      </w:tr>
      <w:tr w14:paraId="3F9D0C8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4A794C9">
            <w:pPr>
              <w:pStyle w:val="65"/>
              <w:framePr w:hSpace="0" w:wrap="auto" w:vAnchor="margin" w:hAnchor="text" w:xAlign="left" w:yAlign="inline"/>
              <w:jc w:val="center"/>
              <w:rPr>
                <w:color w:val="auto"/>
              </w:rPr>
            </w:pPr>
            <w:r>
              <w:rPr>
                <w:rFonts w:hint="eastAsia"/>
                <w:color w:val="auto"/>
              </w:rPr>
              <w:t>2019.8</w:t>
            </w:r>
          </w:p>
        </w:tc>
        <w:tc>
          <w:tcPr>
            <w:tcW w:w="792" w:type="pct"/>
            <w:shd w:val="clear" w:color="auto" w:fill="auto"/>
            <w:vAlign w:val="center"/>
          </w:tcPr>
          <w:p w14:paraId="71771F5D">
            <w:pPr>
              <w:jc w:val="center"/>
              <w:rPr>
                <w:color w:val="auto"/>
                <w:sz w:val="21"/>
                <w:szCs w:val="21"/>
              </w:rPr>
            </w:pPr>
            <w:r>
              <w:rPr>
                <w:rFonts w:hint="eastAsia"/>
                <w:color w:val="auto"/>
                <w:sz w:val="21"/>
                <w:szCs w:val="21"/>
              </w:rPr>
              <w:t>5.30</w:t>
            </w:r>
          </w:p>
        </w:tc>
        <w:tc>
          <w:tcPr>
            <w:tcW w:w="792" w:type="pct"/>
            <w:shd w:val="clear" w:color="auto" w:fill="auto"/>
            <w:vAlign w:val="center"/>
          </w:tcPr>
          <w:p w14:paraId="3993EEF3">
            <w:pPr>
              <w:jc w:val="center"/>
              <w:rPr>
                <w:color w:val="auto"/>
                <w:sz w:val="21"/>
                <w:szCs w:val="21"/>
              </w:rPr>
            </w:pPr>
            <w:r>
              <w:rPr>
                <w:rFonts w:hint="eastAsia"/>
                <w:color w:val="auto"/>
                <w:sz w:val="21"/>
                <w:szCs w:val="21"/>
              </w:rPr>
              <w:t>1.8580</w:t>
            </w:r>
          </w:p>
        </w:tc>
        <w:tc>
          <w:tcPr>
            <w:tcW w:w="792" w:type="pct"/>
            <w:shd w:val="clear" w:color="auto" w:fill="auto"/>
            <w:vAlign w:val="center"/>
          </w:tcPr>
          <w:p w14:paraId="2C45242A">
            <w:pPr>
              <w:jc w:val="center"/>
              <w:rPr>
                <w:color w:val="auto"/>
                <w:sz w:val="21"/>
                <w:szCs w:val="21"/>
              </w:rPr>
            </w:pPr>
            <w:r>
              <w:rPr>
                <w:rFonts w:hint="eastAsia"/>
                <w:color w:val="auto"/>
                <w:sz w:val="21"/>
                <w:szCs w:val="21"/>
              </w:rPr>
              <w:t>21.00</w:t>
            </w:r>
          </w:p>
        </w:tc>
        <w:tc>
          <w:tcPr>
            <w:tcW w:w="792" w:type="pct"/>
            <w:shd w:val="clear" w:color="auto" w:fill="auto"/>
            <w:vAlign w:val="center"/>
          </w:tcPr>
          <w:p w14:paraId="28A940B9">
            <w:pPr>
              <w:jc w:val="center"/>
              <w:rPr>
                <w:color w:val="auto"/>
                <w:sz w:val="21"/>
                <w:szCs w:val="21"/>
              </w:rPr>
            </w:pPr>
            <w:r>
              <w:rPr>
                <w:rFonts w:hint="eastAsia"/>
                <w:color w:val="auto"/>
                <w:sz w:val="21"/>
                <w:szCs w:val="21"/>
              </w:rPr>
              <w:t>14.000</w:t>
            </w:r>
          </w:p>
        </w:tc>
        <w:tc>
          <w:tcPr>
            <w:tcW w:w="795" w:type="pct"/>
            <w:shd w:val="clear" w:color="auto" w:fill="auto"/>
            <w:vAlign w:val="center"/>
          </w:tcPr>
          <w:p w14:paraId="2DE1D83D">
            <w:pPr>
              <w:jc w:val="center"/>
              <w:rPr>
                <w:color w:val="auto"/>
                <w:sz w:val="21"/>
                <w:szCs w:val="21"/>
              </w:rPr>
            </w:pPr>
            <w:r>
              <w:rPr>
                <w:rFonts w:hint="eastAsia"/>
                <w:color w:val="auto"/>
                <w:sz w:val="21"/>
                <w:szCs w:val="21"/>
              </w:rPr>
              <w:t>0.060</w:t>
            </w:r>
          </w:p>
        </w:tc>
      </w:tr>
      <w:tr w14:paraId="1A1A04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4965204">
            <w:pPr>
              <w:pStyle w:val="65"/>
              <w:framePr w:hSpace="0" w:wrap="auto" w:vAnchor="margin" w:hAnchor="text" w:xAlign="left" w:yAlign="inline"/>
              <w:jc w:val="center"/>
              <w:rPr>
                <w:color w:val="auto"/>
              </w:rPr>
            </w:pPr>
            <w:r>
              <w:rPr>
                <w:rFonts w:hint="eastAsia"/>
                <w:color w:val="auto"/>
              </w:rPr>
              <w:t>2019.9</w:t>
            </w:r>
          </w:p>
        </w:tc>
        <w:tc>
          <w:tcPr>
            <w:tcW w:w="792" w:type="pct"/>
            <w:shd w:val="clear" w:color="auto" w:fill="auto"/>
            <w:vAlign w:val="center"/>
          </w:tcPr>
          <w:p w14:paraId="2D77E4A7">
            <w:pPr>
              <w:jc w:val="center"/>
              <w:rPr>
                <w:color w:val="auto"/>
                <w:sz w:val="21"/>
                <w:szCs w:val="21"/>
              </w:rPr>
            </w:pPr>
            <w:r>
              <w:rPr>
                <w:rFonts w:hint="eastAsia"/>
                <w:color w:val="auto"/>
                <w:sz w:val="21"/>
                <w:szCs w:val="21"/>
              </w:rPr>
              <w:t>6.08</w:t>
            </w:r>
          </w:p>
        </w:tc>
        <w:tc>
          <w:tcPr>
            <w:tcW w:w="792" w:type="pct"/>
            <w:shd w:val="clear" w:color="auto" w:fill="auto"/>
            <w:vAlign w:val="center"/>
          </w:tcPr>
          <w:p w14:paraId="665AD47E">
            <w:pPr>
              <w:jc w:val="center"/>
              <w:rPr>
                <w:color w:val="auto"/>
                <w:sz w:val="21"/>
                <w:szCs w:val="21"/>
              </w:rPr>
            </w:pPr>
            <w:r>
              <w:rPr>
                <w:rFonts w:hint="eastAsia"/>
                <w:color w:val="auto"/>
                <w:sz w:val="21"/>
                <w:szCs w:val="21"/>
              </w:rPr>
              <w:t>5.1340</w:t>
            </w:r>
          </w:p>
        </w:tc>
        <w:tc>
          <w:tcPr>
            <w:tcW w:w="792" w:type="pct"/>
            <w:shd w:val="clear" w:color="auto" w:fill="auto"/>
            <w:vAlign w:val="center"/>
          </w:tcPr>
          <w:p w14:paraId="01B53FB5">
            <w:pPr>
              <w:jc w:val="center"/>
              <w:rPr>
                <w:color w:val="auto"/>
                <w:sz w:val="21"/>
                <w:szCs w:val="21"/>
              </w:rPr>
            </w:pPr>
            <w:r>
              <w:rPr>
                <w:rFonts w:hint="eastAsia"/>
                <w:color w:val="auto"/>
                <w:sz w:val="21"/>
                <w:szCs w:val="21"/>
              </w:rPr>
              <w:t>14.00</w:t>
            </w:r>
          </w:p>
        </w:tc>
        <w:tc>
          <w:tcPr>
            <w:tcW w:w="792" w:type="pct"/>
            <w:shd w:val="clear" w:color="auto" w:fill="auto"/>
            <w:vAlign w:val="center"/>
          </w:tcPr>
          <w:p w14:paraId="04551BCF">
            <w:pPr>
              <w:jc w:val="center"/>
              <w:rPr>
                <w:color w:val="auto"/>
                <w:sz w:val="21"/>
                <w:szCs w:val="21"/>
              </w:rPr>
            </w:pPr>
            <w:r>
              <w:rPr>
                <w:rFonts w:hint="eastAsia"/>
                <w:color w:val="auto"/>
                <w:sz w:val="21"/>
                <w:szCs w:val="21"/>
              </w:rPr>
              <w:t>10.200</w:t>
            </w:r>
          </w:p>
        </w:tc>
        <w:tc>
          <w:tcPr>
            <w:tcW w:w="795" w:type="pct"/>
            <w:shd w:val="clear" w:color="auto" w:fill="auto"/>
            <w:vAlign w:val="center"/>
          </w:tcPr>
          <w:p w14:paraId="448EBA07">
            <w:pPr>
              <w:jc w:val="center"/>
              <w:rPr>
                <w:color w:val="auto"/>
                <w:sz w:val="21"/>
                <w:szCs w:val="21"/>
              </w:rPr>
            </w:pPr>
            <w:r>
              <w:rPr>
                <w:rFonts w:hint="eastAsia"/>
                <w:color w:val="auto"/>
                <w:sz w:val="21"/>
                <w:szCs w:val="21"/>
              </w:rPr>
              <w:t>0.220</w:t>
            </w:r>
          </w:p>
        </w:tc>
      </w:tr>
      <w:tr w14:paraId="0661532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7F806F5B">
            <w:pPr>
              <w:pStyle w:val="65"/>
              <w:framePr w:hSpace="0" w:wrap="auto" w:vAnchor="margin" w:hAnchor="text" w:xAlign="left" w:yAlign="inline"/>
              <w:jc w:val="center"/>
              <w:rPr>
                <w:color w:val="auto"/>
              </w:rPr>
            </w:pPr>
            <w:r>
              <w:rPr>
                <w:rFonts w:hint="eastAsia"/>
                <w:color w:val="auto"/>
              </w:rPr>
              <w:t>2019.10</w:t>
            </w:r>
          </w:p>
        </w:tc>
        <w:tc>
          <w:tcPr>
            <w:tcW w:w="792" w:type="pct"/>
            <w:shd w:val="clear" w:color="auto" w:fill="auto"/>
            <w:vAlign w:val="center"/>
          </w:tcPr>
          <w:p w14:paraId="70A712B8">
            <w:pPr>
              <w:jc w:val="center"/>
              <w:rPr>
                <w:color w:val="auto"/>
                <w:sz w:val="21"/>
                <w:szCs w:val="21"/>
              </w:rPr>
            </w:pPr>
            <w:r>
              <w:rPr>
                <w:rFonts w:hint="eastAsia"/>
                <w:color w:val="auto"/>
                <w:sz w:val="21"/>
                <w:szCs w:val="21"/>
              </w:rPr>
              <w:t>7.61</w:t>
            </w:r>
          </w:p>
        </w:tc>
        <w:tc>
          <w:tcPr>
            <w:tcW w:w="792" w:type="pct"/>
            <w:shd w:val="clear" w:color="auto" w:fill="auto"/>
            <w:vAlign w:val="center"/>
          </w:tcPr>
          <w:p w14:paraId="2E373B34">
            <w:pPr>
              <w:jc w:val="center"/>
              <w:rPr>
                <w:color w:val="auto"/>
                <w:sz w:val="21"/>
                <w:szCs w:val="21"/>
              </w:rPr>
            </w:pPr>
            <w:r>
              <w:rPr>
                <w:rFonts w:hint="eastAsia"/>
                <w:color w:val="auto"/>
                <w:sz w:val="21"/>
                <w:szCs w:val="21"/>
              </w:rPr>
              <w:t>2.0480</w:t>
            </w:r>
          </w:p>
        </w:tc>
        <w:tc>
          <w:tcPr>
            <w:tcW w:w="792" w:type="pct"/>
            <w:shd w:val="clear" w:color="auto" w:fill="auto"/>
            <w:vAlign w:val="center"/>
          </w:tcPr>
          <w:p w14:paraId="5C9F0A3D">
            <w:pPr>
              <w:jc w:val="center"/>
              <w:rPr>
                <w:color w:val="auto"/>
                <w:sz w:val="21"/>
                <w:szCs w:val="21"/>
              </w:rPr>
            </w:pPr>
            <w:r>
              <w:rPr>
                <w:rFonts w:hint="eastAsia"/>
                <w:color w:val="auto"/>
                <w:sz w:val="21"/>
                <w:szCs w:val="21"/>
              </w:rPr>
              <w:t>15.00</w:t>
            </w:r>
          </w:p>
        </w:tc>
        <w:tc>
          <w:tcPr>
            <w:tcW w:w="792" w:type="pct"/>
            <w:shd w:val="clear" w:color="auto" w:fill="auto"/>
            <w:vAlign w:val="center"/>
          </w:tcPr>
          <w:p w14:paraId="4341CEE8">
            <w:pPr>
              <w:jc w:val="center"/>
              <w:rPr>
                <w:color w:val="auto"/>
                <w:sz w:val="21"/>
                <w:szCs w:val="21"/>
              </w:rPr>
            </w:pPr>
            <w:r>
              <w:rPr>
                <w:rFonts w:hint="eastAsia"/>
                <w:color w:val="auto"/>
                <w:sz w:val="21"/>
                <w:szCs w:val="21"/>
              </w:rPr>
              <w:t>8.620</w:t>
            </w:r>
          </w:p>
        </w:tc>
        <w:tc>
          <w:tcPr>
            <w:tcW w:w="795" w:type="pct"/>
            <w:shd w:val="clear" w:color="auto" w:fill="auto"/>
            <w:vAlign w:val="center"/>
          </w:tcPr>
          <w:p w14:paraId="71EE1154">
            <w:pPr>
              <w:jc w:val="center"/>
              <w:rPr>
                <w:color w:val="auto"/>
                <w:sz w:val="21"/>
                <w:szCs w:val="21"/>
              </w:rPr>
            </w:pPr>
            <w:r>
              <w:rPr>
                <w:rFonts w:hint="eastAsia"/>
                <w:color w:val="auto"/>
                <w:sz w:val="21"/>
                <w:szCs w:val="21"/>
              </w:rPr>
              <w:t>0.150</w:t>
            </w:r>
          </w:p>
        </w:tc>
      </w:tr>
      <w:tr w14:paraId="79BC03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7E4BAA1">
            <w:pPr>
              <w:pStyle w:val="65"/>
              <w:framePr w:hSpace="0" w:wrap="auto" w:vAnchor="margin" w:hAnchor="text" w:xAlign="left" w:yAlign="inline"/>
              <w:jc w:val="center"/>
              <w:rPr>
                <w:color w:val="auto"/>
              </w:rPr>
            </w:pPr>
            <w:r>
              <w:rPr>
                <w:rFonts w:hint="eastAsia"/>
                <w:color w:val="auto"/>
              </w:rPr>
              <w:t>2</w:t>
            </w:r>
            <w:r>
              <w:rPr>
                <w:color w:val="auto"/>
              </w:rPr>
              <w:t>019.11</w:t>
            </w:r>
          </w:p>
        </w:tc>
        <w:tc>
          <w:tcPr>
            <w:tcW w:w="792" w:type="pct"/>
            <w:shd w:val="clear" w:color="auto" w:fill="auto"/>
            <w:vAlign w:val="center"/>
          </w:tcPr>
          <w:p w14:paraId="26634813">
            <w:pPr>
              <w:jc w:val="center"/>
              <w:rPr>
                <w:rFonts w:hint="eastAsia"/>
                <w:color w:val="auto"/>
                <w:sz w:val="21"/>
                <w:szCs w:val="21"/>
              </w:rPr>
            </w:pPr>
            <w:r>
              <w:rPr>
                <w:rFonts w:hint="eastAsia"/>
                <w:color w:val="auto"/>
                <w:sz w:val="21"/>
                <w:szCs w:val="21"/>
              </w:rPr>
              <w:t>8.34</w:t>
            </w:r>
          </w:p>
        </w:tc>
        <w:tc>
          <w:tcPr>
            <w:tcW w:w="792" w:type="pct"/>
            <w:shd w:val="clear" w:color="auto" w:fill="auto"/>
            <w:vAlign w:val="center"/>
          </w:tcPr>
          <w:p w14:paraId="5DFC4750">
            <w:pPr>
              <w:jc w:val="center"/>
              <w:rPr>
                <w:rFonts w:hint="eastAsia"/>
                <w:color w:val="auto"/>
                <w:sz w:val="21"/>
                <w:szCs w:val="21"/>
              </w:rPr>
            </w:pPr>
            <w:r>
              <w:rPr>
                <w:rFonts w:hint="eastAsia"/>
                <w:color w:val="auto"/>
                <w:sz w:val="21"/>
                <w:szCs w:val="21"/>
              </w:rPr>
              <w:t>3.9040</w:t>
            </w:r>
          </w:p>
        </w:tc>
        <w:tc>
          <w:tcPr>
            <w:tcW w:w="792" w:type="pct"/>
            <w:shd w:val="clear" w:color="auto" w:fill="auto"/>
            <w:vAlign w:val="center"/>
          </w:tcPr>
          <w:p w14:paraId="3DCF03F7">
            <w:pPr>
              <w:jc w:val="center"/>
              <w:rPr>
                <w:rFonts w:hint="eastAsia"/>
                <w:color w:val="auto"/>
                <w:sz w:val="21"/>
                <w:szCs w:val="21"/>
              </w:rPr>
            </w:pPr>
            <w:r>
              <w:rPr>
                <w:rFonts w:hint="eastAsia"/>
                <w:color w:val="auto"/>
                <w:sz w:val="21"/>
                <w:szCs w:val="21"/>
              </w:rPr>
              <w:t>16.00</w:t>
            </w:r>
          </w:p>
        </w:tc>
        <w:tc>
          <w:tcPr>
            <w:tcW w:w="792" w:type="pct"/>
            <w:shd w:val="clear" w:color="auto" w:fill="auto"/>
            <w:vAlign w:val="center"/>
          </w:tcPr>
          <w:p w14:paraId="22D0A240">
            <w:pPr>
              <w:jc w:val="center"/>
              <w:rPr>
                <w:rFonts w:hint="eastAsia"/>
                <w:color w:val="auto"/>
                <w:sz w:val="21"/>
                <w:szCs w:val="21"/>
              </w:rPr>
            </w:pPr>
            <w:r>
              <w:rPr>
                <w:rFonts w:hint="eastAsia"/>
                <w:color w:val="auto"/>
                <w:sz w:val="21"/>
                <w:szCs w:val="21"/>
              </w:rPr>
              <w:t>12.700</w:t>
            </w:r>
          </w:p>
        </w:tc>
        <w:tc>
          <w:tcPr>
            <w:tcW w:w="795" w:type="pct"/>
            <w:shd w:val="clear" w:color="auto" w:fill="auto"/>
            <w:vAlign w:val="center"/>
          </w:tcPr>
          <w:p w14:paraId="7A53A0BA">
            <w:pPr>
              <w:jc w:val="center"/>
              <w:rPr>
                <w:rFonts w:hint="eastAsia"/>
                <w:color w:val="auto"/>
                <w:sz w:val="21"/>
                <w:szCs w:val="21"/>
              </w:rPr>
            </w:pPr>
            <w:r>
              <w:rPr>
                <w:rFonts w:hint="eastAsia"/>
                <w:color w:val="auto"/>
                <w:sz w:val="21"/>
                <w:szCs w:val="21"/>
              </w:rPr>
              <w:t>0.220</w:t>
            </w:r>
          </w:p>
        </w:tc>
      </w:tr>
      <w:tr w14:paraId="0A8C605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16F15331">
            <w:pPr>
              <w:pStyle w:val="65"/>
              <w:framePr w:hSpace="0" w:wrap="auto" w:vAnchor="margin" w:hAnchor="text" w:xAlign="left" w:yAlign="inline"/>
              <w:jc w:val="center"/>
              <w:rPr>
                <w:color w:val="auto"/>
              </w:rPr>
            </w:pPr>
            <w:r>
              <w:rPr>
                <w:rFonts w:hint="eastAsia"/>
                <w:color w:val="auto"/>
              </w:rPr>
              <w:t>2</w:t>
            </w:r>
            <w:r>
              <w:rPr>
                <w:color w:val="auto"/>
              </w:rPr>
              <w:t>019.12</w:t>
            </w:r>
          </w:p>
        </w:tc>
        <w:tc>
          <w:tcPr>
            <w:tcW w:w="792" w:type="pct"/>
            <w:shd w:val="clear" w:color="auto" w:fill="auto"/>
            <w:vAlign w:val="center"/>
          </w:tcPr>
          <w:p w14:paraId="295FABA4">
            <w:pPr>
              <w:jc w:val="center"/>
              <w:rPr>
                <w:rFonts w:hint="eastAsia"/>
                <w:color w:val="auto"/>
                <w:sz w:val="21"/>
                <w:szCs w:val="21"/>
              </w:rPr>
            </w:pPr>
            <w:r>
              <w:rPr>
                <w:rFonts w:hint="eastAsia"/>
                <w:color w:val="auto"/>
                <w:sz w:val="21"/>
                <w:szCs w:val="21"/>
              </w:rPr>
              <w:t>8.15</w:t>
            </w:r>
          </w:p>
        </w:tc>
        <w:tc>
          <w:tcPr>
            <w:tcW w:w="792" w:type="pct"/>
            <w:shd w:val="clear" w:color="auto" w:fill="auto"/>
            <w:vAlign w:val="center"/>
          </w:tcPr>
          <w:p w14:paraId="4E160E88">
            <w:pPr>
              <w:jc w:val="center"/>
              <w:rPr>
                <w:rFonts w:hint="eastAsia"/>
                <w:color w:val="auto"/>
                <w:sz w:val="21"/>
                <w:szCs w:val="21"/>
              </w:rPr>
            </w:pPr>
            <w:r>
              <w:rPr>
                <w:rFonts w:hint="eastAsia"/>
                <w:color w:val="auto"/>
                <w:sz w:val="21"/>
                <w:szCs w:val="21"/>
              </w:rPr>
              <w:t>3.7820</w:t>
            </w:r>
          </w:p>
        </w:tc>
        <w:tc>
          <w:tcPr>
            <w:tcW w:w="792" w:type="pct"/>
            <w:shd w:val="clear" w:color="auto" w:fill="auto"/>
            <w:vAlign w:val="center"/>
          </w:tcPr>
          <w:p w14:paraId="4621EEDA">
            <w:pPr>
              <w:jc w:val="center"/>
              <w:rPr>
                <w:rFonts w:hint="eastAsia"/>
                <w:color w:val="auto"/>
                <w:sz w:val="21"/>
                <w:szCs w:val="21"/>
              </w:rPr>
            </w:pPr>
            <w:r>
              <w:rPr>
                <w:rFonts w:hint="eastAsia"/>
                <w:color w:val="auto"/>
                <w:sz w:val="21"/>
                <w:szCs w:val="21"/>
              </w:rPr>
              <w:t>12.00</w:t>
            </w:r>
          </w:p>
        </w:tc>
        <w:tc>
          <w:tcPr>
            <w:tcW w:w="792" w:type="pct"/>
            <w:shd w:val="clear" w:color="auto" w:fill="auto"/>
            <w:vAlign w:val="center"/>
          </w:tcPr>
          <w:p w14:paraId="60E905EC">
            <w:pPr>
              <w:jc w:val="center"/>
              <w:rPr>
                <w:rFonts w:hint="eastAsia"/>
                <w:color w:val="auto"/>
                <w:sz w:val="21"/>
                <w:szCs w:val="21"/>
              </w:rPr>
            </w:pPr>
            <w:r>
              <w:rPr>
                <w:rFonts w:hint="eastAsia"/>
                <w:color w:val="auto"/>
                <w:sz w:val="21"/>
                <w:szCs w:val="21"/>
              </w:rPr>
              <w:t>11.000</w:t>
            </w:r>
          </w:p>
        </w:tc>
        <w:tc>
          <w:tcPr>
            <w:tcW w:w="795" w:type="pct"/>
            <w:shd w:val="clear" w:color="auto" w:fill="auto"/>
            <w:vAlign w:val="center"/>
          </w:tcPr>
          <w:p w14:paraId="7F7F68B8">
            <w:pPr>
              <w:jc w:val="center"/>
              <w:rPr>
                <w:rFonts w:hint="eastAsia"/>
                <w:color w:val="auto"/>
                <w:sz w:val="21"/>
                <w:szCs w:val="21"/>
              </w:rPr>
            </w:pPr>
            <w:r>
              <w:rPr>
                <w:rFonts w:hint="eastAsia"/>
                <w:color w:val="auto"/>
                <w:sz w:val="21"/>
                <w:szCs w:val="21"/>
              </w:rPr>
              <w:t>0.240</w:t>
            </w:r>
          </w:p>
        </w:tc>
      </w:tr>
      <w:tr w14:paraId="1F66C6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246CCD4C">
            <w:pPr>
              <w:pStyle w:val="65"/>
              <w:framePr w:hSpace="0" w:wrap="auto" w:vAnchor="margin" w:hAnchor="text" w:xAlign="left" w:yAlign="inline"/>
              <w:jc w:val="center"/>
              <w:rPr>
                <w:color w:val="auto"/>
              </w:rPr>
            </w:pPr>
            <w:r>
              <w:rPr>
                <w:rFonts w:hint="eastAsia"/>
                <w:color w:val="auto"/>
              </w:rPr>
              <w:t>2</w:t>
            </w:r>
            <w:r>
              <w:rPr>
                <w:color w:val="auto"/>
              </w:rPr>
              <w:t>020.1</w:t>
            </w:r>
          </w:p>
        </w:tc>
        <w:tc>
          <w:tcPr>
            <w:tcW w:w="792" w:type="pct"/>
            <w:shd w:val="clear" w:color="auto" w:fill="auto"/>
            <w:vAlign w:val="center"/>
          </w:tcPr>
          <w:p w14:paraId="1CEAF149">
            <w:pPr>
              <w:jc w:val="center"/>
              <w:rPr>
                <w:rFonts w:hint="eastAsia"/>
                <w:color w:val="auto"/>
                <w:sz w:val="21"/>
                <w:szCs w:val="21"/>
              </w:rPr>
            </w:pPr>
            <w:r>
              <w:rPr>
                <w:rFonts w:hint="eastAsia"/>
                <w:color w:val="auto"/>
                <w:sz w:val="21"/>
                <w:szCs w:val="21"/>
              </w:rPr>
              <w:t>7.65</w:t>
            </w:r>
          </w:p>
        </w:tc>
        <w:tc>
          <w:tcPr>
            <w:tcW w:w="792" w:type="pct"/>
            <w:shd w:val="clear" w:color="auto" w:fill="auto"/>
            <w:vAlign w:val="center"/>
          </w:tcPr>
          <w:p w14:paraId="24869A78">
            <w:pPr>
              <w:jc w:val="center"/>
              <w:rPr>
                <w:rFonts w:hint="eastAsia"/>
                <w:color w:val="auto"/>
                <w:sz w:val="21"/>
                <w:szCs w:val="21"/>
              </w:rPr>
            </w:pPr>
            <w:r>
              <w:rPr>
                <w:rFonts w:hint="eastAsia"/>
                <w:color w:val="auto"/>
                <w:sz w:val="21"/>
                <w:szCs w:val="21"/>
              </w:rPr>
              <w:t>4.9060</w:t>
            </w:r>
          </w:p>
        </w:tc>
        <w:tc>
          <w:tcPr>
            <w:tcW w:w="792" w:type="pct"/>
            <w:shd w:val="clear" w:color="auto" w:fill="auto"/>
            <w:vAlign w:val="center"/>
          </w:tcPr>
          <w:p w14:paraId="08B2E06B">
            <w:pPr>
              <w:jc w:val="center"/>
              <w:rPr>
                <w:rFonts w:hint="eastAsia"/>
                <w:color w:val="auto"/>
                <w:sz w:val="21"/>
                <w:szCs w:val="21"/>
              </w:rPr>
            </w:pPr>
            <w:r>
              <w:rPr>
                <w:rFonts w:hint="eastAsia"/>
                <w:color w:val="auto"/>
                <w:sz w:val="21"/>
                <w:szCs w:val="21"/>
              </w:rPr>
              <w:t>13.00</w:t>
            </w:r>
          </w:p>
        </w:tc>
        <w:tc>
          <w:tcPr>
            <w:tcW w:w="792" w:type="pct"/>
            <w:shd w:val="clear" w:color="auto" w:fill="auto"/>
            <w:vAlign w:val="center"/>
          </w:tcPr>
          <w:p w14:paraId="6AEF7153">
            <w:pPr>
              <w:jc w:val="center"/>
              <w:rPr>
                <w:rFonts w:hint="eastAsia"/>
                <w:color w:val="auto"/>
                <w:sz w:val="21"/>
                <w:szCs w:val="21"/>
              </w:rPr>
            </w:pPr>
            <w:r>
              <w:rPr>
                <w:rFonts w:hint="eastAsia"/>
                <w:color w:val="auto"/>
                <w:sz w:val="21"/>
                <w:szCs w:val="21"/>
              </w:rPr>
              <w:t>12.000</w:t>
            </w:r>
          </w:p>
        </w:tc>
        <w:tc>
          <w:tcPr>
            <w:tcW w:w="795" w:type="pct"/>
            <w:shd w:val="clear" w:color="auto" w:fill="auto"/>
            <w:vAlign w:val="center"/>
          </w:tcPr>
          <w:p w14:paraId="0B28C2B9">
            <w:pPr>
              <w:jc w:val="center"/>
              <w:rPr>
                <w:rFonts w:hint="eastAsia"/>
                <w:color w:val="auto"/>
                <w:sz w:val="21"/>
                <w:szCs w:val="21"/>
              </w:rPr>
            </w:pPr>
            <w:r>
              <w:rPr>
                <w:rFonts w:hint="eastAsia"/>
                <w:color w:val="auto"/>
                <w:sz w:val="21"/>
                <w:szCs w:val="21"/>
              </w:rPr>
              <w:t>0.250</w:t>
            </w:r>
          </w:p>
        </w:tc>
      </w:tr>
      <w:tr w14:paraId="31B7A06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FDE13DC">
            <w:pPr>
              <w:pStyle w:val="65"/>
              <w:framePr w:hSpace="0" w:wrap="auto" w:vAnchor="margin" w:hAnchor="text" w:xAlign="left" w:yAlign="inline"/>
              <w:jc w:val="center"/>
              <w:rPr>
                <w:color w:val="auto"/>
              </w:rPr>
            </w:pPr>
            <w:r>
              <w:rPr>
                <w:rFonts w:hint="eastAsia"/>
                <w:color w:val="auto"/>
              </w:rPr>
              <w:t>2</w:t>
            </w:r>
            <w:r>
              <w:rPr>
                <w:color w:val="auto"/>
              </w:rPr>
              <w:t>020.2</w:t>
            </w:r>
          </w:p>
        </w:tc>
        <w:tc>
          <w:tcPr>
            <w:tcW w:w="792" w:type="pct"/>
            <w:shd w:val="clear" w:color="auto" w:fill="auto"/>
            <w:vAlign w:val="center"/>
          </w:tcPr>
          <w:p w14:paraId="3D5C1BED">
            <w:pPr>
              <w:jc w:val="center"/>
              <w:rPr>
                <w:rFonts w:hint="eastAsia"/>
                <w:color w:val="auto"/>
                <w:sz w:val="21"/>
                <w:szCs w:val="21"/>
              </w:rPr>
            </w:pPr>
            <w:r>
              <w:rPr>
                <w:rFonts w:hint="eastAsia"/>
                <w:color w:val="auto"/>
                <w:sz w:val="21"/>
                <w:szCs w:val="21"/>
              </w:rPr>
              <w:t>9.07</w:t>
            </w:r>
          </w:p>
        </w:tc>
        <w:tc>
          <w:tcPr>
            <w:tcW w:w="792" w:type="pct"/>
            <w:shd w:val="clear" w:color="auto" w:fill="auto"/>
            <w:vAlign w:val="center"/>
          </w:tcPr>
          <w:p w14:paraId="2BBABAB2">
            <w:pPr>
              <w:jc w:val="center"/>
              <w:rPr>
                <w:rFonts w:hint="eastAsia"/>
                <w:color w:val="auto"/>
                <w:sz w:val="21"/>
                <w:szCs w:val="21"/>
              </w:rPr>
            </w:pPr>
            <w:r>
              <w:rPr>
                <w:rFonts w:hint="eastAsia"/>
                <w:color w:val="auto"/>
                <w:sz w:val="21"/>
                <w:szCs w:val="21"/>
              </w:rPr>
              <w:t>2.8990</w:t>
            </w:r>
          </w:p>
        </w:tc>
        <w:tc>
          <w:tcPr>
            <w:tcW w:w="792" w:type="pct"/>
            <w:shd w:val="clear" w:color="auto" w:fill="auto"/>
            <w:vAlign w:val="center"/>
          </w:tcPr>
          <w:p w14:paraId="2F08AFD4">
            <w:pPr>
              <w:jc w:val="center"/>
              <w:rPr>
                <w:rFonts w:hint="eastAsia"/>
                <w:color w:val="auto"/>
                <w:sz w:val="21"/>
                <w:szCs w:val="21"/>
              </w:rPr>
            </w:pPr>
            <w:r>
              <w:rPr>
                <w:rFonts w:hint="eastAsia"/>
                <w:color w:val="auto"/>
                <w:sz w:val="21"/>
                <w:szCs w:val="21"/>
              </w:rPr>
              <w:t>14.00</w:t>
            </w:r>
          </w:p>
        </w:tc>
        <w:tc>
          <w:tcPr>
            <w:tcW w:w="792" w:type="pct"/>
            <w:shd w:val="clear" w:color="auto" w:fill="auto"/>
            <w:vAlign w:val="center"/>
          </w:tcPr>
          <w:p w14:paraId="4F2F1B9B">
            <w:pPr>
              <w:jc w:val="center"/>
              <w:rPr>
                <w:rFonts w:hint="eastAsia"/>
                <w:color w:val="auto"/>
                <w:sz w:val="21"/>
                <w:szCs w:val="21"/>
              </w:rPr>
            </w:pPr>
            <w:r>
              <w:rPr>
                <w:rFonts w:hint="eastAsia"/>
                <w:color w:val="auto"/>
                <w:sz w:val="21"/>
                <w:szCs w:val="21"/>
              </w:rPr>
              <w:t>8.540</w:t>
            </w:r>
          </w:p>
        </w:tc>
        <w:tc>
          <w:tcPr>
            <w:tcW w:w="795" w:type="pct"/>
            <w:shd w:val="clear" w:color="auto" w:fill="auto"/>
            <w:vAlign w:val="center"/>
          </w:tcPr>
          <w:p w14:paraId="07461287">
            <w:pPr>
              <w:jc w:val="center"/>
              <w:rPr>
                <w:rFonts w:hint="eastAsia"/>
                <w:color w:val="auto"/>
                <w:sz w:val="21"/>
                <w:szCs w:val="21"/>
              </w:rPr>
            </w:pPr>
            <w:r>
              <w:rPr>
                <w:rFonts w:hint="eastAsia"/>
                <w:color w:val="auto"/>
                <w:sz w:val="21"/>
                <w:szCs w:val="21"/>
              </w:rPr>
              <w:t>0.300</w:t>
            </w:r>
          </w:p>
        </w:tc>
      </w:tr>
      <w:tr w14:paraId="105194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21F8078F">
            <w:pPr>
              <w:pStyle w:val="65"/>
              <w:framePr w:hSpace="0" w:wrap="auto" w:vAnchor="margin" w:hAnchor="text" w:xAlign="left" w:yAlign="inline"/>
              <w:jc w:val="center"/>
              <w:rPr>
                <w:rFonts w:hint="default" w:eastAsia="宋体"/>
                <w:color w:val="auto"/>
                <w:lang w:val="en-US" w:eastAsia="zh-CN"/>
              </w:rPr>
            </w:pPr>
            <w:r>
              <w:rPr>
                <w:rFonts w:hint="eastAsia"/>
                <w:color w:val="auto"/>
                <w:lang w:val="en-US" w:eastAsia="zh-CN"/>
              </w:rPr>
              <w:t>2020.3</w:t>
            </w:r>
          </w:p>
        </w:tc>
        <w:tc>
          <w:tcPr>
            <w:tcW w:w="792" w:type="pct"/>
            <w:shd w:val="clear" w:color="auto" w:fill="auto"/>
            <w:vAlign w:val="center"/>
          </w:tcPr>
          <w:p w14:paraId="7C82D818">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9.07</w:t>
            </w:r>
          </w:p>
        </w:tc>
        <w:tc>
          <w:tcPr>
            <w:tcW w:w="792" w:type="pct"/>
            <w:shd w:val="clear" w:color="auto" w:fill="auto"/>
            <w:vAlign w:val="center"/>
          </w:tcPr>
          <w:p w14:paraId="073D92C5">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2.8990</w:t>
            </w:r>
          </w:p>
        </w:tc>
        <w:tc>
          <w:tcPr>
            <w:tcW w:w="792" w:type="pct"/>
            <w:shd w:val="clear" w:color="auto" w:fill="auto"/>
            <w:vAlign w:val="center"/>
          </w:tcPr>
          <w:p w14:paraId="158E008A">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14.00</w:t>
            </w:r>
          </w:p>
        </w:tc>
        <w:tc>
          <w:tcPr>
            <w:tcW w:w="792" w:type="pct"/>
            <w:shd w:val="clear" w:color="auto" w:fill="auto"/>
            <w:vAlign w:val="center"/>
          </w:tcPr>
          <w:p w14:paraId="02E7111F">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8.540</w:t>
            </w:r>
          </w:p>
        </w:tc>
        <w:tc>
          <w:tcPr>
            <w:tcW w:w="795" w:type="pct"/>
            <w:shd w:val="clear" w:color="auto" w:fill="auto"/>
            <w:vAlign w:val="center"/>
          </w:tcPr>
          <w:p w14:paraId="5F4A347A">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0.300</w:t>
            </w:r>
          </w:p>
        </w:tc>
      </w:tr>
      <w:tr w14:paraId="38FE3A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045B544D">
            <w:pPr>
              <w:pStyle w:val="65"/>
              <w:framePr w:hSpace="0" w:wrap="auto" w:vAnchor="margin" w:hAnchor="text" w:xAlign="left" w:yAlign="inline"/>
              <w:jc w:val="center"/>
              <w:rPr>
                <w:rFonts w:hint="default" w:eastAsia="宋体"/>
                <w:color w:val="auto"/>
                <w:lang w:val="en-US" w:eastAsia="zh-CN"/>
              </w:rPr>
            </w:pPr>
            <w:r>
              <w:rPr>
                <w:rFonts w:hint="eastAsia"/>
                <w:color w:val="auto"/>
                <w:lang w:val="en-US" w:eastAsia="zh-CN"/>
              </w:rPr>
              <w:t>2020.4</w:t>
            </w:r>
          </w:p>
        </w:tc>
        <w:tc>
          <w:tcPr>
            <w:tcW w:w="792" w:type="pct"/>
            <w:shd w:val="clear" w:color="auto" w:fill="auto"/>
            <w:vAlign w:val="center"/>
          </w:tcPr>
          <w:p w14:paraId="4C634FFE">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7.32</w:t>
            </w:r>
          </w:p>
        </w:tc>
        <w:tc>
          <w:tcPr>
            <w:tcW w:w="792" w:type="pct"/>
            <w:shd w:val="clear" w:color="auto" w:fill="auto"/>
            <w:vAlign w:val="center"/>
          </w:tcPr>
          <w:p w14:paraId="259F347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4.7060</w:t>
            </w:r>
          </w:p>
        </w:tc>
        <w:tc>
          <w:tcPr>
            <w:tcW w:w="792" w:type="pct"/>
            <w:shd w:val="clear" w:color="auto" w:fill="auto"/>
            <w:vAlign w:val="center"/>
          </w:tcPr>
          <w:p w14:paraId="7AC158D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18.00</w:t>
            </w:r>
          </w:p>
        </w:tc>
        <w:tc>
          <w:tcPr>
            <w:tcW w:w="792" w:type="pct"/>
            <w:shd w:val="clear" w:color="auto" w:fill="auto"/>
            <w:vAlign w:val="center"/>
          </w:tcPr>
          <w:p w14:paraId="43AB1BA1">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9.840</w:t>
            </w:r>
          </w:p>
        </w:tc>
        <w:tc>
          <w:tcPr>
            <w:tcW w:w="795" w:type="pct"/>
            <w:shd w:val="clear" w:color="auto" w:fill="auto"/>
            <w:vAlign w:val="center"/>
          </w:tcPr>
          <w:p w14:paraId="658F6ED8">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0.390</w:t>
            </w:r>
          </w:p>
        </w:tc>
      </w:tr>
      <w:tr w14:paraId="62207FE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0EA2ED9B">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2020.5</w:t>
            </w:r>
          </w:p>
        </w:tc>
        <w:tc>
          <w:tcPr>
            <w:tcW w:w="792" w:type="pct"/>
            <w:shd w:val="clear" w:color="auto" w:fill="auto"/>
            <w:vAlign w:val="center"/>
          </w:tcPr>
          <w:p w14:paraId="7220F128">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5.66</w:t>
            </w:r>
          </w:p>
        </w:tc>
        <w:tc>
          <w:tcPr>
            <w:tcW w:w="792" w:type="pct"/>
            <w:shd w:val="clear" w:color="auto" w:fill="auto"/>
            <w:vAlign w:val="center"/>
          </w:tcPr>
          <w:p w14:paraId="073304E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4.7620</w:t>
            </w:r>
          </w:p>
        </w:tc>
        <w:tc>
          <w:tcPr>
            <w:tcW w:w="792" w:type="pct"/>
            <w:shd w:val="clear" w:color="auto" w:fill="auto"/>
            <w:vAlign w:val="center"/>
          </w:tcPr>
          <w:p w14:paraId="122E4D5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18.00</w:t>
            </w:r>
          </w:p>
        </w:tc>
        <w:tc>
          <w:tcPr>
            <w:tcW w:w="792" w:type="pct"/>
            <w:shd w:val="clear" w:color="auto" w:fill="auto"/>
            <w:vAlign w:val="center"/>
          </w:tcPr>
          <w:p w14:paraId="1B7ECAA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13.300</w:t>
            </w:r>
          </w:p>
        </w:tc>
        <w:tc>
          <w:tcPr>
            <w:tcW w:w="795" w:type="pct"/>
            <w:shd w:val="clear" w:color="auto" w:fill="auto"/>
            <w:vAlign w:val="center"/>
          </w:tcPr>
          <w:p w14:paraId="395A57C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0.470</w:t>
            </w:r>
          </w:p>
        </w:tc>
      </w:tr>
      <w:tr w14:paraId="715E064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1C332AE4">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2020.6</w:t>
            </w:r>
          </w:p>
        </w:tc>
        <w:tc>
          <w:tcPr>
            <w:tcW w:w="792" w:type="pct"/>
            <w:shd w:val="clear" w:color="auto" w:fill="auto"/>
            <w:vAlign w:val="center"/>
          </w:tcPr>
          <w:p w14:paraId="39DCF34F">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7.68</w:t>
            </w:r>
          </w:p>
        </w:tc>
        <w:tc>
          <w:tcPr>
            <w:tcW w:w="792" w:type="pct"/>
            <w:shd w:val="clear" w:color="auto" w:fill="auto"/>
            <w:vAlign w:val="center"/>
          </w:tcPr>
          <w:p w14:paraId="6F36AFD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5.1330</w:t>
            </w:r>
          </w:p>
        </w:tc>
        <w:tc>
          <w:tcPr>
            <w:tcW w:w="792" w:type="pct"/>
            <w:shd w:val="clear" w:color="auto" w:fill="auto"/>
            <w:vAlign w:val="center"/>
          </w:tcPr>
          <w:p w14:paraId="5E580EC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16.00</w:t>
            </w:r>
          </w:p>
        </w:tc>
        <w:tc>
          <w:tcPr>
            <w:tcW w:w="792" w:type="pct"/>
            <w:shd w:val="clear" w:color="auto" w:fill="auto"/>
            <w:vAlign w:val="center"/>
          </w:tcPr>
          <w:p w14:paraId="27E03BB8">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9.870</w:t>
            </w:r>
          </w:p>
        </w:tc>
        <w:tc>
          <w:tcPr>
            <w:tcW w:w="795" w:type="pct"/>
            <w:shd w:val="clear" w:color="auto" w:fill="auto"/>
            <w:vAlign w:val="center"/>
          </w:tcPr>
          <w:p w14:paraId="5F58E41C">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0.490</w:t>
            </w:r>
          </w:p>
        </w:tc>
      </w:tr>
      <w:tr w14:paraId="1761397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218CB36">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2020.7</w:t>
            </w:r>
          </w:p>
        </w:tc>
        <w:tc>
          <w:tcPr>
            <w:tcW w:w="792" w:type="pct"/>
            <w:shd w:val="clear" w:color="auto" w:fill="auto"/>
            <w:vAlign w:val="center"/>
          </w:tcPr>
          <w:p w14:paraId="3F001EC2">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5.86</w:t>
            </w:r>
          </w:p>
        </w:tc>
        <w:tc>
          <w:tcPr>
            <w:tcW w:w="792" w:type="pct"/>
            <w:shd w:val="clear" w:color="auto" w:fill="auto"/>
            <w:vAlign w:val="center"/>
          </w:tcPr>
          <w:p w14:paraId="01F0AAD8">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5.6240</w:t>
            </w:r>
          </w:p>
        </w:tc>
        <w:tc>
          <w:tcPr>
            <w:tcW w:w="792" w:type="pct"/>
            <w:shd w:val="clear" w:color="auto" w:fill="auto"/>
            <w:vAlign w:val="center"/>
          </w:tcPr>
          <w:p w14:paraId="1A44DCE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21.00</w:t>
            </w:r>
          </w:p>
        </w:tc>
        <w:tc>
          <w:tcPr>
            <w:tcW w:w="792" w:type="pct"/>
            <w:shd w:val="clear" w:color="auto" w:fill="auto"/>
            <w:vAlign w:val="center"/>
          </w:tcPr>
          <w:p w14:paraId="14118D75">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9.780</w:t>
            </w:r>
          </w:p>
        </w:tc>
        <w:tc>
          <w:tcPr>
            <w:tcW w:w="795" w:type="pct"/>
            <w:shd w:val="clear" w:color="auto" w:fill="auto"/>
            <w:vAlign w:val="center"/>
          </w:tcPr>
          <w:p w14:paraId="39A56F8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0.500</w:t>
            </w:r>
          </w:p>
        </w:tc>
      </w:tr>
      <w:tr w14:paraId="512802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120DCE1D">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2020.8</w:t>
            </w:r>
          </w:p>
        </w:tc>
        <w:tc>
          <w:tcPr>
            <w:tcW w:w="792" w:type="pct"/>
            <w:shd w:val="clear" w:color="auto" w:fill="auto"/>
            <w:vAlign w:val="center"/>
          </w:tcPr>
          <w:p w14:paraId="3F15D52D">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3.13</w:t>
            </w:r>
          </w:p>
        </w:tc>
        <w:tc>
          <w:tcPr>
            <w:tcW w:w="792" w:type="pct"/>
            <w:shd w:val="clear" w:color="auto" w:fill="auto"/>
            <w:vAlign w:val="center"/>
          </w:tcPr>
          <w:p w14:paraId="276492D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4.2900</w:t>
            </w:r>
          </w:p>
        </w:tc>
        <w:tc>
          <w:tcPr>
            <w:tcW w:w="792" w:type="pct"/>
            <w:shd w:val="clear" w:color="auto" w:fill="auto"/>
            <w:vAlign w:val="center"/>
          </w:tcPr>
          <w:p w14:paraId="007B8BE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18.00</w:t>
            </w:r>
          </w:p>
        </w:tc>
        <w:tc>
          <w:tcPr>
            <w:tcW w:w="792" w:type="pct"/>
            <w:shd w:val="clear" w:color="auto" w:fill="auto"/>
            <w:vAlign w:val="center"/>
          </w:tcPr>
          <w:p w14:paraId="7CB85D4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9.350</w:t>
            </w:r>
          </w:p>
        </w:tc>
        <w:tc>
          <w:tcPr>
            <w:tcW w:w="795" w:type="pct"/>
            <w:shd w:val="clear" w:color="auto" w:fill="auto"/>
            <w:vAlign w:val="center"/>
          </w:tcPr>
          <w:p w14:paraId="1F70A7F5">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0.320</w:t>
            </w:r>
          </w:p>
        </w:tc>
      </w:tr>
      <w:tr w14:paraId="40D60C8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BCACD0D">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2020.9</w:t>
            </w:r>
          </w:p>
        </w:tc>
        <w:tc>
          <w:tcPr>
            <w:tcW w:w="792" w:type="pct"/>
            <w:shd w:val="clear" w:color="auto" w:fill="auto"/>
            <w:vAlign w:val="center"/>
          </w:tcPr>
          <w:p w14:paraId="2A2AF673">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7.32</w:t>
            </w:r>
          </w:p>
        </w:tc>
        <w:tc>
          <w:tcPr>
            <w:tcW w:w="792" w:type="pct"/>
            <w:shd w:val="clear" w:color="auto" w:fill="auto"/>
            <w:vAlign w:val="center"/>
          </w:tcPr>
          <w:p w14:paraId="591318C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1.3110</w:t>
            </w:r>
          </w:p>
        </w:tc>
        <w:tc>
          <w:tcPr>
            <w:tcW w:w="792" w:type="pct"/>
            <w:shd w:val="clear" w:color="auto" w:fill="auto"/>
            <w:vAlign w:val="center"/>
          </w:tcPr>
          <w:p w14:paraId="02779031">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10.00</w:t>
            </w:r>
          </w:p>
        </w:tc>
        <w:tc>
          <w:tcPr>
            <w:tcW w:w="792" w:type="pct"/>
            <w:shd w:val="clear" w:color="auto" w:fill="auto"/>
            <w:vAlign w:val="center"/>
          </w:tcPr>
          <w:p w14:paraId="501C74C8">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10.100</w:t>
            </w:r>
          </w:p>
        </w:tc>
        <w:tc>
          <w:tcPr>
            <w:tcW w:w="795" w:type="pct"/>
            <w:shd w:val="clear" w:color="auto" w:fill="auto"/>
            <w:vAlign w:val="center"/>
          </w:tcPr>
          <w:p w14:paraId="530B87BD">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0.240</w:t>
            </w:r>
          </w:p>
        </w:tc>
      </w:tr>
      <w:tr w14:paraId="39B669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696D8EF">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2020.10</w:t>
            </w:r>
          </w:p>
        </w:tc>
        <w:tc>
          <w:tcPr>
            <w:tcW w:w="792" w:type="pct"/>
            <w:shd w:val="clear" w:color="auto" w:fill="auto"/>
            <w:vAlign w:val="center"/>
          </w:tcPr>
          <w:p w14:paraId="3C39E1BF">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4.95</w:t>
            </w:r>
          </w:p>
        </w:tc>
        <w:tc>
          <w:tcPr>
            <w:tcW w:w="792" w:type="pct"/>
            <w:shd w:val="clear" w:color="auto" w:fill="auto"/>
            <w:vAlign w:val="center"/>
          </w:tcPr>
          <w:p w14:paraId="386F677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4.6380</w:t>
            </w:r>
          </w:p>
        </w:tc>
        <w:tc>
          <w:tcPr>
            <w:tcW w:w="792" w:type="pct"/>
            <w:shd w:val="clear" w:color="auto" w:fill="auto"/>
            <w:vAlign w:val="center"/>
          </w:tcPr>
          <w:p w14:paraId="17CDD50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14.00</w:t>
            </w:r>
          </w:p>
        </w:tc>
        <w:tc>
          <w:tcPr>
            <w:tcW w:w="792" w:type="pct"/>
            <w:shd w:val="clear" w:color="auto" w:fill="auto"/>
            <w:vAlign w:val="center"/>
          </w:tcPr>
          <w:p w14:paraId="1D06010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13.100</w:t>
            </w:r>
          </w:p>
        </w:tc>
        <w:tc>
          <w:tcPr>
            <w:tcW w:w="795" w:type="pct"/>
            <w:shd w:val="clear" w:color="auto" w:fill="auto"/>
            <w:vAlign w:val="center"/>
          </w:tcPr>
          <w:p w14:paraId="4D52916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0.500</w:t>
            </w:r>
          </w:p>
        </w:tc>
      </w:tr>
      <w:tr w14:paraId="627A79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6DA31A9C">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2020.11</w:t>
            </w:r>
          </w:p>
        </w:tc>
        <w:tc>
          <w:tcPr>
            <w:tcW w:w="792" w:type="pct"/>
            <w:shd w:val="clear" w:color="auto" w:fill="auto"/>
            <w:vAlign w:val="center"/>
          </w:tcPr>
          <w:p w14:paraId="6ABA8912">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7.80</w:t>
            </w:r>
          </w:p>
        </w:tc>
        <w:tc>
          <w:tcPr>
            <w:tcW w:w="792" w:type="pct"/>
            <w:shd w:val="clear" w:color="auto" w:fill="auto"/>
            <w:vAlign w:val="center"/>
          </w:tcPr>
          <w:p w14:paraId="3D26CD31">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2.3010</w:t>
            </w:r>
          </w:p>
        </w:tc>
        <w:tc>
          <w:tcPr>
            <w:tcW w:w="792" w:type="pct"/>
            <w:shd w:val="clear" w:color="auto" w:fill="auto"/>
            <w:vAlign w:val="center"/>
          </w:tcPr>
          <w:p w14:paraId="4BB589F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12.00</w:t>
            </w:r>
          </w:p>
        </w:tc>
        <w:tc>
          <w:tcPr>
            <w:tcW w:w="792" w:type="pct"/>
            <w:shd w:val="clear" w:color="auto" w:fill="auto"/>
            <w:vAlign w:val="center"/>
          </w:tcPr>
          <w:p w14:paraId="3D1169B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8.000</w:t>
            </w:r>
          </w:p>
        </w:tc>
        <w:tc>
          <w:tcPr>
            <w:tcW w:w="795" w:type="pct"/>
            <w:shd w:val="clear" w:color="auto" w:fill="auto"/>
            <w:vAlign w:val="center"/>
          </w:tcPr>
          <w:p w14:paraId="2FFA6CEB">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0.200</w:t>
            </w:r>
          </w:p>
        </w:tc>
      </w:tr>
      <w:tr w14:paraId="101596E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2A37CA65">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2020.12</w:t>
            </w:r>
          </w:p>
        </w:tc>
        <w:tc>
          <w:tcPr>
            <w:tcW w:w="792" w:type="pct"/>
            <w:shd w:val="clear" w:color="auto" w:fill="auto"/>
            <w:vAlign w:val="center"/>
          </w:tcPr>
          <w:p w14:paraId="5C14B425">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9.00</w:t>
            </w:r>
          </w:p>
        </w:tc>
        <w:tc>
          <w:tcPr>
            <w:tcW w:w="792" w:type="pct"/>
            <w:shd w:val="clear" w:color="auto" w:fill="auto"/>
            <w:vAlign w:val="center"/>
          </w:tcPr>
          <w:p w14:paraId="33C929E1">
            <w:pPr>
              <w:jc w:val="center"/>
              <w:rPr>
                <w:rFonts w:hint="eastAsia"/>
                <w:color w:val="auto"/>
                <w:sz w:val="21"/>
                <w:szCs w:val="21"/>
              </w:rPr>
            </w:pPr>
            <w:r>
              <w:rPr>
                <w:rFonts w:hint="eastAsia"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.4310</w:t>
            </w:r>
          </w:p>
        </w:tc>
        <w:tc>
          <w:tcPr>
            <w:tcW w:w="792" w:type="pct"/>
            <w:shd w:val="clear" w:color="auto" w:fill="auto"/>
            <w:vAlign w:val="center"/>
          </w:tcPr>
          <w:p w14:paraId="34D0F672">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14.00</w:t>
            </w:r>
          </w:p>
        </w:tc>
        <w:tc>
          <w:tcPr>
            <w:tcW w:w="792" w:type="pct"/>
            <w:shd w:val="clear" w:color="auto" w:fill="auto"/>
            <w:vAlign w:val="center"/>
          </w:tcPr>
          <w:p w14:paraId="1E080283">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9.130</w:t>
            </w:r>
          </w:p>
        </w:tc>
        <w:tc>
          <w:tcPr>
            <w:tcW w:w="795" w:type="pct"/>
            <w:shd w:val="clear" w:color="auto" w:fill="auto"/>
            <w:vAlign w:val="center"/>
          </w:tcPr>
          <w:p w14:paraId="2504712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0.160</w:t>
            </w:r>
          </w:p>
        </w:tc>
      </w:tr>
      <w:tr w14:paraId="28E234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985A5A2">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2021.1</w:t>
            </w:r>
          </w:p>
        </w:tc>
        <w:tc>
          <w:tcPr>
            <w:tcW w:w="792" w:type="pct"/>
            <w:shd w:val="clear" w:color="auto" w:fill="auto"/>
            <w:vAlign w:val="center"/>
          </w:tcPr>
          <w:p w14:paraId="1EA7DB4E">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10.70</w:t>
            </w:r>
          </w:p>
        </w:tc>
        <w:tc>
          <w:tcPr>
            <w:tcW w:w="792" w:type="pct"/>
            <w:shd w:val="clear" w:color="auto" w:fill="auto"/>
            <w:vAlign w:val="center"/>
          </w:tcPr>
          <w:p w14:paraId="619713A0">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0.5910</w:t>
            </w:r>
          </w:p>
        </w:tc>
        <w:tc>
          <w:tcPr>
            <w:tcW w:w="792" w:type="pct"/>
            <w:shd w:val="clear" w:color="auto" w:fill="auto"/>
            <w:vAlign w:val="center"/>
          </w:tcPr>
          <w:p w14:paraId="45ED3DC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9.00</w:t>
            </w:r>
          </w:p>
        </w:tc>
        <w:tc>
          <w:tcPr>
            <w:tcW w:w="792" w:type="pct"/>
            <w:shd w:val="clear" w:color="auto" w:fill="auto"/>
            <w:vAlign w:val="center"/>
          </w:tcPr>
          <w:p w14:paraId="435E3862">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9.330</w:t>
            </w:r>
          </w:p>
        </w:tc>
        <w:tc>
          <w:tcPr>
            <w:tcW w:w="795" w:type="pct"/>
            <w:shd w:val="clear" w:color="auto" w:fill="auto"/>
            <w:vAlign w:val="center"/>
          </w:tcPr>
          <w:p w14:paraId="79ED642D">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0.140</w:t>
            </w:r>
          </w:p>
        </w:tc>
      </w:tr>
      <w:tr w14:paraId="008A08B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34B0FFF">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2021.2</w:t>
            </w:r>
          </w:p>
        </w:tc>
        <w:tc>
          <w:tcPr>
            <w:tcW w:w="792" w:type="pct"/>
            <w:shd w:val="clear" w:color="auto" w:fill="auto"/>
            <w:vAlign w:val="center"/>
          </w:tcPr>
          <w:p w14:paraId="2F960627">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9.20</w:t>
            </w:r>
          </w:p>
        </w:tc>
        <w:tc>
          <w:tcPr>
            <w:tcW w:w="792" w:type="pct"/>
            <w:shd w:val="clear" w:color="auto" w:fill="auto"/>
            <w:vAlign w:val="center"/>
          </w:tcPr>
          <w:p w14:paraId="2E17BAFE">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0.6750</w:t>
            </w:r>
          </w:p>
        </w:tc>
        <w:tc>
          <w:tcPr>
            <w:tcW w:w="792" w:type="pct"/>
            <w:shd w:val="clear" w:color="auto" w:fill="auto"/>
            <w:vAlign w:val="center"/>
          </w:tcPr>
          <w:p w14:paraId="0FB19A7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11.00</w:t>
            </w:r>
          </w:p>
        </w:tc>
        <w:tc>
          <w:tcPr>
            <w:tcW w:w="792" w:type="pct"/>
            <w:shd w:val="clear" w:color="auto" w:fill="auto"/>
            <w:vAlign w:val="center"/>
          </w:tcPr>
          <w:p w14:paraId="6B97E9E0">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9.880</w:t>
            </w:r>
          </w:p>
        </w:tc>
        <w:tc>
          <w:tcPr>
            <w:tcW w:w="795" w:type="pct"/>
            <w:shd w:val="clear" w:color="auto" w:fill="auto"/>
            <w:vAlign w:val="center"/>
          </w:tcPr>
          <w:p w14:paraId="5844B20A">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0.200</w:t>
            </w:r>
          </w:p>
        </w:tc>
      </w:tr>
      <w:tr w14:paraId="6C45E9C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8C23A36">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2021.3</w:t>
            </w:r>
          </w:p>
        </w:tc>
        <w:tc>
          <w:tcPr>
            <w:tcW w:w="792" w:type="pct"/>
            <w:shd w:val="clear" w:color="auto" w:fill="auto"/>
            <w:vAlign w:val="center"/>
          </w:tcPr>
          <w:p w14:paraId="15D0B458">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8.90</w:t>
            </w:r>
          </w:p>
        </w:tc>
        <w:tc>
          <w:tcPr>
            <w:tcW w:w="792" w:type="pct"/>
            <w:shd w:val="clear" w:color="auto" w:fill="auto"/>
            <w:vAlign w:val="center"/>
          </w:tcPr>
          <w:p w14:paraId="6C4B391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0.6980</w:t>
            </w:r>
          </w:p>
        </w:tc>
        <w:tc>
          <w:tcPr>
            <w:tcW w:w="792" w:type="pct"/>
            <w:shd w:val="clear" w:color="auto" w:fill="auto"/>
            <w:vAlign w:val="center"/>
          </w:tcPr>
          <w:p w14:paraId="44FA6DB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21.00</w:t>
            </w:r>
          </w:p>
        </w:tc>
        <w:tc>
          <w:tcPr>
            <w:tcW w:w="792" w:type="pct"/>
            <w:shd w:val="clear" w:color="auto" w:fill="auto"/>
            <w:vAlign w:val="center"/>
          </w:tcPr>
          <w:p w14:paraId="254A0FA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8.620</w:t>
            </w:r>
          </w:p>
        </w:tc>
        <w:tc>
          <w:tcPr>
            <w:tcW w:w="795" w:type="pct"/>
            <w:shd w:val="clear" w:color="auto" w:fill="auto"/>
            <w:vAlign w:val="center"/>
          </w:tcPr>
          <w:p w14:paraId="3615590C">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0.180</w:t>
            </w:r>
          </w:p>
        </w:tc>
      </w:tr>
      <w:tr w14:paraId="5B3C22D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A51080E">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2021.4</w:t>
            </w:r>
          </w:p>
        </w:tc>
        <w:tc>
          <w:tcPr>
            <w:tcW w:w="792" w:type="pct"/>
            <w:shd w:val="clear" w:color="auto" w:fill="auto"/>
            <w:vAlign w:val="center"/>
          </w:tcPr>
          <w:p w14:paraId="5399C9AD">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8.10</w:t>
            </w:r>
          </w:p>
        </w:tc>
        <w:tc>
          <w:tcPr>
            <w:tcW w:w="792" w:type="pct"/>
            <w:shd w:val="clear" w:color="auto" w:fill="auto"/>
            <w:vAlign w:val="center"/>
          </w:tcPr>
          <w:p w14:paraId="317D1135">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0.2800</w:t>
            </w:r>
          </w:p>
        </w:tc>
        <w:tc>
          <w:tcPr>
            <w:tcW w:w="792" w:type="pct"/>
            <w:shd w:val="clear" w:color="auto" w:fill="auto"/>
            <w:vAlign w:val="center"/>
          </w:tcPr>
          <w:p w14:paraId="09DE1742">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12.00</w:t>
            </w:r>
          </w:p>
        </w:tc>
        <w:tc>
          <w:tcPr>
            <w:tcW w:w="792" w:type="pct"/>
            <w:shd w:val="clear" w:color="auto" w:fill="auto"/>
            <w:vAlign w:val="center"/>
          </w:tcPr>
          <w:p w14:paraId="7E216D5E">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9.790</w:t>
            </w:r>
          </w:p>
        </w:tc>
        <w:tc>
          <w:tcPr>
            <w:tcW w:w="795" w:type="pct"/>
            <w:shd w:val="clear" w:color="auto" w:fill="auto"/>
            <w:vAlign w:val="center"/>
          </w:tcPr>
          <w:p w14:paraId="660A158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0.260</w:t>
            </w:r>
          </w:p>
        </w:tc>
      </w:tr>
      <w:tr w14:paraId="0EFCA31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6C895678">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2021.5</w:t>
            </w:r>
          </w:p>
        </w:tc>
        <w:tc>
          <w:tcPr>
            <w:tcW w:w="792" w:type="pct"/>
            <w:shd w:val="clear" w:color="auto" w:fill="auto"/>
            <w:vAlign w:val="center"/>
          </w:tcPr>
          <w:p w14:paraId="76FC3B76">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7.80</w:t>
            </w:r>
          </w:p>
        </w:tc>
        <w:tc>
          <w:tcPr>
            <w:tcW w:w="792" w:type="pct"/>
            <w:shd w:val="clear" w:color="auto" w:fill="auto"/>
            <w:vAlign w:val="center"/>
          </w:tcPr>
          <w:p w14:paraId="304D7E90">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1.0180</w:t>
            </w:r>
          </w:p>
        </w:tc>
        <w:tc>
          <w:tcPr>
            <w:tcW w:w="792" w:type="pct"/>
            <w:shd w:val="clear" w:color="auto" w:fill="auto"/>
            <w:vAlign w:val="center"/>
          </w:tcPr>
          <w:p w14:paraId="6A1C794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9.00</w:t>
            </w:r>
          </w:p>
        </w:tc>
        <w:tc>
          <w:tcPr>
            <w:tcW w:w="792" w:type="pct"/>
            <w:shd w:val="clear" w:color="auto" w:fill="auto"/>
            <w:vAlign w:val="center"/>
          </w:tcPr>
          <w:p w14:paraId="0C643A0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10.400</w:t>
            </w:r>
          </w:p>
        </w:tc>
        <w:tc>
          <w:tcPr>
            <w:tcW w:w="795" w:type="pct"/>
            <w:shd w:val="clear" w:color="auto" w:fill="auto"/>
            <w:vAlign w:val="center"/>
          </w:tcPr>
          <w:p w14:paraId="0C6CB949">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0.150</w:t>
            </w:r>
          </w:p>
        </w:tc>
      </w:tr>
      <w:tr w14:paraId="1BA9E81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BBEA838">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2021.6</w:t>
            </w:r>
          </w:p>
        </w:tc>
        <w:tc>
          <w:tcPr>
            <w:tcW w:w="792" w:type="pct"/>
            <w:shd w:val="clear" w:color="auto" w:fill="auto"/>
            <w:vAlign w:val="center"/>
          </w:tcPr>
          <w:p w14:paraId="26B1F1EE">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6.90</w:t>
            </w:r>
          </w:p>
        </w:tc>
        <w:tc>
          <w:tcPr>
            <w:tcW w:w="792" w:type="pct"/>
            <w:shd w:val="clear" w:color="auto" w:fill="auto"/>
            <w:vAlign w:val="center"/>
          </w:tcPr>
          <w:p w14:paraId="1307581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0.6760</w:t>
            </w:r>
          </w:p>
        </w:tc>
        <w:tc>
          <w:tcPr>
            <w:tcW w:w="792" w:type="pct"/>
            <w:shd w:val="clear" w:color="auto" w:fill="auto"/>
            <w:vAlign w:val="center"/>
          </w:tcPr>
          <w:p w14:paraId="063EB0D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13.00</w:t>
            </w:r>
          </w:p>
        </w:tc>
        <w:tc>
          <w:tcPr>
            <w:tcW w:w="792" w:type="pct"/>
            <w:shd w:val="clear" w:color="auto" w:fill="auto"/>
            <w:vAlign w:val="center"/>
          </w:tcPr>
          <w:p w14:paraId="0B31155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7.220</w:t>
            </w:r>
          </w:p>
        </w:tc>
        <w:tc>
          <w:tcPr>
            <w:tcW w:w="795" w:type="pct"/>
            <w:shd w:val="clear" w:color="auto" w:fill="auto"/>
            <w:vAlign w:val="center"/>
          </w:tcPr>
          <w:p w14:paraId="3318F11B">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0.180</w:t>
            </w:r>
          </w:p>
        </w:tc>
      </w:tr>
      <w:tr w14:paraId="4AFC9ED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08C250F">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2021.7</w:t>
            </w:r>
          </w:p>
        </w:tc>
        <w:tc>
          <w:tcPr>
            <w:tcW w:w="792" w:type="pct"/>
            <w:shd w:val="clear" w:color="auto" w:fill="auto"/>
            <w:vAlign w:val="center"/>
          </w:tcPr>
          <w:p w14:paraId="5D65EDB4">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6.30</w:t>
            </w:r>
          </w:p>
        </w:tc>
        <w:tc>
          <w:tcPr>
            <w:tcW w:w="792" w:type="pct"/>
            <w:shd w:val="clear" w:color="auto" w:fill="auto"/>
            <w:vAlign w:val="center"/>
          </w:tcPr>
          <w:p w14:paraId="2FA3CB1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0.5580</w:t>
            </w:r>
          </w:p>
        </w:tc>
        <w:tc>
          <w:tcPr>
            <w:tcW w:w="792" w:type="pct"/>
            <w:shd w:val="clear" w:color="auto" w:fill="auto"/>
            <w:vAlign w:val="center"/>
          </w:tcPr>
          <w:p w14:paraId="1F4598E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11.00</w:t>
            </w:r>
          </w:p>
        </w:tc>
        <w:tc>
          <w:tcPr>
            <w:tcW w:w="792" w:type="pct"/>
            <w:shd w:val="clear" w:color="auto" w:fill="auto"/>
            <w:vAlign w:val="center"/>
          </w:tcPr>
          <w:p w14:paraId="5DA0E675">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10.100</w:t>
            </w:r>
          </w:p>
        </w:tc>
        <w:tc>
          <w:tcPr>
            <w:tcW w:w="795" w:type="pct"/>
            <w:shd w:val="clear" w:color="auto" w:fill="auto"/>
            <w:vAlign w:val="center"/>
          </w:tcPr>
          <w:p w14:paraId="69C1D34A">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0.260</w:t>
            </w:r>
          </w:p>
        </w:tc>
      </w:tr>
      <w:tr w14:paraId="15539B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7E6651F">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2021.8</w:t>
            </w:r>
          </w:p>
        </w:tc>
        <w:tc>
          <w:tcPr>
            <w:tcW w:w="792" w:type="pct"/>
            <w:shd w:val="clear" w:color="auto" w:fill="auto"/>
            <w:vAlign w:val="center"/>
          </w:tcPr>
          <w:p w14:paraId="22B89008">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6.60</w:t>
            </w:r>
          </w:p>
        </w:tc>
        <w:tc>
          <w:tcPr>
            <w:tcW w:w="792" w:type="pct"/>
            <w:shd w:val="clear" w:color="auto" w:fill="auto"/>
            <w:vAlign w:val="center"/>
          </w:tcPr>
          <w:p w14:paraId="54520D4C">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0.9110</w:t>
            </w:r>
          </w:p>
        </w:tc>
        <w:tc>
          <w:tcPr>
            <w:tcW w:w="792" w:type="pct"/>
            <w:shd w:val="clear" w:color="auto" w:fill="auto"/>
            <w:vAlign w:val="center"/>
          </w:tcPr>
          <w:p w14:paraId="5AC77FA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10.00</w:t>
            </w:r>
          </w:p>
        </w:tc>
        <w:tc>
          <w:tcPr>
            <w:tcW w:w="792" w:type="pct"/>
            <w:shd w:val="clear" w:color="auto" w:fill="auto"/>
            <w:vAlign w:val="center"/>
          </w:tcPr>
          <w:p w14:paraId="21053441">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7.120</w:t>
            </w:r>
          </w:p>
        </w:tc>
        <w:tc>
          <w:tcPr>
            <w:tcW w:w="795" w:type="pct"/>
            <w:shd w:val="clear" w:color="auto" w:fill="auto"/>
            <w:vAlign w:val="center"/>
          </w:tcPr>
          <w:p w14:paraId="192F9C76">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0.190</w:t>
            </w:r>
          </w:p>
        </w:tc>
      </w:tr>
      <w:tr w14:paraId="1A94038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71768070">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2021.9</w:t>
            </w:r>
          </w:p>
        </w:tc>
        <w:tc>
          <w:tcPr>
            <w:tcW w:w="792" w:type="pct"/>
            <w:shd w:val="clear" w:color="auto" w:fill="auto"/>
            <w:vAlign w:val="center"/>
          </w:tcPr>
          <w:p w14:paraId="35A3794B">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7.60</w:t>
            </w:r>
          </w:p>
        </w:tc>
        <w:tc>
          <w:tcPr>
            <w:tcW w:w="792" w:type="pct"/>
            <w:shd w:val="clear" w:color="auto" w:fill="auto"/>
            <w:vAlign w:val="center"/>
          </w:tcPr>
          <w:p w14:paraId="5D825401">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0.7800</w:t>
            </w:r>
          </w:p>
        </w:tc>
        <w:tc>
          <w:tcPr>
            <w:tcW w:w="792" w:type="pct"/>
            <w:shd w:val="clear" w:color="auto" w:fill="auto"/>
            <w:vAlign w:val="center"/>
          </w:tcPr>
          <w:p w14:paraId="3F868A2E">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13.00</w:t>
            </w:r>
          </w:p>
        </w:tc>
        <w:tc>
          <w:tcPr>
            <w:tcW w:w="792" w:type="pct"/>
            <w:shd w:val="clear" w:color="auto" w:fill="auto"/>
            <w:vAlign w:val="center"/>
          </w:tcPr>
          <w:p w14:paraId="6FEAFF6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8.320</w:t>
            </w:r>
          </w:p>
        </w:tc>
        <w:tc>
          <w:tcPr>
            <w:tcW w:w="795" w:type="pct"/>
            <w:shd w:val="clear" w:color="auto" w:fill="auto"/>
            <w:vAlign w:val="center"/>
          </w:tcPr>
          <w:p w14:paraId="6B7D305E">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0.100</w:t>
            </w:r>
          </w:p>
        </w:tc>
      </w:tr>
      <w:tr w14:paraId="65B2443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77E57731">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2021.10</w:t>
            </w:r>
          </w:p>
        </w:tc>
        <w:tc>
          <w:tcPr>
            <w:tcW w:w="792" w:type="pct"/>
            <w:shd w:val="clear" w:color="auto" w:fill="auto"/>
            <w:vAlign w:val="center"/>
          </w:tcPr>
          <w:p w14:paraId="38F2B93E">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8.60</w:t>
            </w:r>
          </w:p>
        </w:tc>
        <w:tc>
          <w:tcPr>
            <w:tcW w:w="792" w:type="pct"/>
            <w:shd w:val="clear" w:color="auto" w:fill="auto"/>
            <w:vAlign w:val="center"/>
          </w:tcPr>
          <w:p w14:paraId="11A79F32">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0.6220</w:t>
            </w:r>
          </w:p>
        </w:tc>
        <w:tc>
          <w:tcPr>
            <w:tcW w:w="792" w:type="pct"/>
            <w:shd w:val="clear" w:color="auto" w:fill="auto"/>
            <w:vAlign w:val="center"/>
          </w:tcPr>
          <w:p w14:paraId="0ADF082B">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11.00</w:t>
            </w:r>
          </w:p>
        </w:tc>
        <w:tc>
          <w:tcPr>
            <w:tcW w:w="792" w:type="pct"/>
            <w:shd w:val="clear" w:color="auto" w:fill="auto"/>
            <w:vAlign w:val="center"/>
          </w:tcPr>
          <w:p w14:paraId="1F60F51C">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9.200</w:t>
            </w:r>
          </w:p>
        </w:tc>
        <w:tc>
          <w:tcPr>
            <w:tcW w:w="795" w:type="pct"/>
            <w:shd w:val="clear" w:color="auto" w:fill="auto"/>
            <w:vAlign w:val="center"/>
          </w:tcPr>
          <w:p w14:paraId="775FD131">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0.120</w:t>
            </w:r>
          </w:p>
        </w:tc>
      </w:tr>
      <w:tr w14:paraId="1049C6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7BEB9E58">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2021.11</w:t>
            </w:r>
          </w:p>
        </w:tc>
        <w:tc>
          <w:tcPr>
            <w:tcW w:w="792" w:type="pct"/>
            <w:shd w:val="clear" w:color="auto" w:fill="auto"/>
            <w:vAlign w:val="center"/>
          </w:tcPr>
          <w:p w14:paraId="57F9D7E5">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8.00</w:t>
            </w:r>
          </w:p>
        </w:tc>
        <w:tc>
          <w:tcPr>
            <w:tcW w:w="792" w:type="pct"/>
            <w:shd w:val="clear" w:color="auto" w:fill="auto"/>
            <w:vAlign w:val="center"/>
          </w:tcPr>
          <w:p w14:paraId="78C2A8B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1.1680</w:t>
            </w:r>
          </w:p>
        </w:tc>
        <w:tc>
          <w:tcPr>
            <w:tcW w:w="792" w:type="pct"/>
            <w:shd w:val="clear" w:color="auto" w:fill="auto"/>
            <w:vAlign w:val="center"/>
          </w:tcPr>
          <w:p w14:paraId="1A8A332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8.00</w:t>
            </w:r>
          </w:p>
        </w:tc>
        <w:tc>
          <w:tcPr>
            <w:tcW w:w="792" w:type="pct"/>
            <w:shd w:val="clear" w:color="auto" w:fill="auto"/>
            <w:vAlign w:val="center"/>
          </w:tcPr>
          <w:p w14:paraId="0C8EBB67">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11.300</w:t>
            </w:r>
          </w:p>
        </w:tc>
        <w:tc>
          <w:tcPr>
            <w:tcW w:w="795" w:type="pct"/>
            <w:shd w:val="clear" w:color="auto" w:fill="auto"/>
            <w:vAlign w:val="center"/>
          </w:tcPr>
          <w:p w14:paraId="17FE5AF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0.180</w:t>
            </w:r>
          </w:p>
        </w:tc>
      </w:tr>
      <w:tr w14:paraId="7A8B86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06176D8F">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2021.12</w:t>
            </w:r>
          </w:p>
        </w:tc>
        <w:tc>
          <w:tcPr>
            <w:tcW w:w="792" w:type="pct"/>
            <w:shd w:val="clear" w:color="auto" w:fill="auto"/>
            <w:vAlign w:val="center"/>
          </w:tcPr>
          <w:p w14:paraId="6E1B27B8">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9.40</w:t>
            </w:r>
          </w:p>
        </w:tc>
        <w:tc>
          <w:tcPr>
            <w:tcW w:w="792" w:type="pct"/>
            <w:shd w:val="clear" w:color="auto" w:fill="auto"/>
            <w:vAlign w:val="center"/>
          </w:tcPr>
          <w:p w14:paraId="6D76DDD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0.5710</w:t>
            </w:r>
          </w:p>
        </w:tc>
        <w:tc>
          <w:tcPr>
            <w:tcW w:w="792" w:type="pct"/>
            <w:shd w:val="clear" w:color="auto" w:fill="auto"/>
            <w:vAlign w:val="center"/>
          </w:tcPr>
          <w:p w14:paraId="6AA12CFA">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10.00</w:t>
            </w:r>
          </w:p>
        </w:tc>
        <w:tc>
          <w:tcPr>
            <w:tcW w:w="792" w:type="pct"/>
            <w:shd w:val="clear" w:color="auto" w:fill="auto"/>
            <w:vAlign w:val="center"/>
          </w:tcPr>
          <w:p w14:paraId="31292534">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11.000</w:t>
            </w:r>
          </w:p>
        </w:tc>
        <w:tc>
          <w:tcPr>
            <w:tcW w:w="795" w:type="pct"/>
            <w:shd w:val="clear" w:color="auto" w:fill="auto"/>
            <w:vAlign w:val="center"/>
          </w:tcPr>
          <w:p w14:paraId="5AFA49FB">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0.120</w:t>
            </w:r>
          </w:p>
        </w:tc>
      </w:tr>
      <w:tr w14:paraId="714250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5E09F56B">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2022.2</w:t>
            </w:r>
          </w:p>
        </w:tc>
        <w:tc>
          <w:tcPr>
            <w:tcW w:w="792" w:type="pct"/>
            <w:shd w:val="clear" w:color="auto" w:fill="auto"/>
            <w:vAlign w:val="center"/>
          </w:tcPr>
          <w:p w14:paraId="4ADDA291">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10.00</w:t>
            </w:r>
          </w:p>
        </w:tc>
        <w:tc>
          <w:tcPr>
            <w:tcW w:w="792" w:type="pct"/>
            <w:shd w:val="clear" w:color="auto" w:fill="auto"/>
            <w:vAlign w:val="center"/>
          </w:tcPr>
          <w:p w14:paraId="2A9C54BD">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0.8950</w:t>
            </w:r>
          </w:p>
        </w:tc>
        <w:tc>
          <w:tcPr>
            <w:tcW w:w="792" w:type="pct"/>
            <w:shd w:val="clear" w:color="auto" w:fill="auto"/>
            <w:vAlign w:val="center"/>
          </w:tcPr>
          <w:p w14:paraId="5EC1BDEE">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12.00</w:t>
            </w:r>
          </w:p>
        </w:tc>
        <w:tc>
          <w:tcPr>
            <w:tcW w:w="792" w:type="pct"/>
            <w:shd w:val="clear" w:color="auto" w:fill="auto"/>
            <w:vAlign w:val="center"/>
          </w:tcPr>
          <w:p w14:paraId="6F3D35E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12.600</w:t>
            </w:r>
          </w:p>
        </w:tc>
        <w:tc>
          <w:tcPr>
            <w:tcW w:w="795" w:type="pct"/>
            <w:shd w:val="clear" w:color="auto" w:fill="auto"/>
            <w:vAlign w:val="center"/>
          </w:tcPr>
          <w:p w14:paraId="74EE2D79">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0.150</w:t>
            </w:r>
          </w:p>
        </w:tc>
      </w:tr>
      <w:tr w14:paraId="141357C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32E4F22A">
            <w:pPr>
              <w:pStyle w:val="65"/>
              <w:framePr w:hSpace="0" w:wrap="auto" w:vAnchor="margin" w:hAnchor="text" w:xAlign="left" w:yAlign="inline"/>
              <w:jc w:val="center"/>
              <w:rPr>
                <w:rFonts w:hint="default"/>
                <w:color w:val="auto"/>
                <w:lang w:val="en-US" w:eastAsia="zh-CN"/>
              </w:rPr>
            </w:pPr>
            <w:r>
              <w:rPr>
                <w:rFonts w:hint="eastAsia"/>
                <w:color w:val="auto"/>
                <w:lang w:val="en-US" w:eastAsia="zh-CN"/>
              </w:rPr>
              <w:t>2022.3</w:t>
            </w:r>
          </w:p>
        </w:tc>
        <w:tc>
          <w:tcPr>
            <w:tcW w:w="792" w:type="pct"/>
            <w:shd w:val="clear" w:color="auto" w:fill="auto"/>
            <w:vAlign w:val="center"/>
          </w:tcPr>
          <w:p w14:paraId="1AE479CC">
            <w:pPr>
              <w:keepNext w:val="0"/>
              <w:keepLines w:val="0"/>
              <w:widowControl/>
              <w:suppressLineNumbers w:val="0"/>
              <w:jc w:val="center"/>
              <w:rPr>
                <w:rFonts w:hint="eastAsia"/>
                <w:color w:val="auto"/>
                <w:lang w:val="en-US" w:eastAsia="zh-CN"/>
              </w:rPr>
            </w:pPr>
            <w:r>
              <w:rPr>
                <w:rFonts w:hint="default" w:ascii="Times New Roman" w:hAnsi="Times New Roman" w:eastAsia="宋体" w:cs="Times New Roman"/>
                <w:color w:val="auto"/>
                <w:kern w:val="0"/>
                <w:sz w:val="21"/>
                <w:szCs w:val="21"/>
                <w:lang w:val="en-US" w:eastAsia="zh-CN" w:bidi="ar"/>
              </w:rPr>
              <w:t>9.30</w:t>
            </w:r>
          </w:p>
        </w:tc>
        <w:tc>
          <w:tcPr>
            <w:tcW w:w="792" w:type="pct"/>
            <w:shd w:val="clear" w:color="auto" w:fill="auto"/>
            <w:vAlign w:val="center"/>
          </w:tcPr>
          <w:p w14:paraId="311A1839">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0.5640</w:t>
            </w:r>
          </w:p>
        </w:tc>
        <w:tc>
          <w:tcPr>
            <w:tcW w:w="792" w:type="pct"/>
            <w:shd w:val="clear" w:color="auto" w:fill="auto"/>
            <w:vAlign w:val="center"/>
          </w:tcPr>
          <w:p w14:paraId="753E5F83">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13.00</w:t>
            </w:r>
          </w:p>
        </w:tc>
        <w:tc>
          <w:tcPr>
            <w:tcW w:w="792" w:type="pct"/>
            <w:shd w:val="clear" w:color="auto" w:fill="auto"/>
            <w:vAlign w:val="center"/>
          </w:tcPr>
          <w:p w14:paraId="71861486">
            <w:pPr>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10.200</w:t>
            </w:r>
          </w:p>
        </w:tc>
        <w:tc>
          <w:tcPr>
            <w:tcW w:w="795" w:type="pct"/>
            <w:shd w:val="clear" w:color="auto" w:fill="auto"/>
            <w:vAlign w:val="center"/>
          </w:tcPr>
          <w:p w14:paraId="4D14FA22">
            <w:pPr>
              <w:keepNext w:val="0"/>
              <w:keepLines w:val="0"/>
              <w:widowControl/>
              <w:suppressLineNumbers w:val="0"/>
              <w:jc w:val="center"/>
              <w:rPr>
                <w:rFonts w:hint="eastAsia"/>
                <w:color w:val="auto"/>
                <w:sz w:val="21"/>
                <w:szCs w:val="21"/>
              </w:rPr>
            </w:pPr>
            <w:r>
              <w:rPr>
                <w:rFonts w:hint="default" w:ascii="Times New Roman" w:hAnsi="Times New Roman" w:eastAsia="宋体" w:cs="Times New Roman"/>
                <w:color w:val="auto"/>
                <w:kern w:val="0"/>
                <w:sz w:val="21"/>
                <w:szCs w:val="21"/>
                <w:lang w:val="en-US" w:eastAsia="zh-CN" w:bidi="ar"/>
              </w:rPr>
              <w:t>0.120</w:t>
            </w:r>
          </w:p>
        </w:tc>
      </w:tr>
      <w:tr w14:paraId="13B6AB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4B3C7549">
            <w:pPr>
              <w:pStyle w:val="65"/>
              <w:framePr w:hSpace="0" w:wrap="auto" w:vAnchor="margin" w:hAnchor="text" w:xAlign="left" w:yAlign="inline"/>
              <w:jc w:val="center"/>
              <w:rPr>
                <w:rFonts w:hint="eastAsia"/>
                <w:color w:val="auto"/>
                <w:lang w:val="en-US" w:eastAsia="zh-CN"/>
              </w:rPr>
            </w:pPr>
            <w:r>
              <w:rPr>
                <w:rFonts w:hint="eastAsia"/>
                <w:color w:val="auto"/>
                <w:lang w:val="en-US" w:eastAsia="zh-CN"/>
              </w:rPr>
              <w:t>地表水Ⅳ类标准</w:t>
            </w:r>
          </w:p>
        </w:tc>
        <w:tc>
          <w:tcPr>
            <w:tcW w:w="792" w:type="pct"/>
            <w:shd w:val="clear" w:color="auto" w:fill="auto"/>
            <w:vAlign w:val="center"/>
          </w:tcPr>
          <w:p w14:paraId="3EDB7489">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≥3</w:t>
            </w:r>
          </w:p>
        </w:tc>
        <w:tc>
          <w:tcPr>
            <w:tcW w:w="792" w:type="pct"/>
            <w:shd w:val="clear" w:color="auto" w:fill="auto"/>
            <w:vAlign w:val="center"/>
          </w:tcPr>
          <w:p w14:paraId="25DEBC7B">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≤1.5</w:t>
            </w:r>
          </w:p>
        </w:tc>
        <w:tc>
          <w:tcPr>
            <w:tcW w:w="792" w:type="pct"/>
            <w:shd w:val="clear" w:color="auto" w:fill="auto"/>
            <w:vAlign w:val="center"/>
          </w:tcPr>
          <w:p w14:paraId="0E302CBF">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≤30</w:t>
            </w:r>
          </w:p>
        </w:tc>
        <w:tc>
          <w:tcPr>
            <w:tcW w:w="792" w:type="pct"/>
            <w:shd w:val="clear" w:color="auto" w:fill="auto"/>
            <w:vAlign w:val="center"/>
          </w:tcPr>
          <w:p w14:paraId="78E484C9">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≤1.5</w:t>
            </w:r>
          </w:p>
        </w:tc>
        <w:tc>
          <w:tcPr>
            <w:tcW w:w="795" w:type="pct"/>
            <w:shd w:val="clear" w:color="auto" w:fill="auto"/>
            <w:vAlign w:val="center"/>
          </w:tcPr>
          <w:p w14:paraId="2ADA767D">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≤0.3</w:t>
            </w:r>
          </w:p>
        </w:tc>
      </w:tr>
      <w:tr w14:paraId="5312B7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034" w:type="pct"/>
            <w:shd w:val="clear" w:color="auto" w:fill="auto"/>
            <w:vAlign w:val="center"/>
          </w:tcPr>
          <w:p w14:paraId="0A313069">
            <w:pPr>
              <w:pStyle w:val="65"/>
              <w:framePr w:hSpace="0" w:wrap="auto" w:vAnchor="margin" w:hAnchor="text" w:xAlign="left" w:yAlign="inline"/>
              <w:jc w:val="center"/>
              <w:rPr>
                <w:rFonts w:hint="eastAsia"/>
                <w:color w:val="auto"/>
                <w:lang w:val="en-US" w:eastAsia="zh-CN"/>
              </w:rPr>
            </w:pPr>
            <w:r>
              <w:rPr>
                <w:rFonts w:hint="eastAsia"/>
                <w:color w:val="auto"/>
                <w:lang w:val="en-US" w:eastAsia="zh-CN"/>
              </w:rPr>
              <w:t>最大超标倍数</w:t>
            </w:r>
          </w:p>
        </w:tc>
        <w:tc>
          <w:tcPr>
            <w:tcW w:w="792" w:type="pct"/>
            <w:shd w:val="clear" w:color="auto" w:fill="auto"/>
            <w:vAlign w:val="center"/>
          </w:tcPr>
          <w:p w14:paraId="28FEF5F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0</w:t>
            </w:r>
          </w:p>
        </w:tc>
        <w:tc>
          <w:tcPr>
            <w:tcW w:w="792" w:type="pct"/>
            <w:shd w:val="clear" w:color="auto" w:fill="auto"/>
            <w:vAlign w:val="center"/>
          </w:tcPr>
          <w:p w14:paraId="6D7E0A86">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2.89</w:t>
            </w:r>
          </w:p>
        </w:tc>
        <w:tc>
          <w:tcPr>
            <w:tcW w:w="792" w:type="pct"/>
            <w:shd w:val="clear" w:color="auto" w:fill="auto"/>
            <w:vAlign w:val="center"/>
          </w:tcPr>
          <w:p w14:paraId="20F0816E">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0</w:t>
            </w:r>
          </w:p>
        </w:tc>
        <w:tc>
          <w:tcPr>
            <w:tcW w:w="792" w:type="pct"/>
            <w:shd w:val="clear" w:color="auto" w:fill="auto"/>
            <w:vAlign w:val="center"/>
          </w:tcPr>
          <w:p w14:paraId="54DF6DD5">
            <w:pPr>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w:t>
            </w:r>
          </w:p>
        </w:tc>
        <w:tc>
          <w:tcPr>
            <w:tcW w:w="795" w:type="pct"/>
            <w:shd w:val="clear" w:color="auto" w:fill="auto"/>
            <w:vAlign w:val="center"/>
          </w:tcPr>
          <w:p w14:paraId="7E62312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0.67</w:t>
            </w:r>
          </w:p>
        </w:tc>
      </w:tr>
    </w:tbl>
    <w:p w14:paraId="0F5B49C3">
      <w:pPr>
        <w:pStyle w:val="46"/>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eastAsia" w:eastAsia="宋体"/>
          <w:b w:val="0"/>
          <w:bCs w:val="0"/>
          <w:color w:val="auto"/>
          <w:sz w:val="21"/>
          <w:szCs w:val="21"/>
        </w:rPr>
      </w:pPr>
      <w:r>
        <w:rPr>
          <w:rFonts w:hint="eastAsia" w:eastAsia="宋体"/>
          <w:b w:val="0"/>
          <w:bCs w:val="0"/>
          <w:color w:val="auto"/>
          <w:sz w:val="21"/>
          <w:szCs w:val="21"/>
        </w:rPr>
        <w:t>注：根据2020年8月10日部长信箱《关于地表水质量标准中总氮限制问题的回复》，总氮不作为日常水质评价指标。</w:t>
      </w:r>
    </w:p>
    <w:p w14:paraId="63CBAFB3">
      <w:pPr>
        <w:pStyle w:val="46"/>
        <w:ind w:firstLine="480"/>
        <w:rPr>
          <w:rFonts w:hint="eastAsia" w:eastAsia="宋体"/>
          <w:color w:val="auto"/>
          <w:sz w:val="24"/>
        </w:rPr>
      </w:pPr>
      <w:r>
        <w:rPr>
          <w:rFonts w:hint="eastAsia" w:eastAsia="宋体"/>
          <w:color w:val="auto"/>
          <w:sz w:val="24"/>
        </w:rPr>
        <w:t>由以上统计监测结果可知，2019年1月~2020年10月，本项目排污口下游文涝路断面的监测因子除了化学需氧量以外，其余因子均不同程度的超出《地表水环境质量标准》（GB3838-2002）中IV类标准，其中氨氮最大超标倍数为2.89倍，总磷最大超标倍数为0.67倍，超标原因主要可能是由于新河河道凸岸淤积、凹岸冲刷严重，水流流速减缓，河道两侧农村雨污合流，农业面源污染，导致河道水质恶化。</w:t>
      </w:r>
    </w:p>
    <w:p w14:paraId="2437E7F2">
      <w:pPr>
        <w:pStyle w:val="46"/>
        <w:ind w:firstLine="480"/>
        <w:rPr>
          <w:rFonts w:hint="eastAsia" w:eastAsia="宋体"/>
          <w:color w:val="auto"/>
          <w:sz w:val="24"/>
        </w:rPr>
      </w:pPr>
      <w:r>
        <w:rPr>
          <w:rFonts w:hint="eastAsia" w:eastAsia="宋体"/>
          <w:color w:val="auto"/>
          <w:sz w:val="24"/>
        </w:rPr>
        <w:t>对此环保部门开展了河道治理、一段一策等一系列治理措施，2020年11月至今，文涝路断面水质均满足《地表水环境质量标准》（GB3838-2002）Ⅳ类标准要求，表明新河地表水环境质量好转。</w:t>
      </w:r>
    </w:p>
    <w:p w14:paraId="1D2EA19E">
      <w:pPr>
        <w:pStyle w:val="46"/>
        <w:ind w:firstLine="480"/>
        <w:rPr>
          <w:rFonts w:hint="eastAsia" w:eastAsia="宋体"/>
          <w:color w:val="auto"/>
          <w:sz w:val="24"/>
          <w:lang w:eastAsia="zh-CN"/>
        </w:rPr>
      </w:pPr>
      <w:r>
        <w:rPr>
          <w:rFonts w:hint="eastAsia" w:eastAsia="宋体"/>
          <w:color w:val="auto"/>
          <w:sz w:val="24"/>
          <w:lang w:eastAsia="zh-CN"/>
        </w:rPr>
        <w:t>根据收集到新河2019年-2021年的地表水环境质量现状数据，选取枯水期（12月-3月）的水质数据，对溶解氧、氨氮、化学需氧量、总氮和总磷因子进行趋势分析。具体见下图</w:t>
      </w:r>
      <w:r>
        <w:rPr>
          <w:rFonts w:hint="eastAsia" w:eastAsia="宋体"/>
          <w:color w:val="auto"/>
          <w:sz w:val="24"/>
          <w:lang w:val="en-US" w:eastAsia="zh-CN"/>
        </w:rPr>
        <w:t>4.</w:t>
      </w:r>
      <w:r>
        <w:rPr>
          <w:rFonts w:hint="eastAsia" w:eastAsia="宋体"/>
          <w:color w:val="auto"/>
          <w:sz w:val="24"/>
          <w:lang w:eastAsia="zh-CN"/>
        </w:rPr>
        <w:t>3-</w:t>
      </w:r>
      <w:r>
        <w:rPr>
          <w:rFonts w:hint="eastAsia" w:eastAsia="宋体"/>
          <w:color w:val="auto"/>
          <w:sz w:val="24"/>
          <w:lang w:val="en-US" w:eastAsia="zh-CN"/>
        </w:rPr>
        <w:t>1</w:t>
      </w:r>
      <w:r>
        <w:rPr>
          <w:rFonts w:hint="eastAsia" w:eastAsia="宋体"/>
          <w:color w:val="auto"/>
          <w:sz w:val="24"/>
          <w:lang w:eastAsia="zh-CN"/>
        </w:rPr>
        <w:t>。</w:t>
      </w:r>
    </w:p>
    <w:p w14:paraId="44A120CA">
      <w:pPr>
        <w:pStyle w:val="46"/>
        <w:spacing w:line="240" w:lineRule="auto"/>
        <w:ind w:left="0" w:leftChars="0" w:firstLine="0" w:firstLineChars="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4654550" cy="2384425"/>
            <wp:effectExtent l="0" t="0" r="12700" b="15875"/>
            <wp:docPr id="5" name="图片 5" descr="1.正文0610会后修改稿完整版_合并_页面_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正文0610会后修改稿完整版_合并_页面_083"/>
                    <pic:cNvPicPr>
                      <a:picLocks noChangeAspect="1"/>
                    </pic:cNvPicPr>
                  </pic:nvPicPr>
                  <pic:blipFill>
                    <a:blip r:embed="rId27"/>
                    <a:stretch>
                      <a:fillRect/>
                    </a:stretch>
                  </pic:blipFill>
                  <pic:spPr>
                    <a:xfrm>
                      <a:off x="0" y="0"/>
                      <a:ext cx="4654550" cy="2384425"/>
                    </a:xfrm>
                    <a:prstGeom prst="rect">
                      <a:avLst/>
                    </a:prstGeom>
                  </pic:spPr>
                </pic:pic>
              </a:graphicData>
            </a:graphic>
          </wp:inline>
        </w:drawing>
      </w:r>
    </w:p>
    <w:p w14:paraId="744627DA">
      <w:pPr>
        <w:pStyle w:val="46"/>
        <w:ind w:firstLine="1124" w:firstLineChars="400"/>
        <w:jc w:val="both"/>
        <w:rPr>
          <w:rFonts w:hint="eastAsia" w:eastAsia="宋体"/>
          <w:b/>
          <w:bCs/>
          <w:color w:val="auto"/>
          <w:sz w:val="24"/>
          <w:lang w:eastAsia="zh-CN"/>
        </w:rPr>
      </w:pPr>
      <w:r>
        <w:rPr>
          <w:rFonts w:hint="eastAsia" w:eastAsia="宋体"/>
          <w:b/>
          <w:bCs/>
          <w:color w:val="auto"/>
          <w:lang w:val="en-US" w:eastAsia="zh-CN"/>
        </w:rPr>
        <w:t>图</w:t>
      </w:r>
      <w:r>
        <w:rPr>
          <w:rFonts w:eastAsia="宋体"/>
          <w:b/>
          <w:bCs/>
          <w:color w:val="auto"/>
        </w:rPr>
        <w:t>4.3-</w:t>
      </w:r>
      <w:r>
        <w:rPr>
          <w:rFonts w:hint="eastAsia" w:eastAsia="宋体"/>
          <w:b/>
          <w:bCs/>
          <w:color w:val="auto"/>
          <w:lang w:val="en-US" w:eastAsia="zh-CN"/>
        </w:rPr>
        <w:t xml:space="preserve">1    </w:t>
      </w:r>
      <w:r>
        <w:rPr>
          <w:rFonts w:hint="eastAsia" w:eastAsia="宋体"/>
          <w:b/>
          <w:bCs/>
          <w:color w:val="auto"/>
          <w:sz w:val="24"/>
          <w:lang w:eastAsia="zh-CN"/>
        </w:rPr>
        <w:t>2019~2021年新河文涝路断面枯水期水质变化趋势图</w:t>
      </w:r>
    </w:p>
    <w:p w14:paraId="4498CC44">
      <w:pPr>
        <w:pStyle w:val="46"/>
        <w:ind w:firstLine="480"/>
        <w:rPr>
          <w:rFonts w:hint="eastAsia" w:eastAsia="宋体"/>
          <w:color w:val="auto"/>
          <w:sz w:val="24"/>
          <w:lang w:eastAsia="zh-CN"/>
        </w:rPr>
      </w:pPr>
      <w:r>
        <w:rPr>
          <w:rFonts w:hint="eastAsia" w:eastAsia="宋体"/>
          <w:color w:val="auto"/>
          <w:sz w:val="24"/>
          <w:lang w:eastAsia="zh-CN"/>
        </w:rPr>
        <w:t>从上图可以看出，自2019年</w:t>
      </w:r>
      <w:r>
        <w:rPr>
          <w:rFonts w:hint="eastAsia" w:eastAsia="宋体"/>
          <w:color w:val="auto"/>
          <w:sz w:val="24"/>
          <w:lang w:val="en-US" w:eastAsia="zh-CN"/>
        </w:rPr>
        <w:t>~</w:t>
      </w:r>
      <w:r>
        <w:rPr>
          <w:rFonts w:hint="eastAsia" w:eastAsia="宋体"/>
          <w:color w:val="auto"/>
          <w:sz w:val="24"/>
          <w:lang w:eastAsia="zh-CN"/>
        </w:rPr>
        <w:t>2021年，项目所在区域新河枯水期氨氮和总氮整体呈现下降的趋势；溶解氧浓度呈现平稳的上升；化学需氧量和总磷呈现平稳的趋势；表明近三年新河枯水期的水质逐渐变好。</w:t>
      </w:r>
    </w:p>
    <w:p w14:paraId="6A15C27B">
      <w:pPr>
        <w:pStyle w:val="61"/>
        <w:numPr>
          <w:ilvl w:val="0"/>
          <w:numId w:val="0"/>
        </w:numPr>
        <w:spacing w:before="0" w:after="0"/>
        <w:rPr>
          <w:rFonts w:eastAsia="宋体"/>
          <w:color w:val="auto"/>
        </w:rPr>
      </w:pPr>
      <w:r>
        <w:rPr>
          <w:rFonts w:hint="eastAsia" w:eastAsia="宋体"/>
          <w:color w:val="auto"/>
        </w:rPr>
        <w:t>4</w:t>
      </w:r>
      <w:r>
        <w:rPr>
          <w:rFonts w:eastAsia="宋体"/>
          <w:color w:val="auto"/>
        </w:rPr>
        <w:t>.3.2补充监测</w:t>
      </w:r>
    </w:p>
    <w:p w14:paraId="754A20B7">
      <w:pPr>
        <w:spacing w:line="500" w:lineRule="exact"/>
        <w:ind w:firstLine="480" w:firstLineChars="200"/>
        <w:rPr>
          <w:rFonts w:hint="default" w:eastAsia="宋体"/>
          <w:color w:val="auto"/>
          <w:lang w:val="en-US" w:eastAsia="zh-CN"/>
        </w:rPr>
      </w:pPr>
      <w:r>
        <w:rPr>
          <w:rFonts w:hint="eastAsia"/>
          <w:color w:val="auto"/>
          <w:lang w:val="en-US" w:eastAsia="zh-CN"/>
        </w:rPr>
        <w:t>本次评价引用</w:t>
      </w:r>
      <w:r>
        <w:rPr>
          <w:rFonts w:hint="eastAsia"/>
          <w:color w:val="auto"/>
        </w:rPr>
        <w:t>陕西国源检测技术有限公司</w:t>
      </w:r>
      <w:r>
        <w:rPr>
          <w:rFonts w:hint="eastAsia"/>
          <w:color w:val="auto"/>
          <w:lang w:val="en-US" w:eastAsia="zh-CN"/>
        </w:rPr>
        <w:t>于2022年3月19日~21日</w:t>
      </w:r>
      <w:r>
        <w:rPr>
          <w:rFonts w:hint="eastAsia"/>
          <w:color w:val="auto"/>
        </w:rPr>
        <w:t>对</w:t>
      </w:r>
      <w:r>
        <w:rPr>
          <w:rFonts w:hint="eastAsia"/>
          <w:color w:val="auto"/>
          <w:lang w:val="en-US" w:eastAsia="zh-CN"/>
        </w:rPr>
        <w:t>新河</w:t>
      </w:r>
      <w:r>
        <w:rPr>
          <w:rFonts w:hint="eastAsia"/>
          <w:color w:val="auto"/>
        </w:rPr>
        <w:t>地表水补充监测断面</w:t>
      </w:r>
      <w:r>
        <w:rPr>
          <w:rFonts w:hint="eastAsia"/>
          <w:color w:val="auto"/>
          <w:lang w:eastAsia="zh-CN"/>
        </w:rPr>
        <w:t>的</w:t>
      </w:r>
      <w:r>
        <w:rPr>
          <w:rFonts w:hint="eastAsia"/>
          <w:color w:val="auto"/>
          <w:lang w:val="en-US" w:eastAsia="zh-CN"/>
        </w:rPr>
        <w:t>监测报告，报告编号：GYJC2022000073</w:t>
      </w:r>
      <w:r>
        <w:rPr>
          <w:rFonts w:hint="eastAsia"/>
          <w:color w:val="auto"/>
        </w:rPr>
        <w:t>，监测</w:t>
      </w:r>
      <w:r>
        <w:rPr>
          <w:rFonts w:hint="eastAsia"/>
          <w:color w:val="auto"/>
          <w:lang w:val="en-US" w:eastAsia="zh-CN"/>
        </w:rPr>
        <w:t>报告见附件。</w:t>
      </w:r>
    </w:p>
    <w:p w14:paraId="24ED9E08">
      <w:pPr>
        <w:spacing w:line="500" w:lineRule="exact"/>
        <w:ind w:firstLine="480" w:firstLine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监测断面布设</w:t>
      </w:r>
    </w:p>
    <w:p w14:paraId="68F3A592">
      <w:pPr>
        <w:spacing w:line="500" w:lineRule="exact"/>
        <w:ind w:firstLine="480" w:firstLineChars="200"/>
        <w:rPr>
          <w:color w:val="auto"/>
        </w:rPr>
      </w:pPr>
      <w:r>
        <w:rPr>
          <w:rFonts w:hint="eastAsia"/>
          <w:color w:val="auto"/>
        </w:rPr>
        <w:t>本次根据项目特点，共布设两个地表水监测断面，具体断面布设情况见下表</w:t>
      </w:r>
      <w:r>
        <w:rPr>
          <w:rFonts w:hint="eastAsia"/>
          <w:color w:val="auto"/>
          <w:lang w:val="en-US" w:eastAsia="zh-CN"/>
        </w:rPr>
        <w:t>4.</w:t>
      </w:r>
      <w:r>
        <w:rPr>
          <w:rFonts w:hint="eastAsia"/>
          <w:color w:val="auto"/>
        </w:rPr>
        <w:t>3-2，监测点位图见附图6。</w:t>
      </w:r>
    </w:p>
    <w:p w14:paraId="2BAE19CA">
      <w:pPr>
        <w:adjustRightInd w:val="0"/>
        <w:snapToGrid w:val="0"/>
        <w:spacing w:line="500" w:lineRule="exact"/>
        <w:jc w:val="center"/>
        <w:rPr>
          <w:b/>
          <w:color w:val="auto"/>
          <w:szCs w:val="24"/>
        </w:rPr>
      </w:pPr>
      <w:r>
        <w:rPr>
          <w:b/>
          <w:color w:val="auto"/>
          <w:szCs w:val="24"/>
        </w:rPr>
        <w:t>表4.3-</w:t>
      </w:r>
      <w:r>
        <w:rPr>
          <w:rFonts w:hint="eastAsia"/>
          <w:b/>
          <w:color w:val="auto"/>
          <w:szCs w:val="24"/>
          <w:lang w:val="en-US" w:eastAsia="zh-CN"/>
        </w:rPr>
        <w:t xml:space="preserve">2    </w:t>
      </w:r>
      <w:r>
        <w:rPr>
          <w:b/>
          <w:color w:val="auto"/>
          <w:szCs w:val="24"/>
        </w:rPr>
        <w:t>水质监测断面布置</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783"/>
        <w:gridCol w:w="1719"/>
        <w:gridCol w:w="1131"/>
        <w:gridCol w:w="1142"/>
        <w:gridCol w:w="3786"/>
        <w:gridCol w:w="681"/>
      </w:tblGrid>
      <w:tr w14:paraId="0D55A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23" w:type="pct"/>
            <w:vAlign w:val="center"/>
          </w:tcPr>
          <w:p w14:paraId="7440E91F">
            <w:pPr>
              <w:adjustRightInd w:val="0"/>
              <w:snapToGrid w:val="0"/>
              <w:jc w:val="center"/>
              <w:rPr>
                <w:b/>
                <w:color w:val="auto"/>
                <w:sz w:val="21"/>
                <w:szCs w:val="21"/>
              </w:rPr>
            </w:pPr>
            <w:r>
              <w:rPr>
                <w:b/>
                <w:color w:val="auto"/>
                <w:sz w:val="21"/>
                <w:szCs w:val="21"/>
              </w:rPr>
              <w:t>河流名称</w:t>
            </w:r>
          </w:p>
        </w:tc>
        <w:tc>
          <w:tcPr>
            <w:tcW w:w="929" w:type="pct"/>
            <w:vAlign w:val="center"/>
          </w:tcPr>
          <w:p w14:paraId="55DAF3A9">
            <w:pPr>
              <w:adjustRightInd w:val="0"/>
              <w:snapToGrid w:val="0"/>
              <w:jc w:val="center"/>
              <w:rPr>
                <w:b/>
                <w:color w:val="auto"/>
                <w:sz w:val="21"/>
                <w:szCs w:val="21"/>
              </w:rPr>
            </w:pPr>
            <w:r>
              <w:rPr>
                <w:b/>
                <w:color w:val="auto"/>
                <w:sz w:val="21"/>
                <w:szCs w:val="21"/>
              </w:rPr>
              <w:t>监测断面</w:t>
            </w:r>
          </w:p>
        </w:tc>
        <w:tc>
          <w:tcPr>
            <w:tcW w:w="611" w:type="pct"/>
            <w:vAlign w:val="center"/>
          </w:tcPr>
          <w:p w14:paraId="6C0B264A">
            <w:pPr>
              <w:adjustRightInd w:val="0"/>
              <w:snapToGrid w:val="0"/>
              <w:jc w:val="center"/>
              <w:rPr>
                <w:b/>
                <w:color w:val="auto"/>
                <w:sz w:val="21"/>
                <w:szCs w:val="21"/>
              </w:rPr>
            </w:pPr>
            <w:r>
              <w:rPr>
                <w:b/>
                <w:color w:val="auto"/>
                <w:sz w:val="21"/>
                <w:szCs w:val="21"/>
              </w:rPr>
              <w:t>监测时间</w:t>
            </w:r>
          </w:p>
        </w:tc>
        <w:tc>
          <w:tcPr>
            <w:tcW w:w="617" w:type="pct"/>
            <w:vAlign w:val="center"/>
          </w:tcPr>
          <w:p w14:paraId="50C188CB">
            <w:pPr>
              <w:adjustRightInd w:val="0"/>
              <w:snapToGrid w:val="0"/>
              <w:jc w:val="center"/>
              <w:rPr>
                <w:b/>
                <w:color w:val="auto"/>
                <w:sz w:val="21"/>
                <w:szCs w:val="21"/>
              </w:rPr>
            </w:pPr>
            <w:r>
              <w:rPr>
                <w:b/>
                <w:color w:val="auto"/>
                <w:sz w:val="21"/>
                <w:szCs w:val="21"/>
              </w:rPr>
              <w:t>位置</w:t>
            </w:r>
          </w:p>
        </w:tc>
        <w:tc>
          <w:tcPr>
            <w:tcW w:w="2048" w:type="pct"/>
            <w:vAlign w:val="center"/>
          </w:tcPr>
          <w:p w14:paraId="3D9F8A72">
            <w:pPr>
              <w:adjustRightInd w:val="0"/>
              <w:snapToGrid w:val="0"/>
              <w:jc w:val="center"/>
              <w:rPr>
                <w:b/>
                <w:color w:val="auto"/>
                <w:sz w:val="21"/>
                <w:szCs w:val="21"/>
              </w:rPr>
            </w:pPr>
            <w:r>
              <w:rPr>
                <w:b/>
                <w:color w:val="auto"/>
                <w:sz w:val="21"/>
                <w:szCs w:val="21"/>
              </w:rPr>
              <w:t>监测项目</w:t>
            </w:r>
          </w:p>
        </w:tc>
        <w:tc>
          <w:tcPr>
            <w:tcW w:w="368" w:type="pct"/>
            <w:vAlign w:val="center"/>
          </w:tcPr>
          <w:p w14:paraId="5A0E948F">
            <w:pPr>
              <w:adjustRightInd w:val="0"/>
              <w:snapToGrid w:val="0"/>
              <w:jc w:val="center"/>
              <w:rPr>
                <w:b/>
                <w:color w:val="auto"/>
                <w:sz w:val="21"/>
                <w:szCs w:val="21"/>
              </w:rPr>
            </w:pPr>
            <w:r>
              <w:rPr>
                <w:b/>
                <w:color w:val="auto"/>
                <w:sz w:val="21"/>
                <w:szCs w:val="21"/>
              </w:rPr>
              <w:t>备注</w:t>
            </w:r>
          </w:p>
        </w:tc>
      </w:tr>
      <w:tr w14:paraId="52BF7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423" w:type="pct"/>
            <w:vMerge w:val="restart"/>
            <w:vAlign w:val="center"/>
          </w:tcPr>
          <w:p w14:paraId="7C65C087">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新河</w:t>
            </w:r>
          </w:p>
        </w:tc>
        <w:tc>
          <w:tcPr>
            <w:tcW w:w="929" w:type="pct"/>
            <w:vAlign w:val="center"/>
          </w:tcPr>
          <w:p w14:paraId="29A9B418">
            <w:pPr>
              <w:adjustRightInd w:val="0"/>
              <w:snapToGrid w:val="0"/>
              <w:jc w:val="center"/>
              <w:rPr>
                <w:color w:val="auto"/>
                <w:sz w:val="21"/>
                <w:szCs w:val="21"/>
              </w:rPr>
            </w:pPr>
            <w:r>
              <w:rPr>
                <w:color w:val="auto"/>
                <w:sz w:val="21"/>
                <w:szCs w:val="21"/>
              </w:rPr>
              <w:t>W1</w:t>
            </w:r>
          </w:p>
          <w:p w14:paraId="54C0B2AB">
            <w:pPr>
              <w:adjustRightInd w:val="0"/>
              <w:snapToGrid w:val="0"/>
              <w:jc w:val="center"/>
              <w:rPr>
                <w:rFonts w:hint="eastAsia"/>
                <w:color w:val="auto"/>
                <w:sz w:val="21"/>
                <w:szCs w:val="21"/>
                <w:lang w:eastAsia="zh-CN"/>
              </w:rPr>
            </w:pPr>
            <w:r>
              <w:rPr>
                <w:rFonts w:hint="eastAsia"/>
                <w:color w:val="auto"/>
                <w:sz w:val="21"/>
                <w:szCs w:val="21"/>
                <w:lang w:eastAsia="zh-CN"/>
              </w:rPr>
              <w:t>E</w:t>
            </w:r>
            <w:r>
              <w:rPr>
                <w:rFonts w:hint="eastAsia"/>
                <w:color w:val="auto"/>
                <w:sz w:val="21"/>
                <w:szCs w:val="21"/>
                <w:lang w:val="en-US" w:eastAsia="zh-CN"/>
              </w:rPr>
              <w:t xml:space="preserve"> </w:t>
            </w:r>
            <w:r>
              <w:rPr>
                <w:rFonts w:hint="eastAsia"/>
                <w:color w:val="auto"/>
                <w:sz w:val="21"/>
                <w:szCs w:val="21"/>
                <w:lang w:eastAsia="zh-CN"/>
              </w:rPr>
              <w:t>108.637100°</w:t>
            </w:r>
          </w:p>
          <w:p w14:paraId="5E205AF2">
            <w:pPr>
              <w:adjustRightInd w:val="0"/>
              <w:snapToGrid w:val="0"/>
              <w:jc w:val="center"/>
              <w:rPr>
                <w:rFonts w:hint="eastAsia" w:eastAsia="宋体"/>
                <w:color w:val="auto"/>
                <w:sz w:val="21"/>
                <w:szCs w:val="21"/>
                <w:lang w:eastAsia="zh-CN"/>
              </w:rPr>
            </w:pPr>
            <w:r>
              <w:rPr>
                <w:rFonts w:hint="eastAsia"/>
                <w:color w:val="auto"/>
                <w:sz w:val="21"/>
                <w:szCs w:val="21"/>
                <w:lang w:eastAsia="zh-CN"/>
              </w:rPr>
              <w:t>N</w:t>
            </w:r>
            <w:r>
              <w:rPr>
                <w:rFonts w:hint="eastAsia"/>
                <w:color w:val="auto"/>
                <w:sz w:val="21"/>
                <w:szCs w:val="21"/>
                <w:lang w:val="en-US" w:eastAsia="zh-CN"/>
              </w:rPr>
              <w:t xml:space="preserve"> </w:t>
            </w:r>
            <w:r>
              <w:rPr>
                <w:rFonts w:hint="eastAsia"/>
                <w:color w:val="auto"/>
                <w:sz w:val="21"/>
                <w:szCs w:val="21"/>
                <w:lang w:eastAsia="zh-CN"/>
              </w:rPr>
              <w:t>34.024194°</w:t>
            </w:r>
          </w:p>
        </w:tc>
        <w:tc>
          <w:tcPr>
            <w:tcW w:w="611" w:type="pct"/>
            <w:vMerge w:val="restart"/>
            <w:vAlign w:val="center"/>
          </w:tcPr>
          <w:p w14:paraId="496022CD">
            <w:pPr>
              <w:adjustRightInd w:val="0"/>
              <w:snapToGrid w:val="0"/>
              <w:jc w:val="center"/>
              <w:rPr>
                <w:color w:val="auto"/>
                <w:sz w:val="21"/>
                <w:szCs w:val="21"/>
              </w:rPr>
            </w:pPr>
            <w:r>
              <w:rPr>
                <w:rFonts w:hint="eastAsia"/>
                <w:color w:val="auto"/>
                <w:sz w:val="21"/>
                <w:szCs w:val="21"/>
              </w:rPr>
              <w:t>2022.3.19~21</w:t>
            </w:r>
          </w:p>
        </w:tc>
        <w:tc>
          <w:tcPr>
            <w:tcW w:w="617" w:type="pct"/>
            <w:vAlign w:val="center"/>
          </w:tcPr>
          <w:p w14:paraId="62C59BB6">
            <w:pPr>
              <w:adjustRightInd w:val="0"/>
              <w:snapToGrid w:val="0"/>
              <w:jc w:val="center"/>
              <w:rPr>
                <w:color w:val="auto"/>
                <w:sz w:val="21"/>
                <w:szCs w:val="21"/>
              </w:rPr>
            </w:pPr>
            <w:r>
              <w:rPr>
                <w:rFonts w:hint="eastAsia"/>
                <w:color w:val="auto"/>
                <w:sz w:val="21"/>
                <w:szCs w:val="21"/>
              </w:rPr>
              <w:t>排污口上游5</w:t>
            </w:r>
            <w:r>
              <w:rPr>
                <w:color w:val="auto"/>
                <w:sz w:val="21"/>
                <w:szCs w:val="21"/>
              </w:rPr>
              <w:t>00m</w:t>
            </w:r>
          </w:p>
        </w:tc>
        <w:tc>
          <w:tcPr>
            <w:tcW w:w="2048" w:type="pct"/>
            <w:vMerge w:val="restart"/>
            <w:vAlign w:val="center"/>
          </w:tcPr>
          <w:p w14:paraId="48564320">
            <w:pPr>
              <w:adjustRightInd w:val="0"/>
              <w:snapToGrid w:val="0"/>
              <w:jc w:val="center"/>
              <w:rPr>
                <w:color w:val="auto"/>
                <w:sz w:val="21"/>
                <w:szCs w:val="21"/>
              </w:rPr>
            </w:pPr>
            <w:r>
              <w:rPr>
                <w:rFonts w:hint="eastAsia"/>
                <w:color w:val="auto"/>
                <w:sz w:val="21"/>
              </w:rPr>
              <w:t>pH、COD、DO、BOD</w:t>
            </w:r>
            <w:r>
              <w:rPr>
                <w:rFonts w:hint="eastAsia"/>
                <w:color w:val="auto"/>
                <w:sz w:val="21"/>
                <w:vertAlign w:val="subscript"/>
              </w:rPr>
              <w:t>5</w:t>
            </w:r>
            <w:r>
              <w:rPr>
                <w:rFonts w:hint="eastAsia"/>
                <w:color w:val="auto"/>
                <w:sz w:val="21"/>
              </w:rPr>
              <w:t>、SS、氨氮、总氮、总磷、LAS、挥发酚、粪大肠菌群、高锰酸盐指数、六价铬、铅、镉、铜、锌、硒、砷、汞、硫化物、氟化物、氰化物、石油类，共24项，同步记录水温、测量各断面水温参数，包括流速、流量、水深、水面宽度</w:t>
            </w:r>
          </w:p>
        </w:tc>
        <w:tc>
          <w:tcPr>
            <w:tcW w:w="368" w:type="pct"/>
            <w:vAlign w:val="center"/>
          </w:tcPr>
          <w:p w14:paraId="08CAD549">
            <w:pPr>
              <w:adjustRightInd w:val="0"/>
              <w:snapToGrid w:val="0"/>
              <w:jc w:val="center"/>
              <w:rPr>
                <w:color w:val="auto"/>
                <w:sz w:val="21"/>
              </w:rPr>
            </w:pPr>
            <w:r>
              <w:rPr>
                <w:color w:val="auto"/>
                <w:sz w:val="21"/>
              </w:rPr>
              <w:t>对照断面</w:t>
            </w:r>
          </w:p>
        </w:tc>
      </w:tr>
      <w:tr w14:paraId="4E68B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36" w:hRule="atLeast"/>
          <w:jc w:val="center"/>
        </w:trPr>
        <w:tc>
          <w:tcPr>
            <w:tcW w:w="423" w:type="pct"/>
            <w:vMerge w:val="continue"/>
            <w:vAlign w:val="center"/>
          </w:tcPr>
          <w:p w14:paraId="0F533B87">
            <w:pPr>
              <w:adjustRightInd w:val="0"/>
              <w:snapToGrid w:val="0"/>
              <w:jc w:val="center"/>
              <w:rPr>
                <w:color w:val="auto"/>
                <w:sz w:val="21"/>
                <w:szCs w:val="21"/>
              </w:rPr>
            </w:pPr>
          </w:p>
        </w:tc>
        <w:tc>
          <w:tcPr>
            <w:tcW w:w="929" w:type="pct"/>
            <w:vAlign w:val="center"/>
          </w:tcPr>
          <w:p w14:paraId="16FCCC54">
            <w:pPr>
              <w:adjustRightInd w:val="0"/>
              <w:snapToGrid w:val="0"/>
              <w:jc w:val="center"/>
              <w:rPr>
                <w:rFonts w:hint="eastAsia"/>
                <w:color w:val="auto"/>
                <w:sz w:val="21"/>
                <w:szCs w:val="21"/>
                <w:lang w:val="en-US" w:eastAsia="zh-CN"/>
              </w:rPr>
            </w:pPr>
            <w:r>
              <w:rPr>
                <w:color w:val="auto"/>
                <w:sz w:val="21"/>
                <w:szCs w:val="21"/>
              </w:rPr>
              <w:t>W</w:t>
            </w:r>
            <w:r>
              <w:rPr>
                <w:rFonts w:hint="eastAsia"/>
                <w:color w:val="auto"/>
                <w:sz w:val="21"/>
                <w:szCs w:val="21"/>
                <w:lang w:val="en-US" w:eastAsia="zh-CN"/>
              </w:rPr>
              <w:t>2</w:t>
            </w:r>
          </w:p>
          <w:p w14:paraId="41718F5F">
            <w:pPr>
              <w:adjustRightInd w:val="0"/>
              <w:snapToGrid w:val="0"/>
              <w:jc w:val="center"/>
              <w:rPr>
                <w:rFonts w:hint="eastAsia"/>
                <w:color w:val="auto"/>
                <w:sz w:val="21"/>
                <w:szCs w:val="21"/>
                <w:lang w:val="en-US" w:eastAsia="zh-CN"/>
              </w:rPr>
            </w:pPr>
            <w:r>
              <w:rPr>
                <w:rFonts w:hint="eastAsia"/>
                <w:color w:val="auto"/>
                <w:sz w:val="21"/>
                <w:szCs w:val="21"/>
                <w:lang w:val="en-US" w:eastAsia="zh-CN"/>
              </w:rPr>
              <w:t>E 108.638589°</w:t>
            </w:r>
          </w:p>
          <w:p w14:paraId="3A697639">
            <w:pPr>
              <w:adjustRightInd w:val="0"/>
              <w:snapToGrid w:val="0"/>
              <w:jc w:val="center"/>
              <w:rPr>
                <w:rFonts w:hint="eastAsia" w:eastAsia="宋体"/>
                <w:color w:val="auto"/>
                <w:sz w:val="21"/>
                <w:szCs w:val="21"/>
                <w:lang w:eastAsia="zh-CN"/>
              </w:rPr>
            </w:pPr>
            <w:r>
              <w:rPr>
                <w:rFonts w:hint="eastAsia"/>
                <w:color w:val="auto"/>
                <w:sz w:val="21"/>
                <w:szCs w:val="21"/>
                <w:lang w:val="en-US" w:eastAsia="zh-CN"/>
              </w:rPr>
              <w:t>N 34.031273°</w:t>
            </w:r>
          </w:p>
        </w:tc>
        <w:tc>
          <w:tcPr>
            <w:tcW w:w="611" w:type="pct"/>
            <w:vMerge w:val="continue"/>
            <w:vAlign w:val="center"/>
          </w:tcPr>
          <w:p w14:paraId="6B6FA799">
            <w:pPr>
              <w:adjustRightInd w:val="0"/>
              <w:snapToGrid w:val="0"/>
              <w:jc w:val="center"/>
              <w:rPr>
                <w:color w:val="auto"/>
                <w:sz w:val="21"/>
                <w:szCs w:val="21"/>
              </w:rPr>
            </w:pPr>
          </w:p>
        </w:tc>
        <w:tc>
          <w:tcPr>
            <w:tcW w:w="617" w:type="pct"/>
            <w:vAlign w:val="center"/>
          </w:tcPr>
          <w:p w14:paraId="7D66D18C">
            <w:pPr>
              <w:adjustRightInd w:val="0"/>
              <w:snapToGrid w:val="0"/>
              <w:jc w:val="center"/>
              <w:rPr>
                <w:color w:val="auto"/>
                <w:sz w:val="21"/>
                <w:szCs w:val="21"/>
              </w:rPr>
            </w:pPr>
            <w:r>
              <w:rPr>
                <w:rFonts w:hint="eastAsia"/>
                <w:color w:val="auto"/>
                <w:sz w:val="21"/>
                <w:szCs w:val="21"/>
              </w:rPr>
              <w:t>排污口下游1</w:t>
            </w:r>
            <w:r>
              <w:rPr>
                <w:color w:val="auto"/>
                <w:sz w:val="21"/>
                <w:szCs w:val="21"/>
              </w:rPr>
              <w:t>500m</w:t>
            </w:r>
          </w:p>
        </w:tc>
        <w:tc>
          <w:tcPr>
            <w:tcW w:w="2048" w:type="pct"/>
            <w:vMerge w:val="continue"/>
            <w:vAlign w:val="center"/>
          </w:tcPr>
          <w:p w14:paraId="3F7C6210">
            <w:pPr>
              <w:adjustRightInd w:val="0"/>
              <w:snapToGrid w:val="0"/>
              <w:jc w:val="center"/>
              <w:rPr>
                <w:color w:val="auto"/>
                <w:sz w:val="21"/>
                <w:szCs w:val="21"/>
              </w:rPr>
            </w:pPr>
          </w:p>
        </w:tc>
        <w:tc>
          <w:tcPr>
            <w:tcW w:w="368" w:type="pct"/>
            <w:vAlign w:val="center"/>
          </w:tcPr>
          <w:p w14:paraId="058FBCEC">
            <w:pPr>
              <w:adjustRightInd w:val="0"/>
              <w:snapToGrid w:val="0"/>
              <w:jc w:val="center"/>
              <w:rPr>
                <w:color w:val="auto"/>
                <w:sz w:val="21"/>
                <w:szCs w:val="21"/>
              </w:rPr>
            </w:pPr>
            <w:r>
              <w:rPr>
                <w:color w:val="auto"/>
                <w:sz w:val="21"/>
                <w:szCs w:val="21"/>
              </w:rPr>
              <w:t>控制断面</w:t>
            </w:r>
          </w:p>
        </w:tc>
      </w:tr>
    </w:tbl>
    <w:p w14:paraId="01A8062C">
      <w:pPr>
        <w:pStyle w:val="46"/>
        <w:ind w:firstLine="480"/>
        <w:rPr>
          <w:rFonts w:eastAsia="宋体"/>
          <w:color w:val="auto"/>
          <w:sz w:val="24"/>
        </w:rPr>
      </w:pPr>
      <w:r>
        <w:rPr>
          <w:rFonts w:hint="eastAsia" w:eastAsia="宋体"/>
          <w:color w:val="auto"/>
          <w:sz w:val="24"/>
        </w:rPr>
        <w:t>（2）评价方法</w:t>
      </w:r>
    </w:p>
    <w:bookmarkEnd w:id="40"/>
    <w:p w14:paraId="64DCB1BD">
      <w:pPr>
        <w:pStyle w:val="46"/>
        <w:ind w:firstLine="480"/>
        <w:rPr>
          <w:rFonts w:eastAsia="宋体"/>
          <w:color w:val="auto"/>
          <w:sz w:val="24"/>
        </w:rPr>
      </w:pPr>
      <w:r>
        <w:rPr>
          <w:rFonts w:eastAsia="宋体"/>
          <w:color w:val="auto"/>
          <w:sz w:val="24"/>
        </w:rPr>
        <w:t>采用单因子标准指数法进行现状评价，其计算公式如下：</w:t>
      </w:r>
    </w:p>
    <w:p w14:paraId="22FD1EFE">
      <w:pPr>
        <w:pStyle w:val="41"/>
        <w:rPr>
          <w:color w:val="auto"/>
          <w:sz w:val="28"/>
          <w:szCs w:val="28"/>
        </w:rPr>
      </w:pPr>
      <w:r>
        <w:rPr>
          <w:color w:val="auto"/>
          <w:sz w:val="24"/>
        </w:rPr>
        <w:object>
          <v:shape id="_x0000_i1026" o:spt="75" type="#_x0000_t75" style="height:46.5pt;width:46.5pt;" o:ole="t" filled="f" coordsize="21600,21600">
            <v:path/>
            <v:fill on="f" focussize="0,0"/>
            <v:stroke/>
            <v:imagedata r:id="rId29" o:title=""/>
            <o:lock v:ext="edit" aspectratio="t"/>
            <w10:wrap type="none"/>
            <w10:anchorlock/>
          </v:shape>
          <o:OLEObject Type="Embed" ProgID="Equation.3" ShapeID="_x0000_i1026" DrawAspect="Content" ObjectID="_1468075726" r:id="rId28">
            <o:LockedField>false</o:LockedField>
          </o:OLEObject>
        </w:object>
      </w:r>
    </w:p>
    <w:p w14:paraId="7B154728">
      <w:pPr>
        <w:pStyle w:val="46"/>
        <w:ind w:firstLine="480"/>
        <w:rPr>
          <w:rFonts w:eastAsia="宋体"/>
          <w:color w:val="auto"/>
          <w:sz w:val="24"/>
        </w:rPr>
      </w:pPr>
      <w:r>
        <w:rPr>
          <w:rFonts w:eastAsia="宋体"/>
          <w:color w:val="auto"/>
          <w:sz w:val="24"/>
        </w:rPr>
        <w:t>式中：S</w:t>
      </w:r>
      <w:r>
        <w:rPr>
          <w:rFonts w:eastAsia="宋体"/>
          <w:color w:val="auto"/>
          <w:sz w:val="24"/>
          <w:vertAlign w:val="subscript"/>
        </w:rPr>
        <w:t>ij</w:t>
      </w:r>
      <w:r>
        <w:rPr>
          <w:rFonts w:eastAsia="宋体"/>
          <w:color w:val="auto"/>
          <w:sz w:val="24"/>
        </w:rPr>
        <w:t>——单项水质参数i在第j点的标准指数；</w:t>
      </w:r>
    </w:p>
    <w:p w14:paraId="0C74F359">
      <w:pPr>
        <w:pStyle w:val="46"/>
        <w:ind w:firstLine="1200" w:firstLineChars="500"/>
        <w:rPr>
          <w:rFonts w:eastAsia="宋体"/>
          <w:color w:val="auto"/>
          <w:sz w:val="24"/>
        </w:rPr>
      </w:pPr>
      <w:r>
        <w:rPr>
          <w:rFonts w:eastAsia="宋体"/>
          <w:color w:val="auto"/>
          <w:sz w:val="24"/>
        </w:rPr>
        <w:t>C</w:t>
      </w:r>
      <w:r>
        <w:rPr>
          <w:rFonts w:eastAsia="宋体"/>
          <w:color w:val="auto"/>
          <w:sz w:val="24"/>
          <w:vertAlign w:val="subscript"/>
        </w:rPr>
        <w:t>ij</w:t>
      </w:r>
      <w:r>
        <w:rPr>
          <w:rFonts w:eastAsia="宋体"/>
          <w:color w:val="auto"/>
          <w:sz w:val="24"/>
        </w:rPr>
        <w:t>——第i类污染物在第j点的污染物平均浓度（mg/L）；</w:t>
      </w:r>
    </w:p>
    <w:p w14:paraId="03831217">
      <w:pPr>
        <w:pStyle w:val="46"/>
        <w:ind w:firstLine="1200" w:firstLineChars="500"/>
        <w:rPr>
          <w:rFonts w:eastAsia="宋体"/>
          <w:color w:val="auto"/>
          <w:sz w:val="24"/>
        </w:rPr>
      </w:pPr>
      <w:r>
        <w:rPr>
          <w:rFonts w:eastAsia="宋体"/>
          <w:color w:val="auto"/>
          <w:sz w:val="24"/>
        </w:rPr>
        <w:t>C</w:t>
      </w:r>
      <w:r>
        <w:rPr>
          <w:rFonts w:eastAsia="宋体"/>
          <w:color w:val="auto"/>
          <w:sz w:val="24"/>
          <w:vertAlign w:val="subscript"/>
        </w:rPr>
        <w:t>si</w:t>
      </w:r>
      <w:r>
        <w:rPr>
          <w:rFonts w:eastAsia="宋体"/>
          <w:color w:val="auto"/>
          <w:sz w:val="24"/>
        </w:rPr>
        <w:t>——第i类污染物的评价标准（mg/L）。</w:t>
      </w:r>
    </w:p>
    <w:p w14:paraId="79D18D4A">
      <w:pPr>
        <w:pStyle w:val="46"/>
        <w:ind w:firstLine="480"/>
        <w:rPr>
          <w:rFonts w:eastAsia="宋体"/>
          <w:color w:val="auto"/>
          <w:sz w:val="24"/>
        </w:rPr>
      </w:pPr>
      <w:r>
        <w:rPr>
          <w:rFonts w:eastAsia="宋体"/>
          <w:color w:val="auto"/>
          <w:sz w:val="24"/>
        </w:rPr>
        <w:t>pH值标准指数用下式计算：</w:t>
      </w:r>
    </w:p>
    <w:p w14:paraId="0DA8CF16">
      <w:pPr>
        <w:pStyle w:val="41"/>
        <w:rPr>
          <w:color w:val="auto"/>
          <w:sz w:val="24"/>
          <w:szCs w:val="28"/>
        </w:rPr>
      </w:pPr>
      <w:r>
        <w:rPr>
          <w:color w:val="auto"/>
          <w:sz w:val="28"/>
          <w:szCs w:val="28"/>
        </w:rPr>
        <w:object>
          <v:shape id="_x0000_i1027" o:spt="75" type="#_x0000_t75" style="height:37.5pt;width:93.75pt;" o:ole="t" filled="f" coordsize="21600,21600">
            <v:path/>
            <v:fill on="f" focussize="0,0"/>
            <v:stroke/>
            <v:imagedata r:id="rId31" o:title=""/>
            <o:lock v:ext="edit" aspectratio="t"/>
            <w10:wrap type="none"/>
            <w10:anchorlock/>
          </v:shape>
          <o:OLEObject Type="Embed" ProgID="Equation.3" ShapeID="_x0000_i1027" DrawAspect="Content" ObjectID="_1468075727" r:id="rId30">
            <o:LockedField>false</o:LockedField>
          </o:OLEObject>
        </w:object>
      </w:r>
      <w:r>
        <w:rPr>
          <w:color w:val="auto"/>
          <w:sz w:val="28"/>
          <w:szCs w:val="28"/>
        </w:rPr>
        <w:t>（</w:t>
      </w:r>
      <w:r>
        <w:rPr>
          <w:color w:val="auto"/>
          <w:sz w:val="24"/>
          <w:szCs w:val="28"/>
        </w:rPr>
        <w:t>pH</w:t>
      </w:r>
      <w:r>
        <w:rPr>
          <w:color w:val="auto"/>
          <w:sz w:val="24"/>
          <w:szCs w:val="28"/>
          <w:vertAlign w:val="subscript"/>
        </w:rPr>
        <w:t>j</w:t>
      </w:r>
      <w:r>
        <w:rPr>
          <w:color w:val="auto"/>
          <w:sz w:val="24"/>
          <w:szCs w:val="28"/>
        </w:rPr>
        <w:t>≤7.0）</w:t>
      </w:r>
    </w:p>
    <w:p w14:paraId="63E53515">
      <w:pPr>
        <w:pStyle w:val="41"/>
        <w:rPr>
          <w:color w:val="auto"/>
          <w:sz w:val="24"/>
          <w:szCs w:val="28"/>
        </w:rPr>
      </w:pPr>
      <w:r>
        <w:rPr>
          <w:color w:val="auto"/>
          <w:sz w:val="24"/>
          <w:szCs w:val="28"/>
        </w:rPr>
        <w:object>
          <v:shape id="_x0000_i1028" o:spt="75" type="#_x0000_t75" style="height:37.5pt;width:94.5pt;" o:ole="t" filled="f" coordsize="21600,21600">
            <v:path/>
            <v:fill on="f" focussize="0,0"/>
            <v:stroke/>
            <v:imagedata r:id="rId33" o:title=""/>
            <o:lock v:ext="edit" aspectratio="t"/>
            <w10:wrap type="none"/>
            <w10:anchorlock/>
          </v:shape>
          <o:OLEObject Type="Embed" ProgID="Equation.3" ShapeID="_x0000_i1028" DrawAspect="Content" ObjectID="_1468075728" r:id="rId32">
            <o:LockedField>false</o:LockedField>
          </o:OLEObject>
        </w:object>
      </w:r>
      <w:r>
        <w:rPr>
          <w:color w:val="auto"/>
          <w:sz w:val="24"/>
          <w:szCs w:val="28"/>
        </w:rPr>
        <w:t>（pH</w:t>
      </w:r>
      <w:r>
        <w:rPr>
          <w:color w:val="auto"/>
          <w:sz w:val="24"/>
          <w:szCs w:val="28"/>
          <w:vertAlign w:val="subscript"/>
        </w:rPr>
        <w:t>j</w:t>
      </w:r>
      <w:r>
        <w:rPr>
          <w:color w:val="auto"/>
          <w:sz w:val="24"/>
          <w:szCs w:val="28"/>
        </w:rPr>
        <w:t>&gt;7.0）</w:t>
      </w:r>
    </w:p>
    <w:p w14:paraId="79C05D36">
      <w:pPr>
        <w:pStyle w:val="46"/>
        <w:ind w:firstLine="480"/>
        <w:rPr>
          <w:rFonts w:eastAsia="宋体"/>
          <w:color w:val="auto"/>
          <w:sz w:val="24"/>
        </w:rPr>
      </w:pPr>
      <w:r>
        <w:rPr>
          <w:rFonts w:eastAsia="宋体"/>
          <w:color w:val="auto"/>
          <w:sz w:val="24"/>
        </w:rPr>
        <w:t>式中：S</w:t>
      </w:r>
      <w:r>
        <w:rPr>
          <w:rFonts w:eastAsia="宋体"/>
          <w:color w:val="auto"/>
          <w:sz w:val="24"/>
          <w:vertAlign w:val="subscript"/>
        </w:rPr>
        <w:t>pHj</w:t>
      </w:r>
      <w:r>
        <w:rPr>
          <w:rFonts w:eastAsia="宋体"/>
          <w:color w:val="auto"/>
          <w:sz w:val="24"/>
        </w:rPr>
        <w:t>——pH在第j点的标准指数；</w:t>
      </w:r>
    </w:p>
    <w:p w14:paraId="04892FC1">
      <w:pPr>
        <w:pStyle w:val="46"/>
        <w:ind w:firstLine="1200" w:firstLineChars="500"/>
        <w:rPr>
          <w:rFonts w:eastAsia="宋体"/>
          <w:color w:val="auto"/>
          <w:sz w:val="24"/>
        </w:rPr>
      </w:pPr>
      <w:r>
        <w:rPr>
          <w:rFonts w:eastAsia="宋体"/>
          <w:color w:val="auto"/>
          <w:sz w:val="24"/>
        </w:rPr>
        <w:t>pH</w:t>
      </w:r>
      <w:r>
        <w:rPr>
          <w:rFonts w:eastAsia="宋体"/>
          <w:color w:val="auto"/>
          <w:sz w:val="24"/>
          <w:vertAlign w:val="subscript"/>
        </w:rPr>
        <w:t>Sd</w:t>
      </w:r>
      <w:r>
        <w:rPr>
          <w:rFonts w:eastAsia="宋体"/>
          <w:color w:val="auto"/>
          <w:sz w:val="24"/>
        </w:rPr>
        <w:t>——水质标准中pH值的下限；</w:t>
      </w:r>
    </w:p>
    <w:p w14:paraId="2603C337">
      <w:pPr>
        <w:pStyle w:val="46"/>
        <w:ind w:firstLine="1200" w:firstLineChars="500"/>
        <w:rPr>
          <w:rFonts w:eastAsia="宋体"/>
          <w:color w:val="auto"/>
          <w:sz w:val="24"/>
        </w:rPr>
      </w:pPr>
      <w:r>
        <w:rPr>
          <w:rFonts w:eastAsia="宋体"/>
          <w:color w:val="auto"/>
          <w:sz w:val="24"/>
        </w:rPr>
        <w:t>pH</w:t>
      </w:r>
      <w:r>
        <w:rPr>
          <w:rFonts w:eastAsia="宋体"/>
          <w:color w:val="auto"/>
          <w:sz w:val="24"/>
          <w:vertAlign w:val="subscript"/>
        </w:rPr>
        <w:t>SU</w:t>
      </w:r>
      <w:r>
        <w:rPr>
          <w:rFonts w:eastAsia="宋体"/>
          <w:color w:val="auto"/>
          <w:sz w:val="24"/>
        </w:rPr>
        <w:t>——水质标准中pH值的上限；</w:t>
      </w:r>
    </w:p>
    <w:p w14:paraId="1470153C">
      <w:pPr>
        <w:pStyle w:val="46"/>
        <w:ind w:firstLine="1200" w:firstLineChars="500"/>
        <w:rPr>
          <w:rFonts w:eastAsia="宋体"/>
          <w:color w:val="auto"/>
          <w:sz w:val="24"/>
        </w:rPr>
      </w:pPr>
      <w:r>
        <w:rPr>
          <w:rFonts w:eastAsia="宋体"/>
          <w:color w:val="auto"/>
          <w:sz w:val="24"/>
        </w:rPr>
        <w:t>pH</w:t>
      </w:r>
      <w:r>
        <w:rPr>
          <w:rFonts w:eastAsia="宋体"/>
          <w:color w:val="auto"/>
          <w:sz w:val="24"/>
          <w:vertAlign w:val="subscript"/>
        </w:rPr>
        <w:t>j</w:t>
      </w:r>
      <w:r>
        <w:rPr>
          <w:rFonts w:eastAsia="宋体"/>
          <w:color w:val="auto"/>
          <w:sz w:val="24"/>
        </w:rPr>
        <w:t>——第j点pH值的平均值。</w:t>
      </w:r>
    </w:p>
    <w:p w14:paraId="3A91DB0F">
      <w:pPr>
        <w:pStyle w:val="46"/>
        <w:ind w:firstLine="480"/>
        <w:rPr>
          <w:rFonts w:eastAsia="宋体"/>
          <w:color w:val="auto"/>
          <w:sz w:val="24"/>
        </w:rPr>
      </w:pPr>
      <w:r>
        <w:rPr>
          <w:rFonts w:eastAsia="宋体"/>
          <w:color w:val="auto"/>
          <w:sz w:val="24"/>
        </w:rPr>
        <w:t>DO的标准指数为：</w:t>
      </w:r>
    </w:p>
    <w:p w14:paraId="1414AF45">
      <w:pPr>
        <w:pStyle w:val="41"/>
        <w:rPr>
          <w:color w:val="auto"/>
          <w:sz w:val="24"/>
          <w:szCs w:val="28"/>
        </w:rPr>
      </w:pPr>
      <w:r>
        <w:rPr>
          <w:color w:val="auto"/>
          <w:position w:val="-22"/>
          <w:sz w:val="28"/>
          <w:szCs w:val="28"/>
        </w:rPr>
        <w:object>
          <v:shape id="_x0000_i1029" o:spt="75" type="#_x0000_t75" style="height:33pt;width:103.5pt;" o:ole="t" filled="f" coordsize="21600,21600">
            <v:path/>
            <v:fill on="f" focussize="0,0"/>
            <v:stroke/>
            <v:imagedata r:id="rId35" o:title=""/>
            <o:lock v:ext="edit" aspectratio="t"/>
            <w10:wrap type="none"/>
            <w10:anchorlock/>
          </v:shape>
          <o:OLEObject Type="Embed" ProgID="Equation.3" ShapeID="_x0000_i1029" DrawAspect="Content" ObjectID="_1468075729" r:id="rId34">
            <o:LockedField>false</o:LockedField>
          </o:OLEObject>
        </w:object>
      </w:r>
      <w:r>
        <w:rPr>
          <w:color w:val="auto"/>
          <w:sz w:val="28"/>
          <w:szCs w:val="28"/>
        </w:rPr>
        <w:tab/>
      </w:r>
      <w:r>
        <w:rPr>
          <w:color w:val="auto"/>
          <w:sz w:val="28"/>
          <w:szCs w:val="28"/>
        </w:rPr>
        <w:tab/>
      </w:r>
      <w:r>
        <w:rPr>
          <w:color w:val="auto"/>
          <w:sz w:val="24"/>
          <w:szCs w:val="28"/>
        </w:rPr>
        <w:t>当DO</w:t>
      </w:r>
      <w:r>
        <w:rPr>
          <w:color w:val="auto"/>
          <w:sz w:val="24"/>
          <w:szCs w:val="28"/>
          <w:vertAlign w:val="subscript"/>
        </w:rPr>
        <w:t>j</w:t>
      </w:r>
      <w:r>
        <w:rPr>
          <w:color w:val="auto"/>
          <w:sz w:val="24"/>
          <w:szCs w:val="28"/>
        </w:rPr>
        <w:t>≥DO</w:t>
      </w:r>
      <w:r>
        <w:rPr>
          <w:color w:val="auto"/>
          <w:sz w:val="24"/>
          <w:szCs w:val="28"/>
          <w:vertAlign w:val="subscript"/>
        </w:rPr>
        <w:t>s</w:t>
      </w:r>
    </w:p>
    <w:p w14:paraId="2E82B7C1">
      <w:pPr>
        <w:pStyle w:val="41"/>
        <w:rPr>
          <w:color w:val="auto"/>
          <w:sz w:val="24"/>
          <w:szCs w:val="28"/>
        </w:rPr>
      </w:pPr>
      <w:r>
        <w:rPr>
          <w:color w:val="auto"/>
          <w:position w:val="-30"/>
          <w:sz w:val="28"/>
          <w:szCs w:val="28"/>
        </w:rPr>
        <w:object>
          <v:shape id="_x0000_i1030" o:spt="75" type="#_x0000_t75" style="height:37.5pt;width:97.5pt;" o:ole="t" filled="f" coordsize="21600,21600">
            <v:path/>
            <v:fill on="f" focussize="0,0"/>
            <v:stroke/>
            <v:imagedata r:id="rId37" o:title=""/>
            <o:lock v:ext="edit" aspectratio="t"/>
            <w10:wrap type="none"/>
            <w10:anchorlock/>
          </v:shape>
          <o:OLEObject Type="Embed" ProgID="Equation.3" ShapeID="_x0000_i1030" DrawAspect="Content" ObjectID="_1468075730" r:id="rId36">
            <o:LockedField>false</o:LockedField>
          </o:OLEObject>
        </w:object>
      </w:r>
      <w:r>
        <w:rPr>
          <w:color w:val="auto"/>
          <w:sz w:val="28"/>
          <w:szCs w:val="28"/>
        </w:rPr>
        <w:tab/>
      </w:r>
      <w:r>
        <w:rPr>
          <w:color w:val="auto"/>
          <w:sz w:val="28"/>
          <w:szCs w:val="28"/>
        </w:rPr>
        <w:tab/>
      </w:r>
      <w:r>
        <w:rPr>
          <w:color w:val="auto"/>
          <w:sz w:val="28"/>
          <w:szCs w:val="28"/>
        </w:rPr>
        <w:tab/>
      </w:r>
      <w:r>
        <w:rPr>
          <w:color w:val="auto"/>
          <w:sz w:val="24"/>
          <w:szCs w:val="28"/>
        </w:rPr>
        <w:t>当DO</w:t>
      </w:r>
      <w:r>
        <w:rPr>
          <w:color w:val="auto"/>
          <w:sz w:val="24"/>
          <w:szCs w:val="28"/>
          <w:vertAlign w:val="subscript"/>
        </w:rPr>
        <w:t>j</w:t>
      </w:r>
      <w:r>
        <w:rPr>
          <w:color w:val="auto"/>
          <w:sz w:val="24"/>
          <w:szCs w:val="28"/>
        </w:rPr>
        <w:t>＜DO</w:t>
      </w:r>
      <w:r>
        <w:rPr>
          <w:color w:val="auto"/>
          <w:sz w:val="24"/>
          <w:szCs w:val="28"/>
          <w:vertAlign w:val="subscript"/>
        </w:rPr>
        <w:t>s</w:t>
      </w:r>
    </w:p>
    <w:p w14:paraId="6F4464B6">
      <w:pPr>
        <w:pStyle w:val="46"/>
        <w:ind w:firstLine="480"/>
        <w:rPr>
          <w:rFonts w:hint="eastAsia" w:eastAsia="宋体"/>
          <w:color w:val="auto"/>
          <w:sz w:val="24"/>
          <w:lang w:eastAsia="zh-CN"/>
        </w:rPr>
      </w:pPr>
      <w:r>
        <w:rPr>
          <w:rFonts w:eastAsia="宋体"/>
          <w:color w:val="auto"/>
          <w:sz w:val="24"/>
        </w:rPr>
        <w:t>式中：DO</w:t>
      </w:r>
      <w:r>
        <w:rPr>
          <w:rFonts w:eastAsia="宋体"/>
          <w:color w:val="auto"/>
          <w:sz w:val="24"/>
          <w:vertAlign w:val="subscript"/>
        </w:rPr>
        <w:t>f</w:t>
      </w:r>
      <w:r>
        <w:rPr>
          <w:rFonts w:eastAsia="宋体"/>
          <w:color w:val="auto"/>
          <w:sz w:val="24"/>
        </w:rPr>
        <w:t>=468/</w:t>
      </w:r>
      <w:r>
        <w:rPr>
          <w:rFonts w:hint="eastAsia" w:eastAsia="宋体"/>
          <w:color w:val="auto"/>
          <w:sz w:val="24"/>
          <w:lang w:eastAsia="zh-CN"/>
        </w:rPr>
        <w:t>（</w:t>
      </w:r>
      <w:r>
        <w:rPr>
          <w:rFonts w:eastAsia="宋体"/>
          <w:color w:val="auto"/>
          <w:sz w:val="24"/>
        </w:rPr>
        <w:t>31.6+T</w:t>
      </w:r>
      <w:r>
        <w:rPr>
          <w:rFonts w:hint="eastAsia" w:eastAsia="宋体"/>
          <w:color w:val="auto"/>
          <w:sz w:val="24"/>
          <w:lang w:eastAsia="zh-CN"/>
        </w:rPr>
        <w:t>）</w:t>
      </w:r>
      <w:r>
        <w:rPr>
          <w:rFonts w:eastAsia="宋体"/>
          <w:color w:val="auto"/>
          <w:sz w:val="24"/>
        </w:rPr>
        <w:t>，mg/L，T为水温</w:t>
      </w:r>
      <w:r>
        <w:rPr>
          <w:rFonts w:hint="eastAsia" w:eastAsia="宋体"/>
          <w:color w:val="auto"/>
          <w:sz w:val="24"/>
          <w:lang w:eastAsia="zh-CN"/>
        </w:rPr>
        <w:t>（</w:t>
      </w:r>
      <w:r>
        <w:rPr>
          <w:rFonts w:eastAsia="宋体"/>
          <w:color w:val="auto"/>
          <w:sz w:val="24"/>
        </w:rPr>
        <w:t>℃</w:t>
      </w:r>
      <w:r>
        <w:rPr>
          <w:rFonts w:hint="eastAsia" w:eastAsia="宋体"/>
          <w:color w:val="auto"/>
          <w:sz w:val="24"/>
          <w:lang w:eastAsia="zh-CN"/>
        </w:rPr>
        <w:t>）；</w:t>
      </w:r>
    </w:p>
    <w:p w14:paraId="0DB84D06">
      <w:pPr>
        <w:pStyle w:val="46"/>
        <w:ind w:firstLine="1200" w:firstLineChars="500"/>
        <w:rPr>
          <w:rFonts w:eastAsia="宋体"/>
          <w:color w:val="auto"/>
          <w:sz w:val="24"/>
        </w:rPr>
      </w:pPr>
      <w:r>
        <w:rPr>
          <w:rFonts w:eastAsia="宋体"/>
          <w:color w:val="auto"/>
          <w:sz w:val="24"/>
        </w:rPr>
        <w:t>S</w:t>
      </w:r>
      <w:r>
        <w:rPr>
          <w:rFonts w:eastAsia="宋体"/>
          <w:color w:val="auto"/>
          <w:sz w:val="24"/>
          <w:vertAlign w:val="subscript"/>
        </w:rPr>
        <w:t>DO,j</w:t>
      </w:r>
      <w:r>
        <w:rPr>
          <w:rFonts w:eastAsia="宋体"/>
          <w:color w:val="auto"/>
          <w:sz w:val="24"/>
        </w:rPr>
        <w:t>——溶解氧在第j取样点的标准指数；</w:t>
      </w:r>
    </w:p>
    <w:p w14:paraId="535BDA9D">
      <w:pPr>
        <w:pStyle w:val="46"/>
        <w:ind w:firstLine="1200" w:firstLineChars="500"/>
        <w:rPr>
          <w:rFonts w:eastAsia="宋体"/>
          <w:color w:val="auto"/>
          <w:sz w:val="24"/>
        </w:rPr>
      </w:pPr>
      <w:r>
        <w:rPr>
          <w:rFonts w:eastAsia="宋体"/>
          <w:color w:val="auto"/>
          <w:sz w:val="24"/>
        </w:rPr>
        <w:t>DO</w:t>
      </w:r>
      <w:r>
        <w:rPr>
          <w:rFonts w:eastAsia="宋体"/>
          <w:color w:val="auto"/>
          <w:sz w:val="24"/>
          <w:vertAlign w:val="subscript"/>
        </w:rPr>
        <w:t>f</w:t>
      </w:r>
      <w:r>
        <w:rPr>
          <w:rFonts w:eastAsia="宋体"/>
          <w:color w:val="auto"/>
          <w:sz w:val="24"/>
        </w:rPr>
        <w:t>——饱和溶解氧浓度，mg/L；</w:t>
      </w:r>
    </w:p>
    <w:p w14:paraId="1D087390">
      <w:pPr>
        <w:pStyle w:val="46"/>
        <w:ind w:firstLine="1200" w:firstLineChars="500"/>
        <w:rPr>
          <w:rFonts w:eastAsia="宋体"/>
          <w:color w:val="auto"/>
          <w:sz w:val="24"/>
        </w:rPr>
      </w:pPr>
      <w:r>
        <w:rPr>
          <w:rFonts w:eastAsia="宋体"/>
          <w:color w:val="auto"/>
          <w:sz w:val="24"/>
        </w:rPr>
        <w:t>DO</w:t>
      </w:r>
      <w:r>
        <w:rPr>
          <w:rFonts w:eastAsia="宋体"/>
          <w:color w:val="auto"/>
          <w:sz w:val="24"/>
          <w:vertAlign w:val="subscript"/>
        </w:rPr>
        <w:t>s</w:t>
      </w:r>
      <w:r>
        <w:rPr>
          <w:rFonts w:eastAsia="宋体"/>
          <w:color w:val="auto"/>
          <w:sz w:val="24"/>
        </w:rPr>
        <w:t>——溶解氧的地面水水质标准，mg/L；</w:t>
      </w:r>
    </w:p>
    <w:p w14:paraId="30D29332">
      <w:pPr>
        <w:pStyle w:val="46"/>
        <w:ind w:firstLine="1200" w:firstLineChars="500"/>
        <w:rPr>
          <w:rFonts w:eastAsia="宋体"/>
          <w:color w:val="auto"/>
          <w:sz w:val="24"/>
        </w:rPr>
      </w:pPr>
      <w:r>
        <w:rPr>
          <w:rFonts w:eastAsia="宋体"/>
          <w:color w:val="auto"/>
          <w:sz w:val="24"/>
        </w:rPr>
        <w:t>DO</w:t>
      </w:r>
      <w:r>
        <w:rPr>
          <w:rFonts w:eastAsia="宋体"/>
          <w:color w:val="auto"/>
          <w:sz w:val="24"/>
          <w:vertAlign w:val="subscript"/>
        </w:rPr>
        <w:t>j</w:t>
      </w:r>
      <w:r>
        <w:rPr>
          <w:rFonts w:eastAsia="宋体"/>
          <w:color w:val="auto"/>
          <w:sz w:val="24"/>
        </w:rPr>
        <w:t>——河流在j取样点的溶解氧浓度。</w:t>
      </w:r>
    </w:p>
    <w:p w14:paraId="42DA5D06">
      <w:pPr>
        <w:pStyle w:val="46"/>
        <w:ind w:firstLine="480"/>
        <w:rPr>
          <w:rFonts w:eastAsia="宋体"/>
          <w:color w:val="auto"/>
          <w:sz w:val="24"/>
        </w:rPr>
      </w:pPr>
      <w:r>
        <w:rPr>
          <w:rFonts w:eastAsia="宋体"/>
          <w:color w:val="auto"/>
          <w:sz w:val="24"/>
        </w:rPr>
        <w:t>水质参数的标准指数＞1，表明该水质参数超过了规定的水质标准限值，已不能满足水质功能要求。水质参数的标准指数越大，则水质超标越严重。</w:t>
      </w:r>
    </w:p>
    <w:p w14:paraId="29649FB4">
      <w:pPr>
        <w:pStyle w:val="46"/>
        <w:ind w:firstLine="480"/>
        <w:rPr>
          <w:rFonts w:eastAsia="宋体"/>
          <w:color w:val="auto"/>
          <w:sz w:val="24"/>
        </w:rPr>
      </w:pPr>
      <w:bookmarkStart w:id="41" w:name="_Toc512677617"/>
      <w:r>
        <w:rPr>
          <w:rFonts w:hint="eastAsia" w:eastAsia="宋体"/>
          <w:color w:val="auto"/>
          <w:sz w:val="24"/>
        </w:rPr>
        <w:t>（3）</w:t>
      </w:r>
      <w:r>
        <w:rPr>
          <w:rFonts w:eastAsia="宋体"/>
          <w:color w:val="auto"/>
          <w:sz w:val="24"/>
        </w:rPr>
        <w:t>评价结果</w:t>
      </w:r>
      <w:bookmarkEnd w:id="41"/>
    </w:p>
    <w:p w14:paraId="5FA6DAB1">
      <w:pPr>
        <w:pStyle w:val="46"/>
        <w:ind w:firstLine="480"/>
        <w:rPr>
          <w:rFonts w:hint="eastAsia" w:eastAsia="宋体"/>
          <w:color w:val="auto"/>
          <w:sz w:val="24"/>
        </w:rPr>
      </w:pPr>
      <w:r>
        <w:rPr>
          <w:rFonts w:hint="eastAsia" w:eastAsia="宋体"/>
          <w:color w:val="auto"/>
          <w:sz w:val="24"/>
          <w:lang w:val="en-US" w:eastAsia="zh-CN"/>
        </w:rPr>
        <w:t>新河</w:t>
      </w:r>
      <w:r>
        <w:rPr>
          <w:rFonts w:eastAsia="宋体"/>
          <w:color w:val="auto"/>
          <w:sz w:val="24"/>
        </w:rPr>
        <w:t>水环境质量现状评价结果见表</w:t>
      </w:r>
      <w:r>
        <w:rPr>
          <w:rFonts w:hint="eastAsia" w:eastAsia="宋体"/>
          <w:color w:val="auto"/>
          <w:sz w:val="24"/>
        </w:rPr>
        <w:t>4</w:t>
      </w:r>
      <w:r>
        <w:rPr>
          <w:rFonts w:eastAsia="宋体"/>
          <w:color w:val="auto"/>
          <w:sz w:val="24"/>
        </w:rPr>
        <w:t>.3-</w:t>
      </w:r>
      <w:r>
        <w:rPr>
          <w:rFonts w:hint="eastAsia" w:eastAsia="宋体"/>
          <w:color w:val="auto"/>
          <w:sz w:val="24"/>
          <w:lang w:val="en-US" w:eastAsia="zh-CN"/>
        </w:rPr>
        <w:t>3</w:t>
      </w:r>
      <w:r>
        <w:rPr>
          <w:rFonts w:hint="eastAsia" w:eastAsia="宋体"/>
          <w:color w:val="auto"/>
          <w:sz w:val="24"/>
        </w:rPr>
        <w:t>。</w:t>
      </w:r>
    </w:p>
    <w:p w14:paraId="7E0193E7">
      <w:pPr>
        <w:spacing w:line="500" w:lineRule="exact"/>
        <w:jc w:val="center"/>
        <w:rPr>
          <w:b/>
          <w:color w:val="auto"/>
        </w:rPr>
      </w:pPr>
    </w:p>
    <w:p w14:paraId="12BB251D">
      <w:pPr>
        <w:spacing w:line="500" w:lineRule="exact"/>
        <w:jc w:val="center"/>
        <w:rPr>
          <w:b/>
          <w:color w:val="auto"/>
        </w:rPr>
      </w:pPr>
      <w:r>
        <w:rPr>
          <w:b/>
          <w:color w:val="auto"/>
        </w:rPr>
        <w:t>表4.3-</w:t>
      </w:r>
      <w:r>
        <w:rPr>
          <w:rFonts w:hint="eastAsia"/>
          <w:b/>
          <w:color w:val="auto"/>
          <w:lang w:val="en-US" w:eastAsia="zh-CN"/>
        </w:rPr>
        <w:t>3    新</w:t>
      </w:r>
      <w:r>
        <w:rPr>
          <w:rFonts w:hint="eastAsia"/>
          <w:b/>
          <w:color w:val="auto"/>
        </w:rPr>
        <w:t>河</w:t>
      </w:r>
      <w:r>
        <w:rPr>
          <w:b/>
          <w:color w:val="auto"/>
        </w:rPr>
        <w:t>水质监测结果统计表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813"/>
        <w:gridCol w:w="2294"/>
        <w:gridCol w:w="1183"/>
        <w:gridCol w:w="1069"/>
        <w:gridCol w:w="1069"/>
      </w:tblGrid>
      <w:tr w14:paraId="6A7C4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2D2986FE">
            <w:pPr>
              <w:widowControl/>
              <w:adjustRightInd w:val="0"/>
              <w:snapToGrid w:val="0"/>
              <w:jc w:val="center"/>
              <w:rPr>
                <w:rFonts w:cs="宋体"/>
                <w:b/>
                <w:bCs/>
                <w:color w:val="auto"/>
                <w:sz w:val="21"/>
                <w:szCs w:val="21"/>
              </w:rPr>
            </w:pPr>
            <w:r>
              <w:rPr>
                <w:rFonts w:hint="eastAsia" w:cs="宋体"/>
                <w:b/>
                <w:bCs/>
                <w:color w:val="auto"/>
                <w:sz w:val="21"/>
                <w:szCs w:val="21"/>
              </w:rPr>
              <w:t>监测项目</w:t>
            </w:r>
          </w:p>
        </w:tc>
        <w:tc>
          <w:tcPr>
            <w:tcW w:w="980" w:type="pct"/>
            <w:tcBorders>
              <w:tl2br w:val="nil"/>
              <w:tr2bl w:val="nil"/>
            </w:tcBorders>
            <w:shd w:val="clear" w:color="000000" w:fill="FFFFFF"/>
            <w:vAlign w:val="center"/>
          </w:tcPr>
          <w:p w14:paraId="75CB30F8">
            <w:pPr>
              <w:widowControl/>
              <w:adjustRightInd w:val="0"/>
              <w:snapToGrid w:val="0"/>
              <w:jc w:val="center"/>
              <w:rPr>
                <w:rFonts w:hint="eastAsia" w:cs="宋体"/>
                <w:b/>
                <w:bCs/>
                <w:color w:val="auto"/>
                <w:sz w:val="21"/>
                <w:szCs w:val="21"/>
              </w:rPr>
            </w:pPr>
            <w:r>
              <w:rPr>
                <w:rFonts w:hint="eastAsia" w:cs="宋体"/>
                <w:b/>
                <w:bCs/>
                <w:color w:val="auto"/>
                <w:sz w:val="21"/>
                <w:szCs w:val="21"/>
              </w:rPr>
              <w:t>入河排污口</w:t>
            </w:r>
          </w:p>
          <w:p w14:paraId="6C2D2AB7">
            <w:pPr>
              <w:widowControl/>
              <w:adjustRightInd w:val="0"/>
              <w:snapToGrid w:val="0"/>
              <w:jc w:val="center"/>
              <w:rPr>
                <w:b/>
                <w:bCs/>
                <w:color w:val="auto"/>
                <w:sz w:val="21"/>
                <w:szCs w:val="21"/>
              </w:rPr>
            </w:pPr>
            <w:r>
              <w:rPr>
                <w:rFonts w:hint="eastAsia" w:cs="宋体"/>
                <w:b/>
                <w:bCs/>
                <w:color w:val="auto"/>
                <w:sz w:val="21"/>
                <w:szCs w:val="21"/>
              </w:rPr>
              <w:t>上游500m</w:t>
            </w:r>
          </w:p>
        </w:tc>
        <w:tc>
          <w:tcPr>
            <w:tcW w:w="1241" w:type="pct"/>
            <w:tcBorders>
              <w:tl2br w:val="nil"/>
              <w:tr2bl w:val="nil"/>
            </w:tcBorders>
            <w:shd w:val="clear" w:color="000000" w:fill="FFFFFF"/>
            <w:vAlign w:val="center"/>
          </w:tcPr>
          <w:p w14:paraId="483B489A">
            <w:pPr>
              <w:widowControl/>
              <w:adjustRightInd w:val="0"/>
              <w:snapToGrid w:val="0"/>
              <w:jc w:val="center"/>
              <w:rPr>
                <w:rFonts w:hint="eastAsia" w:cs="宋体"/>
                <w:b/>
                <w:bCs/>
                <w:color w:val="auto"/>
                <w:sz w:val="21"/>
                <w:szCs w:val="21"/>
              </w:rPr>
            </w:pPr>
            <w:r>
              <w:rPr>
                <w:rFonts w:hint="eastAsia" w:cs="宋体"/>
                <w:b/>
                <w:bCs/>
                <w:color w:val="auto"/>
                <w:sz w:val="21"/>
                <w:szCs w:val="21"/>
              </w:rPr>
              <w:t>入河排污口</w:t>
            </w:r>
          </w:p>
          <w:p w14:paraId="68830FF5">
            <w:pPr>
              <w:widowControl/>
              <w:adjustRightInd w:val="0"/>
              <w:snapToGrid w:val="0"/>
              <w:jc w:val="center"/>
              <w:rPr>
                <w:b/>
                <w:bCs/>
                <w:color w:val="auto"/>
                <w:sz w:val="21"/>
                <w:szCs w:val="21"/>
              </w:rPr>
            </w:pPr>
            <w:r>
              <w:rPr>
                <w:rFonts w:hint="eastAsia" w:cs="宋体"/>
                <w:b/>
                <w:bCs/>
                <w:color w:val="auto"/>
                <w:sz w:val="21"/>
                <w:szCs w:val="21"/>
              </w:rPr>
              <w:t>下游1500m</w:t>
            </w:r>
          </w:p>
        </w:tc>
        <w:tc>
          <w:tcPr>
            <w:tcW w:w="640" w:type="pct"/>
            <w:tcBorders>
              <w:tl2br w:val="nil"/>
              <w:tr2bl w:val="nil"/>
            </w:tcBorders>
            <w:shd w:val="clear" w:color="000000" w:fill="FFFFFF"/>
            <w:vAlign w:val="center"/>
          </w:tcPr>
          <w:p w14:paraId="315910E6">
            <w:pPr>
              <w:widowControl/>
              <w:adjustRightInd w:val="0"/>
              <w:snapToGrid w:val="0"/>
              <w:jc w:val="center"/>
              <w:rPr>
                <w:b/>
                <w:bCs/>
                <w:color w:val="auto"/>
                <w:sz w:val="21"/>
                <w:szCs w:val="21"/>
              </w:rPr>
            </w:pPr>
            <w:r>
              <w:rPr>
                <w:rFonts w:hint="eastAsia" w:cs="宋体"/>
                <w:b/>
                <w:bCs/>
                <w:color w:val="auto"/>
                <w:sz w:val="21"/>
                <w:szCs w:val="21"/>
              </w:rPr>
              <w:t>地表水IV类标准</w:t>
            </w:r>
          </w:p>
        </w:tc>
        <w:tc>
          <w:tcPr>
            <w:tcW w:w="578" w:type="pct"/>
            <w:tcBorders>
              <w:tl2br w:val="nil"/>
              <w:tr2bl w:val="nil"/>
            </w:tcBorders>
            <w:shd w:val="clear" w:color="000000" w:fill="FFFFFF"/>
            <w:vAlign w:val="center"/>
          </w:tcPr>
          <w:p w14:paraId="15C95158">
            <w:pPr>
              <w:widowControl/>
              <w:adjustRightInd w:val="0"/>
              <w:snapToGrid w:val="0"/>
              <w:jc w:val="center"/>
              <w:rPr>
                <w:b/>
                <w:bCs/>
                <w:color w:val="auto"/>
                <w:sz w:val="21"/>
                <w:szCs w:val="21"/>
              </w:rPr>
            </w:pPr>
            <w:r>
              <w:rPr>
                <w:rFonts w:hint="eastAsia" w:cs="宋体"/>
                <w:b/>
                <w:bCs/>
                <w:color w:val="auto"/>
                <w:sz w:val="21"/>
                <w:szCs w:val="21"/>
              </w:rPr>
              <w:t>单项污染指数（最大值）</w:t>
            </w:r>
          </w:p>
        </w:tc>
        <w:tc>
          <w:tcPr>
            <w:tcW w:w="578" w:type="pct"/>
            <w:tcBorders>
              <w:tl2br w:val="nil"/>
              <w:tr2bl w:val="nil"/>
            </w:tcBorders>
            <w:shd w:val="clear" w:color="000000" w:fill="FFFFFF"/>
            <w:vAlign w:val="center"/>
          </w:tcPr>
          <w:p w14:paraId="45341CF2">
            <w:pPr>
              <w:widowControl/>
              <w:adjustRightInd w:val="0"/>
              <w:snapToGrid w:val="0"/>
              <w:jc w:val="center"/>
              <w:rPr>
                <w:b/>
                <w:bCs/>
                <w:color w:val="auto"/>
                <w:sz w:val="21"/>
                <w:szCs w:val="21"/>
              </w:rPr>
            </w:pPr>
            <w:r>
              <w:rPr>
                <w:rFonts w:hint="eastAsia" w:cs="宋体"/>
                <w:b/>
                <w:bCs/>
                <w:color w:val="auto"/>
                <w:sz w:val="21"/>
                <w:szCs w:val="21"/>
              </w:rPr>
              <w:t>达标情况</w:t>
            </w:r>
          </w:p>
        </w:tc>
      </w:tr>
      <w:tr w14:paraId="65435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65E50B85">
            <w:pPr>
              <w:widowControl/>
              <w:adjustRightInd w:val="0"/>
              <w:snapToGrid w:val="0"/>
              <w:jc w:val="center"/>
              <w:rPr>
                <w:rFonts w:cs="宋体"/>
                <w:b w:val="0"/>
                <w:bCs w:val="0"/>
                <w:color w:val="auto"/>
                <w:sz w:val="21"/>
                <w:szCs w:val="21"/>
              </w:rPr>
            </w:pPr>
            <w:r>
              <w:rPr>
                <w:rFonts w:hint="eastAsia" w:cs="宋体"/>
                <w:b w:val="0"/>
                <w:bCs w:val="0"/>
                <w:color w:val="auto"/>
                <w:sz w:val="21"/>
                <w:szCs w:val="21"/>
              </w:rPr>
              <w:t>流量（m</w:t>
            </w:r>
            <w:r>
              <w:rPr>
                <w:rFonts w:hint="eastAsia" w:cs="宋体"/>
                <w:b w:val="0"/>
                <w:bCs w:val="0"/>
                <w:color w:val="auto"/>
                <w:sz w:val="21"/>
                <w:szCs w:val="21"/>
                <w:vertAlign w:val="superscript"/>
              </w:rPr>
              <w:t>3</w:t>
            </w:r>
            <w:r>
              <w:rPr>
                <w:rFonts w:hint="eastAsia" w:cs="宋体"/>
                <w:b w:val="0"/>
                <w:bCs w:val="0"/>
                <w:color w:val="auto"/>
                <w:sz w:val="21"/>
                <w:szCs w:val="21"/>
              </w:rPr>
              <w:t>/h）</w:t>
            </w:r>
          </w:p>
        </w:tc>
        <w:tc>
          <w:tcPr>
            <w:tcW w:w="980" w:type="pct"/>
            <w:tcBorders>
              <w:tl2br w:val="nil"/>
              <w:tr2bl w:val="nil"/>
            </w:tcBorders>
            <w:shd w:val="clear" w:color="000000" w:fill="FFFFFF"/>
            <w:vAlign w:val="center"/>
          </w:tcPr>
          <w:p w14:paraId="09E9A202">
            <w:pPr>
              <w:widowControl/>
              <w:adjustRightInd w:val="0"/>
              <w:snapToGrid w:val="0"/>
              <w:jc w:val="center"/>
              <w:rPr>
                <w:b w:val="0"/>
                <w:bCs w:val="0"/>
                <w:color w:val="auto"/>
                <w:sz w:val="21"/>
                <w:szCs w:val="21"/>
              </w:rPr>
            </w:pPr>
            <w:r>
              <w:rPr>
                <w:rFonts w:hint="eastAsia" w:cs="宋体"/>
                <w:b w:val="0"/>
                <w:bCs w:val="0"/>
                <w:color w:val="auto"/>
                <w:sz w:val="21"/>
                <w:szCs w:val="21"/>
              </w:rPr>
              <w:t>230.4~460.8</w:t>
            </w:r>
          </w:p>
        </w:tc>
        <w:tc>
          <w:tcPr>
            <w:tcW w:w="1241" w:type="pct"/>
            <w:tcBorders>
              <w:tl2br w:val="nil"/>
              <w:tr2bl w:val="nil"/>
            </w:tcBorders>
            <w:shd w:val="clear" w:color="000000" w:fill="FFFFFF"/>
            <w:vAlign w:val="center"/>
          </w:tcPr>
          <w:p w14:paraId="063C4410">
            <w:pPr>
              <w:widowControl/>
              <w:adjustRightInd w:val="0"/>
              <w:snapToGrid w:val="0"/>
              <w:jc w:val="center"/>
              <w:rPr>
                <w:b w:val="0"/>
                <w:bCs w:val="0"/>
                <w:color w:val="auto"/>
                <w:sz w:val="21"/>
                <w:szCs w:val="21"/>
              </w:rPr>
            </w:pPr>
            <w:r>
              <w:rPr>
                <w:rFonts w:hint="eastAsia" w:cs="宋体"/>
                <w:b w:val="0"/>
                <w:bCs w:val="0"/>
                <w:color w:val="auto"/>
                <w:sz w:val="21"/>
                <w:szCs w:val="21"/>
              </w:rPr>
              <w:t>273.6~410.4</w:t>
            </w:r>
          </w:p>
        </w:tc>
        <w:tc>
          <w:tcPr>
            <w:tcW w:w="640" w:type="pct"/>
            <w:vMerge w:val="restart"/>
            <w:tcBorders>
              <w:tl2br w:val="nil"/>
              <w:tr2bl w:val="nil"/>
            </w:tcBorders>
            <w:shd w:val="clear" w:color="000000" w:fill="FFFFFF"/>
            <w:vAlign w:val="center"/>
          </w:tcPr>
          <w:p w14:paraId="0C5B32E0">
            <w:pPr>
              <w:widowControl/>
              <w:adjustRightInd w:val="0"/>
              <w:snapToGrid w:val="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w:t>
            </w:r>
          </w:p>
        </w:tc>
        <w:tc>
          <w:tcPr>
            <w:tcW w:w="578" w:type="pct"/>
            <w:vMerge w:val="restart"/>
            <w:tcBorders>
              <w:tl2br w:val="nil"/>
              <w:tr2bl w:val="nil"/>
            </w:tcBorders>
            <w:shd w:val="clear" w:color="000000" w:fill="FFFFFF"/>
            <w:vAlign w:val="center"/>
          </w:tcPr>
          <w:p w14:paraId="504ADB66">
            <w:pPr>
              <w:widowControl/>
              <w:adjustRightInd w:val="0"/>
              <w:snapToGrid w:val="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w:t>
            </w:r>
          </w:p>
        </w:tc>
        <w:tc>
          <w:tcPr>
            <w:tcW w:w="578" w:type="pct"/>
            <w:vMerge w:val="restart"/>
            <w:tcBorders>
              <w:tl2br w:val="nil"/>
              <w:tr2bl w:val="nil"/>
            </w:tcBorders>
            <w:shd w:val="clear" w:color="000000" w:fill="FFFFFF"/>
            <w:vAlign w:val="center"/>
          </w:tcPr>
          <w:p w14:paraId="6245FF5A">
            <w:pPr>
              <w:widowControl/>
              <w:adjustRightInd w:val="0"/>
              <w:snapToGrid w:val="0"/>
              <w:jc w:val="center"/>
              <w:rPr>
                <w:rFonts w:hint="eastAsia" w:eastAsia="宋体"/>
                <w:b w:val="0"/>
                <w:bCs w:val="0"/>
                <w:color w:val="auto"/>
                <w:sz w:val="21"/>
                <w:szCs w:val="21"/>
                <w:lang w:val="en-US" w:eastAsia="zh-CN"/>
              </w:rPr>
            </w:pPr>
            <w:r>
              <w:rPr>
                <w:rFonts w:hint="eastAsia"/>
                <w:b w:val="0"/>
                <w:bCs w:val="0"/>
                <w:color w:val="auto"/>
                <w:sz w:val="21"/>
                <w:szCs w:val="21"/>
                <w:lang w:val="en-US" w:eastAsia="zh-CN"/>
              </w:rPr>
              <w:t>/</w:t>
            </w:r>
          </w:p>
        </w:tc>
      </w:tr>
      <w:tr w14:paraId="0C6B8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3BA45E33">
            <w:pPr>
              <w:widowControl/>
              <w:adjustRightInd w:val="0"/>
              <w:snapToGrid w:val="0"/>
              <w:jc w:val="center"/>
              <w:rPr>
                <w:rFonts w:cs="宋体"/>
                <w:b w:val="0"/>
                <w:bCs w:val="0"/>
                <w:color w:val="auto"/>
                <w:sz w:val="21"/>
                <w:szCs w:val="21"/>
              </w:rPr>
            </w:pPr>
            <w:r>
              <w:rPr>
                <w:rFonts w:hint="eastAsia" w:cs="宋体"/>
                <w:b w:val="0"/>
                <w:bCs w:val="0"/>
                <w:color w:val="auto"/>
                <w:sz w:val="21"/>
                <w:szCs w:val="21"/>
              </w:rPr>
              <w:t>水深（m）</w:t>
            </w:r>
          </w:p>
        </w:tc>
        <w:tc>
          <w:tcPr>
            <w:tcW w:w="980" w:type="pct"/>
            <w:tcBorders>
              <w:tl2br w:val="nil"/>
              <w:tr2bl w:val="nil"/>
            </w:tcBorders>
            <w:shd w:val="clear" w:color="000000" w:fill="FFFFFF"/>
            <w:vAlign w:val="center"/>
          </w:tcPr>
          <w:p w14:paraId="7249A78F">
            <w:pPr>
              <w:widowControl/>
              <w:adjustRightInd w:val="0"/>
              <w:snapToGrid w:val="0"/>
              <w:jc w:val="center"/>
              <w:rPr>
                <w:b w:val="0"/>
                <w:bCs w:val="0"/>
                <w:color w:val="auto"/>
                <w:sz w:val="21"/>
                <w:szCs w:val="21"/>
              </w:rPr>
            </w:pPr>
            <w:r>
              <w:rPr>
                <w:rFonts w:hint="eastAsia" w:cs="宋体"/>
                <w:b w:val="0"/>
                <w:bCs w:val="0"/>
                <w:color w:val="auto"/>
                <w:sz w:val="21"/>
                <w:szCs w:val="21"/>
              </w:rPr>
              <w:t>0.1</w:t>
            </w:r>
          </w:p>
        </w:tc>
        <w:tc>
          <w:tcPr>
            <w:tcW w:w="1241" w:type="pct"/>
            <w:tcBorders>
              <w:tl2br w:val="nil"/>
              <w:tr2bl w:val="nil"/>
            </w:tcBorders>
            <w:shd w:val="clear" w:color="000000" w:fill="FFFFFF"/>
            <w:vAlign w:val="center"/>
          </w:tcPr>
          <w:p w14:paraId="7CBCCEDE">
            <w:pPr>
              <w:widowControl/>
              <w:adjustRightInd w:val="0"/>
              <w:snapToGrid w:val="0"/>
              <w:jc w:val="center"/>
              <w:rPr>
                <w:b w:val="0"/>
                <w:bCs w:val="0"/>
                <w:color w:val="auto"/>
                <w:sz w:val="21"/>
                <w:szCs w:val="21"/>
              </w:rPr>
            </w:pPr>
            <w:r>
              <w:rPr>
                <w:rFonts w:hint="eastAsia" w:cs="宋体"/>
                <w:b w:val="0"/>
                <w:bCs w:val="0"/>
                <w:color w:val="auto"/>
                <w:sz w:val="21"/>
                <w:szCs w:val="21"/>
              </w:rPr>
              <w:t>0.2</w:t>
            </w:r>
          </w:p>
        </w:tc>
        <w:tc>
          <w:tcPr>
            <w:tcW w:w="640" w:type="pct"/>
            <w:vMerge w:val="continue"/>
            <w:tcBorders>
              <w:tl2br w:val="nil"/>
              <w:tr2bl w:val="nil"/>
            </w:tcBorders>
            <w:shd w:val="clear" w:color="000000" w:fill="FFFFFF"/>
            <w:vAlign w:val="center"/>
          </w:tcPr>
          <w:p w14:paraId="7853488D">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1470260E">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745D3D16">
            <w:pPr>
              <w:widowControl/>
              <w:adjustRightInd w:val="0"/>
              <w:snapToGrid w:val="0"/>
              <w:jc w:val="center"/>
              <w:rPr>
                <w:b w:val="0"/>
                <w:bCs w:val="0"/>
                <w:color w:val="auto"/>
                <w:sz w:val="21"/>
                <w:szCs w:val="21"/>
              </w:rPr>
            </w:pPr>
          </w:p>
        </w:tc>
      </w:tr>
      <w:tr w14:paraId="691C39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65E7BE60">
            <w:pPr>
              <w:widowControl/>
              <w:adjustRightInd w:val="0"/>
              <w:snapToGrid w:val="0"/>
              <w:jc w:val="center"/>
              <w:rPr>
                <w:rFonts w:cs="宋体"/>
                <w:b w:val="0"/>
                <w:bCs w:val="0"/>
                <w:color w:val="auto"/>
                <w:sz w:val="21"/>
                <w:szCs w:val="21"/>
              </w:rPr>
            </w:pPr>
            <w:r>
              <w:rPr>
                <w:rFonts w:hint="eastAsia" w:cs="宋体"/>
                <w:b w:val="0"/>
                <w:bCs w:val="0"/>
                <w:color w:val="auto"/>
                <w:sz w:val="21"/>
                <w:szCs w:val="21"/>
              </w:rPr>
              <w:t>河宽（m）</w:t>
            </w:r>
          </w:p>
        </w:tc>
        <w:tc>
          <w:tcPr>
            <w:tcW w:w="980" w:type="pct"/>
            <w:tcBorders>
              <w:tl2br w:val="nil"/>
              <w:tr2bl w:val="nil"/>
            </w:tcBorders>
            <w:shd w:val="clear" w:color="000000" w:fill="FFFFFF"/>
            <w:vAlign w:val="center"/>
          </w:tcPr>
          <w:p w14:paraId="53FF7391">
            <w:pPr>
              <w:widowControl/>
              <w:adjustRightInd w:val="0"/>
              <w:snapToGrid w:val="0"/>
              <w:jc w:val="center"/>
              <w:rPr>
                <w:b w:val="0"/>
                <w:bCs w:val="0"/>
                <w:color w:val="auto"/>
                <w:sz w:val="21"/>
                <w:szCs w:val="21"/>
              </w:rPr>
            </w:pPr>
            <w:r>
              <w:rPr>
                <w:rFonts w:hint="eastAsia" w:cs="宋体"/>
                <w:b w:val="0"/>
                <w:bCs w:val="0"/>
                <w:color w:val="auto"/>
                <w:sz w:val="21"/>
                <w:szCs w:val="21"/>
              </w:rPr>
              <w:t>3.2</w:t>
            </w:r>
          </w:p>
        </w:tc>
        <w:tc>
          <w:tcPr>
            <w:tcW w:w="1241" w:type="pct"/>
            <w:tcBorders>
              <w:tl2br w:val="nil"/>
              <w:tr2bl w:val="nil"/>
            </w:tcBorders>
            <w:shd w:val="clear" w:color="000000" w:fill="FFFFFF"/>
            <w:vAlign w:val="center"/>
          </w:tcPr>
          <w:p w14:paraId="69B6955B">
            <w:pPr>
              <w:widowControl/>
              <w:adjustRightInd w:val="0"/>
              <w:snapToGrid w:val="0"/>
              <w:jc w:val="center"/>
              <w:rPr>
                <w:b w:val="0"/>
                <w:bCs w:val="0"/>
                <w:color w:val="auto"/>
                <w:sz w:val="21"/>
                <w:szCs w:val="21"/>
              </w:rPr>
            </w:pPr>
            <w:r>
              <w:rPr>
                <w:rFonts w:hint="eastAsia" w:cs="宋体"/>
                <w:b w:val="0"/>
                <w:bCs w:val="0"/>
                <w:color w:val="auto"/>
                <w:sz w:val="21"/>
                <w:szCs w:val="21"/>
              </w:rPr>
              <w:t>3.8</w:t>
            </w:r>
          </w:p>
        </w:tc>
        <w:tc>
          <w:tcPr>
            <w:tcW w:w="640" w:type="pct"/>
            <w:vMerge w:val="continue"/>
            <w:tcBorders>
              <w:tl2br w:val="nil"/>
              <w:tr2bl w:val="nil"/>
            </w:tcBorders>
            <w:shd w:val="clear" w:color="000000" w:fill="FFFFFF"/>
            <w:vAlign w:val="center"/>
          </w:tcPr>
          <w:p w14:paraId="7E6EE386">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4AF3A4B9">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1E0817A5">
            <w:pPr>
              <w:widowControl/>
              <w:adjustRightInd w:val="0"/>
              <w:snapToGrid w:val="0"/>
              <w:jc w:val="center"/>
              <w:rPr>
                <w:b w:val="0"/>
                <w:bCs w:val="0"/>
                <w:color w:val="auto"/>
                <w:sz w:val="21"/>
                <w:szCs w:val="21"/>
              </w:rPr>
            </w:pPr>
          </w:p>
        </w:tc>
      </w:tr>
      <w:tr w14:paraId="3A1AD1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6BB7E078">
            <w:pPr>
              <w:widowControl/>
              <w:adjustRightInd w:val="0"/>
              <w:snapToGrid w:val="0"/>
              <w:jc w:val="center"/>
              <w:rPr>
                <w:rFonts w:cs="宋体"/>
                <w:b w:val="0"/>
                <w:bCs w:val="0"/>
                <w:color w:val="auto"/>
                <w:sz w:val="21"/>
                <w:szCs w:val="21"/>
              </w:rPr>
            </w:pPr>
            <w:r>
              <w:rPr>
                <w:rFonts w:hint="eastAsia" w:cs="宋体"/>
                <w:b w:val="0"/>
                <w:bCs w:val="0"/>
                <w:color w:val="auto"/>
                <w:sz w:val="21"/>
                <w:szCs w:val="21"/>
              </w:rPr>
              <w:t>流速（m/s）</w:t>
            </w:r>
          </w:p>
        </w:tc>
        <w:tc>
          <w:tcPr>
            <w:tcW w:w="980" w:type="pct"/>
            <w:tcBorders>
              <w:tl2br w:val="nil"/>
              <w:tr2bl w:val="nil"/>
            </w:tcBorders>
            <w:shd w:val="clear" w:color="000000" w:fill="FFFFFF"/>
            <w:vAlign w:val="center"/>
          </w:tcPr>
          <w:p w14:paraId="21CCADB3">
            <w:pPr>
              <w:widowControl/>
              <w:adjustRightInd w:val="0"/>
              <w:snapToGrid w:val="0"/>
              <w:jc w:val="center"/>
              <w:rPr>
                <w:b w:val="0"/>
                <w:bCs w:val="0"/>
                <w:color w:val="auto"/>
                <w:sz w:val="21"/>
                <w:szCs w:val="21"/>
              </w:rPr>
            </w:pPr>
            <w:r>
              <w:rPr>
                <w:rFonts w:hint="eastAsia" w:cs="宋体"/>
                <w:b w:val="0"/>
                <w:bCs w:val="0"/>
                <w:color w:val="auto"/>
                <w:sz w:val="21"/>
                <w:szCs w:val="21"/>
              </w:rPr>
              <w:t>0.1~0.2</w:t>
            </w:r>
          </w:p>
        </w:tc>
        <w:tc>
          <w:tcPr>
            <w:tcW w:w="1241" w:type="pct"/>
            <w:tcBorders>
              <w:tl2br w:val="nil"/>
              <w:tr2bl w:val="nil"/>
            </w:tcBorders>
            <w:shd w:val="clear" w:color="000000" w:fill="FFFFFF"/>
            <w:vAlign w:val="center"/>
          </w:tcPr>
          <w:p w14:paraId="5CCB5659">
            <w:pPr>
              <w:widowControl/>
              <w:adjustRightInd w:val="0"/>
              <w:snapToGrid w:val="0"/>
              <w:jc w:val="center"/>
              <w:rPr>
                <w:b w:val="0"/>
                <w:bCs w:val="0"/>
                <w:color w:val="auto"/>
                <w:sz w:val="21"/>
                <w:szCs w:val="21"/>
              </w:rPr>
            </w:pPr>
            <w:r>
              <w:rPr>
                <w:rFonts w:hint="eastAsia" w:cs="宋体"/>
                <w:b w:val="0"/>
                <w:bCs w:val="0"/>
                <w:color w:val="auto"/>
                <w:sz w:val="21"/>
                <w:szCs w:val="21"/>
              </w:rPr>
              <w:t>0.2~0.3</w:t>
            </w:r>
          </w:p>
        </w:tc>
        <w:tc>
          <w:tcPr>
            <w:tcW w:w="640" w:type="pct"/>
            <w:vMerge w:val="continue"/>
            <w:tcBorders>
              <w:tl2br w:val="nil"/>
              <w:tr2bl w:val="nil"/>
            </w:tcBorders>
            <w:shd w:val="clear" w:color="000000" w:fill="FFFFFF"/>
            <w:vAlign w:val="center"/>
          </w:tcPr>
          <w:p w14:paraId="2C565154">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2FE95C41">
            <w:pPr>
              <w:widowControl/>
              <w:adjustRightInd w:val="0"/>
              <w:snapToGrid w:val="0"/>
              <w:jc w:val="center"/>
              <w:rPr>
                <w:b w:val="0"/>
                <w:bCs w:val="0"/>
                <w:color w:val="auto"/>
                <w:sz w:val="21"/>
                <w:szCs w:val="21"/>
              </w:rPr>
            </w:pPr>
          </w:p>
        </w:tc>
        <w:tc>
          <w:tcPr>
            <w:tcW w:w="578" w:type="pct"/>
            <w:vMerge w:val="continue"/>
            <w:tcBorders>
              <w:tl2br w:val="nil"/>
              <w:tr2bl w:val="nil"/>
            </w:tcBorders>
            <w:shd w:val="clear" w:color="000000" w:fill="FFFFFF"/>
            <w:vAlign w:val="center"/>
          </w:tcPr>
          <w:p w14:paraId="1B942486">
            <w:pPr>
              <w:widowControl/>
              <w:adjustRightInd w:val="0"/>
              <w:snapToGrid w:val="0"/>
              <w:jc w:val="center"/>
              <w:rPr>
                <w:b w:val="0"/>
                <w:bCs w:val="0"/>
                <w:color w:val="auto"/>
                <w:sz w:val="21"/>
                <w:szCs w:val="21"/>
              </w:rPr>
            </w:pPr>
          </w:p>
        </w:tc>
      </w:tr>
      <w:tr w14:paraId="33C32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5D6E810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水温（℃）</w:t>
            </w:r>
          </w:p>
        </w:tc>
        <w:tc>
          <w:tcPr>
            <w:tcW w:w="980" w:type="pct"/>
            <w:tcBorders>
              <w:tl2br w:val="nil"/>
              <w:tr2bl w:val="nil"/>
            </w:tcBorders>
            <w:shd w:val="clear" w:color="000000" w:fill="FFFFFF"/>
            <w:vAlign w:val="center"/>
          </w:tcPr>
          <w:p w14:paraId="09AA19C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15.7~18.3</w:t>
            </w:r>
          </w:p>
        </w:tc>
        <w:tc>
          <w:tcPr>
            <w:tcW w:w="1241" w:type="pct"/>
            <w:tcBorders>
              <w:tl2br w:val="nil"/>
              <w:tr2bl w:val="nil"/>
            </w:tcBorders>
            <w:shd w:val="clear" w:color="000000" w:fill="FFFFFF"/>
            <w:vAlign w:val="center"/>
          </w:tcPr>
          <w:p w14:paraId="7015088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14.6~17.4</w:t>
            </w:r>
          </w:p>
        </w:tc>
        <w:tc>
          <w:tcPr>
            <w:tcW w:w="640" w:type="pct"/>
            <w:vMerge w:val="continue"/>
            <w:tcBorders>
              <w:tl2br w:val="nil"/>
              <w:tr2bl w:val="nil"/>
            </w:tcBorders>
            <w:shd w:val="clear" w:color="000000" w:fill="FFFFFF"/>
            <w:vAlign w:val="center"/>
          </w:tcPr>
          <w:p w14:paraId="26D41F3D">
            <w:pPr>
              <w:widowControl/>
              <w:adjustRightInd w:val="0"/>
              <w:snapToGrid w:val="0"/>
              <w:jc w:val="center"/>
              <w:rPr>
                <w:rFonts w:hint="eastAsia" w:cs="宋体"/>
                <w:b w:val="0"/>
                <w:bCs w:val="0"/>
                <w:color w:val="auto"/>
                <w:sz w:val="21"/>
                <w:szCs w:val="21"/>
              </w:rPr>
            </w:pPr>
          </w:p>
        </w:tc>
        <w:tc>
          <w:tcPr>
            <w:tcW w:w="578" w:type="pct"/>
            <w:vMerge w:val="continue"/>
            <w:tcBorders>
              <w:tl2br w:val="nil"/>
              <w:tr2bl w:val="nil"/>
            </w:tcBorders>
            <w:shd w:val="clear" w:color="000000" w:fill="FFFFFF"/>
            <w:vAlign w:val="center"/>
          </w:tcPr>
          <w:p w14:paraId="381CF184">
            <w:pPr>
              <w:widowControl/>
              <w:adjustRightInd w:val="0"/>
              <w:snapToGrid w:val="0"/>
              <w:jc w:val="center"/>
              <w:rPr>
                <w:rFonts w:hint="eastAsia" w:cs="宋体"/>
                <w:b w:val="0"/>
                <w:bCs w:val="0"/>
                <w:color w:val="auto"/>
                <w:sz w:val="21"/>
                <w:szCs w:val="21"/>
              </w:rPr>
            </w:pPr>
          </w:p>
        </w:tc>
        <w:tc>
          <w:tcPr>
            <w:tcW w:w="578" w:type="pct"/>
            <w:vMerge w:val="continue"/>
            <w:tcBorders>
              <w:tl2br w:val="nil"/>
              <w:tr2bl w:val="nil"/>
            </w:tcBorders>
            <w:shd w:val="clear" w:color="000000" w:fill="FFFFFF"/>
            <w:vAlign w:val="center"/>
          </w:tcPr>
          <w:p w14:paraId="2D2324BE">
            <w:pPr>
              <w:widowControl/>
              <w:adjustRightInd w:val="0"/>
              <w:snapToGrid w:val="0"/>
              <w:jc w:val="center"/>
              <w:rPr>
                <w:rFonts w:hint="eastAsia" w:cs="宋体"/>
                <w:b w:val="0"/>
                <w:bCs w:val="0"/>
                <w:color w:val="auto"/>
                <w:sz w:val="21"/>
                <w:szCs w:val="21"/>
              </w:rPr>
            </w:pPr>
          </w:p>
        </w:tc>
      </w:tr>
      <w:tr w14:paraId="722E3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580BBFB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pH值（无量纲）</w:t>
            </w:r>
          </w:p>
        </w:tc>
        <w:tc>
          <w:tcPr>
            <w:tcW w:w="980" w:type="pct"/>
            <w:tcBorders>
              <w:tl2br w:val="nil"/>
              <w:tr2bl w:val="nil"/>
            </w:tcBorders>
            <w:shd w:val="clear" w:color="000000" w:fill="FFFFFF"/>
            <w:vAlign w:val="center"/>
          </w:tcPr>
          <w:p w14:paraId="5C150B2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7.1~7.2</w:t>
            </w:r>
          </w:p>
        </w:tc>
        <w:tc>
          <w:tcPr>
            <w:tcW w:w="1241" w:type="pct"/>
            <w:tcBorders>
              <w:tl2br w:val="nil"/>
              <w:tr2bl w:val="nil"/>
            </w:tcBorders>
            <w:shd w:val="clear" w:color="000000" w:fill="FFFFFF"/>
            <w:vAlign w:val="center"/>
          </w:tcPr>
          <w:p w14:paraId="6CE302C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6.5~6.8</w:t>
            </w:r>
          </w:p>
        </w:tc>
        <w:tc>
          <w:tcPr>
            <w:tcW w:w="640" w:type="pct"/>
            <w:tcBorders>
              <w:tl2br w:val="nil"/>
              <w:tr2bl w:val="nil"/>
            </w:tcBorders>
            <w:shd w:val="clear" w:color="000000" w:fill="FFFFFF"/>
            <w:vAlign w:val="center"/>
          </w:tcPr>
          <w:p w14:paraId="360F489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6～9</w:t>
            </w:r>
          </w:p>
        </w:tc>
        <w:tc>
          <w:tcPr>
            <w:tcW w:w="578" w:type="pct"/>
            <w:tcBorders>
              <w:tl2br w:val="nil"/>
              <w:tr2bl w:val="nil"/>
            </w:tcBorders>
            <w:shd w:val="clear" w:color="000000" w:fill="FFFFFF"/>
            <w:vAlign w:val="center"/>
          </w:tcPr>
          <w:p w14:paraId="76D70BA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0.5</w:t>
            </w:r>
          </w:p>
        </w:tc>
        <w:tc>
          <w:tcPr>
            <w:tcW w:w="578" w:type="pct"/>
            <w:tcBorders>
              <w:tl2br w:val="nil"/>
              <w:tr2bl w:val="nil"/>
            </w:tcBorders>
            <w:shd w:val="clear" w:color="000000" w:fill="FFFFFF"/>
            <w:vAlign w:val="center"/>
          </w:tcPr>
          <w:p w14:paraId="10177E0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09AEE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543627B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溶解氧</w:t>
            </w:r>
          </w:p>
        </w:tc>
        <w:tc>
          <w:tcPr>
            <w:tcW w:w="980" w:type="pct"/>
            <w:tcBorders>
              <w:tl2br w:val="nil"/>
              <w:tr2bl w:val="nil"/>
            </w:tcBorders>
            <w:shd w:val="clear" w:color="000000" w:fill="FFFFFF"/>
            <w:vAlign w:val="center"/>
          </w:tcPr>
          <w:p w14:paraId="44B805A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6.1~6.2</w:t>
            </w:r>
          </w:p>
        </w:tc>
        <w:tc>
          <w:tcPr>
            <w:tcW w:w="1241" w:type="pct"/>
            <w:tcBorders>
              <w:tl2br w:val="nil"/>
              <w:tr2bl w:val="nil"/>
            </w:tcBorders>
            <w:shd w:val="clear" w:color="000000" w:fill="FFFFFF"/>
            <w:vAlign w:val="center"/>
          </w:tcPr>
          <w:p w14:paraId="3EBE50B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5.6~5.7</w:t>
            </w:r>
          </w:p>
        </w:tc>
        <w:tc>
          <w:tcPr>
            <w:tcW w:w="640" w:type="pct"/>
            <w:tcBorders>
              <w:tl2br w:val="nil"/>
              <w:tr2bl w:val="nil"/>
            </w:tcBorders>
            <w:shd w:val="clear" w:color="000000" w:fill="FFFFFF"/>
            <w:vAlign w:val="center"/>
          </w:tcPr>
          <w:p w14:paraId="2653DFE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3</w:t>
            </w:r>
          </w:p>
        </w:tc>
        <w:tc>
          <w:tcPr>
            <w:tcW w:w="578" w:type="pct"/>
            <w:tcBorders>
              <w:tl2br w:val="nil"/>
              <w:tr2bl w:val="nil"/>
            </w:tcBorders>
            <w:shd w:val="clear" w:color="000000" w:fill="FFFFFF"/>
            <w:vAlign w:val="center"/>
          </w:tcPr>
          <w:p w14:paraId="791DFA9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0.59</w:t>
            </w:r>
          </w:p>
        </w:tc>
        <w:tc>
          <w:tcPr>
            <w:tcW w:w="578" w:type="pct"/>
            <w:tcBorders>
              <w:tl2br w:val="nil"/>
              <w:tr2bl w:val="nil"/>
            </w:tcBorders>
            <w:shd w:val="clear" w:color="000000" w:fill="FFFFFF"/>
            <w:vAlign w:val="center"/>
          </w:tcPr>
          <w:p w14:paraId="46F3EF47">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53467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432F818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化学需氧量</w:t>
            </w:r>
          </w:p>
        </w:tc>
        <w:tc>
          <w:tcPr>
            <w:tcW w:w="980" w:type="pct"/>
            <w:tcBorders>
              <w:tl2br w:val="nil"/>
              <w:tr2bl w:val="nil"/>
            </w:tcBorders>
            <w:shd w:val="clear" w:color="000000" w:fill="FFFFFF"/>
            <w:vAlign w:val="center"/>
          </w:tcPr>
          <w:p w14:paraId="72A3FB8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6~9</w:t>
            </w:r>
          </w:p>
        </w:tc>
        <w:tc>
          <w:tcPr>
            <w:tcW w:w="1241" w:type="pct"/>
            <w:tcBorders>
              <w:tl2br w:val="nil"/>
              <w:tr2bl w:val="nil"/>
            </w:tcBorders>
            <w:shd w:val="clear" w:color="000000" w:fill="FFFFFF"/>
            <w:vAlign w:val="center"/>
          </w:tcPr>
          <w:p w14:paraId="7332149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10~13</w:t>
            </w:r>
          </w:p>
        </w:tc>
        <w:tc>
          <w:tcPr>
            <w:tcW w:w="640" w:type="pct"/>
            <w:tcBorders>
              <w:tl2br w:val="nil"/>
              <w:tr2bl w:val="nil"/>
            </w:tcBorders>
            <w:shd w:val="clear" w:color="000000" w:fill="FFFFFF"/>
            <w:vAlign w:val="center"/>
          </w:tcPr>
          <w:p w14:paraId="18DB9F6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30</w:t>
            </w:r>
          </w:p>
        </w:tc>
        <w:tc>
          <w:tcPr>
            <w:tcW w:w="578" w:type="pct"/>
            <w:tcBorders>
              <w:tl2br w:val="nil"/>
              <w:tr2bl w:val="nil"/>
            </w:tcBorders>
            <w:shd w:val="clear" w:color="000000" w:fill="FFFFFF"/>
            <w:vAlign w:val="center"/>
          </w:tcPr>
          <w:p w14:paraId="3DE08C5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0.43</w:t>
            </w:r>
          </w:p>
        </w:tc>
        <w:tc>
          <w:tcPr>
            <w:tcW w:w="578" w:type="pct"/>
            <w:tcBorders>
              <w:tl2br w:val="nil"/>
              <w:tr2bl w:val="nil"/>
            </w:tcBorders>
            <w:shd w:val="clear" w:color="000000" w:fill="FFFFFF"/>
            <w:vAlign w:val="center"/>
          </w:tcPr>
          <w:p w14:paraId="6540953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08EC1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0D60665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五日生化需氧量</w:t>
            </w:r>
          </w:p>
        </w:tc>
        <w:tc>
          <w:tcPr>
            <w:tcW w:w="980" w:type="pct"/>
            <w:tcBorders>
              <w:tl2br w:val="nil"/>
              <w:tr2bl w:val="nil"/>
            </w:tcBorders>
            <w:shd w:val="clear" w:color="000000" w:fill="FFFFFF"/>
            <w:vAlign w:val="center"/>
          </w:tcPr>
          <w:p w14:paraId="0AE5D63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1.3~1.7</w:t>
            </w:r>
          </w:p>
        </w:tc>
        <w:tc>
          <w:tcPr>
            <w:tcW w:w="1241" w:type="pct"/>
            <w:tcBorders>
              <w:tl2br w:val="nil"/>
              <w:tr2bl w:val="nil"/>
            </w:tcBorders>
            <w:shd w:val="clear" w:color="000000" w:fill="FFFFFF"/>
            <w:vAlign w:val="center"/>
          </w:tcPr>
          <w:p w14:paraId="301EB84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1.8~2.2</w:t>
            </w:r>
          </w:p>
        </w:tc>
        <w:tc>
          <w:tcPr>
            <w:tcW w:w="640" w:type="pct"/>
            <w:tcBorders>
              <w:tl2br w:val="nil"/>
              <w:tr2bl w:val="nil"/>
            </w:tcBorders>
            <w:shd w:val="clear" w:color="000000" w:fill="FFFFFF"/>
            <w:vAlign w:val="center"/>
          </w:tcPr>
          <w:p w14:paraId="4EE3DB0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6</w:t>
            </w:r>
          </w:p>
        </w:tc>
        <w:tc>
          <w:tcPr>
            <w:tcW w:w="578" w:type="pct"/>
            <w:tcBorders>
              <w:tl2br w:val="nil"/>
              <w:tr2bl w:val="nil"/>
            </w:tcBorders>
            <w:shd w:val="clear" w:color="000000" w:fill="FFFFFF"/>
            <w:vAlign w:val="center"/>
          </w:tcPr>
          <w:p w14:paraId="03E28E4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0.37</w:t>
            </w:r>
          </w:p>
        </w:tc>
        <w:tc>
          <w:tcPr>
            <w:tcW w:w="578" w:type="pct"/>
            <w:tcBorders>
              <w:tl2br w:val="nil"/>
              <w:tr2bl w:val="nil"/>
            </w:tcBorders>
            <w:shd w:val="clear" w:color="000000" w:fill="FFFFFF"/>
            <w:vAlign w:val="center"/>
          </w:tcPr>
          <w:p w14:paraId="30A1325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2F746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248CA66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氟化物</w:t>
            </w:r>
          </w:p>
        </w:tc>
        <w:tc>
          <w:tcPr>
            <w:tcW w:w="980" w:type="pct"/>
            <w:tcBorders>
              <w:tl2br w:val="nil"/>
              <w:tr2bl w:val="nil"/>
            </w:tcBorders>
            <w:shd w:val="clear" w:color="000000" w:fill="FFFFFF"/>
            <w:vAlign w:val="center"/>
          </w:tcPr>
          <w:p w14:paraId="283A48A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0.09~0.12</w:t>
            </w:r>
          </w:p>
        </w:tc>
        <w:tc>
          <w:tcPr>
            <w:tcW w:w="1241" w:type="pct"/>
            <w:tcBorders>
              <w:tl2br w:val="nil"/>
              <w:tr2bl w:val="nil"/>
            </w:tcBorders>
            <w:shd w:val="clear" w:color="000000" w:fill="FFFFFF"/>
            <w:vAlign w:val="center"/>
          </w:tcPr>
          <w:p w14:paraId="7DFDFC5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0.15~0.17</w:t>
            </w:r>
          </w:p>
        </w:tc>
        <w:tc>
          <w:tcPr>
            <w:tcW w:w="640" w:type="pct"/>
            <w:tcBorders>
              <w:tl2br w:val="nil"/>
              <w:tr2bl w:val="nil"/>
            </w:tcBorders>
            <w:shd w:val="clear" w:color="000000" w:fill="FFFFFF"/>
            <w:vAlign w:val="center"/>
          </w:tcPr>
          <w:p w14:paraId="02A9EC0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1.5</w:t>
            </w:r>
          </w:p>
        </w:tc>
        <w:tc>
          <w:tcPr>
            <w:tcW w:w="578" w:type="pct"/>
            <w:tcBorders>
              <w:tl2br w:val="nil"/>
              <w:tr2bl w:val="nil"/>
            </w:tcBorders>
            <w:shd w:val="clear" w:color="000000" w:fill="FFFFFF"/>
            <w:vAlign w:val="center"/>
          </w:tcPr>
          <w:p w14:paraId="15F0AAE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0.11</w:t>
            </w:r>
          </w:p>
        </w:tc>
        <w:tc>
          <w:tcPr>
            <w:tcW w:w="578" w:type="pct"/>
            <w:tcBorders>
              <w:tl2br w:val="nil"/>
              <w:tr2bl w:val="nil"/>
            </w:tcBorders>
            <w:shd w:val="clear" w:color="000000" w:fill="FFFFFF"/>
            <w:vAlign w:val="center"/>
          </w:tcPr>
          <w:p w14:paraId="5B41B25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415009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476850C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氨氮</w:t>
            </w:r>
          </w:p>
        </w:tc>
        <w:tc>
          <w:tcPr>
            <w:tcW w:w="980" w:type="pct"/>
            <w:tcBorders>
              <w:tl2br w:val="nil"/>
              <w:tr2bl w:val="nil"/>
            </w:tcBorders>
            <w:shd w:val="clear" w:color="000000" w:fill="FFFFFF"/>
            <w:vAlign w:val="center"/>
          </w:tcPr>
          <w:p w14:paraId="710ACA1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0.289~0.356</w:t>
            </w:r>
          </w:p>
        </w:tc>
        <w:tc>
          <w:tcPr>
            <w:tcW w:w="1241" w:type="pct"/>
            <w:tcBorders>
              <w:tl2br w:val="nil"/>
              <w:tr2bl w:val="nil"/>
            </w:tcBorders>
            <w:shd w:val="clear" w:color="000000" w:fill="FFFFFF"/>
            <w:vAlign w:val="center"/>
          </w:tcPr>
          <w:p w14:paraId="36672A0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0.854~0.904</w:t>
            </w:r>
          </w:p>
        </w:tc>
        <w:tc>
          <w:tcPr>
            <w:tcW w:w="640" w:type="pct"/>
            <w:tcBorders>
              <w:tl2br w:val="nil"/>
              <w:tr2bl w:val="nil"/>
            </w:tcBorders>
            <w:shd w:val="clear" w:color="000000" w:fill="FFFFFF"/>
            <w:vAlign w:val="center"/>
          </w:tcPr>
          <w:p w14:paraId="2B2C711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1.5</w:t>
            </w:r>
          </w:p>
        </w:tc>
        <w:tc>
          <w:tcPr>
            <w:tcW w:w="578" w:type="pct"/>
            <w:tcBorders>
              <w:tl2br w:val="nil"/>
              <w:tr2bl w:val="nil"/>
            </w:tcBorders>
            <w:shd w:val="clear" w:color="000000" w:fill="FFFFFF"/>
            <w:vAlign w:val="center"/>
          </w:tcPr>
          <w:p w14:paraId="6B54E8A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0.60</w:t>
            </w:r>
          </w:p>
        </w:tc>
        <w:tc>
          <w:tcPr>
            <w:tcW w:w="578" w:type="pct"/>
            <w:tcBorders>
              <w:tl2br w:val="nil"/>
              <w:tr2bl w:val="nil"/>
            </w:tcBorders>
            <w:shd w:val="clear" w:color="000000" w:fill="FFFFFF"/>
            <w:vAlign w:val="center"/>
          </w:tcPr>
          <w:p w14:paraId="1FF1B19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4CA69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069969C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总氮②</w:t>
            </w:r>
          </w:p>
        </w:tc>
        <w:tc>
          <w:tcPr>
            <w:tcW w:w="980" w:type="pct"/>
            <w:tcBorders>
              <w:tl2br w:val="nil"/>
              <w:tr2bl w:val="nil"/>
            </w:tcBorders>
            <w:shd w:val="clear" w:color="000000" w:fill="FFFFFF"/>
            <w:vAlign w:val="center"/>
          </w:tcPr>
          <w:p w14:paraId="53319C3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1.18~3.01</w:t>
            </w:r>
          </w:p>
        </w:tc>
        <w:tc>
          <w:tcPr>
            <w:tcW w:w="1241" w:type="pct"/>
            <w:tcBorders>
              <w:tl2br w:val="nil"/>
              <w:tr2bl w:val="nil"/>
            </w:tcBorders>
            <w:shd w:val="clear" w:color="000000" w:fill="FFFFFF"/>
            <w:vAlign w:val="center"/>
          </w:tcPr>
          <w:p w14:paraId="59B01BC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7.43~8.06</w:t>
            </w:r>
          </w:p>
        </w:tc>
        <w:tc>
          <w:tcPr>
            <w:tcW w:w="640" w:type="pct"/>
            <w:tcBorders>
              <w:tl2br w:val="nil"/>
              <w:tr2bl w:val="nil"/>
            </w:tcBorders>
            <w:shd w:val="clear" w:color="000000" w:fill="FFFFFF"/>
            <w:vAlign w:val="center"/>
          </w:tcPr>
          <w:p w14:paraId="3A10224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1.5</w:t>
            </w:r>
          </w:p>
        </w:tc>
        <w:tc>
          <w:tcPr>
            <w:tcW w:w="578" w:type="pct"/>
            <w:tcBorders>
              <w:tl2br w:val="nil"/>
              <w:tr2bl w:val="nil"/>
            </w:tcBorders>
            <w:shd w:val="clear" w:color="000000" w:fill="FFFFFF"/>
            <w:vAlign w:val="center"/>
          </w:tcPr>
          <w:p w14:paraId="464EBBF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5B84771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r>
      <w:tr w14:paraId="1CA416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5D78E7B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总磷</w:t>
            </w:r>
          </w:p>
        </w:tc>
        <w:tc>
          <w:tcPr>
            <w:tcW w:w="980" w:type="pct"/>
            <w:tcBorders>
              <w:tl2br w:val="nil"/>
              <w:tr2bl w:val="nil"/>
            </w:tcBorders>
            <w:shd w:val="clear" w:color="000000" w:fill="FFFFFF"/>
            <w:vAlign w:val="center"/>
          </w:tcPr>
          <w:p w14:paraId="5CD590E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0.03~0.06</w:t>
            </w:r>
          </w:p>
        </w:tc>
        <w:tc>
          <w:tcPr>
            <w:tcW w:w="1241" w:type="pct"/>
            <w:tcBorders>
              <w:tl2br w:val="nil"/>
              <w:tr2bl w:val="nil"/>
            </w:tcBorders>
            <w:shd w:val="clear" w:color="000000" w:fill="FFFFFF"/>
            <w:vAlign w:val="center"/>
          </w:tcPr>
          <w:p w14:paraId="4189ADF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0.07~0.11</w:t>
            </w:r>
          </w:p>
        </w:tc>
        <w:tc>
          <w:tcPr>
            <w:tcW w:w="640" w:type="pct"/>
            <w:tcBorders>
              <w:tl2br w:val="nil"/>
              <w:tr2bl w:val="nil"/>
            </w:tcBorders>
            <w:shd w:val="clear" w:color="000000" w:fill="FFFFFF"/>
            <w:vAlign w:val="center"/>
          </w:tcPr>
          <w:p w14:paraId="6C03B62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0.3</w:t>
            </w:r>
          </w:p>
        </w:tc>
        <w:tc>
          <w:tcPr>
            <w:tcW w:w="578" w:type="pct"/>
            <w:tcBorders>
              <w:tl2br w:val="nil"/>
              <w:tr2bl w:val="nil"/>
            </w:tcBorders>
            <w:shd w:val="clear" w:color="000000" w:fill="FFFFFF"/>
            <w:vAlign w:val="center"/>
          </w:tcPr>
          <w:p w14:paraId="57AE33C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0.37</w:t>
            </w:r>
          </w:p>
        </w:tc>
        <w:tc>
          <w:tcPr>
            <w:tcW w:w="578" w:type="pct"/>
            <w:tcBorders>
              <w:tl2br w:val="nil"/>
              <w:tr2bl w:val="nil"/>
            </w:tcBorders>
            <w:shd w:val="clear" w:color="000000" w:fill="FFFFFF"/>
            <w:vAlign w:val="center"/>
          </w:tcPr>
          <w:p w14:paraId="32D0CC6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526F6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1E791FB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汞</w:t>
            </w:r>
          </w:p>
        </w:tc>
        <w:tc>
          <w:tcPr>
            <w:tcW w:w="980" w:type="pct"/>
            <w:tcBorders>
              <w:tl2br w:val="nil"/>
              <w:tr2bl w:val="nil"/>
            </w:tcBorders>
            <w:shd w:val="clear" w:color="000000" w:fill="FFFFFF"/>
            <w:vAlign w:val="center"/>
          </w:tcPr>
          <w:p w14:paraId="712360F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0.00004ND</w:t>
            </w:r>
          </w:p>
        </w:tc>
        <w:tc>
          <w:tcPr>
            <w:tcW w:w="1241" w:type="pct"/>
            <w:tcBorders>
              <w:tl2br w:val="nil"/>
              <w:tr2bl w:val="nil"/>
            </w:tcBorders>
            <w:shd w:val="clear" w:color="000000" w:fill="FFFFFF"/>
            <w:vAlign w:val="center"/>
          </w:tcPr>
          <w:p w14:paraId="6611BA0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0.00004ND</w:t>
            </w:r>
          </w:p>
        </w:tc>
        <w:tc>
          <w:tcPr>
            <w:tcW w:w="640" w:type="pct"/>
            <w:tcBorders>
              <w:tl2br w:val="nil"/>
              <w:tr2bl w:val="nil"/>
            </w:tcBorders>
            <w:shd w:val="clear" w:color="000000" w:fill="FFFFFF"/>
            <w:vAlign w:val="center"/>
          </w:tcPr>
          <w:p w14:paraId="4D8CF21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0.001</w:t>
            </w:r>
          </w:p>
        </w:tc>
        <w:tc>
          <w:tcPr>
            <w:tcW w:w="578" w:type="pct"/>
            <w:tcBorders>
              <w:tl2br w:val="nil"/>
              <w:tr2bl w:val="nil"/>
            </w:tcBorders>
            <w:shd w:val="clear" w:color="000000" w:fill="FFFFFF"/>
            <w:vAlign w:val="center"/>
          </w:tcPr>
          <w:p w14:paraId="1C6C5FA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30CFCD1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176E2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1E20786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砷</w:t>
            </w:r>
          </w:p>
        </w:tc>
        <w:tc>
          <w:tcPr>
            <w:tcW w:w="980" w:type="pct"/>
            <w:tcBorders>
              <w:tl2br w:val="nil"/>
              <w:tr2bl w:val="nil"/>
            </w:tcBorders>
            <w:shd w:val="clear" w:color="000000" w:fill="FFFFFF"/>
            <w:vAlign w:val="center"/>
          </w:tcPr>
          <w:p w14:paraId="2A2AD9E7">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0.0003ND</w:t>
            </w:r>
          </w:p>
        </w:tc>
        <w:tc>
          <w:tcPr>
            <w:tcW w:w="1241" w:type="pct"/>
            <w:tcBorders>
              <w:tl2br w:val="nil"/>
              <w:tr2bl w:val="nil"/>
            </w:tcBorders>
            <w:shd w:val="clear" w:color="000000" w:fill="FFFFFF"/>
            <w:vAlign w:val="center"/>
          </w:tcPr>
          <w:p w14:paraId="58EBDCB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0.0003ND</w:t>
            </w:r>
          </w:p>
        </w:tc>
        <w:tc>
          <w:tcPr>
            <w:tcW w:w="640" w:type="pct"/>
            <w:tcBorders>
              <w:tl2br w:val="nil"/>
              <w:tr2bl w:val="nil"/>
            </w:tcBorders>
            <w:shd w:val="clear" w:color="000000" w:fill="FFFFFF"/>
            <w:vAlign w:val="center"/>
          </w:tcPr>
          <w:p w14:paraId="7A83A1D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0.1</w:t>
            </w:r>
          </w:p>
        </w:tc>
        <w:tc>
          <w:tcPr>
            <w:tcW w:w="578" w:type="pct"/>
            <w:tcBorders>
              <w:tl2br w:val="nil"/>
              <w:tr2bl w:val="nil"/>
            </w:tcBorders>
            <w:shd w:val="clear" w:color="000000" w:fill="FFFFFF"/>
            <w:vAlign w:val="center"/>
          </w:tcPr>
          <w:p w14:paraId="10A4BFF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052CDEB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7E8795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05FDD54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硒</w:t>
            </w:r>
          </w:p>
        </w:tc>
        <w:tc>
          <w:tcPr>
            <w:tcW w:w="980" w:type="pct"/>
            <w:tcBorders>
              <w:tl2br w:val="nil"/>
              <w:tr2bl w:val="nil"/>
            </w:tcBorders>
            <w:shd w:val="clear" w:color="000000" w:fill="FFFFFF"/>
            <w:vAlign w:val="center"/>
          </w:tcPr>
          <w:p w14:paraId="264B9DB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0.0004ND</w:t>
            </w:r>
          </w:p>
        </w:tc>
        <w:tc>
          <w:tcPr>
            <w:tcW w:w="1241" w:type="pct"/>
            <w:tcBorders>
              <w:tl2br w:val="nil"/>
              <w:tr2bl w:val="nil"/>
            </w:tcBorders>
            <w:shd w:val="clear" w:color="000000" w:fill="FFFFFF"/>
            <w:vAlign w:val="center"/>
          </w:tcPr>
          <w:p w14:paraId="71DB66A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0.0004ND</w:t>
            </w:r>
          </w:p>
        </w:tc>
        <w:tc>
          <w:tcPr>
            <w:tcW w:w="640" w:type="pct"/>
            <w:tcBorders>
              <w:tl2br w:val="nil"/>
              <w:tr2bl w:val="nil"/>
            </w:tcBorders>
            <w:shd w:val="clear" w:color="000000" w:fill="FFFFFF"/>
            <w:vAlign w:val="center"/>
          </w:tcPr>
          <w:p w14:paraId="4C8A642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0.02</w:t>
            </w:r>
          </w:p>
        </w:tc>
        <w:tc>
          <w:tcPr>
            <w:tcW w:w="578" w:type="pct"/>
            <w:tcBorders>
              <w:tl2br w:val="nil"/>
              <w:tr2bl w:val="nil"/>
            </w:tcBorders>
            <w:shd w:val="clear" w:color="000000" w:fill="FFFFFF"/>
            <w:vAlign w:val="center"/>
          </w:tcPr>
          <w:p w14:paraId="1C800E4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3886E81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67978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6E956AE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铬（六价）</w:t>
            </w:r>
          </w:p>
        </w:tc>
        <w:tc>
          <w:tcPr>
            <w:tcW w:w="980" w:type="pct"/>
            <w:tcBorders>
              <w:tl2br w:val="nil"/>
              <w:tr2bl w:val="nil"/>
            </w:tcBorders>
            <w:shd w:val="clear" w:color="000000" w:fill="FFFFFF"/>
            <w:vAlign w:val="center"/>
          </w:tcPr>
          <w:p w14:paraId="64D2B77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0.005~0.008</w:t>
            </w:r>
          </w:p>
        </w:tc>
        <w:tc>
          <w:tcPr>
            <w:tcW w:w="1241" w:type="pct"/>
            <w:tcBorders>
              <w:tl2br w:val="nil"/>
              <w:tr2bl w:val="nil"/>
            </w:tcBorders>
            <w:shd w:val="clear" w:color="000000" w:fill="FFFFFF"/>
            <w:vAlign w:val="center"/>
          </w:tcPr>
          <w:p w14:paraId="26AC756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0.012~0.016</w:t>
            </w:r>
          </w:p>
        </w:tc>
        <w:tc>
          <w:tcPr>
            <w:tcW w:w="640" w:type="pct"/>
            <w:tcBorders>
              <w:tl2br w:val="nil"/>
              <w:tr2bl w:val="nil"/>
            </w:tcBorders>
            <w:shd w:val="clear" w:color="000000" w:fill="FFFFFF"/>
            <w:vAlign w:val="center"/>
          </w:tcPr>
          <w:p w14:paraId="0D43918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w:t>
            </w:r>
          </w:p>
        </w:tc>
        <w:tc>
          <w:tcPr>
            <w:tcW w:w="578" w:type="pct"/>
            <w:tcBorders>
              <w:tl2br w:val="nil"/>
              <w:tr2bl w:val="nil"/>
            </w:tcBorders>
            <w:shd w:val="clear" w:color="000000" w:fill="FFFFFF"/>
            <w:vAlign w:val="center"/>
          </w:tcPr>
          <w:p w14:paraId="08FB63E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0.32</w:t>
            </w:r>
          </w:p>
        </w:tc>
        <w:tc>
          <w:tcPr>
            <w:tcW w:w="578" w:type="pct"/>
            <w:tcBorders>
              <w:tl2br w:val="nil"/>
              <w:tr2bl w:val="nil"/>
            </w:tcBorders>
            <w:shd w:val="clear" w:color="000000" w:fill="FFFFFF"/>
            <w:vAlign w:val="center"/>
          </w:tcPr>
          <w:p w14:paraId="269EFCC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6550D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72C6361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铅</w:t>
            </w:r>
          </w:p>
        </w:tc>
        <w:tc>
          <w:tcPr>
            <w:tcW w:w="980" w:type="pct"/>
            <w:tcBorders>
              <w:tl2br w:val="nil"/>
              <w:tr2bl w:val="nil"/>
            </w:tcBorders>
            <w:shd w:val="clear" w:color="000000" w:fill="FFFFFF"/>
            <w:vAlign w:val="center"/>
          </w:tcPr>
          <w:p w14:paraId="6D5D7AA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0.0025ND</w:t>
            </w:r>
          </w:p>
        </w:tc>
        <w:tc>
          <w:tcPr>
            <w:tcW w:w="1241" w:type="pct"/>
            <w:tcBorders>
              <w:tl2br w:val="nil"/>
              <w:tr2bl w:val="nil"/>
            </w:tcBorders>
            <w:shd w:val="clear" w:color="000000" w:fill="FFFFFF"/>
            <w:vAlign w:val="center"/>
          </w:tcPr>
          <w:p w14:paraId="2897483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0.0025ND</w:t>
            </w:r>
          </w:p>
        </w:tc>
        <w:tc>
          <w:tcPr>
            <w:tcW w:w="640" w:type="pct"/>
            <w:tcBorders>
              <w:tl2br w:val="nil"/>
              <w:tr2bl w:val="nil"/>
            </w:tcBorders>
            <w:shd w:val="clear" w:color="000000" w:fill="FFFFFF"/>
            <w:vAlign w:val="center"/>
          </w:tcPr>
          <w:p w14:paraId="483D31D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w:t>
            </w:r>
          </w:p>
        </w:tc>
        <w:tc>
          <w:tcPr>
            <w:tcW w:w="578" w:type="pct"/>
            <w:tcBorders>
              <w:tl2br w:val="nil"/>
              <w:tr2bl w:val="nil"/>
            </w:tcBorders>
            <w:shd w:val="clear" w:color="000000" w:fill="FFFFFF"/>
            <w:vAlign w:val="center"/>
          </w:tcPr>
          <w:p w14:paraId="1501073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61E0A21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2C4E1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2D1BBA3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镉</w:t>
            </w:r>
          </w:p>
        </w:tc>
        <w:tc>
          <w:tcPr>
            <w:tcW w:w="980" w:type="pct"/>
            <w:tcBorders>
              <w:tl2br w:val="nil"/>
              <w:tr2bl w:val="nil"/>
            </w:tcBorders>
            <w:shd w:val="clear" w:color="000000" w:fill="FFFFFF"/>
            <w:vAlign w:val="center"/>
          </w:tcPr>
          <w:p w14:paraId="4FC4624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0.0005ND</w:t>
            </w:r>
          </w:p>
        </w:tc>
        <w:tc>
          <w:tcPr>
            <w:tcW w:w="1241" w:type="pct"/>
            <w:tcBorders>
              <w:tl2br w:val="nil"/>
              <w:tr2bl w:val="nil"/>
            </w:tcBorders>
            <w:shd w:val="clear" w:color="000000" w:fill="FFFFFF"/>
            <w:vAlign w:val="center"/>
          </w:tcPr>
          <w:p w14:paraId="0A57DEB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0.0005ND</w:t>
            </w:r>
          </w:p>
        </w:tc>
        <w:tc>
          <w:tcPr>
            <w:tcW w:w="640" w:type="pct"/>
            <w:tcBorders>
              <w:tl2br w:val="nil"/>
              <w:tr2bl w:val="nil"/>
            </w:tcBorders>
            <w:shd w:val="clear" w:color="000000" w:fill="FFFFFF"/>
            <w:vAlign w:val="center"/>
          </w:tcPr>
          <w:p w14:paraId="2FEA714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0.005</w:t>
            </w:r>
          </w:p>
        </w:tc>
        <w:tc>
          <w:tcPr>
            <w:tcW w:w="578" w:type="pct"/>
            <w:tcBorders>
              <w:tl2br w:val="nil"/>
              <w:tr2bl w:val="nil"/>
            </w:tcBorders>
            <w:shd w:val="clear" w:color="000000" w:fill="FFFFFF"/>
            <w:vAlign w:val="center"/>
          </w:tcPr>
          <w:p w14:paraId="471CD0B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2B4B11E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227056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1776FC2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铜</w:t>
            </w:r>
          </w:p>
        </w:tc>
        <w:tc>
          <w:tcPr>
            <w:tcW w:w="980" w:type="pct"/>
            <w:tcBorders>
              <w:tl2br w:val="nil"/>
              <w:tr2bl w:val="nil"/>
            </w:tcBorders>
            <w:shd w:val="clear" w:color="000000" w:fill="FFFFFF"/>
            <w:vAlign w:val="center"/>
          </w:tcPr>
          <w:p w14:paraId="65467D3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0.05ND</w:t>
            </w:r>
          </w:p>
        </w:tc>
        <w:tc>
          <w:tcPr>
            <w:tcW w:w="1241" w:type="pct"/>
            <w:tcBorders>
              <w:tl2br w:val="nil"/>
              <w:tr2bl w:val="nil"/>
            </w:tcBorders>
            <w:shd w:val="clear" w:color="000000" w:fill="FFFFFF"/>
            <w:vAlign w:val="center"/>
          </w:tcPr>
          <w:p w14:paraId="2CF5ECA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0.05ND</w:t>
            </w:r>
          </w:p>
        </w:tc>
        <w:tc>
          <w:tcPr>
            <w:tcW w:w="640" w:type="pct"/>
            <w:tcBorders>
              <w:tl2br w:val="nil"/>
              <w:tr2bl w:val="nil"/>
            </w:tcBorders>
            <w:shd w:val="clear" w:color="000000" w:fill="FFFFFF"/>
            <w:vAlign w:val="center"/>
          </w:tcPr>
          <w:p w14:paraId="768E8C0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w:t>
            </w:r>
          </w:p>
        </w:tc>
        <w:tc>
          <w:tcPr>
            <w:tcW w:w="578" w:type="pct"/>
            <w:tcBorders>
              <w:tl2br w:val="nil"/>
              <w:tr2bl w:val="nil"/>
            </w:tcBorders>
            <w:shd w:val="clear" w:color="000000" w:fill="FFFFFF"/>
            <w:vAlign w:val="center"/>
          </w:tcPr>
          <w:p w14:paraId="3E2FFF0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62375E0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7C69A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6A0B4A1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锌</w:t>
            </w:r>
          </w:p>
        </w:tc>
        <w:tc>
          <w:tcPr>
            <w:tcW w:w="980" w:type="pct"/>
            <w:tcBorders>
              <w:tl2br w:val="nil"/>
              <w:tr2bl w:val="nil"/>
            </w:tcBorders>
            <w:shd w:val="clear" w:color="000000" w:fill="FFFFFF"/>
            <w:vAlign w:val="center"/>
          </w:tcPr>
          <w:p w14:paraId="055A620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0.05ND</w:t>
            </w:r>
          </w:p>
        </w:tc>
        <w:tc>
          <w:tcPr>
            <w:tcW w:w="1241" w:type="pct"/>
            <w:tcBorders>
              <w:tl2br w:val="nil"/>
              <w:tr2bl w:val="nil"/>
            </w:tcBorders>
            <w:shd w:val="clear" w:color="000000" w:fill="FFFFFF"/>
            <w:vAlign w:val="center"/>
          </w:tcPr>
          <w:p w14:paraId="7F8AC02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0.05ND</w:t>
            </w:r>
          </w:p>
        </w:tc>
        <w:tc>
          <w:tcPr>
            <w:tcW w:w="640" w:type="pct"/>
            <w:tcBorders>
              <w:tl2br w:val="nil"/>
              <w:tr2bl w:val="nil"/>
            </w:tcBorders>
            <w:shd w:val="clear" w:color="000000" w:fill="FFFFFF"/>
            <w:vAlign w:val="center"/>
          </w:tcPr>
          <w:p w14:paraId="4A61C02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2</w:t>
            </w:r>
          </w:p>
        </w:tc>
        <w:tc>
          <w:tcPr>
            <w:tcW w:w="578" w:type="pct"/>
            <w:tcBorders>
              <w:tl2br w:val="nil"/>
              <w:tr2bl w:val="nil"/>
            </w:tcBorders>
            <w:shd w:val="clear" w:color="000000" w:fill="FFFFFF"/>
            <w:vAlign w:val="center"/>
          </w:tcPr>
          <w:p w14:paraId="621B426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12EB0E57">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3FAA9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1844C93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阴离子表面活性剂</w:t>
            </w:r>
          </w:p>
        </w:tc>
        <w:tc>
          <w:tcPr>
            <w:tcW w:w="980" w:type="pct"/>
            <w:tcBorders>
              <w:tl2br w:val="nil"/>
              <w:tr2bl w:val="nil"/>
            </w:tcBorders>
            <w:shd w:val="clear" w:color="000000" w:fill="FFFFFF"/>
            <w:vAlign w:val="center"/>
          </w:tcPr>
          <w:p w14:paraId="633B6D9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0.053~0.067</w:t>
            </w:r>
          </w:p>
        </w:tc>
        <w:tc>
          <w:tcPr>
            <w:tcW w:w="1241" w:type="pct"/>
            <w:tcBorders>
              <w:tl2br w:val="nil"/>
              <w:tr2bl w:val="nil"/>
            </w:tcBorders>
            <w:shd w:val="clear" w:color="000000" w:fill="FFFFFF"/>
            <w:vAlign w:val="center"/>
          </w:tcPr>
          <w:p w14:paraId="60A0307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0.096~0.119</w:t>
            </w:r>
          </w:p>
        </w:tc>
        <w:tc>
          <w:tcPr>
            <w:tcW w:w="640" w:type="pct"/>
            <w:tcBorders>
              <w:tl2br w:val="nil"/>
              <w:tr2bl w:val="nil"/>
            </w:tcBorders>
            <w:shd w:val="clear" w:color="000000" w:fill="FFFFFF"/>
            <w:vAlign w:val="center"/>
          </w:tcPr>
          <w:p w14:paraId="02F82F7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0.3</w:t>
            </w:r>
          </w:p>
        </w:tc>
        <w:tc>
          <w:tcPr>
            <w:tcW w:w="578" w:type="pct"/>
            <w:tcBorders>
              <w:tl2br w:val="nil"/>
              <w:tr2bl w:val="nil"/>
            </w:tcBorders>
            <w:shd w:val="clear" w:color="000000" w:fill="FFFFFF"/>
            <w:vAlign w:val="center"/>
          </w:tcPr>
          <w:p w14:paraId="09B409A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0.40</w:t>
            </w:r>
          </w:p>
        </w:tc>
        <w:tc>
          <w:tcPr>
            <w:tcW w:w="578" w:type="pct"/>
            <w:tcBorders>
              <w:tl2br w:val="nil"/>
              <w:tr2bl w:val="nil"/>
            </w:tcBorders>
            <w:shd w:val="clear" w:color="000000" w:fill="FFFFFF"/>
            <w:vAlign w:val="center"/>
          </w:tcPr>
          <w:p w14:paraId="556E86E7">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01E7A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7171D7E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挥发酚</w:t>
            </w:r>
          </w:p>
        </w:tc>
        <w:tc>
          <w:tcPr>
            <w:tcW w:w="980" w:type="pct"/>
            <w:tcBorders>
              <w:tl2br w:val="nil"/>
              <w:tr2bl w:val="nil"/>
            </w:tcBorders>
            <w:shd w:val="clear" w:color="000000" w:fill="FFFFFF"/>
            <w:vAlign w:val="center"/>
          </w:tcPr>
          <w:p w14:paraId="28C7BBD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0.0003ND</w:t>
            </w:r>
          </w:p>
        </w:tc>
        <w:tc>
          <w:tcPr>
            <w:tcW w:w="1241" w:type="pct"/>
            <w:tcBorders>
              <w:tl2br w:val="nil"/>
              <w:tr2bl w:val="nil"/>
            </w:tcBorders>
            <w:shd w:val="clear" w:color="000000" w:fill="FFFFFF"/>
            <w:vAlign w:val="center"/>
          </w:tcPr>
          <w:p w14:paraId="37C9656C">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0.0003ND</w:t>
            </w:r>
          </w:p>
        </w:tc>
        <w:tc>
          <w:tcPr>
            <w:tcW w:w="640" w:type="pct"/>
            <w:tcBorders>
              <w:tl2br w:val="nil"/>
              <w:tr2bl w:val="nil"/>
            </w:tcBorders>
            <w:shd w:val="clear" w:color="000000" w:fill="FFFFFF"/>
            <w:vAlign w:val="center"/>
          </w:tcPr>
          <w:p w14:paraId="6A07AFC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0.01</w:t>
            </w:r>
          </w:p>
        </w:tc>
        <w:tc>
          <w:tcPr>
            <w:tcW w:w="578" w:type="pct"/>
            <w:tcBorders>
              <w:tl2br w:val="nil"/>
              <w:tr2bl w:val="nil"/>
            </w:tcBorders>
            <w:shd w:val="clear" w:color="000000" w:fill="FFFFFF"/>
            <w:vAlign w:val="center"/>
          </w:tcPr>
          <w:p w14:paraId="01554A2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7F4E0E4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51F1E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2AF57F2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石油类</w:t>
            </w:r>
          </w:p>
        </w:tc>
        <w:tc>
          <w:tcPr>
            <w:tcW w:w="980" w:type="pct"/>
            <w:tcBorders>
              <w:tl2br w:val="nil"/>
              <w:tr2bl w:val="nil"/>
            </w:tcBorders>
            <w:shd w:val="clear" w:color="000000" w:fill="FFFFFF"/>
            <w:vAlign w:val="center"/>
          </w:tcPr>
          <w:p w14:paraId="1870CF8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0.01~0.02</w:t>
            </w:r>
          </w:p>
        </w:tc>
        <w:tc>
          <w:tcPr>
            <w:tcW w:w="1241" w:type="pct"/>
            <w:tcBorders>
              <w:tl2br w:val="nil"/>
              <w:tr2bl w:val="nil"/>
            </w:tcBorders>
            <w:shd w:val="clear" w:color="000000" w:fill="FFFFFF"/>
            <w:vAlign w:val="center"/>
          </w:tcPr>
          <w:p w14:paraId="106F83D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0.03</w:t>
            </w:r>
          </w:p>
        </w:tc>
        <w:tc>
          <w:tcPr>
            <w:tcW w:w="640" w:type="pct"/>
            <w:tcBorders>
              <w:tl2br w:val="nil"/>
              <w:tr2bl w:val="nil"/>
            </w:tcBorders>
            <w:shd w:val="clear" w:color="000000" w:fill="FFFFFF"/>
            <w:vAlign w:val="center"/>
          </w:tcPr>
          <w:p w14:paraId="3FF12D2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0.5</w:t>
            </w:r>
          </w:p>
        </w:tc>
        <w:tc>
          <w:tcPr>
            <w:tcW w:w="578" w:type="pct"/>
            <w:tcBorders>
              <w:tl2br w:val="nil"/>
              <w:tr2bl w:val="nil"/>
            </w:tcBorders>
            <w:shd w:val="clear" w:color="000000" w:fill="FFFFFF"/>
            <w:vAlign w:val="center"/>
          </w:tcPr>
          <w:p w14:paraId="13CCE77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658EA25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108AB2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5C05FB16">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硫酸盐</w:t>
            </w:r>
          </w:p>
        </w:tc>
        <w:tc>
          <w:tcPr>
            <w:tcW w:w="980" w:type="pct"/>
            <w:tcBorders>
              <w:tl2br w:val="nil"/>
              <w:tr2bl w:val="nil"/>
            </w:tcBorders>
            <w:shd w:val="clear" w:color="000000" w:fill="FFFFFF"/>
            <w:vAlign w:val="center"/>
          </w:tcPr>
          <w:p w14:paraId="5056389D">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13~16</w:t>
            </w:r>
          </w:p>
        </w:tc>
        <w:tc>
          <w:tcPr>
            <w:tcW w:w="1241" w:type="pct"/>
            <w:tcBorders>
              <w:tl2br w:val="nil"/>
              <w:tr2bl w:val="nil"/>
            </w:tcBorders>
            <w:shd w:val="clear" w:color="000000" w:fill="FFFFFF"/>
            <w:vAlign w:val="center"/>
          </w:tcPr>
          <w:p w14:paraId="6BCDEC5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29~32</w:t>
            </w:r>
          </w:p>
        </w:tc>
        <w:tc>
          <w:tcPr>
            <w:tcW w:w="640" w:type="pct"/>
            <w:tcBorders>
              <w:tl2br w:val="nil"/>
              <w:tr2bl w:val="nil"/>
            </w:tcBorders>
            <w:shd w:val="clear" w:color="000000" w:fill="FFFFFF"/>
            <w:vAlign w:val="center"/>
          </w:tcPr>
          <w:p w14:paraId="5701C05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250</w:t>
            </w:r>
          </w:p>
        </w:tc>
        <w:tc>
          <w:tcPr>
            <w:tcW w:w="578" w:type="pct"/>
            <w:tcBorders>
              <w:tl2br w:val="nil"/>
              <w:tr2bl w:val="nil"/>
            </w:tcBorders>
            <w:shd w:val="clear" w:color="000000" w:fill="FFFFFF"/>
            <w:vAlign w:val="center"/>
          </w:tcPr>
          <w:p w14:paraId="07570F2B">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0.13</w:t>
            </w:r>
          </w:p>
        </w:tc>
        <w:tc>
          <w:tcPr>
            <w:tcW w:w="578" w:type="pct"/>
            <w:tcBorders>
              <w:tl2br w:val="nil"/>
              <w:tr2bl w:val="nil"/>
            </w:tcBorders>
            <w:shd w:val="clear" w:color="000000" w:fill="FFFFFF"/>
            <w:vAlign w:val="center"/>
          </w:tcPr>
          <w:p w14:paraId="5DBBFBD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6B76C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09A23AC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硝酸盐（氮）</w:t>
            </w:r>
          </w:p>
        </w:tc>
        <w:tc>
          <w:tcPr>
            <w:tcW w:w="980" w:type="pct"/>
            <w:tcBorders>
              <w:tl2br w:val="nil"/>
              <w:tr2bl w:val="nil"/>
            </w:tcBorders>
            <w:shd w:val="clear" w:color="000000" w:fill="FFFFFF"/>
            <w:vAlign w:val="center"/>
          </w:tcPr>
          <w:p w14:paraId="618F68D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0.02ND</w:t>
            </w:r>
          </w:p>
        </w:tc>
        <w:tc>
          <w:tcPr>
            <w:tcW w:w="1241" w:type="pct"/>
            <w:tcBorders>
              <w:tl2br w:val="nil"/>
              <w:tr2bl w:val="nil"/>
            </w:tcBorders>
            <w:shd w:val="clear" w:color="000000" w:fill="FFFFFF"/>
            <w:vAlign w:val="center"/>
          </w:tcPr>
          <w:p w14:paraId="62C4EAA8">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0.02ND</w:t>
            </w:r>
          </w:p>
        </w:tc>
        <w:tc>
          <w:tcPr>
            <w:tcW w:w="640" w:type="pct"/>
            <w:tcBorders>
              <w:tl2br w:val="nil"/>
              <w:tr2bl w:val="nil"/>
            </w:tcBorders>
            <w:shd w:val="clear" w:color="000000" w:fill="FFFFFF"/>
            <w:vAlign w:val="center"/>
          </w:tcPr>
          <w:p w14:paraId="110526A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10</w:t>
            </w:r>
          </w:p>
        </w:tc>
        <w:tc>
          <w:tcPr>
            <w:tcW w:w="578" w:type="pct"/>
            <w:tcBorders>
              <w:tl2br w:val="nil"/>
              <w:tr2bl w:val="nil"/>
            </w:tcBorders>
            <w:shd w:val="clear" w:color="000000" w:fill="FFFFFF"/>
            <w:vAlign w:val="center"/>
          </w:tcPr>
          <w:p w14:paraId="40E72EF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779178A0">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668844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22827E67">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硫化物</w:t>
            </w:r>
          </w:p>
        </w:tc>
        <w:tc>
          <w:tcPr>
            <w:tcW w:w="980" w:type="pct"/>
            <w:tcBorders>
              <w:tl2br w:val="nil"/>
              <w:tr2bl w:val="nil"/>
            </w:tcBorders>
            <w:shd w:val="clear" w:color="000000" w:fill="FFFFFF"/>
            <w:vAlign w:val="center"/>
          </w:tcPr>
          <w:p w14:paraId="7DF7FE1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0.01ND</w:t>
            </w:r>
          </w:p>
        </w:tc>
        <w:tc>
          <w:tcPr>
            <w:tcW w:w="1241" w:type="pct"/>
            <w:tcBorders>
              <w:tl2br w:val="nil"/>
              <w:tr2bl w:val="nil"/>
            </w:tcBorders>
            <w:shd w:val="clear" w:color="000000" w:fill="FFFFFF"/>
            <w:vAlign w:val="center"/>
          </w:tcPr>
          <w:p w14:paraId="05D92283">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0.01ND</w:t>
            </w:r>
          </w:p>
        </w:tc>
        <w:tc>
          <w:tcPr>
            <w:tcW w:w="640" w:type="pct"/>
            <w:tcBorders>
              <w:tl2br w:val="nil"/>
              <w:tr2bl w:val="nil"/>
            </w:tcBorders>
            <w:shd w:val="clear" w:color="000000" w:fill="FFFFFF"/>
            <w:vAlign w:val="center"/>
          </w:tcPr>
          <w:p w14:paraId="6C9D5C1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0.5</w:t>
            </w:r>
          </w:p>
        </w:tc>
        <w:tc>
          <w:tcPr>
            <w:tcW w:w="578" w:type="pct"/>
            <w:tcBorders>
              <w:tl2br w:val="nil"/>
              <w:tr2bl w:val="nil"/>
            </w:tcBorders>
            <w:shd w:val="clear" w:color="000000" w:fill="FFFFFF"/>
            <w:vAlign w:val="center"/>
          </w:tcPr>
          <w:p w14:paraId="3C8719CF">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w:t>
            </w:r>
          </w:p>
        </w:tc>
        <w:tc>
          <w:tcPr>
            <w:tcW w:w="578" w:type="pct"/>
            <w:tcBorders>
              <w:tl2br w:val="nil"/>
              <w:tr2bl w:val="nil"/>
            </w:tcBorders>
            <w:shd w:val="clear" w:color="000000" w:fill="FFFFFF"/>
            <w:vAlign w:val="center"/>
          </w:tcPr>
          <w:p w14:paraId="648A1845">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r w14:paraId="11D3B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1" w:type="pct"/>
            <w:tcBorders>
              <w:tl2br w:val="nil"/>
              <w:tr2bl w:val="nil"/>
            </w:tcBorders>
            <w:shd w:val="clear" w:color="000000" w:fill="FFFFFF"/>
            <w:vAlign w:val="center"/>
          </w:tcPr>
          <w:p w14:paraId="1AE2E064">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粪大肠菌群（MPN/L）</w:t>
            </w:r>
          </w:p>
        </w:tc>
        <w:tc>
          <w:tcPr>
            <w:tcW w:w="980" w:type="pct"/>
            <w:tcBorders>
              <w:tl2br w:val="nil"/>
              <w:tr2bl w:val="nil"/>
            </w:tcBorders>
            <w:shd w:val="clear" w:color="000000" w:fill="FFFFFF"/>
            <w:vAlign w:val="center"/>
          </w:tcPr>
          <w:p w14:paraId="2427712A">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2200~2800</w:t>
            </w:r>
          </w:p>
        </w:tc>
        <w:tc>
          <w:tcPr>
            <w:tcW w:w="1241" w:type="pct"/>
            <w:tcBorders>
              <w:tl2br w:val="nil"/>
              <w:tr2bl w:val="nil"/>
            </w:tcBorders>
            <w:shd w:val="clear" w:color="000000" w:fill="FFFFFF"/>
            <w:vAlign w:val="center"/>
          </w:tcPr>
          <w:p w14:paraId="5D569311">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3500~3900</w:t>
            </w:r>
          </w:p>
        </w:tc>
        <w:tc>
          <w:tcPr>
            <w:tcW w:w="640" w:type="pct"/>
            <w:tcBorders>
              <w:tl2br w:val="nil"/>
              <w:tr2bl w:val="nil"/>
            </w:tcBorders>
            <w:shd w:val="clear" w:color="000000" w:fill="FFFFFF"/>
            <w:vAlign w:val="center"/>
          </w:tcPr>
          <w:p w14:paraId="49127952">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20000</w:t>
            </w:r>
          </w:p>
        </w:tc>
        <w:tc>
          <w:tcPr>
            <w:tcW w:w="578" w:type="pct"/>
            <w:tcBorders>
              <w:tl2br w:val="nil"/>
              <w:tr2bl w:val="nil"/>
            </w:tcBorders>
            <w:shd w:val="clear" w:color="000000" w:fill="FFFFFF"/>
            <w:vAlign w:val="center"/>
          </w:tcPr>
          <w:p w14:paraId="44057A5E">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0.20</w:t>
            </w:r>
          </w:p>
        </w:tc>
        <w:tc>
          <w:tcPr>
            <w:tcW w:w="578" w:type="pct"/>
            <w:tcBorders>
              <w:tl2br w:val="nil"/>
              <w:tr2bl w:val="nil"/>
            </w:tcBorders>
            <w:shd w:val="clear" w:color="000000" w:fill="FFFFFF"/>
            <w:vAlign w:val="center"/>
          </w:tcPr>
          <w:p w14:paraId="18B76859">
            <w:pPr>
              <w:widowControl/>
              <w:adjustRightInd w:val="0"/>
              <w:snapToGrid w:val="0"/>
              <w:jc w:val="center"/>
              <w:rPr>
                <w:rFonts w:hint="eastAsia" w:cs="宋体"/>
                <w:b w:val="0"/>
                <w:bCs w:val="0"/>
                <w:color w:val="auto"/>
                <w:sz w:val="21"/>
                <w:szCs w:val="21"/>
              </w:rPr>
            </w:pPr>
            <w:r>
              <w:rPr>
                <w:rFonts w:hint="eastAsia" w:cs="宋体"/>
                <w:b w:val="0"/>
                <w:bCs w:val="0"/>
                <w:color w:val="auto"/>
                <w:sz w:val="21"/>
                <w:szCs w:val="21"/>
              </w:rPr>
              <w:t>达标</w:t>
            </w:r>
          </w:p>
        </w:tc>
      </w:tr>
    </w:tbl>
    <w:p w14:paraId="60924C0B">
      <w:pPr>
        <w:pStyle w:val="4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sz w:val="21"/>
          <w:szCs w:val="21"/>
        </w:rPr>
      </w:pPr>
      <w:r>
        <w:rPr>
          <w:rFonts w:hint="eastAsia" w:eastAsia="宋体"/>
          <w:color w:val="auto"/>
          <w:sz w:val="21"/>
          <w:szCs w:val="21"/>
        </w:rPr>
        <w:t>备注：①数据后带（ND）的表示“低于方法检出限时，报所使用方法的检出限，并加标志位ND”。</w:t>
      </w:r>
    </w:p>
    <w:p w14:paraId="357358A4">
      <w:pPr>
        <w:pStyle w:val="4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宋体"/>
          <w:color w:val="auto"/>
          <w:sz w:val="21"/>
          <w:szCs w:val="21"/>
        </w:rPr>
      </w:pPr>
      <w:r>
        <w:rPr>
          <w:rFonts w:hint="eastAsia" w:eastAsia="宋体"/>
          <w:color w:val="auto"/>
          <w:sz w:val="21"/>
          <w:szCs w:val="21"/>
        </w:rPr>
        <w:t>②根据2020年8月10日部长信箱《关于地表水质量标准中总氮限制问题的回复》，总氮不作为日常水质评价指标。</w:t>
      </w:r>
    </w:p>
    <w:p w14:paraId="3B6A1141">
      <w:pPr>
        <w:pStyle w:val="46"/>
        <w:ind w:firstLine="480"/>
        <w:rPr>
          <w:rFonts w:hint="eastAsia" w:eastAsia="宋体"/>
          <w:color w:val="auto"/>
          <w:sz w:val="24"/>
          <w:lang w:eastAsia="zh-CN"/>
        </w:rPr>
      </w:pPr>
      <w:r>
        <w:rPr>
          <w:rFonts w:hint="eastAsia" w:eastAsia="宋体"/>
          <w:color w:val="auto"/>
          <w:sz w:val="24"/>
          <w:lang w:eastAsia="zh-CN"/>
        </w:rPr>
        <w:t>根据监测结果可知，各监测断面水质因子（不包括总氮）均满足《地表水环境质量标准》（GB3838-2002）IV类水质标准。</w:t>
      </w:r>
    </w:p>
    <w:p w14:paraId="1FE3AB9C">
      <w:pPr>
        <w:pStyle w:val="57"/>
        <w:numPr>
          <w:ilvl w:val="0"/>
          <w:numId w:val="0"/>
        </w:numPr>
        <w:spacing w:before="120" w:beforeLines="50" w:after="120" w:afterLines="50"/>
        <w:rPr>
          <w:rFonts w:eastAsia="宋体"/>
          <w:color w:val="auto"/>
          <w:sz w:val="30"/>
        </w:rPr>
      </w:pPr>
      <w:bookmarkStart w:id="42" w:name="_Toc33686912"/>
      <w:bookmarkStart w:id="43" w:name="_Toc772"/>
      <w:r>
        <w:rPr>
          <w:rFonts w:hint="eastAsia" w:eastAsia="宋体"/>
          <w:color w:val="auto"/>
          <w:sz w:val="30"/>
        </w:rPr>
        <w:t>4</w:t>
      </w:r>
      <w:r>
        <w:rPr>
          <w:rFonts w:eastAsia="宋体"/>
          <w:color w:val="auto"/>
          <w:sz w:val="30"/>
        </w:rPr>
        <w:t>.4</w:t>
      </w:r>
      <w:r>
        <w:rPr>
          <w:rFonts w:hint="eastAsia" w:eastAsia="宋体"/>
          <w:color w:val="auto"/>
          <w:sz w:val="30"/>
        </w:rPr>
        <w:t>入河污染物来源特征及功能区总量达标分析</w:t>
      </w:r>
      <w:bookmarkEnd w:id="42"/>
      <w:bookmarkEnd w:id="43"/>
    </w:p>
    <w:p w14:paraId="2D17C728">
      <w:pPr>
        <w:pStyle w:val="61"/>
        <w:numPr>
          <w:ilvl w:val="0"/>
          <w:numId w:val="0"/>
        </w:numPr>
        <w:spacing w:before="0" w:after="0"/>
        <w:rPr>
          <w:rFonts w:eastAsia="宋体"/>
          <w:color w:val="auto"/>
        </w:rPr>
      </w:pPr>
      <w:r>
        <w:rPr>
          <w:rFonts w:hint="eastAsia" w:eastAsia="宋体"/>
          <w:color w:val="auto"/>
        </w:rPr>
        <w:t>4</w:t>
      </w:r>
      <w:r>
        <w:rPr>
          <w:rFonts w:eastAsia="宋体"/>
          <w:color w:val="auto"/>
        </w:rPr>
        <w:t>.4.1</w:t>
      </w:r>
      <w:r>
        <w:rPr>
          <w:rFonts w:hint="eastAsia" w:eastAsia="宋体"/>
          <w:color w:val="auto"/>
        </w:rPr>
        <w:t>水功能区（水域）纳污能力及限排总量</w:t>
      </w:r>
    </w:p>
    <w:p w14:paraId="7D63E1A6">
      <w:pPr>
        <w:pStyle w:val="46"/>
        <w:ind w:firstLine="480"/>
        <w:rPr>
          <w:rFonts w:hint="eastAsia" w:eastAsia="宋体"/>
          <w:color w:val="auto"/>
          <w:sz w:val="24"/>
          <w:lang w:eastAsia="zh-CN"/>
        </w:rPr>
      </w:pPr>
      <w:r>
        <w:rPr>
          <w:rFonts w:hint="eastAsia" w:eastAsia="宋体"/>
          <w:color w:val="auto"/>
          <w:sz w:val="24"/>
          <w:lang w:eastAsia="zh-CN"/>
        </w:rPr>
        <w:t>根据《中华人民共和国水法》的规定：“县级以上人民政府行政主管部门或者流域管理机构应当按照水功能区对水质的要求和水体的自然净化能力，核定该水域的纳污能力，向环境保护行政主管部门提出该水域的限制纳污总量意见”。</w:t>
      </w:r>
    </w:p>
    <w:p w14:paraId="598A1A29">
      <w:pPr>
        <w:pStyle w:val="46"/>
        <w:ind w:firstLine="480"/>
        <w:rPr>
          <w:rFonts w:hint="eastAsia" w:eastAsia="宋体"/>
          <w:color w:val="auto"/>
          <w:sz w:val="24"/>
          <w:lang w:eastAsia="zh-CN"/>
        </w:rPr>
      </w:pPr>
      <w:r>
        <w:rPr>
          <w:rFonts w:hint="eastAsia" w:eastAsia="宋体"/>
          <w:color w:val="auto"/>
          <w:sz w:val="24"/>
          <w:lang w:eastAsia="zh-CN"/>
        </w:rPr>
        <w:t>根据《陕西省水功能区划》及《关于转发&lt;陕西省水功能区划&gt;（西安部分）的通知》对新河的区划，项目排污口所在河流为新河的水质管理目标为《地表水环境质量标准》IV类水水质标准。选择《陕西省水功能区划》中COD和氨氮排放浓度IV类水质作为新河水质目标。</w:t>
      </w:r>
    </w:p>
    <w:p w14:paraId="39D1B2A7">
      <w:pPr>
        <w:pStyle w:val="46"/>
        <w:ind w:firstLine="480"/>
        <w:rPr>
          <w:rFonts w:hint="eastAsia" w:eastAsia="宋体"/>
          <w:color w:val="auto"/>
          <w:sz w:val="24"/>
          <w:lang w:eastAsia="zh-CN"/>
        </w:rPr>
      </w:pPr>
      <w:r>
        <w:rPr>
          <w:rFonts w:hint="eastAsia" w:eastAsia="宋体"/>
          <w:color w:val="auto"/>
          <w:sz w:val="24"/>
          <w:lang w:eastAsia="zh-CN"/>
        </w:rPr>
        <w:t>由于新河未纳入国家、省级重要水功能区，无纳污能力和限排总量计算成果，因此，本论证根据水域的设计水文条件和水质目标，依照《水域纳污能力计算规程》（GB/T25173-2010），计算新河的纳污能力。</w:t>
      </w:r>
    </w:p>
    <w:p w14:paraId="76A8A6C3">
      <w:pPr>
        <w:pStyle w:val="61"/>
        <w:numPr>
          <w:ilvl w:val="0"/>
          <w:numId w:val="0"/>
        </w:numPr>
        <w:spacing w:before="0" w:after="0"/>
        <w:rPr>
          <w:rFonts w:hint="eastAsia" w:eastAsia="宋体"/>
          <w:color w:val="auto"/>
          <w:lang w:val="en-US" w:eastAsia="zh-CN"/>
        </w:rPr>
      </w:pPr>
      <w:r>
        <w:rPr>
          <w:rFonts w:hint="eastAsia" w:eastAsia="宋体"/>
          <w:color w:val="auto"/>
        </w:rPr>
        <w:t>4</w:t>
      </w:r>
      <w:r>
        <w:rPr>
          <w:rFonts w:eastAsia="宋体"/>
          <w:color w:val="auto"/>
        </w:rPr>
        <w:t>.4.</w:t>
      </w:r>
      <w:r>
        <w:rPr>
          <w:rFonts w:hint="eastAsia" w:eastAsia="宋体"/>
          <w:color w:val="auto"/>
          <w:lang w:val="en-US" w:eastAsia="zh-CN"/>
        </w:rPr>
        <w:t>2</w:t>
      </w:r>
      <w:r>
        <w:rPr>
          <w:rFonts w:hint="eastAsia" w:eastAsia="宋体"/>
          <w:color w:val="auto"/>
        </w:rPr>
        <w:t>水功能区（水域）纳污能力</w:t>
      </w:r>
      <w:r>
        <w:rPr>
          <w:rFonts w:hint="eastAsia" w:eastAsia="宋体"/>
          <w:color w:val="auto"/>
          <w:lang w:val="en-US" w:eastAsia="zh-CN"/>
        </w:rPr>
        <w:t>计算</w:t>
      </w:r>
    </w:p>
    <w:p w14:paraId="6BC196E1">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污染物在河段横断面上均匀混合，可采用河流一维模型计算水域纳污能力，该模型主要适用于Q&lt;150m</w:t>
      </w:r>
      <w:r>
        <w:rPr>
          <w:rFonts w:hint="eastAsia" w:eastAsia="宋体"/>
          <w:color w:val="auto"/>
          <w:sz w:val="24"/>
          <w:vertAlign w:val="superscript"/>
          <w:lang w:eastAsia="zh-CN"/>
        </w:rPr>
        <w:t>3</w:t>
      </w:r>
      <w:r>
        <w:rPr>
          <w:rFonts w:hint="eastAsia" w:eastAsia="宋体"/>
          <w:color w:val="auto"/>
          <w:sz w:val="24"/>
          <w:lang w:eastAsia="zh-CN"/>
        </w:rPr>
        <w:t>/s的中小型河段，新河多年平均流量为0.</w:t>
      </w:r>
      <w:r>
        <w:rPr>
          <w:rFonts w:hint="eastAsia" w:eastAsia="宋体"/>
          <w:color w:val="auto"/>
          <w:sz w:val="24"/>
          <w:lang w:val="en-US" w:eastAsia="zh-CN"/>
        </w:rPr>
        <w:t>041</w:t>
      </w:r>
      <w:r>
        <w:rPr>
          <w:rFonts w:hint="eastAsia" w:eastAsia="宋体"/>
          <w:color w:val="auto"/>
          <w:sz w:val="24"/>
          <w:lang w:eastAsia="zh-CN"/>
        </w:rPr>
        <w:t>m</w:t>
      </w:r>
      <w:r>
        <w:rPr>
          <w:rFonts w:hint="eastAsia" w:eastAsia="宋体"/>
          <w:color w:val="auto"/>
          <w:sz w:val="24"/>
          <w:vertAlign w:val="superscript"/>
          <w:lang w:eastAsia="zh-CN"/>
        </w:rPr>
        <w:t>3</w:t>
      </w:r>
      <w:r>
        <w:rPr>
          <w:rFonts w:hint="eastAsia" w:eastAsia="宋体"/>
          <w:color w:val="auto"/>
          <w:sz w:val="24"/>
          <w:lang w:eastAsia="zh-CN"/>
        </w:rPr>
        <w:t>/s，故采用一维水质模型计算本论证范围水域的纳污能力。</w:t>
      </w:r>
    </w:p>
    <w:p w14:paraId="6798CCEB">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根据新河监测数据可知，新河本项目</w:t>
      </w:r>
      <w:r>
        <w:rPr>
          <w:rFonts w:hint="eastAsia" w:eastAsia="宋体"/>
          <w:color w:val="auto"/>
          <w:sz w:val="24"/>
          <w:lang w:val="en-US" w:eastAsia="zh-CN"/>
        </w:rPr>
        <w:t>废水</w:t>
      </w:r>
      <w:r>
        <w:rPr>
          <w:rFonts w:hint="eastAsia" w:eastAsia="宋体"/>
          <w:color w:val="auto"/>
          <w:sz w:val="24"/>
          <w:lang w:eastAsia="zh-CN"/>
        </w:rPr>
        <w:t>排污口处（采用</w:t>
      </w:r>
      <w:r>
        <w:rPr>
          <w:rFonts w:hint="eastAsia" w:eastAsia="宋体"/>
          <w:color w:val="auto"/>
          <w:sz w:val="24"/>
          <w:lang w:val="en-US" w:eastAsia="zh-CN"/>
        </w:rPr>
        <w:t>下游1500m</w:t>
      </w:r>
      <w:r>
        <w:rPr>
          <w:rFonts w:hint="eastAsia" w:eastAsia="宋体"/>
          <w:color w:val="auto"/>
          <w:sz w:val="24"/>
          <w:lang w:eastAsia="zh-CN"/>
        </w:rPr>
        <w:t>）现状枯水期COD最大监测浓度</w:t>
      </w:r>
      <w:r>
        <w:rPr>
          <w:rFonts w:hint="eastAsia" w:eastAsia="宋体"/>
          <w:color w:val="auto"/>
          <w:sz w:val="24"/>
          <w:lang w:val="en-US" w:eastAsia="zh-CN"/>
        </w:rPr>
        <w:t>13</w:t>
      </w:r>
      <w:r>
        <w:rPr>
          <w:rFonts w:hint="eastAsia" w:eastAsia="宋体"/>
          <w:color w:val="auto"/>
          <w:sz w:val="24"/>
          <w:lang w:eastAsia="zh-CN"/>
        </w:rPr>
        <w:t>mg/L，NH</w:t>
      </w:r>
      <w:r>
        <w:rPr>
          <w:rFonts w:hint="eastAsia" w:eastAsia="宋体"/>
          <w:color w:val="auto"/>
          <w:sz w:val="24"/>
          <w:vertAlign w:val="subscript"/>
          <w:lang w:eastAsia="zh-CN"/>
        </w:rPr>
        <w:t>3</w:t>
      </w:r>
      <w:r>
        <w:rPr>
          <w:rFonts w:hint="eastAsia" w:eastAsia="宋体"/>
          <w:color w:val="auto"/>
          <w:sz w:val="24"/>
          <w:lang w:eastAsia="zh-CN"/>
        </w:rPr>
        <w:t>-N最大监测浓度</w:t>
      </w:r>
      <w:r>
        <w:rPr>
          <w:rFonts w:hint="eastAsia" w:eastAsia="宋体"/>
          <w:color w:val="auto"/>
          <w:sz w:val="24"/>
          <w:lang w:val="en-US" w:eastAsia="zh-CN"/>
        </w:rPr>
        <w:t>0.904</w:t>
      </w:r>
      <w:r>
        <w:rPr>
          <w:rFonts w:hint="eastAsia" w:eastAsia="宋体"/>
          <w:color w:val="auto"/>
          <w:sz w:val="24"/>
          <w:lang w:eastAsia="zh-CN"/>
        </w:rPr>
        <w:t>mg/L。本项目上游500m断面监测值作为新河上游背景浓度</w:t>
      </w:r>
      <w:r>
        <w:rPr>
          <w:rFonts w:hint="eastAsia" w:eastAsia="宋体"/>
          <w:color w:val="auto"/>
          <w:sz w:val="24"/>
          <w:lang w:val="en-US" w:eastAsia="zh-CN"/>
        </w:rPr>
        <w:t>C</w:t>
      </w:r>
      <w:r>
        <w:rPr>
          <w:rFonts w:hint="eastAsia" w:eastAsia="宋体"/>
          <w:color w:val="auto"/>
          <w:sz w:val="24"/>
          <w:vertAlign w:val="subscript"/>
          <w:lang w:eastAsia="zh-CN"/>
        </w:rPr>
        <w:t>0</w:t>
      </w:r>
      <w:r>
        <w:rPr>
          <w:rFonts w:hint="eastAsia" w:eastAsia="宋体"/>
          <w:color w:val="auto"/>
          <w:sz w:val="24"/>
          <w:lang w:eastAsia="zh-CN"/>
        </w:rPr>
        <w:t>，即COD</w:t>
      </w:r>
      <w:r>
        <w:rPr>
          <w:rFonts w:hint="eastAsia" w:eastAsia="宋体"/>
          <w:color w:val="auto"/>
          <w:sz w:val="24"/>
          <w:lang w:val="en-US" w:eastAsia="zh-CN"/>
        </w:rPr>
        <w:t xml:space="preserve"> 9</w:t>
      </w:r>
      <w:r>
        <w:rPr>
          <w:rFonts w:hint="eastAsia" w:eastAsia="宋体"/>
          <w:color w:val="auto"/>
          <w:sz w:val="24"/>
          <w:lang w:eastAsia="zh-CN"/>
        </w:rPr>
        <w:t>mg/L，NH</w:t>
      </w:r>
      <w:r>
        <w:rPr>
          <w:rFonts w:hint="eastAsia" w:eastAsia="宋体"/>
          <w:color w:val="auto"/>
          <w:sz w:val="24"/>
          <w:vertAlign w:val="subscript"/>
          <w:lang w:eastAsia="zh-CN"/>
        </w:rPr>
        <w:t>3</w:t>
      </w:r>
      <w:r>
        <w:rPr>
          <w:rFonts w:hint="eastAsia" w:eastAsia="宋体"/>
          <w:color w:val="auto"/>
          <w:sz w:val="24"/>
          <w:lang w:eastAsia="zh-CN"/>
        </w:rPr>
        <w:t>-N</w:t>
      </w:r>
      <w:r>
        <w:rPr>
          <w:rFonts w:hint="eastAsia" w:eastAsia="宋体"/>
          <w:color w:val="auto"/>
          <w:sz w:val="24"/>
          <w:lang w:val="en-US" w:eastAsia="zh-CN"/>
        </w:rPr>
        <w:t xml:space="preserve"> 0.356</w:t>
      </w:r>
      <w:r>
        <w:rPr>
          <w:rFonts w:hint="eastAsia" w:eastAsia="宋体"/>
          <w:color w:val="auto"/>
          <w:sz w:val="24"/>
          <w:lang w:eastAsia="zh-CN"/>
        </w:rPr>
        <w:t>mg/L。水质目标C</w:t>
      </w:r>
      <w:r>
        <w:rPr>
          <w:rFonts w:hint="eastAsia" w:eastAsia="宋体"/>
          <w:color w:val="auto"/>
          <w:sz w:val="24"/>
          <w:lang w:val="en-US" w:eastAsia="zh-CN"/>
        </w:rPr>
        <w:t>s</w:t>
      </w:r>
      <w:r>
        <w:rPr>
          <w:rFonts w:hint="eastAsia" w:eastAsia="宋体"/>
          <w:color w:val="auto"/>
          <w:sz w:val="24"/>
          <w:lang w:eastAsia="zh-CN"/>
        </w:rPr>
        <w:t>值取</w:t>
      </w:r>
      <w:r>
        <w:rPr>
          <w:rFonts w:hint="default" w:ascii="Times New Roman" w:hAnsi="Times New Roman" w:eastAsia="宋体" w:cs="Times New Roman"/>
          <w:color w:val="auto"/>
          <w:sz w:val="24"/>
          <w:lang w:eastAsia="zh-CN"/>
        </w:rPr>
        <w:t>Ⅳ</w:t>
      </w:r>
      <w:r>
        <w:rPr>
          <w:rFonts w:hint="eastAsia" w:eastAsia="宋体"/>
          <w:color w:val="auto"/>
          <w:sz w:val="24"/>
          <w:lang w:eastAsia="zh-CN"/>
        </w:rPr>
        <w:t>类水目标值：COD为30mg/L，NH</w:t>
      </w:r>
      <w:r>
        <w:rPr>
          <w:rFonts w:hint="eastAsia" w:eastAsia="宋体"/>
          <w:color w:val="auto"/>
          <w:sz w:val="24"/>
          <w:vertAlign w:val="subscript"/>
          <w:lang w:eastAsia="zh-CN"/>
        </w:rPr>
        <w:t>3</w:t>
      </w:r>
      <w:r>
        <w:rPr>
          <w:rFonts w:hint="eastAsia" w:eastAsia="宋体"/>
          <w:color w:val="auto"/>
          <w:sz w:val="24"/>
          <w:lang w:eastAsia="zh-CN"/>
        </w:rPr>
        <w:t>-N为1.5mg/L。</w:t>
      </w:r>
    </w:p>
    <w:p w14:paraId="70472572">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在水质模型中，将污染物在水环境中的物理降解、化学降解和生物降解概化为综合衰减系数。</w:t>
      </w:r>
    </w:p>
    <w:p w14:paraId="31805F23">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由于新河没有衰减系数实测资料，根据《陕西省国家重要江河水功能区纳污能力核定和分阶段限排总量控制方案报告》对陕西省黄河流域各水功能区的COD、氨氮降解系数分析研究数据，陕西省黄河流域其它水系COD的K值为0.20d</w:t>
      </w:r>
      <w:r>
        <w:rPr>
          <w:rFonts w:hint="eastAsia" w:eastAsia="宋体"/>
          <w:color w:val="auto"/>
          <w:sz w:val="24"/>
          <w:vertAlign w:val="superscript"/>
          <w:lang w:eastAsia="zh-CN"/>
        </w:rPr>
        <w:t>-1</w:t>
      </w:r>
      <w:r>
        <w:rPr>
          <w:rFonts w:hint="eastAsia" w:eastAsia="宋体"/>
          <w:color w:val="auto"/>
          <w:sz w:val="24"/>
          <w:lang w:eastAsia="zh-CN"/>
        </w:rPr>
        <w:t>，NH</w:t>
      </w:r>
      <w:r>
        <w:rPr>
          <w:rFonts w:hint="eastAsia" w:eastAsia="宋体"/>
          <w:color w:val="auto"/>
          <w:sz w:val="24"/>
          <w:vertAlign w:val="subscript"/>
          <w:lang w:eastAsia="zh-CN"/>
        </w:rPr>
        <w:t>3</w:t>
      </w:r>
      <w:r>
        <w:rPr>
          <w:rFonts w:hint="eastAsia" w:eastAsia="宋体"/>
          <w:color w:val="auto"/>
          <w:sz w:val="24"/>
          <w:lang w:eastAsia="zh-CN"/>
        </w:rPr>
        <w:t>-N的K值为0.30d</w:t>
      </w:r>
      <w:r>
        <w:rPr>
          <w:rFonts w:hint="eastAsia" w:eastAsia="宋体"/>
          <w:color w:val="auto"/>
          <w:sz w:val="24"/>
          <w:vertAlign w:val="superscript"/>
          <w:lang w:eastAsia="zh-CN"/>
        </w:rPr>
        <w:t>-1</w:t>
      </w:r>
      <w:r>
        <w:rPr>
          <w:rFonts w:hint="eastAsia" w:eastAsia="宋体"/>
          <w:color w:val="auto"/>
          <w:sz w:val="24"/>
          <w:lang w:eastAsia="zh-CN"/>
        </w:rPr>
        <w:t>，则新河采用该系数。</w:t>
      </w:r>
    </w:p>
    <w:p w14:paraId="087898FC">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水域纳污能力计算的设计条件，以计算断面的设计流量（水量）表示。根据《水域纳污能力计算规程》中“计算河流水域纳污能力，应采用90%保证率最枯月平均流量或近10年最枯月平均流量作为设计流量”。由于新河流域无实测水文资料，临近沣河秦渡镇水文站以上流域与新河流域山区均为秦岭山地，气象、水文、地形地貌等下垫面产流条件较为相似，因此，水文比拟法以沣河秦渡镇水文站作为参证站。</w:t>
      </w:r>
    </w:p>
    <w:p w14:paraId="00A1339F">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根据沣河秦渡镇站2006-2015年月平均流量统计，近10年最枯月平均流量为1.08m</w:t>
      </w:r>
      <w:r>
        <w:rPr>
          <w:rFonts w:hint="eastAsia" w:eastAsia="宋体"/>
          <w:color w:val="auto"/>
          <w:sz w:val="24"/>
          <w:vertAlign w:val="superscript"/>
          <w:lang w:eastAsia="zh-CN"/>
        </w:rPr>
        <w:t>3</w:t>
      </w:r>
      <w:r>
        <w:rPr>
          <w:rFonts w:hint="eastAsia" w:eastAsia="宋体"/>
          <w:color w:val="auto"/>
          <w:sz w:val="24"/>
          <w:lang w:eastAsia="zh-CN"/>
        </w:rPr>
        <w:t>/s，沣河秦渡镇站控制流域面积为566km</w:t>
      </w:r>
      <w:r>
        <w:rPr>
          <w:rFonts w:hint="eastAsia" w:eastAsia="宋体"/>
          <w:color w:val="auto"/>
          <w:sz w:val="24"/>
          <w:vertAlign w:val="superscript"/>
          <w:lang w:eastAsia="zh-CN"/>
        </w:rPr>
        <w:t>2</w:t>
      </w:r>
      <w:r>
        <w:rPr>
          <w:rFonts w:hint="eastAsia" w:eastAsia="宋体"/>
          <w:color w:val="auto"/>
          <w:sz w:val="24"/>
          <w:lang w:eastAsia="zh-CN"/>
        </w:rPr>
        <w:t>，本次论证的新河断面山区流域面积21.58km</w:t>
      </w:r>
      <w:r>
        <w:rPr>
          <w:rFonts w:hint="eastAsia" w:eastAsia="宋体"/>
          <w:color w:val="auto"/>
          <w:sz w:val="24"/>
          <w:vertAlign w:val="superscript"/>
          <w:lang w:eastAsia="zh-CN"/>
        </w:rPr>
        <w:t>2</w:t>
      </w:r>
      <w:r>
        <w:rPr>
          <w:rFonts w:hint="eastAsia" w:eastAsia="宋体"/>
          <w:color w:val="auto"/>
          <w:sz w:val="24"/>
          <w:lang w:eastAsia="zh-CN"/>
        </w:rPr>
        <w:t>，因此类比分析后新河近10年最枯月平均流量为0.04</w:t>
      </w:r>
      <w:r>
        <w:rPr>
          <w:rFonts w:hint="eastAsia" w:eastAsia="宋体"/>
          <w:color w:val="auto"/>
          <w:sz w:val="24"/>
          <w:lang w:val="en-US" w:eastAsia="zh-CN"/>
        </w:rPr>
        <w:t>1</w:t>
      </w:r>
      <w:r>
        <w:rPr>
          <w:rFonts w:hint="eastAsia" w:eastAsia="宋体"/>
          <w:color w:val="auto"/>
          <w:sz w:val="24"/>
          <w:lang w:eastAsia="zh-CN"/>
        </w:rPr>
        <w:t>m</w:t>
      </w:r>
      <w:r>
        <w:rPr>
          <w:rFonts w:hint="eastAsia" w:eastAsia="宋体"/>
          <w:color w:val="auto"/>
          <w:sz w:val="24"/>
          <w:vertAlign w:val="superscript"/>
          <w:lang w:val="en-US" w:eastAsia="zh-CN"/>
        </w:rPr>
        <w:t>3</w:t>
      </w:r>
      <w:r>
        <w:rPr>
          <w:rFonts w:hint="eastAsia" w:eastAsia="宋体"/>
          <w:color w:val="auto"/>
          <w:sz w:val="24"/>
          <w:lang w:eastAsia="zh-CN"/>
        </w:rPr>
        <w:t>/s。</w:t>
      </w:r>
    </w:p>
    <w:p w14:paraId="527B3E50">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对于污染物在横断面上均匀混合的河段，采用一维水质模型计算。本项目建成运营后，</w:t>
      </w:r>
      <w:r>
        <w:rPr>
          <w:rFonts w:hint="eastAsia" w:eastAsia="宋体"/>
          <w:color w:val="auto"/>
          <w:sz w:val="24"/>
          <w:lang w:val="en-US" w:eastAsia="zh-CN"/>
        </w:rPr>
        <w:t>废水</w:t>
      </w:r>
      <w:r>
        <w:rPr>
          <w:rFonts w:hint="eastAsia" w:eastAsia="宋体"/>
          <w:color w:val="auto"/>
          <w:sz w:val="24"/>
          <w:lang w:eastAsia="zh-CN"/>
        </w:rPr>
        <w:t>排水口上游500m断面至新河文涝路断面的范围内现状排污口主要有：西安金鹏水务工程有限公司总排口、西安北方惠安化学工业有限公司及西安北方硝化棉有限公司西安分公司排污口、鄠邑区第</w:t>
      </w:r>
      <w:r>
        <w:rPr>
          <w:rFonts w:hint="eastAsia" w:eastAsia="宋体"/>
          <w:color w:val="auto"/>
          <w:sz w:val="24"/>
          <w:lang w:val="en-US" w:eastAsia="zh-CN"/>
        </w:rPr>
        <w:t>三</w:t>
      </w:r>
      <w:r>
        <w:rPr>
          <w:rFonts w:hint="eastAsia" w:eastAsia="宋体"/>
          <w:color w:val="auto"/>
          <w:sz w:val="24"/>
          <w:lang w:eastAsia="zh-CN"/>
        </w:rPr>
        <w:t>污水处理厂入河排污口、西安国维淀粉有限责任公司排污口排入的黄柏河汇入口。</w:t>
      </w:r>
    </w:p>
    <w:p w14:paraId="0114D671">
      <w:pPr>
        <w:pStyle w:val="46"/>
        <w:adjustRightInd w:val="0"/>
        <w:snapToGrid w:val="0"/>
        <w:ind w:firstLine="480"/>
        <w:rPr>
          <w:rFonts w:hint="eastAsia" w:eastAsia="宋体"/>
          <w:color w:val="auto"/>
          <w:sz w:val="24"/>
          <w:lang w:eastAsia="zh-CN"/>
        </w:rPr>
      </w:pPr>
      <w:r>
        <w:rPr>
          <w:rFonts w:hint="eastAsia" w:eastAsia="宋体"/>
          <w:color w:val="auto"/>
          <w:position w:val="-54"/>
          <w:sz w:val="24"/>
          <w:lang w:eastAsia="zh-CN"/>
        </w:rPr>
        <w:pict>
          <v:shape id="_x0000_s1027" o:spid="_x0000_s1027" o:spt="75" type="#_x0000_t75" style="position:absolute;left:0pt;margin-left:103.5pt;margin-top:23.55pt;height:100.2pt;width:222.9pt;mso-wrap-distance-left:9pt;mso-wrap-distance-right:9pt;z-index:-251644928;mso-width-relative:page;mso-height-relative:page;" o:ole="t" filled="f" o:preferrelative="t" stroked="f" coordsize="21600,21600" wrapcoords="21592 -2 0 0 0 21600 21592 21602 8 21602 21600 21600 21600 0 8 -2 21592 -2">
            <v:path/>
            <v:fill on="f" focussize="0,0"/>
            <v:stroke on="f"/>
            <v:imagedata r:id="rId39" o:title=""/>
            <o:lock v:ext="edit" aspectratio="t"/>
            <w10:wrap type="tight"/>
          </v:shape>
          <o:OLEObject Type="Embed" ProgID="Equation.KSEE3" ShapeID="_x0000_s1027" DrawAspect="Content" ObjectID="_1468075731" r:id="rId38">
            <o:LockedField>false</o:LockedField>
          </o:OLEObject>
        </w:pict>
      </w:r>
      <w:r>
        <w:rPr>
          <w:rFonts w:hint="eastAsia" w:eastAsia="宋体"/>
          <w:color w:val="auto"/>
          <w:sz w:val="24"/>
          <w:lang w:eastAsia="zh-CN"/>
        </w:rPr>
        <w:t>计算纳污能力的公式：</w:t>
      </w:r>
    </w:p>
    <w:p w14:paraId="0DEAEC5B">
      <w:pPr>
        <w:pStyle w:val="46"/>
        <w:adjustRightInd w:val="0"/>
        <w:snapToGrid w:val="0"/>
        <w:ind w:firstLine="480"/>
        <w:rPr>
          <w:rFonts w:hint="default" w:eastAsia="宋体"/>
          <w:color w:val="auto"/>
          <w:sz w:val="24"/>
          <w:lang w:val="en-US" w:eastAsia="zh-CN"/>
        </w:rPr>
      </w:pPr>
      <w:r>
        <w:rPr>
          <w:rFonts w:hint="eastAsia" w:eastAsia="宋体"/>
          <w:color w:val="auto"/>
          <w:sz w:val="24"/>
          <w:lang w:val="en-US" w:eastAsia="zh-CN"/>
        </w:rPr>
        <w:t xml:space="preserve">  </w:t>
      </w:r>
    </w:p>
    <w:p w14:paraId="01CF383A">
      <w:pPr>
        <w:pStyle w:val="46"/>
        <w:adjustRightInd w:val="0"/>
        <w:snapToGrid w:val="0"/>
        <w:ind w:firstLine="480"/>
        <w:rPr>
          <w:rFonts w:hint="eastAsia" w:eastAsia="宋体"/>
          <w:color w:val="auto"/>
          <w:sz w:val="24"/>
          <w:lang w:eastAsia="zh-CN"/>
        </w:rPr>
      </w:pPr>
    </w:p>
    <w:p w14:paraId="291349AE">
      <w:pPr>
        <w:pStyle w:val="46"/>
        <w:adjustRightInd w:val="0"/>
        <w:snapToGrid w:val="0"/>
        <w:ind w:firstLine="480"/>
        <w:rPr>
          <w:rFonts w:hint="eastAsia" w:eastAsia="宋体"/>
          <w:color w:val="auto"/>
          <w:sz w:val="24"/>
          <w:lang w:eastAsia="zh-CN"/>
        </w:rPr>
      </w:pPr>
    </w:p>
    <w:p w14:paraId="5ED5DA86">
      <w:pPr>
        <w:pStyle w:val="46"/>
        <w:adjustRightInd w:val="0"/>
        <w:snapToGrid w:val="0"/>
        <w:ind w:firstLine="480"/>
        <w:rPr>
          <w:rFonts w:hint="eastAsia" w:eastAsia="宋体"/>
          <w:color w:val="auto"/>
          <w:sz w:val="24"/>
          <w:lang w:eastAsia="zh-CN"/>
        </w:rPr>
      </w:pPr>
    </w:p>
    <w:p w14:paraId="74E1EAE2">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式中：</w:t>
      </w:r>
      <w:r>
        <w:rPr>
          <w:rFonts w:hint="eastAsia" w:eastAsia="宋体"/>
          <w:i/>
          <w:iCs/>
          <w:color w:val="auto"/>
          <w:sz w:val="24"/>
          <w:lang w:eastAsia="zh-CN"/>
        </w:rPr>
        <w:t>C</w:t>
      </w:r>
      <w:r>
        <w:rPr>
          <w:rFonts w:hint="eastAsia" w:eastAsia="宋体"/>
          <w:i/>
          <w:iCs/>
          <w:color w:val="auto"/>
          <w:sz w:val="24"/>
          <w:vertAlign w:val="subscript"/>
          <w:lang w:val="en-US" w:eastAsia="zh-CN"/>
        </w:rPr>
        <w:t>x</w:t>
      </w:r>
      <w:r>
        <w:rPr>
          <w:rFonts w:hint="eastAsia" w:eastAsia="宋体"/>
          <w:color w:val="auto"/>
          <w:sz w:val="24"/>
          <w:lang w:eastAsia="zh-CN"/>
        </w:rPr>
        <w:t>――流经</w:t>
      </w:r>
      <w:r>
        <w:rPr>
          <w:rFonts w:hint="eastAsia" w:eastAsia="宋体"/>
          <w:i/>
          <w:iCs/>
          <w:color w:val="auto"/>
          <w:sz w:val="24"/>
          <w:lang w:eastAsia="zh-CN"/>
        </w:rPr>
        <w:t>x</w:t>
      </w:r>
      <w:r>
        <w:rPr>
          <w:rFonts w:hint="eastAsia" w:eastAsia="宋体"/>
          <w:color w:val="auto"/>
          <w:sz w:val="24"/>
          <w:lang w:eastAsia="zh-CN"/>
        </w:rPr>
        <w:t>距离后的污染物浓度，mg/L；</w:t>
      </w:r>
    </w:p>
    <w:p w14:paraId="468CBCFC">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i/>
          <w:iCs/>
          <w:color w:val="auto"/>
          <w:sz w:val="24"/>
          <w:vertAlign w:val="subscript"/>
          <w:lang w:eastAsia="zh-CN"/>
        </w:rPr>
        <w:t>0</w:t>
      </w:r>
      <w:r>
        <w:rPr>
          <w:rFonts w:hint="eastAsia" w:eastAsia="宋体"/>
          <w:color w:val="auto"/>
          <w:sz w:val="24"/>
          <w:lang w:eastAsia="zh-CN"/>
        </w:rPr>
        <w:t>――初始断面的污染物浓度，mg/L；</w:t>
      </w:r>
    </w:p>
    <w:p w14:paraId="2D6F126B">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x</w:t>
      </w:r>
      <w:r>
        <w:rPr>
          <w:rFonts w:hint="eastAsia" w:eastAsia="宋体"/>
          <w:color w:val="auto"/>
          <w:sz w:val="24"/>
          <w:lang w:eastAsia="zh-CN"/>
        </w:rPr>
        <w:t>――沿河段的纵向距离，m；</w:t>
      </w:r>
    </w:p>
    <w:p w14:paraId="3BB1FAD5">
      <w:pPr>
        <w:pStyle w:val="46"/>
        <w:adjustRightInd w:val="0"/>
        <w:snapToGrid w:val="0"/>
        <w:ind w:firstLine="1200" w:firstLineChars="500"/>
        <w:rPr>
          <w:rFonts w:hint="eastAsia" w:eastAsia="宋体"/>
          <w:color w:val="auto"/>
          <w:sz w:val="24"/>
          <w:lang w:eastAsia="zh-CN"/>
        </w:rPr>
      </w:pPr>
      <w:r>
        <w:rPr>
          <w:rFonts w:hint="eastAsia" w:eastAsia="宋体"/>
          <w:color w:val="auto"/>
          <w:sz w:val="24"/>
          <w:lang w:eastAsia="zh-CN"/>
        </w:rPr>
        <w:t>u――设计流量下河道断面的平均流速，m/s；</w:t>
      </w:r>
    </w:p>
    <w:p w14:paraId="6DFEF908">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K</w:t>
      </w:r>
      <w:r>
        <w:rPr>
          <w:rFonts w:hint="eastAsia" w:eastAsia="宋体"/>
          <w:color w:val="auto"/>
          <w:sz w:val="24"/>
          <w:lang w:eastAsia="zh-CN"/>
        </w:rPr>
        <w:t>――污染物综合衰减系数，1/s；</w:t>
      </w:r>
    </w:p>
    <w:p w14:paraId="19F29D7E">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color w:val="auto"/>
          <w:sz w:val="24"/>
          <w:lang w:eastAsia="zh-CN"/>
        </w:rPr>
        <w:t>――污染物浓度，mg/L；</w:t>
      </w:r>
    </w:p>
    <w:p w14:paraId="5E072B7E">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i/>
          <w:iCs/>
          <w:color w:val="auto"/>
          <w:sz w:val="24"/>
          <w:vertAlign w:val="subscript"/>
          <w:lang w:eastAsia="zh-CN"/>
        </w:rPr>
        <w:t>p</w:t>
      </w:r>
      <w:r>
        <w:rPr>
          <w:rFonts w:hint="eastAsia" w:eastAsia="宋体"/>
          <w:color w:val="auto"/>
          <w:sz w:val="24"/>
          <w:lang w:eastAsia="zh-CN"/>
        </w:rPr>
        <w:t>――污染排放物浓度，mg/L；</w:t>
      </w:r>
    </w:p>
    <w:p w14:paraId="22A8C0AD">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Q</w:t>
      </w:r>
      <w:r>
        <w:rPr>
          <w:rFonts w:hint="eastAsia" w:eastAsia="宋体"/>
          <w:i/>
          <w:iCs/>
          <w:color w:val="auto"/>
          <w:sz w:val="24"/>
          <w:vertAlign w:val="subscript"/>
          <w:lang w:eastAsia="zh-CN"/>
        </w:rPr>
        <w:t>p</w:t>
      </w:r>
      <w:r>
        <w:rPr>
          <w:rFonts w:hint="eastAsia" w:eastAsia="宋体"/>
          <w:color w:val="auto"/>
          <w:sz w:val="24"/>
          <w:lang w:eastAsia="zh-CN"/>
        </w:rPr>
        <w:t>――污水排放量，m</w:t>
      </w:r>
      <w:r>
        <w:rPr>
          <w:rFonts w:hint="eastAsia" w:eastAsia="宋体"/>
          <w:color w:val="auto"/>
          <w:sz w:val="24"/>
          <w:vertAlign w:val="superscript"/>
          <w:lang w:eastAsia="zh-CN"/>
        </w:rPr>
        <w:t>3</w:t>
      </w:r>
      <w:r>
        <w:rPr>
          <w:rFonts w:hint="eastAsia" w:eastAsia="宋体"/>
          <w:color w:val="auto"/>
          <w:sz w:val="24"/>
          <w:lang w:eastAsia="zh-CN"/>
        </w:rPr>
        <w:t>/s；</w:t>
      </w:r>
    </w:p>
    <w:p w14:paraId="705DE988">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Q</w:t>
      </w:r>
      <w:r>
        <w:rPr>
          <w:rFonts w:hint="eastAsia" w:eastAsia="宋体"/>
          <w:color w:val="auto"/>
          <w:sz w:val="24"/>
          <w:lang w:eastAsia="zh-CN"/>
        </w:rPr>
        <w:t>――河流流量，m</w:t>
      </w:r>
      <w:r>
        <w:rPr>
          <w:rFonts w:hint="eastAsia" w:eastAsia="宋体"/>
          <w:color w:val="auto"/>
          <w:sz w:val="24"/>
          <w:vertAlign w:val="superscript"/>
          <w:lang w:eastAsia="zh-CN"/>
        </w:rPr>
        <w:t>3</w:t>
      </w:r>
      <w:r>
        <w:rPr>
          <w:rFonts w:hint="eastAsia" w:eastAsia="宋体"/>
          <w:color w:val="auto"/>
          <w:sz w:val="24"/>
          <w:lang w:eastAsia="zh-CN"/>
        </w:rPr>
        <w:t>/s；</w:t>
      </w:r>
    </w:p>
    <w:p w14:paraId="37174595">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lang w:eastAsia="zh-CN"/>
        </w:rPr>
        <w:t>M</w:t>
      </w:r>
      <w:r>
        <w:rPr>
          <w:rFonts w:hint="eastAsia" w:eastAsia="宋体"/>
          <w:color w:val="auto"/>
          <w:sz w:val="24"/>
          <w:lang w:eastAsia="zh-CN"/>
        </w:rPr>
        <w:t>――水域纳污能力，g/s；</w:t>
      </w:r>
    </w:p>
    <w:p w14:paraId="06B93F02">
      <w:pPr>
        <w:pStyle w:val="46"/>
        <w:adjustRightInd w:val="0"/>
        <w:snapToGrid w:val="0"/>
        <w:ind w:firstLine="1200" w:firstLineChars="500"/>
        <w:rPr>
          <w:rFonts w:hint="eastAsia" w:eastAsia="宋体"/>
          <w:color w:val="auto"/>
          <w:sz w:val="24"/>
          <w:lang w:eastAsia="zh-CN"/>
        </w:rPr>
      </w:pPr>
      <w:r>
        <w:rPr>
          <w:rFonts w:hint="eastAsia" w:eastAsia="宋体"/>
          <w:i/>
          <w:iCs/>
          <w:color w:val="auto"/>
          <w:sz w:val="24"/>
          <w:vertAlign w:val="baseline"/>
          <w:lang w:eastAsia="zh-CN"/>
        </w:rPr>
        <w:t>C</w:t>
      </w:r>
      <w:r>
        <w:rPr>
          <w:rFonts w:hint="eastAsia" w:eastAsia="宋体"/>
          <w:i/>
          <w:iCs/>
          <w:color w:val="auto"/>
          <w:sz w:val="24"/>
          <w:vertAlign w:val="subscript"/>
          <w:lang w:eastAsia="zh-CN"/>
        </w:rPr>
        <w:t>s</w:t>
      </w:r>
      <w:r>
        <w:rPr>
          <w:rFonts w:hint="eastAsia" w:eastAsia="宋体"/>
          <w:color w:val="auto"/>
          <w:sz w:val="24"/>
          <w:lang w:eastAsia="zh-CN"/>
        </w:rPr>
        <w:t>――水质目标浓度值，mg/L。</w:t>
      </w:r>
    </w:p>
    <w:p w14:paraId="6660DED9">
      <w:pPr>
        <w:pStyle w:val="46"/>
        <w:adjustRightInd w:val="0"/>
        <w:snapToGrid w:val="0"/>
        <w:ind w:firstLine="480"/>
        <w:rPr>
          <w:rFonts w:hint="eastAsia" w:eastAsia="宋体"/>
          <w:color w:val="auto"/>
          <w:sz w:val="24"/>
          <w:lang w:eastAsia="zh-CN"/>
        </w:rPr>
      </w:pPr>
      <w:r>
        <w:rPr>
          <w:rFonts w:hint="eastAsia" w:eastAsia="宋体"/>
          <w:color w:val="auto"/>
          <w:sz w:val="24"/>
          <w:lang w:eastAsia="zh-CN"/>
        </w:rPr>
        <w:t>据此，新河纳污能力见表</w:t>
      </w:r>
      <w:r>
        <w:rPr>
          <w:rFonts w:hint="eastAsia" w:eastAsia="宋体"/>
          <w:color w:val="auto"/>
          <w:sz w:val="24"/>
          <w:lang w:val="en-US" w:eastAsia="zh-CN"/>
        </w:rPr>
        <w:t>4.4</w:t>
      </w:r>
      <w:r>
        <w:rPr>
          <w:rFonts w:hint="eastAsia" w:eastAsia="宋体"/>
          <w:color w:val="auto"/>
          <w:sz w:val="24"/>
          <w:lang w:eastAsia="zh-CN"/>
        </w:rPr>
        <w:t>-</w:t>
      </w:r>
      <w:r>
        <w:rPr>
          <w:rFonts w:hint="eastAsia" w:eastAsia="宋体"/>
          <w:color w:val="auto"/>
          <w:sz w:val="24"/>
          <w:lang w:val="en-US" w:eastAsia="zh-CN"/>
        </w:rPr>
        <w:t>1</w:t>
      </w:r>
      <w:r>
        <w:rPr>
          <w:rFonts w:hint="eastAsia" w:eastAsia="宋体"/>
          <w:color w:val="auto"/>
          <w:sz w:val="24"/>
          <w:lang w:eastAsia="zh-CN"/>
        </w:rPr>
        <w:t>。</w:t>
      </w:r>
    </w:p>
    <w:p w14:paraId="39570C60">
      <w:pPr>
        <w:spacing w:line="500" w:lineRule="exact"/>
        <w:jc w:val="right"/>
        <w:rPr>
          <w:rFonts w:hint="default"/>
          <w:b/>
          <w:color w:val="auto"/>
          <w:lang w:val="en-US"/>
        </w:rPr>
      </w:pPr>
      <w:r>
        <w:rPr>
          <w:b/>
          <w:color w:val="auto"/>
        </w:rPr>
        <w:t>表4.</w:t>
      </w:r>
      <w:r>
        <w:rPr>
          <w:rFonts w:hint="eastAsia"/>
          <w:b/>
          <w:color w:val="auto"/>
          <w:lang w:val="en-US" w:eastAsia="zh-CN"/>
        </w:rPr>
        <w:t>4</w:t>
      </w:r>
      <w:r>
        <w:rPr>
          <w:b/>
          <w:color w:val="auto"/>
        </w:rPr>
        <w:t>-</w:t>
      </w:r>
      <w:r>
        <w:rPr>
          <w:rFonts w:hint="eastAsia"/>
          <w:b/>
          <w:color w:val="auto"/>
          <w:lang w:val="en-US" w:eastAsia="zh-CN"/>
        </w:rPr>
        <w:t>1    新河纳污能力一览表                单位：t/a</w:t>
      </w:r>
    </w:p>
    <w:tbl>
      <w:tblPr>
        <w:tblStyle w:val="25"/>
        <w:tblW w:w="4921"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7"/>
        <w:gridCol w:w="680"/>
        <w:gridCol w:w="1090"/>
        <w:gridCol w:w="1090"/>
        <w:gridCol w:w="918"/>
        <w:gridCol w:w="918"/>
        <w:gridCol w:w="918"/>
        <w:gridCol w:w="918"/>
        <w:gridCol w:w="918"/>
        <w:gridCol w:w="919"/>
      </w:tblGrid>
      <w:tr w14:paraId="5A9E6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restart"/>
            <w:tcBorders>
              <w:tl2br w:val="nil"/>
              <w:tr2bl w:val="nil"/>
            </w:tcBorders>
            <w:shd w:val="clear" w:color="000000" w:fill="FFFFFF"/>
            <w:vAlign w:val="center"/>
          </w:tcPr>
          <w:p w14:paraId="480FAFC6">
            <w:pPr>
              <w:widowControl/>
              <w:adjustRightInd w:val="0"/>
              <w:snapToGrid w:val="0"/>
              <w:jc w:val="center"/>
              <w:rPr>
                <w:rFonts w:hint="eastAsia" w:eastAsia="宋体" w:cs="宋体"/>
                <w:b/>
                <w:bCs/>
                <w:color w:val="auto"/>
                <w:sz w:val="21"/>
                <w:szCs w:val="21"/>
                <w:lang w:eastAsia="zh-CN"/>
              </w:rPr>
            </w:pPr>
            <w:r>
              <w:rPr>
                <w:rFonts w:hint="eastAsia" w:cs="宋体"/>
                <w:b/>
                <w:bCs/>
                <w:color w:val="auto"/>
                <w:sz w:val="21"/>
                <w:szCs w:val="21"/>
                <w:lang w:val="en-US" w:eastAsia="zh-CN"/>
              </w:rPr>
              <w:t>地表水</w:t>
            </w:r>
          </w:p>
        </w:tc>
        <w:tc>
          <w:tcPr>
            <w:tcW w:w="373" w:type="pct"/>
            <w:vMerge w:val="restart"/>
            <w:tcBorders>
              <w:tl2br w:val="nil"/>
              <w:tr2bl w:val="nil"/>
            </w:tcBorders>
            <w:shd w:val="clear" w:color="000000" w:fill="FFFFFF"/>
            <w:vAlign w:val="center"/>
          </w:tcPr>
          <w:p w14:paraId="7F1AC3E5">
            <w:pPr>
              <w:widowControl/>
              <w:adjustRightInd w:val="0"/>
              <w:snapToGrid w:val="0"/>
              <w:jc w:val="center"/>
              <w:rPr>
                <w:rFonts w:hint="eastAsia" w:eastAsia="宋体"/>
                <w:b/>
                <w:bCs/>
                <w:color w:val="auto"/>
                <w:sz w:val="21"/>
                <w:szCs w:val="21"/>
                <w:lang w:eastAsia="zh-CN"/>
              </w:rPr>
            </w:pPr>
            <w:r>
              <w:rPr>
                <w:rFonts w:hint="eastAsia" w:cs="宋体"/>
                <w:b/>
                <w:bCs/>
                <w:color w:val="auto"/>
                <w:sz w:val="21"/>
                <w:szCs w:val="21"/>
                <w:lang w:val="en-US" w:eastAsia="zh-CN"/>
              </w:rPr>
              <w:t>水功能区</w:t>
            </w:r>
          </w:p>
        </w:tc>
        <w:tc>
          <w:tcPr>
            <w:tcW w:w="599" w:type="pct"/>
            <w:vMerge w:val="restart"/>
            <w:tcBorders>
              <w:tl2br w:val="nil"/>
              <w:tr2bl w:val="nil"/>
            </w:tcBorders>
            <w:shd w:val="clear" w:color="000000" w:fill="FFFFFF"/>
            <w:vAlign w:val="center"/>
          </w:tcPr>
          <w:p w14:paraId="12B595AD">
            <w:pPr>
              <w:widowControl/>
              <w:adjustRightInd w:val="0"/>
              <w:snapToGrid w:val="0"/>
              <w:jc w:val="center"/>
              <w:rPr>
                <w:rFonts w:hint="eastAsia"/>
                <w:b/>
                <w:bCs/>
                <w:color w:val="auto"/>
                <w:sz w:val="21"/>
                <w:szCs w:val="21"/>
              </w:rPr>
            </w:pPr>
            <w:r>
              <w:rPr>
                <w:rFonts w:hint="eastAsia"/>
                <w:b/>
                <w:bCs/>
                <w:color w:val="auto"/>
                <w:sz w:val="21"/>
                <w:szCs w:val="21"/>
              </w:rPr>
              <w:t>COD</w:t>
            </w:r>
          </w:p>
          <w:p w14:paraId="4E68181F">
            <w:pPr>
              <w:widowControl/>
              <w:adjustRightInd w:val="0"/>
              <w:snapToGrid w:val="0"/>
              <w:jc w:val="center"/>
              <w:rPr>
                <w:b/>
                <w:bCs/>
                <w:color w:val="auto"/>
                <w:sz w:val="21"/>
                <w:szCs w:val="21"/>
              </w:rPr>
            </w:pPr>
            <w:r>
              <w:rPr>
                <w:rFonts w:hint="eastAsia"/>
                <w:b/>
                <w:bCs/>
                <w:color w:val="auto"/>
                <w:sz w:val="21"/>
                <w:szCs w:val="21"/>
              </w:rPr>
              <w:t>纳污能力</w:t>
            </w:r>
          </w:p>
        </w:tc>
        <w:tc>
          <w:tcPr>
            <w:tcW w:w="599" w:type="pct"/>
            <w:vMerge w:val="restart"/>
            <w:tcBorders>
              <w:tl2br w:val="nil"/>
              <w:tr2bl w:val="nil"/>
            </w:tcBorders>
            <w:shd w:val="clear" w:color="000000" w:fill="FFFFFF"/>
            <w:vAlign w:val="center"/>
          </w:tcPr>
          <w:p w14:paraId="2BA2E458">
            <w:pPr>
              <w:widowControl/>
              <w:adjustRightInd w:val="0"/>
              <w:snapToGrid w:val="0"/>
              <w:jc w:val="center"/>
              <w:rPr>
                <w:rFonts w:hint="eastAsia"/>
                <w:b/>
                <w:bCs/>
                <w:color w:val="auto"/>
                <w:sz w:val="21"/>
                <w:szCs w:val="21"/>
              </w:rPr>
            </w:pPr>
            <w:r>
              <w:rPr>
                <w:rFonts w:hint="eastAsia"/>
                <w:b/>
                <w:bCs/>
                <w:color w:val="auto"/>
                <w:sz w:val="21"/>
                <w:szCs w:val="21"/>
              </w:rPr>
              <w:t>氨氮</w:t>
            </w:r>
          </w:p>
          <w:p w14:paraId="7B956A29">
            <w:pPr>
              <w:widowControl/>
              <w:adjustRightInd w:val="0"/>
              <w:snapToGrid w:val="0"/>
              <w:jc w:val="center"/>
              <w:rPr>
                <w:b/>
                <w:bCs/>
                <w:color w:val="auto"/>
                <w:sz w:val="21"/>
                <w:szCs w:val="21"/>
              </w:rPr>
            </w:pPr>
            <w:r>
              <w:rPr>
                <w:rFonts w:hint="eastAsia"/>
                <w:b/>
                <w:bCs/>
                <w:color w:val="auto"/>
                <w:sz w:val="21"/>
                <w:szCs w:val="21"/>
              </w:rPr>
              <w:t>纳污能力</w:t>
            </w:r>
          </w:p>
        </w:tc>
        <w:tc>
          <w:tcPr>
            <w:tcW w:w="1009" w:type="pct"/>
            <w:gridSpan w:val="2"/>
            <w:tcBorders>
              <w:tl2br w:val="nil"/>
              <w:tr2bl w:val="nil"/>
            </w:tcBorders>
            <w:shd w:val="clear" w:color="000000" w:fill="FFFFFF"/>
            <w:vAlign w:val="center"/>
          </w:tcPr>
          <w:p w14:paraId="28AB9B5E">
            <w:pPr>
              <w:widowControl/>
              <w:adjustRightInd w:val="0"/>
              <w:snapToGrid w:val="0"/>
              <w:jc w:val="center"/>
              <w:rPr>
                <w:rFonts w:hint="default" w:eastAsia="宋体"/>
                <w:b/>
                <w:bCs/>
                <w:color w:val="auto"/>
                <w:sz w:val="21"/>
                <w:szCs w:val="21"/>
                <w:lang w:val="en-US" w:eastAsia="zh-CN"/>
              </w:rPr>
            </w:pPr>
            <w:r>
              <w:rPr>
                <w:rFonts w:hint="eastAsia"/>
                <w:b/>
                <w:bCs/>
                <w:color w:val="auto"/>
                <w:sz w:val="21"/>
                <w:szCs w:val="21"/>
                <w:lang w:val="en-US" w:eastAsia="zh-CN"/>
              </w:rPr>
              <w:t>现有排放</w:t>
            </w:r>
          </w:p>
        </w:tc>
        <w:tc>
          <w:tcPr>
            <w:tcW w:w="1009" w:type="pct"/>
            <w:gridSpan w:val="2"/>
            <w:tcBorders>
              <w:tl2br w:val="nil"/>
              <w:tr2bl w:val="nil"/>
            </w:tcBorders>
            <w:shd w:val="clear" w:color="000000" w:fill="FFFFFF"/>
            <w:vAlign w:val="center"/>
          </w:tcPr>
          <w:p w14:paraId="21D66493">
            <w:pPr>
              <w:widowControl/>
              <w:adjustRightInd w:val="0"/>
              <w:snapToGrid w:val="0"/>
              <w:jc w:val="center"/>
              <w:rPr>
                <w:rFonts w:hint="default" w:eastAsia="宋体"/>
                <w:b/>
                <w:bCs/>
                <w:color w:val="auto"/>
                <w:sz w:val="21"/>
                <w:szCs w:val="21"/>
                <w:lang w:val="en-US" w:eastAsia="zh-CN"/>
              </w:rPr>
            </w:pPr>
            <w:r>
              <w:rPr>
                <w:rFonts w:hint="eastAsia"/>
                <w:b/>
                <w:bCs/>
                <w:color w:val="auto"/>
                <w:sz w:val="21"/>
                <w:szCs w:val="21"/>
                <w:lang w:val="en-US" w:eastAsia="zh-CN"/>
              </w:rPr>
              <w:t>本项目</w:t>
            </w:r>
          </w:p>
        </w:tc>
        <w:tc>
          <w:tcPr>
            <w:tcW w:w="1009" w:type="pct"/>
            <w:gridSpan w:val="2"/>
            <w:tcBorders>
              <w:tl2br w:val="nil"/>
              <w:tr2bl w:val="nil"/>
            </w:tcBorders>
            <w:shd w:val="clear" w:color="000000" w:fill="FFFFFF"/>
            <w:vAlign w:val="center"/>
          </w:tcPr>
          <w:p w14:paraId="03242ECC">
            <w:pPr>
              <w:widowControl/>
              <w:adjustRightInd w:val="0"/>
              <w:snapToGrid w:val="0"/>
              <w:jc w:val="center"/>
              <w:rPr>
                <w:rFonts w:hint="eastAsia"/>
                <w:b/>
                <w:bCs/>
                <w:color w:val="auto"/>
                <w:sz w:val="21"/>
                <w:szCs w:val="21"/>
                <w:lang w:val="en-US" w:eastAsia="zh-CN"/>
              </w:rPr>
            </w:pPr>
            <w:r>
              <w:rPr>
                <w:rFonts w:hint="eastAsia"/>
                <w:b/>
                <w:bCs/>
                <w:color w:val="auto"/>
                <w:sz w:val="21"/>
                <w:szCs w:val="21"/>
                <w:lang w:val="en-US" w:eastAsia="zh-CN"/>
              </w:rPr>
              <w:t>新增后</w:t>
            </w:r>
          </w:p>
        </w:tc>
      </w:tr>
      <w:tr w14:paraId="1CAF4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vMerge w:val="continue"/>
            <w:tcBorders>
              <w:tl2br w:val="nil"/>
              <w:tr2bl w:val="nil"/>
            </w:tcBorders>
            <w:shd w:val="clear" w:color="000000" w:fill="FFFFFF"/>
            <w:vAlign w:val="center"/>
          </w:tcPr>
          <w:p w14:paraId="5ADF7807">
            <w:pPr>
              <w:widowControl/>
              <w:adjustRightInd w:val="0"/>
              <w:snapToGrid w:val="0"/>
              <w:jc w:val="center"/>
              <w:rPr>
                <w:rFonts w:hint="eastAsia" w:cs="宋体"/>
                <w:b/>
                <w:bCs/>
                <w:color w:val="auto"/>
                <w:sz w:val="21"/>
                <w:szCs w:val="21"/>
                <w:lang w:val="en-US" w:eastAsia="zh-CN"/>
              </w:rPr>
            </w:pPr>
          </w:p>
        </w:tc>
        <w:tc>
          <w:tcPr>
            <w:tcW w:w="373" w:type="pct"/>
            <w:vMerge w:val="continue"/>
            <w:tcBorders>
              <w:tl2br w:val="nil"/>
              <w:tr2bl w:val="nil"/>
            </w:tcBorders>
            <w:shd w:val="clear" w:color="000000" w:fill="FFFFFF"/>
            <w:vAlign w:val="center"/>
          </w:tcPr>
          <w:p w14:paraId="44CCE5D5">
            <w:pPr>
              <w:widowControl/>
              <w:adjustRightInd w:val="0"/>
              <w:snapToGrid w:val="0"/>
              <w:jc w:val="center"/>
              <w:rPr>
                <w:rFonts w:hint="eastAsia" w:cs="宋体"/>
                <w:b/>
                <w:bCs/>
                <w:color w:val="auto"/>
                <w:sz w:val="21"/>
                <w:szCs w:val="21"/>
                <w:lang w:val="en-US" w:eastAsia="zh-CN"/>
              </w:rPr>
            </w:pPr>
          </w:p>
        </w:tc>
        <w:tc>
          <w:tcPr>
            <w:tcW w:w="599" w:type="pct"/>
            <w:vMerge w:val="continue"/>
            <w:tcBorders>
              <w:tl2br w:val="nil"/>
              <w:tr2bl w:val="nil"/>
            </w:tcBorders>
            <w:shd w:val="clear" w:color="000000" w:fill="FFFFFF"/>
            <w:vAlign w:val="center"/>
          </w:tcPr>
          <w:p w14:paraId="3FFD5BF9">
            <w:pPr>
              <w:widowControl/>
              <w:adjustRightInd w:val="0"/>
              <w:snapToGrid w:val="0"/>
              <w:jc w:val="center"/>
              <w:rPr>
                <w:rFonts w:hint="eastAsia"/>
                <w:b/>
                <w:bCs/>
                <w:color w:val="auto"/>
                <w:sz w:val="21"/>
                <w:szCs w:val="21"/>
              </w:rPr>
            </w:pPr>
          </w:p>
        </w:tc>
        <w:tc>
          <w:tcPr>
            <w:tcW w:w="599" w:type="pct"/>
            <w:vMerge w:val="continue"/>
            <w:tcBorders>
              <w:tl2br w:val="nil"/>
              <w:tr2bl w:val="nil"/>
            </w:tcBorders>
            <w:shd w:val="clear" w:color="000000" w:fill="FFFFFF"/>
            <w:vAlign w:val="center"/>
          </w:tcPr>
          <w:p w14:paraId="282CAC61">
            <w:pPr>
              <w:widowControl/>
              <w:adjustRightInd w:val="0"/>
              <w:snapToGrid w:val="0"/>
              <w:jc w:val="center"/>
              <w:rPr>
                <w:rFonts w:hint="eastAsia"/>
                <w:b/>
                <w:bCs/>
                <w:color w:val="auto"/>
                <w:sz w:val="21"/>
                <w:szCs w:val="21"/>
              </w:rPr>
            </w:pPr>
          </w:p>
        </w:tc>
        <w:tc>
          <w:tcPr>
            <w:tcW w:w="504" w:type="pct"/>
            <w:tcBorders>
              <w:tl2br w:val="nil"/>
              <w:tr2bl w:val="nil"/>
            </w:tcBorders>
            <w:shd w:val="clear" w:color="000000" w:fill="FFFFFF"/>
            <w:vAlign w:val="center"/>
          </w:tcPr>
          <w:p w14:paraId="302C7924">
            <w:pPr>
              <w:widowControl/>
              <w:adjustRightInd w:val="0"/>
              <w:snapToGrid w:val="0"/>
              <w:jc w:val="center"/>
              <w:rPr>
                <w:rFonts w:hint="eastAsia"/>
                <w:b/>
                <w:bCs/>
                <w:color w:val="auto"/>
                <w:sz w:val="21"/>
                <w:szCs w:val="21"/>
              </w:rPr>
            </w:pPr>
            <w:r>
              <w:rPr>
                <w:rFonts w:hint="eastAsia"/>
                <w:b/>
                <w:bCs/>
                <w:color w:val="auto"/>
                <w:sz w:val="21"/>
                <w:szCs w:val="21"/>
              </w:rPr>
              <w:t>COD</w:t>
            </w:r>
          </w:p>
          <w:p w14:paraId="5F880BFE">
            <w:pPr>
              <w:widowControl/>
              <w:adjustRightInd w:val="0"/>
              <w:snapToGrid w:val="0"/>
              <w:jc w:val="center"/>
              <w:rPr>
                <w:rFonts w:hint="eastAsia"/>
                <w:b/>
                <w:bCs/>
                <w:color w:val="auto"/>
                <w:sz w:val="21"/>
                <w:szCs w:val="21"/>
              </w:rPr>
            </w:pPr>
            <w:r>
              <w:rPr>
                <w:rFonts w:hint="eastAsia"/>
                <w:b/>
                <w:bCs/>
                <w:color w:val="auto"/>
                <w:sz w:val="21"/>
                <w:szCs w:val="21"/>
              </w:rPr>
              <w:t>排放量</w:t>
            </w:r>
          </w:p>
        </w:tc>
        <w:tc>
          <w:tcPr>
            <w:tcW w:w="504" w:type="pct"/>
            <w:tcBorders>
              <w:tl2br w:val="nil"/>
              <w:tr2bl w:val="nil"/>
            </w:tcBorders>
            <w:shd w:val="clear" w:color="000000" w:fill="FFFFFF"/>
            <w:vAlign w:val="center"/>
          </w:tcPr>
          <w:p w14:paraId="691659CA">
            <w:pPr>
              <w:widowControl/>
              <w:adjustRightInd w:val="0"/>
              <w:snapToGrid w:val="0"/>
              <w:jc w:val="center"/>
              <w:rPr>
                <w:rFonts w:hint="eastAsia"/>
                <w:b/>
                <w:bCs/>
                <w:color w:val="auto"/>
                <w:sz w:val="21"/>
                <w:szCs w:val="21"/>
              </w:rPr>
            </w:pPr>
            <w:r>
              <w:rPr>
                <w:rFonts w:hint="eastAsia"/>
                <w:b/>
                <w:bCs/>
                <w:color w:val="auto"/>
                <w:sz w:val="21"/>
                <w:szCs w:val="21"/>
              </w:rPr>
              <w:t>氨氮</w:t>
            </w:r>
          </w:p>
          <w:p w14:paraId="6C5CDA18">
            <w:pPr>
              <w:widowControl/>
              <w:adjustRightInd w:val="0"/>
              <w:snapToGrid w:val="0"/>
              <w:jc w:val="center"/>
              <w:rPr>
                <w:rFonts w:hint="eastAsia"/>
                <w:b/>
                <w:bCs/>
                <w:color w:val="auto"/>
                <w:sz w:val="21"/>
                <w:szCs w:val="21"/>
              </w:rPr>
            </w:pPr>
            <w:r>
              <w:rPr>
                <w:rFonts w:hint="eastAsia"/>
                <w:b/>
                <w:bCs/>
                <w:color w:val="auto"/>
                <w:sz w:val="21"/>
                <w:szCs w:val="21"/>
              </w:rPr>
              <w:t>排放量</w:t>
            </w:r>
          </w:p>
        </w:tc>
        <w:tc>
          <w:tcPr>
            <w:tcW w:w="504" w:type="pct"/>
            <w:tcBorders>
              <w:tl2br w:val="nil"/>
              <w:tr2bl w:val="nil"/>
            </w:tcBorders>
            <w:shd w:val="clear" w:color="000000" w:fill="FFFFFF"/>
            <w:vAlign w:val="center"/>
          </w:tcPr>
          <w:p w14:paraId="41197E91">
            <w:pPr>
              <w:widowControl/>
              <w:adjustRightInd w:val="0"/>
              <w:snapToGrid w:val="0"/>
              <w:jc w:val="center"/>
              <w:rPr>
                <w:rFonts w:hint="eastAsia"/>
                <w:b/>
                <w:bCs/>
                <w:color w:val="auto"/>
                <w:sz w:val="21"/>
                <w:szCs w:val="21"/>
              </w:rPr>
            </w:pPr>
            <w:r>
              <w:rPr>
                <w:rFonts w:hint="eastAsia"/>
                <w:b/>
                <w:bCs/>
                <w:color w:val="auto"/>
                <w:sz w:val="21"/>
                <w:szCs w:val="21"/>
              </w:rPr>
              <w:t>COD</w:t>
            </w:r>
          </w:p>
          <w:p w14:paraId="5154045C">
            <w:pPr>
              <w:widowControl/>
              <w:adjustRightInd w:val="0"/>
              <w:snapToGrid w:val="0"/>
              <w:jc w:val="center"/>
              <w:rPr>
                <w:rFonts w:hint="eastAsia"/>
                <w:b/>
                <w:bCs/>
                <w:color w:val="auto"/>
                <w:sz w:val="21"/>
                <w:szCs w:val="21"/>
              </w:rPr>
            </w:pPr>
            <w:r>
              <w:rPr>
                <w:rFonts w:hint="eastAsia"/>
                <w:b/>
                <w:bCs/>
                <w:color w:val="auto"/>
                <w:sz w:val="21"/>
                <w:szCs w:val="21"/>
              </w:rPr>
              <w:t>排放量</w:t>
            </w:r>
          </w:p>
        </w:tc>
        <w:tc>
          <w:tcPr>
            <w:tcW w:w="504" w:type="pct"/>
            <w:tcBorders>
              <w:tl2br w:val="nil"/>
              <w:tr2bl w:val="nil"/>
            </w:tcBorders>
            <w:shd w:val="clear" w:color="000000" w:fill="FFFFFF"/>
            <w:vAlign w:val="center"/>
          </w:tcPr>
          <w:p w14:paraId="70DB6610">
            <w:pPr>
              <w:widowControl/>
              <w:adjustRightInd w:val="0"/>
              <w:snapToGrid w:val="0"/>
              <w:jc w:val="center"/>
              <w:rPr>
                <w:rFonts w:hint="eastAsia"/>
                <w:b/>
                <w:bCs/>
                <w:color w:val="auto"/>
                <w:sz w:val="21"/>
                <w:szCs w:val="21"/>
              </w:rPr>
            </w:pPr>
            <w:r>
              <w:rPr>
                <w:rFonts w:hint="eastAsia"/>
                <w:b/>
                <w:bCs/>
                <w:color w:val="auto"/>
                <w:sz w:val="21"/>
                <w:szCs w:val="21"/>
              </w:rPr>
              <w:t>氨氮</w:t>
            </w:r>
          </w:p>
          <w:p w14:paraId="022F557A">
            <w:pPr>
              <w:widowControl/>
              <w:adjustRightInd w:val="0"/>
              <w:snapToGrid w:val="0"/>
              <w:jc w:val="center"/>
              <w:rPr>
                <w:rFonts w:hint="eastAsia"/>
                <w:b/>
                <w:bCs/>
                <w:color w:val="auto"/>
                <w:sz w:val="21"/>
                <w:szCs w:val="21"/>
              </w:rPr>
            </w:pPr>
            <w:r>
              <w:rPr>
                <w:rFonts w:hint="eastAsia"/>
                <w:b/>
                <w:bCs/>
                <w:color w:val="auto"/>
                <w:sz w:val="21"/>
                <w:szCs w:val="21"/>
              </w:rPr>
              <w:t>排放量</w:t>
            </w:r>
          </w:p>
        </w:tc>
        <w:tc>
          <w:tcPr>
            <w:tcW w:w="504" w:type="pct"/>
            <w:tcBorders>
              <w:tl2br w:val="nil"/>
              <w:tr2bl w:val="nil"/>
            </w:tcBorders>
            <w:shd w:val="clear" w:color="000000" w:fill="FFFFFF"/>
            <w:vAlign w:val="center"/>
          </w:tcPr>
          <w:p w14:paraId="48E2021F">
            <w:pPr>
              <w:widowControl/>
              <w:adjustRightInd w:val="0"/>
              <w:snapToGrid w:val="0"/>
              <w:jc w:val="center"/>
              <w:rPr>
                <w:rFonts w:hint="eastAsia"/>
                <w:b/>
                <w:bCs/>
                <w:color w:val="auto"/>
                <w:sz w:val="21"/>
                <w:szCs w:val="21"/>
              </w:rPr>
            </w:pPr>
            <w:r>
              <w:rPr>
                <w:rFonts w:hint="eastAsia"/>
                <w:b/>
                <w:bCs/>
                <w:color w:val="auto"/>
                <w:sz w:val="21"/>
                <w:szCs w:val="21"/>
              </w:rPr>
              <w:t>COD排放量</w:t>
            </w:r>
          </w:p>
        </w:tc>
        <w:tc>
          <w:tcPr>
            <w:tcW w:w="505" w:type="pct"/>
            <w:tcBorders>
              <w:tl2br w:val="nil"/>
              <w:tr2bl w:val="nil"/>
            </w:tcBorders>
            <w:shd w:val="clear" w:color="000000" w:fill="FFFFFF"/>
            <w:vAlign w:val="center"/>
          </w:tcPr>
          <w:p w14:paraId="1AC80468">
            <w:pPr>
              <w:widowControl/>
              <w:adjustRightInd w:val="0"/>
              <w:snapToGrid w:val="0"/>
              <w:jc w:val="center"/>
              <w:rPr>
                <w:rFonts w:hint="eastAsia"/>
                <w:b/>
                <w:bCs/>
                <w:color w:val="auto"/>
                <w:sz w:val="21"/>
                <w:szCs w:val="21"/>
              </w:rPr>
            </w:pPr>
            <w:r>
              <w:rPr>
                <w:rFonts w:hint="eastAsia"/>
                <w:b/>
                <w:bCs/>
                <w:color w:val="auto"/>
                <w:sz w:val="21"/>
                <w:szCs w:val="21"/>
              </w:rPr>
              <w:t>氨氮</w:t>
            </w:r>
          </w:p>
          <w:p w14:paraId="2149D86A">
            <w:pPr>
              <w:widowControl/>
              <w:adjustRightInd w:val="0"/>
              <w:snapToGrid w:val="0"/>
              <w:jc w:val="center"/>
              <w:rPr>
                <w:rFonts w:hint="eastAsia"/>
                <w:b/>
                <w:bCs/>
                <w:color w:val="auto"/>
                <w:sz w:val="21"/>
                <w:szCs w:val="21"/>
              </w:rPr>
            </w:pPr>
            <w:r>
              <w:rPr>
                <w:rFonts w:hint="eastAsia"/>
                <w:b/>
                <w:bCs/>
                <w:color w:val="auto"/>
                <w:sz w:val="21"/>
                <w:szCs w:val="21"/>
              </w:rPr>
              <w:t>排放量</w:t>
            </w:r>
          </w:p>
        </w:tc>
      </w:tr>
      <w:tr w14:paraId="1A4E61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9" w:type="pct"/>
            <w:tcBorders>
              <w:tl2br w:val="nil"/>
              <w:tr2bl w:val="nil"/>
            </w:tcBorders>
            <w:shd w:val="clear" w:color="000000" w:fill="FFFFFF"/>
            <w:vAlign w:val="center"/>
          </w:tcPr>
          <w:p w14:paraId="00A0EF37">
            <w:pPr>
              <w:widowControl/>
              <w:adjustRightInd w:val="0"/>
              <w:snapToGrid w:val="0"/>
              <w:jc w:val="center"/>
              <w:rPr>
                <w:rFonts w:hint="eastAsia" w:eastAsia="宋体" w:cs="宋体"/>
                <w:b w:val="0"/>
                <w:bCs w:val="0"/>
                <w:color w:val="auto"/>
                <w:sz w:val="21"/>
                <w:szCs w:val="21"/>
                <w:lang w:eastAsia="zh-CN"/>
              </w:rPr>
            </w:pPr>
            <w:r>
              <w:rPr>
                <w:rFonts w:hint="eastAsia" w:cs="宋体"/>
                <w:b w:val="0"/>
                <w:bCs w:val="0"/>
                <w:color w:val="auto"/>
                <w:sz w:val="21"/>
                <w:szCs w:val="21"/>
                <w:lang w:val="en-US" w:eastAsia="zh-CN"/>
              </w:rPr>
              <w:t>新河</w:t>
            </w:r>
          </w:p>
        </w:tc>
        <w:tc>
          <w:tcPr>
            <w:tcW w:w="373" w:type="pct"/>
            <w:tcBorders>
              <w:tl2br w:val="nil"/>
              <w:tr2bl w:val="nil"/>
            </w:tcBorders>
            <w:shd w:val="clear" w:color="000000" w:fill="FFFFFF"/>
            <w:vAlign w:val="center"/>
          </w:tcPr>
          <w:p w14:paraId="6B6CAFEB">
            <w:pPr>
              <w:widowControl/>
              <w:adjustRightInd w:val="0"/>
              <w:snapToGrid w:val="0"/>
              <w:jc w:val="center"/>
              <w:rPr>
                <w:b w:val="0"/>
                <w:bCs w:val="0"/>
                <w:color w:val="auto"/>
                <w:sz w:val="21"/>
                <w:szCs w:val="21"/>
              </w:rPr>
            </w:pPr>
            <w:r>
              <w:rPr>
                <w:rFonts w:hint="default" w:ascii="Times New Roman" w:hAnsi="Times New Roman" w:cs="Times New Roman"/>
                <w:b w:val="0"/>
                <w:bCs w:val="0"/>
                <w:color w:val="auto"/>
                <w:sz w:val="21"/>
                <w:szCs w:val="21"/>
              </w:rPr>
              <w:t>Ⅳ类</w:t>
            </w:r>
          </w:p>
        </w:tc>
        <w:tc>
          <w:tcPr>
            <w:tcW w:w="599" w:type="pct"/>
            <w:tcBorders>
              <w:tl2br w:val="nil"/>
              <w:tr2bl w:val="nil"/>
            </w:tcBorders>
            <w:shd w:val="clear" w:color="000000" w:fill="FFFFFF"/>
            <w:vAlign w:val="center"/>
          </w:tcPr>
          <w:p w14:paraId="2016C13C">
            <w:pPr>
              <w:widowControl/>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441.81</w:t>
            </w:r>
          </w:p>
        </w:tc>
        <w:tc>
          <w:tcPr>
            <w:tcW w:w="599" w:type="pct"/>
            <w:tcBorders>
              <w:tl2br w:val="nil"/>
              <w:tr2bl w:val="nil"/>
            </w:tcBorders>
            <w:shd w:val="clear" w:color="000000" w:fill="FFFFFF"/>
            <w:vAlign w:val="center"/>
          </w:tcPr>
          <w:p w14:paraId="5CF7226B">
            <w:pPr>
              <w:widowControl/>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19.39</w:t>
            </w:r>
          </w:p>
        </w:tc>
        <w:tc>
          <w:tcPr>
            <w:tcW w:w="504" w:type="pct"/>
            <w:tcBorders>
              <w:tl2br w:val="nil"/>
              <w:tr2bl w:val="nil"/>
            </w:tcBorders>
            <w:shd w:val="clear" w:color="000000" w:fill="FFFFFF"/>
            <w:vAlign w:val="center"/>
          </w:tcPr>
          <w:p w14:paraId="5A719057">
            <w:pPr>
              <w:widowControl/>
              <w:adjustRightInd w:val="0"/>
              <w:snapToGrid w:val="0"/>
              <w:jc w:val="center"/>
              <w:rPr>
                <w:rFonts w:hint="default" w:eastAsia="宋体"/>
                <w:b w:val="0"/>
                <w:bCs w:val="0"/>
                <w:color w:val="auto"/>
                <w:sz w:val="21"/>
                <w:szCs w:val="21"/>
                <w:lang w:val="en-US" w:eastAsia="zh-CN"/>
              </w:rPr>
            </w:pPr>
            <w:r>
              <w:rPr>
                <w:rFonts w:hint="eastAsia"/>
                <w:b w:val="0"/>
                <w:bCs w:val="0"/>
                <w:color w:val="auto"/>
                <w:sz w:val="21"/>
                <w:szCs w:val="21"/>
                <w:lang w:val="en-US" w:eastAsia="zh-CN"/>
              </w:rPr>
              <w:t>328.5</w:t>
            </w:r>
          </w:p>
        </w:tc>
        <w:tc>
          <w:tcPr>
            <w:tcW w:w="504" w:type="pct"/>
            <w:tcBorders>
              <w:tl2br w:val="nil"/>
              <w:tr2bl w:val="nil"/>
            </w:tcBorders>
            <w:shd w:val="clear" w:color="000000" w:fill="FFFFFF"/>
            <w:vAlign w:val="center"/>
          </w:tcPr>
          <w:p w14:paraId="7F60E270">
            <w:pPr>
              <w:widowControl/>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16.43</w:t>
            </w:r>
          </w:p>
        </w:tc>
        <w:tc>
          <w:tcPr>
            <w:tcW w:w="504" w:type="pct"/>
            <w:tcBorders>
              <w:tl2br w:val="nil"/>
              <w:tr2bl w:val="nil"/>
            </w:tcBorders>
            <w:shd w:val="clear" w:color="000000" w:fill="FFFFFF"/>
            <w:vAlign w:val="center"/>
          </w:tcPr>
          <w:p w14:paraId="00764AEF">
            <w:pPr>
              <w:widowControl/>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12.98</w:t>
            </w:r>
          </w:p>
        </w:tc>
        <w:tc>
          <w:tcPr>
            <w:tcW w:w="504" w:type="pct"/>
            <w:tcBorders>
              <w:tl2br w:val="nil"/>
              <w:tr2bl w:val="nil"/>
            </w:tcBorders>
            <w:shd w:val="clear" w:color="000000" w:fill="FFFFFF"/>
            <w:vAlign w:val="center"/>
          </w:tcPr>
          <w:p w14:paraId="43A78C49">
            <w:pPr>
              <w:widowControl/>
              <w:adjustRightInd w:val="0"/>
              <w:snapToGrid w:val="0"/>
              <w:jc w:val="center"/>
              <w:rPr>
                <w:rFonts w:hint="eastAsia"/>
                <w:b w:val="0"/>
                <w:bCs w:val="0"/>
                <w:color w:val="auto"/>
                <w:sz w:val="21"/>
                <w:szCs w:val="21"/>
                <w:lang w:val="en-US" w:eastAsia="zh-CN"/>
              </w:rPr>
            </w:pPr>
            <w:r>
              <w:rPr>
                <w:rFonts w:hint="eastAsia"/>
                <w:b w:val="0"/>
                <w:bCs w:val="0"/>
                <w:color w:val="auto"/>
                <w:sz w:val="21"/>
                <w:szCs w:val="21"/>
                <w:lang w:val="en-US" w:eastAsia="zh-CN"/>
              </w:rPr>
              <w:t>0.66</w:t>
            </w:r>
          </w:p>
        </w:tc>
        <w:tc>
          <w:tcPr>
            <w:tcW w:w="504" w:type="pct"/>
            <w:tcBorders>
              <w:tl2br w:val="nil"/>
              <w:tr2bl w:val="nil"/>
            </w:tcBorders>
            <w:shd w:val="clear" w:color="000000" w:fill="FFFFFF"/>
            <w:vAlign w:val="center"/>
          </w:tcPr>
          <w:p w14:paraId="1BCCD040">
            <w:pPr>
              <w:widowControl/>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341.48</w:t>
            </w:r>
          </w:p>
        </w:tc>
        <w:tc>
          <w:tcPr>
            <w:tcW w:w="505" w:type="pct"/>
            <w:tcBorders>
              <w:tl2br w:val="nil"/>
              <w:tr2bl w:val="nil"/>
            </w:tcBorders>
            <w:shd w:val="clear" w:color="000000" w:fill="FFFFFF"/>
            <w:vAlign w:val="center"/>
          </w:tcPr>
          <w:p w14:paraId="0202A693">
            <w:pPr>
              <w:widowControl/>
              <w:adjustRightInd w:val="0"/>
              <w:snapToGrid w:val="0"/>
              <w:jc w:val="center"/>
              <w:rPr>
                <w:rFonts w:hint="default"/>
                <w:b w:val="0"/>
                <w:bCs w:val="0"/>
                <w:color w:val="auto"/>
                <w:sz w:val="21"/>
                <w:szCs w:val="21"/>
                <w:lang w:val="en-US" w:eastAsia="zh-CN"/>
              </w:rPr>
            </w:pPr>
            <w:r>
              <w:rPr>
                <w:rFonts w:hint="eastAsia"/>
                <w:b w:val="0"/>
                <w:bCs w:val="0"/>
                <w:color w:val="auto"/>
                <w:sz w:val="21"/>
                <w:szCs w:val="21"/>
                <w:lang w:val="en-US" w:eastAsia="zh-CN"/>
              </w:rPr>
              <w:t>17.09</w:t>
            </w:r>
          </w:p>
        </w:tc>
      </w:tr>
    </w:tbl>
    <w:p w14:paraId="6B671311">
      <w:pPr>
        <w:pStyle w:val="46"/>
        <w:adjustRightInd w:val="0"/>
        <w:snapToGrid w:val="0"/>
        <w:ind w:firstLine="480"/>
        <w:rPr>
          <w:rFonts w:eastAsia="宋体"/>
          <w:color w:val="auto"/>
          <w:sz w:val="24"/>
        </w:rPr>
      </w:pPr>
      <w:r>
        <w:rPr>
          <w:rFonts w:hint="eastAsia" w:eastAsia="宋体"/>
          <w:color w:val="auto"/>
          <w:sz w:val="24"/>
          <w:lang w:eastAsia="zh-CN"/>
        </w:rPr>
        <w:t>根据计算，论证区段现状年项目排污量未超过新河纳污能力，在项目运行时应加强污水处理，减少入河排污量至新河纳污能力以内，确保治理后污水达标排放，排污总量限值在纳污能力之内。</w:t>
      </w:r>
    </w:p>
    <w:p w14:paraId="4EFCDDEE">
      <w:pPr>
        <w:pStyle w:val="46"/>
        <w:adjustRightInd w:val="0"/>
        <w:snapToGrid w:val="0"/>
        <w:ind w:firstLine="480"/>
        <w:rPr>
          <w:rFonts w:eastAsia="宋体"/>
          <w:color w:val="auto"/>
          <w:sz w:val="24"/>
        </w:rPr>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linePitch="312" w:charSpace="0"/>
        </w:sectPr>
      </w:pPr>
    </w:p>
    <w:p w14:paraId="469A4EC6">
      <w:pPr>
        <w:pStyle w:val="59"/>
        <w:numPr>
          <w:ilvl w:val="0"/>
          <w:numId w:val="0"/>
        </w:numPr>
        <w:spacing w:before="156" w:after="156"/>
        <w:rPr>
          <w:rFonts w:eastAsia="宋体"/>
          <w:color w:val="auto"/>
          <w:sz w:val="32"/>
        </w:rPr>
      </w:pPr>
      <w:bookmarkStart w:id="44" w:name="_Toc8952"/>
      <w:bookmarkStart w:id="45" w:name="_Toc512677618"/>
      <w:r>
        <w:rPr>
          <w:rFonts w:eastAsia="宋体"/>
          <w:color w:val="auto"/>
          <w:sz w:val="32"/>
        </w:rPr>
        <w:t>5入河排污口设置</w:t>
      </w:r>
      <w:r>
        <w:rPr>
          <w:rFonts w:hint="eastAsia" w:eastAsia="宋体"/>
          <w:color w:val="auto"/>
          <w:sz w:val="32"/>
        </w:rPr>
        <w:t>对水功能区水质和水生态</w:t>
      </w:r>
      <w:r>
        <w:rPr>
          <w:rFonts w:eastAsia="宋体"/>
          <w:color w:val="auto"/>
          <w:sz w:val="32"/>
        </w:rPr>
        <w:t>环境影响分析</w:t>
      </w:r>
      <w:bookmarkEnd w:id="44"/>
      <w:bookmarkEnd w:id="45"/>
    </w:p>
    <w:p w14:paraId="66A6AD65">
      <w:pPr>
        <w:pStyle w:val="57"/>
        <w:numPr>
          <w:ilvl w:val="0"/>
          <w:numId w:val="0"/>
        </w:numPr>
        <w:spacing w:before="156" w:beforeLines="50" w:after="156" w:afterLines="50"/>
        <w:rPr>
          <w:rFonts w:eastAsia="宋体"/>
          <w:color w:val="auto"/>
          <w:sz w:val="30"/>
        </w:rPr>
      </w:pPr>
      <w:bookmarkStart w:id="46" w:name="_Toc23493"/>
      <w:bookmarkStart w:id="47" w:name="_Toc301275623"/>
      <w:bookmarkStart w:id="48" w:name="_Toc512677619"/>
      <w:r>
        <w:rPr>
          <w:rFonts w:eastAsia="宋体"/>
          <w:color w:val="auto"/>
          <w:sz w:val="30"/>
        </w:rPr>
        <w:t>5.1</w:t>
      </w:r>
      <w:r>
        <w:rPr>
          <w:rFonts w:hint="eastAsia" w:eastAsia="宋体"/>
          <w:color w:val="auto"/>
          <w:sz w:val="30"/>
        </w:rPr>
        <w:t>影响范围</w:t>
      </w:r>
      <w:bookmarkEnd w:id="46"/>
    </w:p>
    <w:p w14:paraId="77F8223E">
      <w:pPr>
        <w:pStyle w:val="46"/>
        <w:ind w:firstLine="480"/>
        <w:rPr>
          <w:rFonts w:hint="eastAsia" w:eastAsia="宋体"/>
          <w:color w:val="auto"/>
          <w:sz w:val="24"/>
          <w:lang w:val="en-US" w:eastAsia="zh-CN"/>
        </w:rPr>
      </w:pPr>
      <w:r>
        <w:rPr>
          <w:rFonts w:hint="eastAsia" w:eastAsia="宋体"/>
          <w:color w:val="auto"/>
          <w:sz w:val="24"/>
          <w:lang w:val="en-US" w:eastAsia="zh-CN"/>
        </w:rPr>
        <w:t>本项目入河排污口影响范围为排污口上游500m到新河文涝路省断面，新河排污控制区水质控制目标为</w:t>
      </w:r>
      <w:r>
        <w:rPr>
          <w:rFonts w:hint="default" w:ascii="Times New Roman" w:hAnsi="Times New Roman" w:eastAsia="宋体" w:cs="Times New Roman"/>
          <w:color w:val="auto"/>
          <w:sz w:val="24"/>
          <w:lang w:val="en-US" w:eastAsia="zh-CN"/>
        </w:rPr>
        <w:t>Ⅳ</w:t>
      </w:r>
      <w:r>
        <w:rPr>
          <w:rFonts w:hint="eastAsia" w:eastAsia="宋体"/>
          <w:color w:val="auto"/>
          <w:sz w:val="24"/>
          <w:lang w:val="en-US" w:eastAsia="zh-CN"/>
        </w:rPr>
        <w:t>类，功能区主体功能为接纳生活、生产综合废水。</w:t>
      </w:r>
    </w:p>
    <w:p w14:paraId="65E28619">
      <w:pPr>
        <w:pStyle w:val="57"/>
        <w:numPr>
          <w:ilvl w:val="0"/>
          <w:numId w:val="0"/>
        </w:numPr>
        <w:spacing w:before="156" w:beforeLines="50" w:after="156" w:afterLines="50"/>
        <w:rPr>
          <w:rFonts w:eastAsia="宋体"/>
          <w:color w:val="auto"/>
          <w:sz w:val="30"/>
        </w:rPr>
      </w:pPr>
      <w:bookmarkStart w:id="49" w:name="_Toc27345"/>
      <w:r>
        <w:rPr>
          <w:rFonts w:eastAsia="宋体"/>
          <w:color w:val="auto"/>
          <w:sz w:val="30"/>
        </w:rPr>
        <w:t>5.</w:t>
      </w:r>
      <w:r>
        <w:rPr>
          <w:rFonts w:hint="eastAsia" w:eastAsia="宋体"/>
          <w:color w:val="auto"/>
          <w:sz w:val="30"/>
          <w:lang w:val="en-US" w:eastAsia="zh-CN"/>
        </w:rPr>
        <w:t>2</w:t>
      </w:r>
      <w:r>
        <w:rPr>
          <w:rFonts w:hint="eastAsia" w:eastAsia="宋体"/>
          <w:color w:val="auto"/>
          <w:sz w:val="30"/>
        </w:rPr>
        <w:t>对水功能区河段水质的影响分析</w:t>
      </w:r>
      <w:bookmarkEnd w:id="49"/>
    </w:p>
    <w:p w14:paraId="3A97B184">
      <w:pPr>
        <w:pStyle w:val="61"/>
        <w:numPr>
          <w:ilvl w:val="0"/>
          <w:numId w:val="0"/>
        </w:numPr>
        <w:spacing w:before="0" w:after="0"/>
        <w:rPr>
          <w:rFonts w:hint="default" w:eastAsia="宋体"/>
          <w:color w:val="auto"/>
          <w:lang w:val="en-US" w:eastAsia="zh-CN"/>
        </w:rPr>
      </w:pPr>
      <w:r>
        <w:rPr>
          <w:rFonts w:eastAsia="宋体"/>
          <w:color w:val="auto"/>
        </w:rPr>
        <w:t>5</w:t>
      </w:r>
      <w:r>
        <w:rPr>
          <w:rFonts w:hint="eastAsia" w:eastAsia="宋体"/>
          <w:color w:val="auto"/>
        </w:rPr>
        <w:t>.</w:t>
      </w:r>
      <w:r>
        <w:rPr>
          <w:rFonts w:hint="eastAsia" w:eastAsia="宋体"/>
          <w:color w:val="auto"/>
          <w:lang w:val="en-US" w:eastAsia="zh-CN"/>
        </w:rPr>
        <w:t>2</w:t>
      </w:r>
      <w:r>
        <w:rPr>
          <w:rFonts w:hint="eastAsia" w:eastAsia="宋体"/>
          <w:color w:val="auto"/>
        </w:rPr>
        <w:t>.1</w:t>
      </w:r>
      <w:r>
        <w:rPr>
          <w:rFonts w:hint="eastAsia" w:eastAsia="宋体"/>
          <w:color w:val="auto"/>
          <w:lang w:val="en-US" w:eastAsia="zh-CN"/>
        </w:rPr>
        <w:t>预测因子</w:t>
      </w:r>
    </w:p>
    <w:p w14:paraId="064B12E2">
      <w:pPr>
        <w:spacing w:line="500" w:lineRule="exact"/>
        <w:ind w:firstLine="480" w:firstLineChars="200"/>
        <w:rPr>
          <w:rFonts w:hint="eastAsia"/>
          <w:color w:val="auto"/>
          <w:szCs w:val="24"/>
        </w:rPr>
      </w:pPr>
      <w:r>
        <w:rPr>
          <w:rFonts w:hint="eastAsia"/>
          <w:color w:val="auto"/>
          <w:szCs w:val="24"/>
        </w:rPr>
        <w:t>本项目废水排放量按照污水站设计最大规模1230m</w:t>
      </w:r>
      <w:r>
        <w:rPr>
          <w:rFonts w:hint="eastAsia"/>
          <w:color w:val="auto"/>
          <w:szCs w:val="24"/>
          <w:vertAlign w:val="superscript"/>
        </w:rPr>
        <w:t>3</w:t>
      </w:r>
      <w:r>
        <w:rPr>
          <w:rFonts w:hint="eastAsia"/>
          <w:color w:val="auto"/>
          <w:szCs w:val="24"/>
        </w:rPr>
        <w:t>/d来计算，主要污染物为pH、COD、BOD</w:t>
      </w:r>
      <w:r>
        <w:rPr>
          <w:rFonts w:hint="eastAsia"/>
          <w:color w:val="auto"/>
          <w:szCs w:val="24"/>
          <w:vertAlign w:val="subscript"/>
        </w:rPr>
        <w:t>5</w:t>
      </w:r>
      <w:r>
        <w:rPr>
          <w:rFonts w:hint="eastAsia"/>
          <w:color w:val="auto"/>
          <w:szCs w:val="24"/>
        </w:rPr>
        <w:t>、SS、NH</w:t>
      </w:r>
      <w:r>
        <w:rPr>
          <w:rFonts w:hint="eastAsia"/>
          <w:color w:val="auto"/>
          <w:szCs w:val="24"/>
          <w:vertAlign w:val="subscript"/>
        </w:rPr>
        <w:t>3</w:t>
      </w:r>
      <w:r>
        <w:rPr>
          <w:rFonts w:hint="eastAsia"/>
          <w:color w:val="auto"/>
          <w:szCs w:val="24"/>
        </w:rPr>
        <w:t>-N等，处理后的</w:t>
      </w:r>
      <w:r>
        <w:rPr>
          <w:rFonts w:hint="eastAsia"/>
          <w:color w:val="auto"/>
          <w:szCs w:val="24"/>
          <w:lang w:val="en-US" w:eastAsia="zh-CN"/>
        </w:rPr>
        <w:t>综合废水</w:t>
      </w:r>
      <w:r>
        <w:rPr>
          <w:rFonts w:hint="eastAsia"/>
          <w:color w:val="auto"/>
          <w:szCs w:val="24"/>
        </w:rPr>
        <w:t>排入新河。本项目</w:t>
      </w:r>
      <w:r>
        <w:rPr>
          <w:rFonts w:hint="eastAsia"/>
          <w:color w:val="auto"/>
          <w:szCs w:val="24"/>
          <w:lang w:val="en-US" w:eastAsia="zh-CN"/>
        </w:rPr>
        <w:t>厂区</w:t>
      </w:r>
      <w:r>
        <w:rPr>
          <w:rFonts w:hint="eastAsia"/>
          <w:color w:val="auto"/>
          <w:szCs w:val="24"/>
        </w:rPr>
        <w:t>距离新河右岸约3</w:t>
      </w:r>
      <w:r>
        <w:rPr>
          <w:rFonts w:hint="eastAsia"/>
          <w:color w:val="auto"/>
          <w:szCs w:val="24"/>
          <w:lang w:val="en-US" w:eastAsia="zh-CN"/>
        </w:rPr>
        <w:t>5</w:t>
      </w:r>
      <w:r>
        <w:rPr>
          <w:rFonts w:hint="eastAsia"/>
          <w:color w:val="auto"/>
          <w:szCs w:val="24"/>
        </w:rPr>
        <w:t>m。本次评价主要对废水排放后对新河水环境的影响进行预测。本次评价分别对废水正常排放和非正常排放情况下进行预测评价。</w:t>
      </w:r>
    </w:p>
    <w:p w14:paraId="714AD781">
      <w:pPr>
        <w:spacing w:line="500" w:lineRule="exact"/>
        <w:ind w:firstLine="480" w:firstLineChars="200"/>
        <w:rPr>
          <w:rFonts w:hint="eastAsia"/>
          <w:color w:val="auto"/>
          <w:szCs w:val="24"/>
        </w:rPr>
      </w:pPr>
      <w:r>
        <w:rPr>
          <w:rFonts w:hint="eastAsia"/>
          <w:color w:val="auto"/>
          <w:szCs w:val="24"/>
        </w:rPr>
        <w:t>根据项目的特征污染物，评价河段各项水质参数背景浓度及采用的水质标准，河流流量以及区域污染源排放情况，结合污染物排放总量控制要求以及《全国水资源保护规划技术大纲》和黄河流域水污染特点等，确定本次地表水环境影响预测因子为COD、NH</w:t>
      </w:r>
      <w:r>
        <w:rPr>
          <w:rFonts w:hint="eastAsia"/>
          <w:color w:val="auto"/>
          <w:szCs w:val="24"/>
          <w:vertAlign w:val="subscript"/>
        </w:rPr>
        <w:t>3</w:t>
      </w:r>
      <w:r>
        <w:rPr>
          <w:rFonts w:hint="eastAsia"/>
          <w:color w:val="auto"/>
          <w:szCs w:val="24"/>
        </w:rPr>
        <w:t>-N。</w:t>
      </w:r>
    </w:p>
    <w:p w14:paraId="1976F3B8">
      <w:pPr>
        <w:pStyle w:val="61"/>
        <w:numPr>
          <w:ilvl w:val="0"/>
          <w:numId w:val="0"/>
        </w:numPr>
        <w:spacing w:before="0" w:after="0"/>
        <w:rPr>
          <w:rFonts w:hint="default" w:eastAsia="宋体"/>
          <w:color w:val="auto"/>
          <w:lang w:val="en-US" w:eastAsia="zh-CN"/>
        </w:rPr>
      </w:pPr>
      <w:r>
        <w:rPr>
          <w:rFonts w:eastAsia="宋体"/>
          <w:color w:val="auto"/>
        </w:rPr>
        <w:t>5</w:t>
      </w:r>
      <w:r>
        <w:rPr>
          <w:rFonts w:hint="eastAsia" w:eastAsia="宋体"/>
          <w:color w:val="auto"/>
        </w:rPr>
        <w:t>.</w:t>
      </w:r>
      <w:r>
        <w:rPr>
          <w:rFonts w:hint="eastAsia" w:eastAsia="宋体"/>
          <w:color w:val="auto"/>
          <w:lang w:val="en-US" w:eastAsia="zh-CN"/>
        </w:rPr>
        <w:t>2</w:t>
      </w:r>
      <w:r>
        <w:rPr>
          <w:rFonts w:hint="eastAsia" w:eastAsia="宋体"/>
          <w:color w:val="auto"/>
        </w:rPr>
        <w:t>.</w:t>
      </w:r>
      <w:r>
        <w:rPr>
          <w:rFonts w:hint="eastAsia" w:eastAsia="宋体"/>
          <w:color w:val="auto"/>
          <w:lang w:val="en-US" w:eastAsia="zh-CN"/>
        </w:rPr>
        <w:t>2预测方案</w:t>
      </w:r>
    </w:p>
    <w:p w14:paraId="3953BEC2">
      <w:pPr>
        <w:spacing w:line="500" w:lineRule="exact"/>
        <w:ind w:firstLine="480" w:firstLineChars="200"/>
        <w:rPr>
          <w:rFonts w:hint="eastAsia"/>
          <w:color w:val="auto"/>
          <w:szCs w:val="24"/>
        </w:rPr>
      </w:pPr>
      <w:r>
        <w:rPr>
          <w:rFonts w:hint="eastAsia"/>
          <w:color w:val="auto"/>
          <w:szCs w:val="24"/>
        </w:rPr>
        <w:t>本次预测为正常排放和事故排放两种情况。</w:t>
      </w:r>
    </w:p>
    <w:p w14:paraId="43A96C1C">
      <w:pPr>
        <w:spacing w:line="500" w:lineRule="exact"/>
        <w:ind w:firstLine="480" w:firstLineChars="200"/>
        <w:rPr>
          <w:rFonts w:hint="eastAsia"/>
          <w:color w:val="auto"/>
          <w:szCs w:val="24"/>
        </w:rPr>
      </w:pPr>
      <w:r>
        <w:rPr>
          <w:rFonts w:hint="eastAsia"/>
          <w:color w:val="auto"/>
          <w:szCs w:val="24"/>
        </w:rPr>
        <w:t>（1）正常排放不回用：是指污水经污水处理系统处理后，出水水质达标排放。正常排放情况下，COD和氨氮取《地表水环境质量标准》（GB3838-2002）中IV类标准，废水排放量按照污水站设计总规模为1230m</w:t>
      </w:r>
      <w:r>
        <w:rPr>
          <w:rFonts w:hint="eastAsia"/>
          <w:color w:val="auto"/>
          <w:szCs w:val="24"/>
          <w:vertAlign w:val="superscript"/>
        </w:rPr>
        <w:t>3</w:t>
      </w:r>
      <w:r>
        <w:rPr>
          <w:rFonts w:hint="eastAsia"/>
          <w:color w:val="auto"/>
          <w:szCs w:val="24"/>
        </w:rPr>
        <w:t>/d。</w:t>
      </w:r>
    </w:p>
    <w:p w14:paraId="2811CB98">
      <w:pPr>
        <w:spacing w:line="500" w:lineRule="exact"/>
        <w:ind w:firstLine="480" w:firstLineChars="200"/>
        <w:rPr>
          <w:rFonts w:hint="eastAsia"/>
          <w:color w:val="auto"/>
          <w:szCs w:val="24"/>
        </w:rPr>
      </w:pPr>
      <w:r>
        <w:rPr>
          <w:rFonts w:hint="eastAsia"/>
          <w:color w:val="auto"/>
          <w:szCs w:val="24"/>
        </w:rPr>
        <w:t>（2）事故排放：是指设备设施事故或故障、停电等导致污水处理站停止运行，污水未经处理直接排放。事故排放情况下，污染物去除率为0，污染源强取设计进水标准，废水排放量为1230m</w:t>
      </w:r>
      <w:r>
        <w:rPr>
          <w:rFonts w:hint="eastAsia"/>
          <w:color w:val="auto"/>
          <w:szCs w:val="24"/>
          <w:vertAlign w:val="superscript"/>
        </w:rPr>
        <w:t>3</w:t>
      </w:r>
      <w:r>
        <w:rPr>
          <w:rFonts w:hint="eastAsia"/>
          <w:color w:val="auto"/>
          <w:szCs w:val="24"/>
        </w:rPr>
        <w:t>/d。</w:t>
      </w:r>
    </w:p>
    <w:p w14:paraId="0B667927">
      <w:pPr>
        <w:spacing w:line="500" w:lineRule="exact"/>
        <w:ind w:firstLine="480" w:firstLineChars="200"/>
        <w:rPr>
          <w:rFonts w:hint="eastAsia"/>
          <w:color w:val="auto"/>
          <w:szCs w:val="24"/>
        </w:rPr>
      </w:pPr>
      <w:r>
        <w:rPr>
          <w:rFonts w:hint="eastAsia"/>
          <w:color w:val="auto"/>
          <w:szCs w:val="24"/>
        </w:rPr>
        <w:t>各情景下，地表水环境影响预测因子及源强见表</w:t>
      </w:r>
      <w:r>
        <w:rPr>
          <w:rFonts w:hint="eastAsia"/>
          <w:color w:val="auto"/>
          <w:szCs w:val="24"/>
          <w:lang w:val="en-US" w:eastAsia="zh-CN"/>
        </w:rPr>
        <w:t>5.2</w:t>
      </w:r>
      <w:r>
        <w:rPr>
          <w:rFonts w:hint="eastAsia"/>
          <w:color w:val="auto"/>
          <w:szCs w:val="24"/>
        </w:rPr>
        <w:t>-1。</w:t>
      </w:r>
    </w:p>
    <w:p w14:paraId="6CDBD0B2">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rPr>
      </w:pPr>
    </w:p>
    <w:p w14:paraId="31118520">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rPr>
      </w:pPr>
    </w:p>
    <w:p w14:paraId="29C9402F">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rPr>
      </w:pPr>
    </w:p>
    <w:p w14:paraId="2B120871">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 xml:space="preserve">1    </w:t>
      </w:r>
      <w:r>
        <w:rPr>
          <w:rFonts w:hint="default" w:ascii="Times New Roman" w:hAnsi="Times New Roman" w:eastAsia="宋体" w:cs="Times New Roman"/>
          <w:color w:val="auto"/>
          <w:sz w:val="24"/>
          <w:szCs w:val="24"/>
        </w:rPr>
        <w:t>环境影响预测因子及源强</w:t>
      </w:r>
      <w:r>
        <w:rPr>
          <w:rFonts w:hint="default" w:ascii="Times New Roman" w:hAnsi="Times New Roman" w:eastAsia="宋体" w:cs="Times New Roman"/>
          <w:color w:val="auto"/>
          <w:sz w:val="24"/>
          <w:szCs w:val="24"/>
          <w:lang w:val="en-US" w:eastAsia="zh-CN"/>
        </w:rPr>
        <w:t>一览表</w:t>
      </w:r>
    </w:p>
    <w:tbl>
      <w:tblPr>
        <w:tblStyle w:val="25"/>
        <w:tblW w:w="486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17"/>
        <w:gridCol w:w="2615"/>
        <w:gridCol w:w="1851"/>
        <w:gridCol w:w="1457"/>
        <w:gridCol w:w="1457"/>
      </w:tblGrid>
      <w:tr w14:paraId="00D4552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898" w:type="pct"/>
            <w:vMerge w:val="restart"/>
            <w:noWrap/>
            <w:vAlign w:val="center"/>
          </w:tcPr>
          <w:p w14:paraId="3BFBA5F6">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项目</w:t>
            </w:r>
          </w:p>
        </w:tc>
        <w:tc>
          <w:tcPr>
            <w:tcW w:w="1453" w:type="pct"/>
            <w:vMerge w:val="restart"/>
            <w:noWrap/>
            <w:vAlign w:val="center"/>
          </w:tcPr>
          <w:p w14:paraId="40B889D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情景模式</w:t>
            </w:r>
          </w:p>
        </w:tc>
        <w:tc>
          <w:tcPr>
            <w:tcW w:w="1028" w:type="pct"/>
            <w:vMerge w:val="restart"/>
            <w:vAlign w:val="center"/>
          </w:tcPr>
          <w:p w14:paraId="4311EE6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lang w:val="en-US"/>
              </w:rPr>
            </w:pPr>
            <w:r>
              <w:rPr>
                <w:rStyle w:val="97"/>
                <w:rFonts w:hint="eastAsia" w:cs="Times New Roman"/>
                <w:b/>
                <w:bCs w:val="0"/>
                <w:color w:val="auto"/>
                <w:sz w:val="21"/>
                <w:szCs w:val="21"/>
                <w:lang w:val="en-US" w:eastAsia="zh-CN" w:bidi="ar"/>
              </w:rPr>
              <w:t>废水排放量（Q</w:t>
            </w:r>
            <w:r>
              <w:rPr>
                <w:rStyle w:val="97"/>
                <w:rFonts w:hint="eastAsia" w:cs="Times New Roman"/>
                <w:b/>
                <w:bCs w:val="0"/>
                <w:color w:val="auto"/>
                <w:sz w:val="21"/>
                <w:szCs w:val="21"/>
                <w:vertAlign w:val="subscript"/>
                <w:lang w:val="en-US" w:eastAsia="zh-CN" w:bidi="ar"/>
              </w:rPr>
              <w:t>p</w:t>
            </w:r>
            <w:r>
              <w:rPr>
                <w:rStyle w:val="97"/>
                <w:rFonts w:hint="eastAsia" w:cs="Times New Roman"/>
                <w:b/>
                <w:bCs w:val="0"/>
                <w:color w:val="auto"/>
                <w:sz w:val="21"/>
                <w:szCs w:val="21"/>
                <w:lang w:val="en-US" w:eastAsia="zh-CN" w:bidi="ar"/>
              </w:rPr>
              <w:t>）</w:t>
            </w:r>
          </w:p>
        </w:tc>
        <w:tc>
          <w:tcPr>
            <w:tcW w:w="1619" w:type="pct"/>
            <w:gridSpan w:val="2"/>
            <w:vAlign w:val="center"/>
          </w:tcPr>
          <w:p w14:paraId="4EC88C44">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预测因子及其浓度（mg/L）</w:t>
            </w:r>
          </w:p>
        </w:tc>
      </w:tr>
      <w:tr w14:paraId="14E860E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898" w:type="pct"/>
            <w:vMerge w:val="continue"/>
            <w:noWrap/>
            <w:vAlign w:val="center"/>
          </w:tcPr>
          <w:p w14:paraId="7BCDCC7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color w:val="auto"/>
              </w:rPr>
            </w:pPr>
          </w:p>
        </w:tc>
        <w:tc>
          <w:tcPr>
            <w:tcW w:w="1453" w:type="pct"/>
            <w:vMerge w:val="continue"/>
            <w:noWrap/>
            <w:vAlign w:val="center"/>
          </w:tcPr>
          <w:p w14:paraId="700A512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color w:val="auto"/>
              </w:rPr>
            </w:pPr>
          </w:p>
        </w:tc>
        <w:tc>
          <w:tcPr>
            <w:tcW w:w="1028" w:type="pct"/>
            <w:vMerge w:val="continue"/>
            <w:vAlign w:val="center"/>
          </w:tcPr>
          <w:p w14:paraId="757BA4B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color w:val="auto"/>
              </w:rPr>
            </w:pPr>
          </w:p>
        </w:tc>
        <w:tc>
          <w:tcPr>
            <w:tcW w:w="809" w:type="pct"/>
            <w:vAlign w:val="center"/>
          </w:tcPr>
          <w:p w14:paraId="4043675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default" w:ascii="Times New Roman" w:hAnsi="Times New Roman" w:eastAsia="宋体" w:cs="Times New Roman"/>
                <w:b/>
                <w:bCs w:val="0"/>
                <w:i w:val="0"/>
                <w:iCs w:val="0"/>
                <w:color w:val="auto"/>
                <w:kern w:val="0"/>
                <w:sz w:val="21"/>
                <w:szCs w:val="21"/>
                <w:u w:val="none"/>
                <w:lang w:val="en-US" w:eastAsia="zh-CN" w:bidi="ar"/>
              </w:rPr>
              <w:t>COD</w:t>
            </w:r>
            <w:r>
              <w:rPr>
                <w:rFonts w:hint="eastAsia" w:cs="Times New Roman"/>
                <w:b/>
                <w:bCs w:val="0"/>
                <w:i w:val="0"/>
                <w:iCs w:val="0"/>
                <w:color w:val="auto"/>
                <w:kern w:val="0"/>
                <w:sz w:val="21"/>
                <w:szCs w:val="21"/>
                <w:u w:val="none"/>
                <w:lang w:val="en-US" w:eastAsia="zh-CN" w:bidi="ar"/>
              </w:rPr>
              <w:t>（C</w:t>
            </w:r>
            <w:r>
              <w:rPr>
                <w:rFonts w:hint="eastAsia" w:cs="Times New Roman"/>
                <w:b/>
                <w:bCs w:val="0"/>
                <w:i w:val="0"/>
                <w:iCs w:val="0"/>
                <w:color w:val="auto"/>
                <w:kern w:val="0"/>
                <w:sz w:val="21"/>
                <w:szCs w:val="21"/>
                <w:u w:val="none"/>
                <w:vertAlign w:val="subscript"/>
                <w:lang w:val="en-US" w:eastAsia="zh-CN" w:bidi="ar"/>
              </w:rPr>
              <w:t>p</w:t>
            </w:r>
            <w:r>
              <w:rPr>
                <w:rFonts w:hint="eastAsia" w:cs="Times New Roman"/>
                <w:b/>
                <w:bCs w:val="0"/>
                <w:i w:val="0"/>
                <w:iCs w:val="0"/>
                <w:color w:val="auto"/>
                <w:kern w:val="0"/>
                <w:sz w:val="21"/>
                <w:szCs w:val="21"/>
                <w:u w:val="none"/>
                <w:lang w:val="en-US" w:eastAsia="zh-CN" w:bidi="ar"/>
              </w:rPr>
              <w:t>）</w:t>
            </w:r>
          </w:p>
        </w:tc>
        <w:tc>
          <w:tcPr>
            <w:tcW w:w="809" w:type="pct"/>
            <w:vAlign w:val="center"/>
          </w:tcPr>
          <w:p w14:paraId="725BBDB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i w:val="0"/>
                <w:iCs w:val="0"/>
                <w:color w:val="auto"/>
                <w:kern w:val="0"/>
                <w:sz w:val="21"/>
                <w:szCs w:val="21"/>
                <w:u w:val="none"/>
                <w:lang w:val="en-US" w:eastAsia="zh-CN" w:bidi="ar"/>
              </w:rPr>
            </w:pPr>
            <w:r>
              <w:rPr>
                <w:rStyle w:val="97"/>
                <w:rFonts w:hint="default" w:ascii="Times New Roman" w:hAnsi="Times New Roman" w:eastAsia="宋体" w:cs="Times New Roman"/>
                <w:b/>
                <w:bCs w:val="0"/>
                <w:color w:val="auto"/>
                <w:sz w:val="21"/>
                <w:szCs w:val="21"/>
                <w:lang w:val="en-US" w:eastAsia="zh-CN" w:bidi="ar"/>
              </w:rPr>
              <w:t>NH</w:t>
            </w:r>
            <w:r>
              <w:rPr>
                <w:rStyle w:val="97"/>
                <w:rFonts w:hint="default" w:ascii="Times New Roman" w:hAnsi="Times New Roman" w:eastAsia="宋体" w:cs="Times New Roman"/>
                <w:b/>
                <w:bCs w:val="0"/>
                <w:color w:val="auto"/>
                <w:sz w:val="21"/>
                <w:szCs w:val="21"/>
                <w:vertAlign w:val="subscript"/>
                <w:lang w:val="en-US" w:eastAsia="zh-CN" w:bidi="ar"/>
              </w:rPr>
              <w:t>3</w:t>
            </w:r>
            <w:r>
              <w:rPr>
                <w:rStyle w:val="97"/>
                <w:rFonts w:hint="default" w:ascii="Times New Roman" w:hAnsi="Times New Roman" w:eastAsia="宋体" w:cs="Times New Roman"/>
                <w:b/>
                <w:bCs w:val="0"/>
                <w:color w:val="auto"/>
                <w:sz w:val="21"/>
                <w:szCs w:val="21"/>
                <w:lang w:val="en-US" w:eastAsia="zh-CN" w:bidi="ar"/>
              </w:rPr>
              <w:t>-N</w:t>
            </w:r>
            <w:r>
              <w:rPr>
                <w:rFonts w:hint="eastAsia" w:cs="Times New Roman"/>
                <w:b/>
                <w:bCs w:val="0"/>
                <w:i w:val="0"/>
                <w:iCs w:val="0"/>
                <w:color w:val="auto"/>
                <w:kern w:val="0"/>
                <w:sz w:val="21"/>
                <w:szCs w:val="21"/>
                <w:u w:val="none"/>
                <w:lang w:val="en-US" w:eastAsia="zh-CN" w:bidi="ar"/>
              </w:rPr>
              <w:t>（C</w:t>
            </w:r>
            <w:r>
              <w:rPr>
                <w:rFonts w:hint="eastAsia" w:cs="Times New Roman"/>
                <w:b/>
                <w:bCs w:val="0"/>
                <w:i w:val="0"/>
                <w:iCs w:val="0"/>
                <w:color w:val="auto"/>
                <w:kern w:val="0"/>
                <w:sz w:val="21"/>
                <w:szCs w:val="21"/>
                <w:u w:val="none"/>
                <w:vertAlign w:val="subscript"/>
                <w:lang w:val="en-US" w:eastAsia="zh-CN" w:bidi="ar"/>
              </w:rPr>
              <w:t>p</w:t>
            </w:r>
            <w:r>
              <w:rPr>
                <w:rFonts w:hint="eastAsia" w:cs="Times New Roman"/>
                <w:b/>
                <w:bCs w:val="0"/>
                <w:i w:val="0"/>
                <w:iCs w:val="0"/>
                <w:color w:val="auto"/>
                <w:kern w:val="0"/>
                <w:sz w:val="21"/>
                <w:szCs w:val="21"/>
                <w:u w:val="none"/>
                <w:lang w:val="en-US" w:eastAsia="zh-CN" w:bidi="ar"/>
              </w:rPr>
              <w:t>）</w:t>
            </w:r>
          </w:p>
        </w:tc>
      </w:tr>
      <w:tr w14:paraId="6173BF7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 w:type="pct"/>
            <w:vMerge w:val="restart"/>
            <w:vAlign w:val="center"/>
          </w:tcPr>
          <w:p w14:paraId="1987AA3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综合</w:t>
            </w:r>
            <w:r>
              <w:rPr>
                <w:rFonts w:hint="default" w:ascii="Times New Roman" w:hAnsi="Times New Roman" w:eastAsia="宋体" w:cs="Times New Roman"/>
                <w:bCs/>
                <w:color w:val="auto"/>
                <w:sz w:val="21"/>
                <w:szCs w:val="21"/>
                <w:lang w:val="en-US" w:eastAsia="zh-CN"/>
              </w:rPr>
              <w:t>废水</w:t>
            </w:r>
          </w:p>
        </w:tc>
        <w:tc>
          <w:tcPr>
            <w:tcW w:w="1453" w:type="pct"/>
            <w:noWrap/>
            <w:vAlign w:val="center"/>
          </w:tcPr>
          <w:p w14:paraId="27937AD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正常排放</w:t>
            </w:r>
          </w:p>
        </w:tc>
        <w:tc>
          <w:tcPr>
            <w:tcW w:w="1028" w:type="pct"/>
            <w:vAlign w:val="center"/>
          </w:tcPr>
          <w:p w14:paraId="6FF270FC">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rPr>
              <w:t>0.014m</w:t>
            </w:r>
            <w:r>
              <w:rPr>
                <w:rFonts w:hint="default" w:ascii="Times New Roman" w:hAnsi="Times New Roman" w:eastAsia="宋体" w:cs="Times New Roman"/>
                <w:bCs/>
                <w:color w:val="auto"/>
                <w:sz w:val="21"/>
                <w:szCs w:val="21"/>
                <w:vertAlign w:val="superscript"/>
                <w:lang w:val="en-US"/>
              </w:rPr>
              <w:t>3</w:t>
            </w:r>
            <w:r>
              <w:rPr>
                <w:rFonts w:hint="default" w:ascii="Times New Roman" w:hAnsi="Times New Roman" w:eastAsia="宋体" w:cs="Times New Roman"/>
                <w:bCs/>
                <w:color w:val="auto"/>
                <w:sz w:val="21"/>
                <w:szCs w:val="21"/>
                <w:lang w:val="en-US"/>
              </w:rPr>
              <w:t>/s</w:t>
            </w:r>
          </w:p>
        </w:tc>
        <w:tc>
          <w:tcPr>
            <w:tcW w:w="809" w:type="pct"/>
            <w:vAlign w:val="center"/>
          </w:tcPr>
          <w:p w14:paraId="081376B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50</w:t>
            </w:r>
          </w:p>
        </w:tc>
        <w:tc>
          <w:tcPr>
            <w:tcW w:w="809" w:type="pct"/>
            <w:vAlign w:val="center"/>
          </w:tcPr>
          <w:p w14:paraId="7B354D1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w:t>
            </w:r>
          </w:p>
        </w:tc>
      </w:tr>
      <w:tr w14:paraId="627364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98" w:type="pct"/>
            <w:vMerge w:val="continue"/>
            <w:vAlign w:val="center"/>
          </w:tcPr>
          <w:p w14:paraId="3D66544C">
            <w:pPr>
              <w:keepNext w:val="0"/>
              <w:keepLines w:val="0"/>
              <w:pageBreakBefore w:val="0"/>
              <w:kinsoku/>
              <w:wordWrap/>
              <w:overflowPunct/>
              <w:topLinePunct w:val="0"/>
              <w:autoSpaceDE/>
              <w:autoSpaceDN/>
              <w:bidi w:val="0"/>
              <w:adjustRightInd/>
              <w:spacing w:line="240" w:lineRule="auto"/>
              <w:ind w:left="0" w:hanging="420" w:hangingChars="200"/>
              <w:jc w:val="center"/>
              <w:rPr>
                <w:rFonts w:hint="eastAsia" w:cs="Times New Roman"/>
                <w:bCs/>
                <w:color w:val="auto"/>
                <w:sz w:val="21"/>
                <w:szCs w:val="21"/>
                <w:lang w:val="en-US" w:eastAsia="zh-CN"/>
              </w:rPr>
            </w:pPr>
          </w:p>
        </w:tc>
        <w:tc>
          <w:tcPr>
            <w:tcW w:w="1453" w:type="pct"/>
            <w:noWrap/>
            <w:vAlign w:val="center"/>
          </w:tcPr>
          <w:p w14:paraId="5396955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val="0"/>
                <w:bCs w:val="0"/>
                <w:color w:val="auto"/>
                <w:sz w:val="21"/>
                <w:szCs w:val="21"/>
              </w:rPr>
            </w:pPr>
            <w:r>
              <w:rPr>
                <w:rFonts w:hint="eastAsia" w:cs="Times New Roman"/>
                <w:b w:val="0"/>
                <w:bCs w:val="0"/>
                <w:color w:val="auto"/>
                <w:sz w:val="21"/>
                <w:szCs w:val="21"/>
                <w:lang w:val="en-US" w:eastAsia="zh-CN"/>
              </w:rPr>
              <w:t>非</w:t>
            </w:r>
            <w:r>
              <w:rPr>
                <w:rFonts w:hint="default" w:ascii="Times New Roman" w:hAnsi="Times New Roman" w:eastAsia="宋体" w:cs="Times New Roman"/>
                <w:b w:val="0"/>
                <w:bCs w:val="0"/>
                <w:color w:val="auto"/>
                <w:sz w:val="21"/>
                <w:szCs w:val="21"/>
              </w:rPr>
              <w:t>正常排放</w:t>
            </w:r>
          </w:p>
        </w:tc>
        <w:tc>
          <w:tcPr>
            <w:tcW w:w="1028" w:type="pct"/>
            <w:vAlign w:val="center"/>
          </w:tcPr>
          <w:p w14:paraId="2E6D079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bCs/>
                <w:color w:val="auto"/>
                <w:sz w:val="21"/>
                <w:szCs w:val="21"/>
                <w:lang w:val="en-US"/>
              </w:rPr>
              <w:t>0.014m</w:t>
            </w:r>
            <w:r>
              <w:rPr>
                <w:rFonts w:hint="default" w:ascii="Times New Roman" w:hAnsi="Times New Roman" w:eastAsia="宋体" w:cs="Times New Roman"/>
                <w:bCs/>
                <w:color w:val="auto"/>
                <w:sz w:val="21"/>
                <w:szCs w:val="21"/>
                <w:vertAlign w:val="superscript"/>
                <w:lang w:val="en-US"/>
              </w:rPr>
              <w:t>3</w:t>
            </w:r>
            <w:r>
              <w:rPr>
                <w:rFonts w:hint="default" w:ascii="Times New Roman" w:hAnsi="Times New Roman" w:eastAsia="宋体" w:cs="Times New Roman"/>
                <w:bCs/>
                <w:color w:val="auto"/>
                <w:sz w:val="21"/>
                <w:szCs w:val="21"/>
                <w:lang w:val="en-US"/>
              </w:rPr>
              <w:t>/s</w:t>
            </w:r>
          </w:p>
        </w:tc>
        <w:tc>
          <w:tcPr>
            <w:tcW w:w="809" w:type="pct"/>
            <w:vAlign w:val="center"/>
          </w:tcPr>
          <w:p w14:paraId="3F65717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400</w:t>
            </w:r>
          </w:p>
        </w:tc>
        <w:tc>
          <w:tcPr>
            <w:tcW w:w="809" w:type="pct"/>
            <w:vAlign w:val="center"/>
          </w:tcPr>
          <w:p w14:paraId="21C4AC1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w:t>
            </w:r>
          </w:p>
        </w:tc>
      </w:tr>
    </w:tbl>
    <w:p w14:paraId="1BA25A86">
      <w:pPr>
        <w:pStyle w:val="61"/>
        <w:numPr>
          <w:ilvl w:val="0"/>
          <w:numId w:val="0"/>
        </w:numPr>
        <w:spacing w:before="0" w:after="0"/>
        <w:rPr>
          <w:rFonts w:eastAsia="宋体"/>
          <w:color w:val="auto"/>
        </w:rPr>
      </w:pPr>
      <w:bookmarkStart w:id="50" w:name="_Toc488006591"/>
      <w:r>
        <w:rPr>
          <w:rFonts w:eastAsia="宋体"/>
          <w:color w:val="auto"/>
        </w:rPr>
        <w:t>5</w:t>
      </w:r>
      <w:r>
        <w:rPr>
          <w:rFonts w:hint="eastAsia" w:eastAsia="宋体"/>
          <w:color w:val="auto"/>
        </w:rPr>
        <w:t>.</w:t>
      </w:r>
      <w:r>
        <w:rPr>
          <w:rFonts w:hint="eastAsia" w:eastAsia="宋体"/>
          <w:color w:val="auto"/>
          <w:lang w:val="en-US" w:eastAsia="zh-CN"/>
        </w:rPr>
        <w:t>2</w:t>
      </w:r>
      <w:r>
        <w:rPr>
          <w:rFonts w:hint="eastAsia" w:eastAsia="宋体"/>
          <w:color w:val="auto"/>
        </w:rPr>
        <w:t>.</w:t>
      </w:r>
      <w:r>
        <w:rPr>
          <w:rFonts w:hint="eastAsia" w:eastAsia="宋体"/>
          <w:color w:val="auto"/>
          <w:lang w:val="en-US" w:eastAsia="zh-CN"/>
        </w:rPr>
        <w:t>3</w:t>
      </w:r>
      <w:bookmarkEnd w:id="50"/>
      <w:r>
        <w:rPr>
          <w:rFonts w:hint="eastAsia" w:eastAsia="宋体"/>
          <w:color w:val="auto"/>
        </w:rPr>
        <w:t>参数选择</w:t>
      </w:r>
    </w:p>
    <w:p w14:paraId="4C82CF2B">
      <w:pPr>
        <w:pStyle w:val="46"/>
        <w:ind w:firstLine="480"/>
        <w:rPr>
          <w:rFonts w:hint="eastAsia" w:eastAsia="宋体"/>
          <w:color w:val="auto"/>
          <w:sz w:val="24"/>
        </w:rPr>
      </w:pPr>
      <w:r>
        <w:rPr>
          <w:rFonts w:hint="eastAsia" w:eastAsia="宋体"/>
          <w:color w:val="auto"/>
          <w:sz w:val="24"/>
        </w:rPr>
        <w:t>（1）水文参数</w:t>
      </w:r>
    </w:p>
    <w:p w14:paraId="15F36C2C">
      <w:pPr>
        <w:pStyle w:val="46"/>
        <w:ind w:firstLine="480"/>
        <w:rPr>
          <w:rFonts w:eastAsia="宋体"/>
          <w:color w:val="auto"/>
          <w:sz w:val="24"/>
        </w:rPr>
      </w:pPr>
      <w:r>
        <w:rPr>
          <w:rFonts w:hint="eastAsia" w:eastAsia="宋体"/>
          <w:color w:val="auto"/>
          <w:sz w:val="24"/>
        </w:rPr>
        <w:t>根据现场踏勘、现状监测报告及水文测量资料，评价河段水文参数见下表</w:t>
      </w:r>
      <w:r>
        <w:rPr>
          <w:rFonts w:hint="eastAsia" w:eastAsia="宋体"/>
          <w:color w:val="auto"/>
          <w:sz w:val="24"/>
          <w:lang w:val="en-US" w:eastAsia="zh-CN"/>
        </w:rPr>
        <w:t>5.2</w:t>
      </w:r>
      <w:r>
        <w:rPr>
          <w:rFonts w:hint="eastAsia" w:eastAsia="宋体"/>
          <w:color w:val="auto"/>
          <w:sz w:val="24"/>
        </w:rPr>
        <w:t>-2。</w:t>
      </w:r>
    </w:p>
    <w:p w14:paraId="7E42FE26">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 xml:space="preserve">2    </w:t>
      </w:r>
      <w:r>
        <w:rPr>
          <w:rFonts w:hint="default" w:ascii="Times New Roman" w:hAnsi="Times New Roman" w:eastAsia="宋体" w:cs="Times New Roman"/>
          <w:color w:val="auto"/>
          <w:sz w:val="24"/>
          <w:szCs w:val="24"/>
        </w:rPr>
        <w:t>新河预测河段水文参数</w:t>
      </w:r>
      <w:r>
        <w:rPr>
          <w:rFonts w:hint="default" w:ascii="Times New Roman" w:hAnsi="Times New Roman" w:eastAsia="宋体" w:cs="Times New Roman"/>
          <w:color w:val="auto"/>
          <w:sz w:val="24"/>
          <w:szCs w:val="24"/>
          <w:lang w:val="en-US" w:eastAsia="zh-CN"/>
        </w:rPr>
        <w:t>一览表</w:t>
      </w:r>
    </w:p>
    <w:tbl>
      <w:tblPr>
        <w:tblStyle w:val="25"/>
        <w:tblW w:w="486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99"/>
        <w:gridCol w:w="1499"/>
        <w:gridCol w:w="1499"/>
        <w:gridCol w:w="1499"/>
        <w:gridCol w:w="1499"/>
        <w:gridCol w:w="1501"/>
      </w:tblGrid>
      <w:tr w14:paraId="3287226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784" w:hRule="atLeast"/>
          <w:tblHeader/>
          <w:jc w:val="center"/>
        </w:trPr>
        <w:tc>
          <w:tcPr>
            <w:tcW w:w="833" w:type="pct"/>
            <w:noWrap/>
            <w:vAlign w:val="center"/>
          </w:tcPr>
          <w:p w14:paraId="7A1BD589">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水体</w:t>
            </w:r>
          </w:p>
        </w:tc>
        <w:tc>
          <w:tcPr>
            <w:tcW w:w="833" w:type="pct"/>
            <w:noWrap/>
            <w:vAlign w:val="center"/>
          </w:tcPr>
          <w:p w14:paraId="4A2DD96A">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河宽B（m）</w:t>
            </w:r>
          </w:p>
        </w:tc>
        <w:tc>
          <w:tcPr>
            <w:tcW w:w="833" w:type="pct"/>
            <w:noWrap/>
            <w:vAlign w:val="center"/>
          </w:tcPr>
          <w:p w14:paraId="4BF8D05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平均水深H（m）</w:t>
            </w:r>
          </w:p>
        </w:tc>
        <w:tc>
          <w:tcPr>
            <w:tcW w:w="833" w:type="pct"/>
            <w:noWrap/>
            <w:vAlign w:val="center"/>
          </w:tcPr>
          <w:p w14:paraId="7115AA5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平均流量</w:t>
            </w:r>
          </w:p>
          <w:p w14:paraId="6D4093B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/s）</w:t>
            </w:r>
          </w:p>
        </w:tc>
        <w:tc>
          <w:tcPr>
            <w:tcW w:w="833" w:type="pct"/>
            <w:noWrap/>
            <w:vAlign w:val="center"/>
          </w:tcPr>
          <w:p w14:paraId="169E495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流速u（m/s）</w:t>
            </w:r>
          </w:p>
        </w:tc>
        <w:tc>
          <w:tcPr>
            <w:tcW w:w="834" w:type="pct"/>
            <w:noWrap/>
            <w:vAlign w:val="center"/>
          </w:tcPr>
          <w:p w14:paraId="1F1FE9A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河道比降I</w:t>
            </w:r>
            <w:r>
              <w:rPr>
                <w:rFonts w:hint="eastAsia" w:cs="Times New Roman"/>
                <w:b/>
                <w:bCs w:val="0"/>
                <w:color w:val="auto"/>
                <w:sz w:val="21"/>
                <w:szCs w:val="21"/>
                <w:lang w:eastAsia="zh-CN"/>
              </w:rPr>
              <w:t>（</w:t>
            </w:r>
            <w:r>
              <w:rPr>
                <w:rFonts w:hint="default" w:ascii="Times New Roman" w:hAnsi="Times New Roman" w:eastAsia="宋体" w:cs="Times New Roman"/>
                <w:b/>
                <w:bCs w:val="0"/>
                <w:color w:val="auto"/>
                <w:sz w:val="21"/>
                <w:szCs w:val="21"/>
              </w:rPr>
              <w:t>‰</w:t>
            </w:r>
            <w:r>
              <w:rPr>
                <w:rFonts w:hint="eastAsia" w:cs="Times New Roman"/>
                <w:b/>
                <w:bCs w:val="0"/>
                <w:color w:val="auto"/>
                <w:sz w:val="21"/>
                <w:szCs w:val="21"/>
                <w:lang w:eastAsia="zh-CN"/>
              </w:rPr>
              <w:t>）</w:t>
            </w:r>
          </w:p>
        </w:tc>
      </w:tr>
      <w:tr w14:paraId="4872278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33" w:type="pct"/>
            <w:vAlign w:val="center"/>
          </w:tcPr>
          <w:p w14:paraId="3AEC630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综合</w:t>
            </w:r>
            <w:r>
              <w:rPr>
                <w:rFonts w:hint="default" w:ascii="Times New Roman" w:hAnsi="Times New Roman" w:eastAsia="宋体" w:cs="Times New Roman"/>
                <w:bCs/>
                <w:color w:val="auto"/>
                <w:sz w:val="21"/>
                <w:szCs w:val="21"/>
                <w:lang w:val="en-US" w:eastAsia="zh-CN"/>
              </w:rPr>
              <w:t>废水</w:t>
            </w:r>
          </w:p>
        </w:tc>
        <w:tc>
          <w:tcPr>
            <w:tcW w:w="833" w:type="pct"/>
            <w:noWrap/>
            <w:vAlign w:val="center"/>
          </w:tcPr>
          <w:p w14:paraId="41116B3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p>
        </w:tc>
        <w:tc>
          <w:tcPr>
            <w:tcW w:w="833" w:type="pct"/>
            <w:noWrap/>
            <w:vAlign w:val="center"/>
          </w:tcPr>
          <w:p w14:paraId="0EB8C26A">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0.6</w:t>
            </w:r>
          </w:p>
        </w:tc>
        <w:tc>
          <w:tcPr>
            <w:tcW w:w="833" w:type="pct"/>
            <w:noWrap/>
            <w:vAlign w:val="center"/>
          </w:tcPr>
          <w:p w14:paraId="3673A54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0.041</w:t>
            </w:r>
          </w:p>
        </w:tc>
        <w:tc>
          <w:tcPr>
            <w:tcW w:w="833" w:type="pct"/>
            <w:noWrap/>
            <w:vAlign w:val="center"/>
          </w:tcPr>
          <w:p w14:paraId="40F782E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0.2</w:t>
            </w:r>
          </w:p>
        </w:tc>
        <w:tc>
          <w:tcPr>
            <w:tcW w:w="834" w:type="pct"/>
            <w:noWrap/>
            <w:vAlign w:val="center"/>
          </w:tcPr>
          <w:p w14:paraId="1352B436">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8.5</w:t>
            </w:r>
          </w:p>
        </w:tc>
      </w:tr>
    </w:tbl>
    <w:p w14:paraId="3215B266">
      <w:pPr>
        <w:pStyle w:val="46"/>
        <w:ind w:firstLine="480"/>
        <w:rPr>
          <w:rFonts w:hint="eastAsia" w:eastAsia="宋体"/>
          <w:color w:val="auto"/>
          <w:sz w:val="24"/>
        </w:rPr>
      </w:pPr>
      <w:r>
        <w:rPr>
          <w:rFonts w:hint="eastAsia" w:eastAsia="宋体"/>
          <w:color w:val="auto"/>
          <w:sz w:val="24"/>
        </w:rPr>
        <w:t>（2）河流的水质背景值</w:t>
      </w:r>
    </w:p>
    <w:p w14:paraId="6D826B70">
      <w:pPr>
        <w:pStyle w:val="46"/>
        <w:ind w:firstLine="480"/>
        <w:rPr>
          <w:rFonts w:eastAsia="宋体"/>
          <w:color w:val="auto"/>
          <w:sz w:val="24"/>
        </w:rPr>
      </w:pPr>
      <w:r>
        <w:rPr>
          <w:rFonts w:hint="eastAsia" w:eastAsia="宋体"/>
          <w:color w:val="auto"/>
          <w:sz w:val="24"/>
        </w:rPr>
        <w:t>由于本项目入河排污口上游无例行监测断面，因此本次评价河流水质背景值选取2022年3月的监测值作为枯水期断面背景值。本项目背景浓度见下表</w:t>
      </w:r>
      <w:r>
        <w:rPr>
          <w:rFonts w:hint="eastAsia" w:eastAsia="宋体"/>
          <w:color w:val="auto"/>
          <w:sz w:val="24"/>
          <w:lang w:val="en-US" w:eastAsia="zh-CN"/>
        </w:rPr>
        <w:t>5.2</w:t>
      </w:r>
      <w:r>
        <w:rPr>
          <w:rFonts w:hint="eastAsia" w:eastAsia="宋体"/>
          <w:color w:val="auto"/>
          <w:sz w:val="24"/>
        </w:rPr>
        <w:t>-3。</w:t>
      </w:r>
    </w:p>
    <w:p w14:paraId="62385358">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rPr>
        <w:t>背景浓度值 单位：</w:t>
      </w:r>
    </w:p>
    <w:tbl>
      <w:tblPr>
        <w:tblStyle w:val="25"/>
        <w:tblW w:w="486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345"/>
        <w:gridCol w:w="3311"/>
        <w:gridCol w:w="3339"/>
      </w:tblGrid>
      <w:tr w14:paraId="1FE1F9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47" w:hRule="atLeast"/>
          <w:tblHeader/>
          <w:jc w:val="center"/>
        </w:trPr>
        <w:tc>
          <w:tcPr>
            <w:tcW w:w="1303" w:type="pct"/>
            <w:noWrap/>
            <w:vAlign w:val="center"/>
          </w:tcPr>
          <w:p w14:paraId="0DAD31E9">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水体</w:t>
            </w:r>
          </w:p>
        </w:tc>
        <w:tc>
          <w:tcPr>
            <w:tcW w:w="1840" w:type="pct"/>
            <w:noWrap/>
            <w:vAlign w:val="center"/>
          </w:tcPr>
          <w:p w14:paraId="4B3DDEC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COD</w:t>
            </w:r>
            <w:r>
              <w:rPr>
                <w:rFonts w:hint="eastAsia" w:cs="Times New Roman"/>
                <w:b/>
                <w:bCs w:val="0"/>
                <w:color w:val="auto"/>
                <w:sz w:val="21"/>
                <w:szCs w:val="21"/>
                <w:lang w:eastAsia="zh-CN"/>
              </w:rPr>
              <w:t>（</w:t>
            </w:r>
            <w:r>
              <w:rPr>
                <w:rFonts w:hint="default" w:ascii="Times New Roman" w:hAnsi="Times New Roman" w:eastAsia="宋体" w:cs="Times New Roman"/>
                <w:b/>
                <w:bCs w:val="0"/>
                <w:color w:val="auto"/>
                <w:sz w:val="21"/>
                <w:szCs w:val="21"/>
              </w:rPr>
              <w:t>C</w:t>
            </w:r>
            <w:r>
              <w:rPr>
                <w:rFonts w:hint="default" w:ascii="Times New Roman" w:hAnsi="Times New Roman" w:eastAsia="宋体" w:cs="Times New Roman"/>
                <w:b/>
                <w:bCs w:val="0"/>
                <w:color w:val="auto"/>
                <w:sz w:val="21"/>
                <w:szCs w:val="21"/>
                <w:vertAlign w:val="subscript"/>
              </w:rPr>
              <w:t>h</w:t>
            </w:r>
            <w:r>
              <w:rPr>
                <w:rFonts w:hint="eastAsia" w:cs="Times New Roman"/>
                <w:b/>
                <w:bCs w:val="0"/>
                <w:color w:val="auto"/>
                <w:sz w:val="21"/>
                <w:szCs w:val="21"/>
                <w:lang w:eastAsia="zh-CN"/>
              </w:rPr>
              <w:t>）</w:t>
            </w:r>
          </w:p>
        </w:tc>
        <w:tc>
          <w:tcPr>
            <w:tcW w:w="1856" w:type="pct"/>
            <w:noWrap/>
            <w:vAlign w:val="center"/>
          </w:tcPr>
          <w:p w14:paraId="7A04246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NH</w:t>
            </w:r>
            <w:r>
              <w:rPr>
                <w:rFonts w:hint="default" w:ascii="Times New Roman" w:hAnsi="Times New Roman" w:eastAsia="宋体" w:cs="Times New Roman"/>
                <w:b/>
                <w:bCs w:val="0"/>
                <w:color w:val="auto"/>
                <w:sz w:val="21"/>
                <w:szCs w:val="21"/>
                <w:vertAlign w:val="subscript"/>
              </w:rPr>
              <w:t>3</w:t>
            </w:r>
            <w:r>
              <w:rPr>
                <w:rFonts w:hint="default" w:ascii="Times New Roman" w:hAnsi="Times New Roman" w:eastAsia="宋体" w:cs="Times New Roman"/>
                <w:b/>
                <w:bCs w:val="0"/>
                <w:color w:val="auto"/>
                <w:sz w:val="21"/>
                <w:szCs w:val="21"/>
              </w:rPr>
              <w:t>-N</w:t>
            </w:r>
            <w:r>
              <w:rPr>
                <w:rFonts w:hint="eastAsia" w:cs="Times New Roman"/>
                <w:b/>
                <w:bCs w:val="0"/>
                <w:color w:val="auto"/>
                <w:sz w:val="21"/>
                <w:szCs w:val="21"/>
                <w:lang w:eastAsia="zh-CN"/>
              </w:rPr>
              <w:t>（</w:t>
            </w:r>
            <w:r>
              <w:rPr>
                <w:rFonts w:hint="default" w:ascii="Times New Roman" w:hAnsi="Times New Roman" w:eastAsia="宋体" w:cs="Times New Roman"/>
                <w:b/>
                <w:bCs w:val="0"/>
                <w:color w:val="auto"/>
                <w:sz w:val="21"/>
                <w:szCs w:val="21"/>
              </w:rPr>
              <w:t>C</w:t>
            </w:r>
            <w:r>
              <w:rPr>
                <w:rFonts w:hint="default" w:ascii="Times New Roman" w:hAnsi="Times New Roman" w:eastAsia="宋体" w:cs="Times New Roman"/>
                <w:b/>
                <w:bCs w:val="0"/>
                <w:color w:val="auto"/>
                <w:sz w:val="21"/>
                <w:szCs w:val="21"/>
                <w:vertAlign w:val="subscript"/>
              </w:rPr>
              <w:t>h</w:t>
            </w:r>
            <w:r>
              <w:rPr>
                <w:rFonts w:hint="eastAsia" w:cs="Times New Roman"/>
                <w:b/>
                <w:bCs w:val="0"/>
                <w:color w:val="auto"/>
                <w:sz w:val="21"/>
                <w:szCs w:val="21"/>
                <w:lang w:eastAsia="zh-CN"/>
              </w:rPr>
              <w:t>）</w:t>
            </w:r>
          </w:p>
        </w:tc>
      </w:tr>
      <w:tr w14:paraId="518818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303" w:type="pct"/>
            <w:vAlign w:val="center"/>
          </w:tcPr>
          <w:p w14:paraId="51E4FF0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新河</w:t>
            </w:r>
          </w:p>
        </w:tc>
        <w:tc>
          <w:tcPr>
            <w:tcW w:w="1840" w:type="pct"/>
            <w:noWrap/>
            <w:vAlign w:val="center"/>
          </w:tcPr>
          <w:p w14:paraId="3F2725E5">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cs="Times New Roman"/>
                <w:bCs/>
                <w:color w:val="auto"/>
                <w:sz w:val="21"/>
                <w:szCs w:val="21"/>
                <w:lang w:val="en-US" w:eastAsia="zh-CN"/>
              </w:rPr>
            </w:pPr>
            <w:r>
              <w:rPr>
                <w:rFonts w:hint="eastAsia" w:cs="Times New Roman"/>
                <w:bCs/>
                <w:color w:val="auto"/>
                <w:sz w:val="21"/>
                <w:szCs w:val="21"/>
                <w:lang w:val="en-US" w:eastAsia="zh-CN"/>
              </w:rPr>
              <w:t>9</w:t>
            </w:r>
            <w:r>
              <w:rPr>
                <w:rFonts w:hint="default" w:cs="Times New Roman"/>
                <w:bCs/>
                <w:color w:val="auto"/>
                <w:sz w:val="21"/>
                <w:szCs w:val="21"/>
                <w:lang w:val="en-US" w:eastAsia="zh-CN"/>
              </w:rPr>
              <w:t>mg/L</w:t>
            </w:r>
          </w:p>
        </w:tc>
        <w:tc>
          <w:tcPr>
            <w:tcW w:w="1856" w:type="pct"/>
            <w:noWrap/>
            <w:vAlign w:val="center"/>
          </w:tcPr>
          <w:p w14:paraId="0A8A99DD">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cs="Times New Roman"/>
                <w:bCs/>
                <w:color w:val="auto"/>
                <w:sz w:val="21"/>
                <w:szCs w:val="21"/>
                <w:lang w:val="en-US" w:eastAsia="zh-CN"/>
              </w:rPr>
            </w:pPr>
            <w:r>
              <w:rPr>
                <w:rFonts w:hint="eastAsia" w:cs="Times New Roman"/>
                <w:bCs/>
                <w:color w:val="auto"/>
                <w:sz w:val="21"/>
                <w:szCs w:val="21"/>
                <w:lang w:val="en-US" w:eastAsia="zh-CN"/>
              </w:rPr>
              <w:t>0.356</w:t>
            </w:r>
            <w:r>
              <w:rPr>
                <w:rFonts w:hint="default" w:cs="Times New Roman"/>
                <w:bCs/>
                <w:color w:val="auto"/>
                <w:sz w:val="21"/>
                <w:szCs w:val="21"/>
                <w:lang w:val="en-US" w:eastAsia="zh-CN"/>
              </w:rPr>
              <w:t>mg/L</w:t>
            </w:r>
          </w:p>
        </w:tc>
      </w:tr>
    </w:tbl>
    <w:p w14:paraId="4193DC6D">
      <w:pPr>
        <w:pStyle w:val="46"/>
        <w:ind w:firstLine="480"/>
        <w:rPr>
          <w:rFonts w:hint="eastAsia" w:eastAsia="宋体"/>
          <w:color w:val="auto"/>
          <w:sz w:val="24"/>
        </w:rPr>
      </w:pPr>
      <w:r>
        <w:rPr>
          <w:rFonts w:hint="eastAsia" w:eastAsia="宋体"/>
          <w:color w:val="auto"/>
          <w:sz w:val="24"/>
        </w:rPr>
        <w:t>（3）项目污染参数值</w:t>
      </w:r>
    </w:p>
    <w:p w14:paraId="1761EB07">
      <w:pPr>
        <w:pStyle w:val="46"/>
        <w:ind w:firstLine="480"/>
        <w:rPr>
          <w:rFonts w:eastAsia="宋体"/>
          <w:color w:val="auto"/>
          <w:sz w:val="24"/>
        </w:rPr>
      </w:pPr>
      <w:r>
        <w:rPr>
          <w:rFonts w:hint="eastAsia" w:eastAsia="宋体"/>
          <w:color w:val="auto"/>
          <w:sz w:val="24"/>
        </w:rPr>
        <w:t>项目废水及污染物排放源强见下表</w:t>
      </w:r>
      <w:r>
        <w:rPr>
          <w:rFonts w:hint="eastAsia" w:eastAsia="宋体"/>
          <w:color w:val="auto"/>
          <w:sz w:val="24"/>
          <w:lang w:val="en-US" w:eastAsia="zh-CN"/>
        </w:rPr>
        <w:t>5.2</w:t>
      </w:r>
      <w:r>
        <w:rPr>
          <w:rFonts w:hint="eastAsia" w:eastAsia="宋体"/>
          <w:color w:val="auto"/>
          <w:sz w:val="24"/>
        </w:rPr>
        <w:t>-4。</w:t>
      </w:r>
    </w:p>
    <w:p w14:paraId="1646B783">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 xml:space="preserve">4    </w:t>
      </w:r>
      <w:r>
        <w:rPr>
          <w:rFonts w:hint="default" w:ascii="Times New Roman" w:hAnsi="Times New Roman" w:eastAsia="宋体" w:cs="Times New Roman"/>
          <w:color w:val="auto"/>
          <w:sz w:val="24"/>
          <w:szCs w:val="24"/>
        </w:rPr>
        <w:t>项目废水及污染物排放源强表</w:t>
      </w:r>
    </w:p>
    <w:tbl>
      <w:tblPr>
        <w:tblStyle w:val="25"/>
        <w:tblW w:w="486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756"/>
        <w:gridCol w:w="1757"/>
        <w:gridCol w:w="3171"/>
        <w:gridCol w:w="2311"/>
      </w:tblGrid>
      <w:tr w14:paraId="4C3C205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47" w:hRule="atLeast"/>
          <w:tblHeader/>
          <w:jc w:val="center"/>
        </w:trPr>
        <w:tc>
          <w:tcPr>
            <w:tcW w:w="1952" w:type="pct"/>
            <w:gridSpan w:val="2"/>
            <w:noWrap/>
            <w:vAlign w:val="center"/>
          </w:tcPr>
          <w:p w14:paraId="78DF66DA">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项目</w:t>
            </w:r>
          </w:p>
        </w:tc>
        <w:tc>
          <w:tcPr>
            <w:tcW w:w="1762" w:type="pct"/>
            <w:noWrap/>
            <w:vAlign w:val="center"/>
          </w:tcPr>
          <w:p w14:paraId="21B0A9B7">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lang w:val="en-US" w:eastAsia="zh-CN"/>
              </w:rPr>
            </w:pPr>
            <w:r>
              <w:rPr>
                <w:rFonts w:hint="eastAsia" w:cs="Times New Roman"/>
                <w:b/>
                <w:bCs w:val="0"/>
                <w:color w:val="auto"/>
                <w:sz w:val="21"/>
                <w:szCs w:val="21"/>
                <w:lang w:val="en-US" w:eastAsia="zh-CN"/>
              </w:rPr>
              <w:t>正常排放</w:t>
            </w:r>
          </w:p>
        </w:tc>
        <w:tc>
          <w:tcPr>
            <w:tcW w:w="1284" w:type="pct"/>
            <w:noWrap/>
            <w:vAlign w:val="center"/>
          </w:tcPr>
          <w:p w14:paraId="3A0857F3">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eastAsia" w:cs="Times New Roman"/>
                <w:b/>
                <w:bCs w:val="0"/>
                <w:color w:val="auto"/>
                <w:sz w:val="21"/>
                <w:szCs w:val="21"/>
                <w:lang w:val="en-US" w:eastAsia="zh-CN"/>
              </w:rPr>
              <w:t>非正常排放</w:t>
            </w:r>
          </w:p>
        </w:tc>
      </w:tr>
      <w:tr w14:paraId="5123FF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952" w:type="pct"/>
            <w:gridSpan w:val="2"/>
            <w:vAlign w:val="center"/>
          </w:tcPr>
          <w:p w14:paraId="12B81CCE">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废水排放量（m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/d）</w:t>
            </w:r>
          </w:p>
        </w:tc>
        <w:tc>
          <w:tcPr>
            <w:tcW w:w="1762" w:type="pct"/>
            <w:noWrap/>
            <w:vAlign w:val="center"/>
          </w:tcPr>
          <w:p w14:paraId="2D9241E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1230（0.014m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/s）</w:t>
            </w:r>
          </w:p>
        </w:tc>
        <w:tc>
          <w:tcPr>
            <w:tcW w:w="1284" w:type="pct"/>
            <w:noWrap/>
            <w:vAlign w:val="center"/>
          </w:tcPr>
          <w:p w14:paraId="50E2AD8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1230（0.014m</w:t>
            </w:r>
            <w:r>
              <w:rPr>
                <w:rFonts w:hint="eastAsia" w:cs="Times New Roman"/>
                <w:bCs/>
                <w:color w:val="auto"/>
                <w:sz w:val="21"/>
                <w:szCs w:val="21"/>
                <w:vertAlign w:val="superscript"/>
                <w:lang w:val="en-US" w:eastAsia="zh-CN"/>
              </w:rPr>
              <w:t>3</w:t>
            </w:r>
            <w:r>
              <w:rPr>
                <w:rFonts w:hint="eastAsia" w:cs="Times New Roman"/>
                <w:bCs/>
                <w:color w:val="auto"/>
                <w:sz w:val="21"/>
                <w:szCs w:val="21"/>
                <w:lang w:val="en-US" w:eastAsia="zh-CN"/>
              </w:rPr>
              <w:t>/s）</w:t>
            </w:r>
          </w:p>
        </w:tc>
      </w:tr>
      <w:tr w14:paraId="6332BE4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76" w:type="pct"/>
            <w:vAlign w:val="center"/>
          </w:tcPr>
          <w:p w14:paraId="593C24B2">
            <w:pPr>
              <w:keepNext w:val="0"/>
              <w:keepLines w:val="0"/>
              <w:pageBreakBefore w:val="0"/>
              <w:kinsoku/>
              <w:wordWrap/>
              <w:overflowPunct/>
              <w:topLinePunct w:val="0"/>
              <w:autoSpaceDE/>
              <w:autoSpaceDN/>
              <w:bidi w:val="0"/>
              <w:adjustRightInd/>
              <w:spacing w:line="240" w:lineRule="auto"/>
              <w:ind w:left="0" w:hanging="420" w:hangingChars="200"/>
              <w:jc w:val="center"/>
              <w:rPr>
                <w:rFonts w:hint="eastAsia" w:cs="Times New Roman"/>
                <w:bCs/>
                <w:color w:val="auto"/>
                <w:sz w:val="21"/>
                <w:szCs w:val="21"/>
                <w:lang w:val="en-US" w:eastAsia="zh-CN"/>
              </w:rPr>
            </w:pPr>
            <w:r>
              <w:rPr>
                <w:rFonts w:hint="eastAsia" w:cs="Times New Roman"/>
                <w:bCs/>
                <w:color w:val="auto"/>
                <w:sz w:val="21"/>
                <w:szCs w:val="21"/>
                <w:lang w:val="en-US" w:eastAsia="zh-CN"/>
              </w:rPr>
              <w:t>COD</w:t>
            </w:r>
          </w:p>
        </w:tc>
        <w:tc>
          <w:tcPr>
            <w:tcW w:w="976" w:type="pct"/>
            <w:vAlign w:val="center"/>
          </w:tcPr>
          <w:p w14:paraId="36B11ABE">
            <w:pPr>
              <w:keepNext w:val="0"/>
              <w:keepLines w:val="0"/>
              <w:pageBreakBefore w:val="0"/>
              <w:kinsoku/>
              <w:wordWrap/>
              <w:overflowPunct/>
              <w:topLinePunct w:val="0"/>
              <w:autoSpaceDE/>
              <w:autoSpaceDN/>
              <w:bidi w:val="0"/>
              <w:adjustRightInd/>
              <w:spacing w:line="240" w:lineRule="auto"/>
              <w:ind w:left="0" w:hanging="420" w:hangingChars="200"/>
              <w:jc w:val="center"/>
              <w:rPr>
                <w:rFonts w:hint="eastAsia" w:cs="Times New Roman"/>
                <w:bCs/>
                <w:color w:val="auto"/>
                <w:sz w:val="21"/>
                <w:szCs w:val="21"/>
                <w:lang w:val="en-US" w:eastAsia="zh-CN"/>
              </w:rPr>
            </w:pPr>
            <w:r>
              <w:rPr>
                <w:rFonts w:hint="eastAsia" w:cs="Times New Roman"/>
                <w:bCs/>
                <w:color w:val="auto"/>
                <w:sz w:val="21"/>
                <w:szCs w:val="21"/>
                <w:lang w:val="en-US" w:eastAsia="zh-CN"/>
              </w:rPr>
              <w:t>排放浓度（mg/L）</w:t>
            </w:r>
          </w:p>
        </w:tc>
        <w:tc>
          <w:tcPr>
            <w:tcW w:w="1762" w:type="pct"/>
            <w:noWrap/>
            <w:vAlign w:val="center"/>
          </w:tcPr>
          <w:p w14:paraId="056302C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30.13</w:t>
            </w:r>
          </w:p>
        </w:tc>
        <w:tc>
          <w:tcPr>
            <w:tcW w:w="1284" w:type="pct"/>
            <w:noWrap/>
            <w:vAlign w:val="center"/>
          </w:tcPr>
          <w:p w14:paraId="30C8B10E">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400</w:t>
            </w:r>
          </w:p>
        </w:tc>
      </w:tr>
      <w:tr w14:paraId="30579F5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976" w:type="pct"/>
            <w:vAlign w:val="center"/>
          </w:tcPr>
          <w:p w14:paraId="0914BA66">
            <w:pPr>
              <w:keepNext w:val="0"/>
              <w:keepLines w:val="0"/>
              <w:pageBreakBefore w:val="0"/>
              <w:kinsoku/>
              <w:wordWrap/>
              <w:overflowPunct/>
              <w:topLinePunct w:val="0"/>
              <w:autoSpaceDE/>
              <w:autoSpaceDN/>
              <w:bidi w:val="0"/>
              <w:adjustRightInd/>
              <w:spacing w:line="240" w:lineRule="auto"/>
              <w:ind w:left="0" w:hanging="420" w:hangingChars="200"/>
              <w:jc w:val="center"/>
              <w:rPr>
                <w:rFonts w:hint="eastAsia" w:cs="Times New Roman"/>
                <w:bCs/>
                <w:color w:val="auto"/>
                <w:sz w:val="21"/>
                <w:szCs w:val="21"/>
                <w:lang w:val="en-US" w:eastAsia="zh-CN"/>
              </w:rPr>
            </w:pPr>
            <w:r>
              <w:rPr>
                <w:rFonts w:hint="eastAsia" w:cs="Times New Roman"/>
                <w:bCs/>
                <w:color w:val="auto"/>
                <w:sz w:val="21"/>
                <w:szCs w:val="21"/>
                <w:lang w:val="en-US" w:eastAsia="zh-CN"/>
              </w:rPr>
              <w:t>氨氮</w:t>
            </w:r>
          </w:p>
        </w:tc>
        <w:tc>
          <w:tcPr>
            <w:tcW w:w="976" w:type="pct"/>
            <w:vAlign w:val="center"/>
          </w:tcPr>
          <w:p w14:paraId="7C440968">
            <w:pPr>
              <w:keepNext w:val="0"/>
              <w:keepLines w:val="0"/>
              <w:pageBreakBefore w:val="0"/>
              <w:kinsoku/>
              <w:wordWrap/>
              <w:overflowPunct/>
              <w:topLinePunct w:val="0"/>
              <w:autoSpaceDE/>
              <w:autoSpaceDN/>
              <w:bidi w:val="0"/>
              <w:adjustRightInd/>
              <w:spacing w:line="240" w:lineRule="auto"/>
              <w:ind w:left="0" w:hanging="420" w:hangingChars="200"/>
              <w:jc w:val="center"/>
              <w:rPr>
                <w:rFonts w:hint="eastAsia" w:cs="Times New Roman"/>
                <w:bCs/>
                <w:color w:val="auto"/>
                <w:sz w:val="21"/>
                <w:szCs w:val="21"/>
                <w:lang w:val="en-US" w:eastAsia="zh-CN"/>
              </w:rPr>
            </w:pPr>
            <w:r>
              <w:rPr>
                <w:rFonts w:hint="eastAsia" w:cs="Times New Roman"/>
                <w:bCs/>
                <w:color w:val="auto"/>
                <w:sz w:val="21"/>
                <w:szCs w:val="21"/>
                <w:lang w:val="en-US" w:eastAsia="zh-CN"/>
              </w:rPr>
              <w:t>排放浓度（mg/L）</w:t>
            </w:r>
          </w:p>
        </w:tc>
        <w:tc>
          <w:tcPr>
            <w:tcW w:w="1762" w:type="pct"/>
            <w:noWrap/>
            <w:vAlign w:val="center"/>
          </w:tcPr>
          <w:p w14:paraId="20759AC9">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1.52</w:t>
            </w:r>
          </w:p>
        </w:tc>
        <w:tc>
          <w:tcPr>
            <w:tcW w:w="1284" w:type="pct"/>
            <w:noWrap/>
            <w:vAlign w:val="center"/>
          </w:tcPr>
          <w:p w14:paraId="50238AB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eastAsia" w:cs="Times New Roman"/>
                <w:bCs/>
                <w:color w:val="auto"/>
                <w:sz w:val="21"/>
                <w:szCs w:val="21"/>
                <w:lang w:val="en-US" w:eastAsia="zh-CN"/>
              </w:rPr>
            </w:pPr>
            <w:r>
              <w:rPr>
                <w:rFonts w:hint="eastAsia" w:cs="Times New Roman"/>
                <w:bCs/>
                <w:color w:val="auto"/>
                <w:sz w:val="21"/>
                <w:szCs w:val="21"/>
                <w:lang w:val="en-US" w:eastAsia="zh-CN"/>
              </w:rPr>
              <w:t>10</w:t>
            </w:r>
          </w:p>
        </w:tc>
      </w:tr>
    </w:tbl>
    <w:p w14:paraId="44B640FC">
      <w:pPr>
        <w:pStyle w:val="61"/>
        <w:numPr>
          <w:ilvl w:val="0"/>
          <w:numId w:val="0"/>
        </w:numPr>
        <w:spacing w:before="0" w:after="0"/>
        <w:rPr>
          <w:rFonts w:eastAsia="宋体"/>
          <w:color w:val="auto"/>
        </w:rPr>
      </w:pPr>
      <w:bookmarkStart w:id="51" w:name="_Toc488006592"/>
      <w:r>
        <w:rPr>
          <w:rFonts w:eastAsia="宋体"/>
          <w:color w:val="auto"/>
        </w:rPr>
        <w:t>5</w:t>
      </w:r>
      <w:r>
        <w:rPr>
          <w:rFonts w:hint="eastAsia" w:eastAsia="宋体"/>
          <w:color w:val="auto"/>
        </w:rPr>
        <w:t>.</w:t>
      </w:r>
      <w:r>
        <w:rPr>
          <w:rFonts w:hint="eastAsia" w:eastAsia="宋体"/>
          <w:color w:val="auto"/>
          <w:lang w:val="en-US" w:eastAsia="zh-CN"/>
        </w:rPr>
        <w:t>2</w:t>
      </w:r>
      <w:r>
        <w:rPr>
          <w:rFonts w:hint="eastAsia" w:eastAsia="宋体"/>
          <w:color w:val="auto"/>
        </w:rPr>
        <w:t>.</w:t>
      </w:r>
      <w:r>
        <w:rPr>
          <w:rFonts w:hint="eastAsia" w:eastAsia="宋体"/>
          <w:color w:val="auto"/>
          <w:lang w:val="en-US" w:eastAsia="zh-CN"/>
        </w:rPr>
        <w:t>4</w:t>
      </w:r>
      <w:bookmarkEnd w:id="51"/>
      <w:r>
        <w:rPr>
          <w:rFonts w:hint="eastAsia" w:eastAsia="宋体"/>
          <w:color w:val="auto"/>
        </w:rPr>
        <w:t>预测模型</w:t>
      </w:r>
    </w:p>
    <w:p w14:paraId="7F0AB2E5">
      <w:pPr>
        <w:pStyle w:val="46"/>
        <w:ind w:firstLine="480"/>
        <w:rPr>
          <w:rFonts w:hint="eastAsia" w:eastAsia="宋体"/>
          <w:color w:val="auto"/>
          <w:sz w:val="24"/>
        </w:rPr>
      </w:pPr>
      <w:r>
        <w:rPr>
          <w:rFonts w:hint="eastAsia" w:eastAsia="宋体"/>
          <w:color w:val="auto"/>
          <w:sz w:val="24"/>
        </w:rPr>
        <w:t>（1）混合过程段</w:t>
      </w:r>
    </w:p>
    <w:p w14:paraId="3885B1C6">
      <w:pPr>
        <w:pStyle w:val="46"/>
        <w:ind w:firstLine="480"/>
        <w:rPr>
          <w:rFonts w:hint="eastAsia" w:eastAsia="宋体"/>
          <w:color w:val="auto"/>
          <w:sz w:val="24"/>
        </w:rPr>
      </w:pPr>
      <w:r>
        <w:rPr>
          <w:rFonts w:hint="eastAsia" w:eastAsia="宋体"/>
          <w:color w:val="auto"/>
          <w:sz w:val="24"/>
        </w:rPr>
        <w:t>本次预测河段主要分为混合过程段和充分混合段，项目</w:t>
      </w:r>
      <w:r>
        <w:rPr>
          <w:rFonts w:hint="eastAsia" w:eastAsia="宋体"/>
          <w:color w:val="auto"/>
          <w:sz w:val="24"/>
          <w:lang w:val="en-US" w:eastAsia="zh-CN"/>
        </w:rPr>
        <w:t>废水</w:t>
      </w:r>
      <w:r>
        <w:rPr>
          <w:rFonts w:hint="eastAsia" w:eastAsia="宋体"/>
          <w:color w:val="auto"/>
          <w:sz w:val="24"/>
        </w:rPr>
        <w:t>排放采用岸边排放方式，混合过程段长度根据《环境影响评价技术导则地表水环境》（HJ2.3-2018）推荐的公式估算：</w:t>
      </w:r>
    </w:p>
    <w:p w14:paraId="65A3EC4A">
      <w:pPr>
        <w:pStyle w:val="46"/>
        <w:ind w:firstLine="480"/>
        <w:jc w:val="center"/>
        <w:rPr>
          <w:rFonts w:hint="eastAsia" w:eastAsia="宋体"/>
          <w:color w:val="auto"/>
          <w:sz w:val="24"/>
          <w:lang w:eastAsia="zh-CN"/>
        </w:rPr>
      </w:pPr>
      <w:r>
        <w:rPr>
          <w:rFonts w:hint="eastAsia" w:eastAsia="宋体"/>
          <w:color w:val="auto"/>
          <w:position w:val="-44"/>
          <w:sz w:val="24"/>
          <w:lang w:eastAsia="zh-CN"/>
        </w:rPr>
        <w:object>
          <v:shape id="_x0000_i1031" o:spt="75" type="#_x0000_t75" style="height:59.75pt;width:295.1pt;" o:ole="t" filled="f" o:preferrelative="t" stroked="f" coordsize="21600,21600">
            <v:path/>
            <v:fill on="f" focussize="0,0"/>
            <v:stroke on="f"/>
            <v:imagedata r:id="rId41" o:title=""/>
            <o:lock v:ext="edit" aspectratio="t"/>
            <w10:wrap type="none"/>
            <w10:anchorlock/>
          </v:shape>
          <o:OLEObject Type="Embed" ProgID="Equation.KSEE3" ShapeID="_x0000_i1031" DrawAspect="Content" ObjectID="_1468075732" r:id="rId40">
            <o:LockedField>false</o:LockedField>
          </o:OLEObject>
        </w:object>
      </w:r>
    </w:p>
    <w:p w14:paraId="05E16453">
      <w:pPr>
        <w:pStyle w:val="46"/>
        <w:ind w:firstLine="480"/>
        <w:rPr>
          <w:rFonts w:hint="eastAsia" w:eastAsia="宋体"/>
          <w:color w:val="auto"/>
          <w:sz w:val="24"/>
        </w:rPr>
      </w:pPr>
      <w:r>
        <w:rPr>
          <w:rFonts w:hint="eastAsia" w:eastAsia="宋体"/>
          <w:color w:val="auto"/>
          <w:sz w:val="24"/>
        </w:rPr>
        <w:t>上述公式中：</w:t>
      </w:r>
      <w:r>
        <w:rPr>
          <w:rFonts w:hint="eastAsia" w:eastAsia="宋体"/>
          <w:i/>
          <w:iCs/>
          <w:color w:val="auto"/>
          <w:sz w:val="24"/>
        </w:rPr>
        <w:t>L</w:t>
      </w:r>
      <w:r>
        <w:rPr>
          <w:rFonts w:hint="eastAsia" w:eastAsia="宋体"/>
          <w:i/>
          <w:iCs/>
          <w:color w:val="auto"/>
          <w:sz w:val="24"/>
          <w:vertAlign w:val="subscript"/>
        </w:rPr>
        <w:t>m</w:t>
      </w:r>
      <w:r>
        <w:rPr>
          <w:rFonts w:hint="eastAsia" w:eastAsia="宋体"/>
          <w:color w:val="auto"/>
          <w:sz w:val="24"/>
        </w:rPr>
        <w:t>——混合段长度，m；</w:t>
      </w:r>
    </w:p>
    <w:p w14:paraId="672F8F7E">
      <w:pPr>
        <w:pStyle w:val="46"/>
        <w:ind w:firstLine="1920" w:firstLineChars="800"/>
        <w:rPr>
          <w:rFonts w:hint="eastAsia" w:eastAsia="宋体"/>
          <w:color w:val="auto"/>
          <w:sz w:val="24"/>
        </w:rPr>
      </w:pPr>
      <w:r>
        <w:rPr>
          <w:rFonts w:hint="eastAsia" w:eastAsia="宋体"/>
          <w:i/>
          <w:iCs/>
          <w:color w:val="auto"/>
          <w:sz w:val="24"/>
        </w:rPr>
        <w:t>B</w:t>
      </w:r>
      <w:r>
        <w:rPr>
          <w:rFonts w:hint="eastAsia" w:eastAsia="宋体"/>
          <w:color w:val="auto"/>
          <w:sz w:val="24"/>
        </w:rPr>
        <w:t>——水面宽度，m；</w:t>
      </w:r>
    </w:p>
    <w:p w14:paraId="5B4EF297">
      <w:pPr>
        <w:pStyle w:val="46"/>
        <w:ind w:firstLine="1920" w:firstLineChars="800"/>
        <w:rPr>
          <w:rFonts w:hint="eastAsia" w:eastAsia="宋体"/>
          <w:color w:val="auto"/>
          <w:sz w:val="24"/>
        </w:rPr>
      </w:pPr>
      <w:r>
        <w:rPr>
          <w:rFonts w:hint="eastAsia" w:eastAsia="宋体"/>
          <w:i/>
          <w:iCs/>
          <w:color w:val="auto"/>
          <w:sz w:val="24"/>
        </w:rPr>
        <w:t>a</w:t>
      </w:r>
      <w:r>
        <w:rPr>
          <w:rFonts w:hint="eastAsia" w:eastAsia="宋体"/>
          <w:color w:val="auto"/>
          <w:sz w:val="24"/>
        </w:rPr>
        <w:t>——排放口到岸边的距离，m；取 0；</w:t>
      </w:r>
    </w:p>
    <w:p w14:paraId="1D765CFE">
      <w:pPr>
        <w:pStyle w:val="46"/>
        <w:ind w:firstLine="1920" w:firstLineChars="800"/>
        <w:rPr>
          <w:rFonts w:hint="eastAsia" w:eastAsia="宋体"/>
          <w:color w:val="auto"/>
          <w:sz w:val="24"/>
        </w:rPr>
      </w:pPr>
      <w:r>
        <w:rPr>
          <w:rFonts w:hint="eastAsia" w:eastAsia="宋体"/>
          <w:i/>
          <w:iCs/>
          <w:color w:val="auto"/>
          <w:sz w:val="24"/>
        </w:rPr>
        <w:t>u</w:t>
      </w:r>
      <w:r>
        <w:rPr>
          <w:rFonts w:hint="eastAsia" w:eastAsia="宋体"/>
          <w:color w:val="auto"/>
          <w:sz w:val="24"/>
        </w:rPr>
        <w:t>——断面流速，m/s；</w:t>
      </w:r>
    </w:p>
    <w:p w14:paraId="1D71608B">
      <w:pPr>
        <w:pStyle w:val="46"/>
        <w:ind w:firstLine="1920" w:firstLineChars="800"/>
        <w:rPr>
          <w:rFonts w:hint="eastAsia" w:eastAsia="宋体"/>
          <w:color w:val="auto"/>
          <w:sz w:val="24"/>
        </w:rPr>
      </w:pPr>
      <w:r>
        <w:rPr>
          <w:rFonts w:hint="eastAsia" w:eastAsia="宋体"/>
          <w:i/>
          <w:iCs/>
          <w:color w:val="auto"/>
          <w:sz w:val="24"/>
        </w:rPr>
        <w:t>E</w:t>
      </w:r>
      <w:r>
        <w:rPr>
          <w:rFonts w:hint="eastAsia" w:eastAsia="宋体"/>
          <w:i/>
          <w:iCs/>
          <w:color w:val="auto"/>
          <w:sz w:val="24"/>
          <w:vertAlign w:val="subscript"/>
        </w:rPr>
        <w:t>y</w:t>
      </w:r>
      <w:r>
        <w:rPr>
          <w:rFonts w:hint="eastAsia" w:eastAsia="宋体"/>
          <w:color w:val="auto"/>
          <w:sz w:val="24"/>
        </w:rPr>
        <w:t>——污染物横向扩散系数，m</w:t>
      </w:r>
      <w:r>
        <w:rPr>
          <w:rFonts w:hint="eastAsia" w:eastAsia="宋体"/>
          <w:color w:val="auto"/>
          <w:sz w:val="24"/>
          <w:vertAlign w:val="superscript"/>
        </w:rPr>
        <w:t>2</w:t>
      </w:r>
      <w:r>
        <w:rPr>
          <w:rFonts w:hint="eastAsia" w:eastAsia="宋体"/>
          <w:color w:val="auto"/>
          <w:sz w:val="24"/>
        </w:rPr>
        <w:t>/s；由泰勒法（0.058H+0.0065B）</w:t>
      </w:r>
      <w:r>
        <w:rPr>
          <w:rFonts w:hint="eastAsia" w:eastAsia="宋体"/>
          <w:color w:val="auto"/>
          <w:sz w:val="24"/>
          <w:lang w:eastAsia="zh-CN"/>
        </w:rPr>
        <w:t>（</w:t>
      </w:r>
      <w:r>
        <w:rPr>
          <w:rFonts w:hint="eastAsia" w:eastAsia="宋体"/>
          <w:color w:val="auto"/>
          <w:sz w:val="24"/>
        </w:rPr>
        <w:t>gHI</w:t>
      </w:r>
      <w:r>
        <w:rPr>
          <w:rFonts w:hint="eastAsia" w:eastAsia="宋体"/>
          <w:color w:val="auto"/>
          <w:sz w:val="24"/>
          <w:lang w:eastAsia="zh-CN"/>
        </w:rPr>
        <w:t>）</w:t>
      </w:r>
      <w:r>
        <w:rPr>
          <w:rFonts w:hint="eastAsia" w:eastAsia="宋体"/>
          <w:color w:val="auto"/>
          <w:sz w:val="24"/>
          <w:vertAlign w:val="superscript"/>
        </w:rPr>
        <w:t>1/2</w:t>
      </w:r>
      <w:r>
        <w:rPr>
          <w:rFonts w:hint="eastAsia" w:eastAsia="宋体"/>
          <w:color w:val="auto"/>
          <w:sz w:val="24"/>
        </w:rPr>
        <w:t>求得，其中g为重力加速度，取9.8m/s</w:t>
      </w:r>
      <w:r>
        <w:rPr>
          <w:rFonts w:hint="eastAsia" w:eastAsia="宋体"/>
          <w:color w:val="auto"/>
          <w:sz w:val="24"/>
          <w:vertAlign w:val="superscript"/>
        </w:rPr>
        <w:t>2</w:t>
      </w:r>
      <w:r>
        <w:rPr>
          <w:rFonts w:hint="eastAsia" w:eastAsia="宋体"/>
          <w:color w:val="auto"/>
          <w:sz w:val="24"/>
        </w:rPr>
        <w:t>；I为水力坡度，‰；</w:t>
      </w:r>
    </w:p>
    <w:p w14:paraId="3C240048">
      <w:pPr>
        <w:pStyle w:val="46"/>
        <w:ind w:firstLine="480"/>
        <w:rPr>
          <w:rFonts w:hint="eastAsia" w:eastAsia="宋体"/>
          <w:color w:val="auto"/>
          <w:sz w:val="24"/>
        </w:rPr>
      </w:pPr>
      <w:r>
        <w:rPr>
          <w:rFonts w:hint="eastAsia" w:eastAsia="宋体"/>
          <w:color w:val="auto"/>
          <w:sz w:val="24"/>
        </w:rPr>
        <w:t>根据《环境影响评价技术导则地表水环境》（HJ2.3-2018），设计流量应采用90%保证率最枯月平均流量或近10年最枯月平均流量，本次论证10年最枯月平均流量取0.04</w:t>
      </w:r>
      <w:r>
        <w:rPr>
          <w:rFonts w:hint="eastAsia" w:eastAsia="宋体"/>
          <w:color w:val="auto"/>
          <w:sz w:val="24"/>
          <w:lang w:val="en-US" w:eastAsia="zh-CN"/>
        </w:rPr>
        <w:t>1</w:t>
      </w:r>
      <w:r>
        <w:rPr>
          <w:rFonts w:hint="eastAsia" w:eastAsia="宋体"/>
          <w:color w:val="auto"/>
          <w:sz w:val="24"/>
        </w:rPr>
        <w:t>m</w:t>
      </w:r>
      <w:r>
        <w:rPr>
          <w:rFonts w:hint="eastAsia" w:eastAsia="宋体"/>
          <w:color w:val="auto"/>
          <w:sz w:val="24"/>
          <w:vertAlign w:val="superscript"/>
          <w:lang w:val="en-US" w:eastAsia="zh-CN"/>
        </w:rPr>
        <w:t>3</w:t>
      </w:r>
      <w:r>
        <w:rPr>
          <w:rFonts w:hint="eastAsia" w:eastAsia="宋体"/>
          <w:color w:val="auto"/>
          <w:sz w:val="24"/>
        </w:rPr>
        <w:t>/s；本论证范围内新河流速取0.1m/s。</w:t>
      </w:r>
    </w:p>
    <w:p w14:paraId="50C8A96D">
      <w:pPr>
        <w:pStyle w:val="46"/>
        <w:ind w:firstLine="480"/>
        <w:rPr>
          <w:rFonts w:hint="eastAsia" w:eastAsia="宋体"/>
          <w:color w:val="auto"/>
          <w:sz w:val="24"/>
        </w:rPr>
      </w:pPr>
      <w:r>
        <w:rPr>
          <w:rFonts w:hint="eastAsia" w:eastAsia="宋体"/>
          <w:color w:val="auto"/>
          <w:sz w:val="24"/>
        </w:rPr>
        <w:t>经计算，相关参数及计算结果见下表</w:t>
      </w:r>
      <w:r>
        <w:rPr>
          <w:rFonts w:hint="eastAsia" w:eastAsia="宋体"/>
          <w:color w:val="auto"/>
          <w:sz w:val="24"/>
          <w:lang w:val="en-US" w:eastAsia="zh-CN"/>
        </w:rPr>
        <w:t>5.2</w:t>
      </w:r>
      <w:r>
        <w:rPr>
          <w:rFonts w:hint="eastAsia" w:eastAsia="宋体"/>
          <w:color w:val="auto"/>
          <w:sz w:val="24"/>
        </w:rPr>
        <w:t>-5。</w:t>
      </w:r>
    </w:p>
    <w:p w14:paraId="2DDD7ACB">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 xml:space="preserve">5    </w:t>
      </w:r>
      <w:r>
        <w:rPr>
          <w:rFonts w:hint="default" w:ascii="Times New Roman" w:hAnsi="Times New Roman" w:eastAsia="宋体" w:cs="Times New Roman"/>
          <w:color w:val="auto"/>
          <w:sz w:val="24"/>
          <w:szCs w:val="24"/>
        </w:rPr>
        <w:t>混合过程断长度及计算结果</w:t>
      </w:r>
    </w:p>
    <w:tbl>
      <w:tblPr>
        <w:tblStyle w:val="25"/>
        <w:tblW w:w="486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85"/>
        <w:gridCol w:w="1285"/>
        <w:gridCol w:w="1285"/>
        <w:gridCol w:w="1285"/>
        <w:gridCol w:w="1285"/>
        <w:gridCol w:w="1285"/>
        <w:gridCol w:w="1285"/>
      </w:tblGrid>
      <w:tr w14:paraId="1F45FFF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11" w:hRule="atLeast"/>
          <w:tblHeader/>
          <w:jc w:val="center"/>
        </w:trPr>
        <w:tc>
          <w:tcPr>
            <w:tcW w:w="714" w:type="pct"/>
            <w:noWrap/>
            <w:vAlign w:val="center"/>
          </w:tcPr>
          <w:p w14:paraId="2DBF7DE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参数</w:t>
            </w:r>
          </w:p>
        </w:tc>
        <w:tc>
          <w:tcPr>
            <w:tcW w:w="714" w:type="pct"/>
            <w:noWrap/>
            <w:vAlign w:val="center"/>
          </w:tcPr>
          <w:p w14:paraId="6320FB6A">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水面宽度</w:t>
            </w:r>
            <w:r>
              <w:rPr>
                <w:rFonts w:hint="default" w:ascii="Times New Roman" w:hAnsi="Times New Roman" w:eastAsia="宋体" w:cs="Times New Roman"/>
                <w:b/>
                <w:bCs w:val="0"/>
                <w:i/>
                <w:iCs/>
                <w:color w:val="auto"/>
                <w:sz w:val="21"/>
                <w:szCs w:val="21"/>
              </w:rPr>
              <w:t>B</w:t>
            </w:r>
            <w:r>
              <w:rPr>
                <w:rFonts w:hint="default" w:ascii="Times New Roman" w:hAnsi="Times New Roman" w:eastAsia="宋体" w:cs="Times New Roman"/>
                <w:b/>
                <w:bCs w:val="0"/>
                <w:i w:val="0"/>
                <w:iCs w:val="0"/>
                <w:color w:val="auto"/>
                <w:sz w:val="21"/>
                <w:szCs w:val="21"/>
              </w:rPr>
              <w:t>(m)</w:t>
            </w:r>
          </w:p>
        </w:tc>
        <w:tc>
          <w:tcPr>
            <w:tcW w:w="714" w:type="pct"/>
            <w:noWrap/>
            <w:vAlign w:val="center"/>
          </w:tcPr>
          <w:p w14:paraId="5714449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排放口到岸边距离</w:t>
            </w:r>
            <w:r>
              <w:rPr>
                <w:rFonts w:hint="default" w:ascii="Times New Roman" w:hAnsi="Times New Roman" w:eastAsia="宋体" w:cs="Times New Roman"/>
                <w:b/>
                <w:bCs w:val="0"/>
                <w:i/>
                <w:iCs/>
                <w:color w:val="auto"/>
                <w:sz w:val="21"/>
                <w:szCs w:val="21"/>
              </w:rPr>
              <w:t>a</w:t>
            </w:r>
            <w:r>
              <w:rPr>
                <w:rFonts w:hint="default" w:ascii="Times New Roman" w:hAnsi="Times New Roman" w:eastAsia="宋体" w:cs="Times New Roman"/>
                <w:b/>
                <w:bCs w:val="0"/>
                <w:color w:val="auto"/>
                <w:sz w:val="21"/>
                <w:szCs w:val="21"/>
              </w:rPr>
              <w:t>(m)</w:t>
            </w:r>
          </w:p>
        </w:tc>
        <w:tc>
          <w:tcPr>
            <w:tcW w:w="714" w:type="pct"/>
            <w:noWrap/>
            <w:vAlign w:val="center"/>
          </w:tcPr>
          <w:p w14:paraId="5FAAF462">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断面流速（m/s）</w:t>
            </w:r>
          </w:p>
        </w:tc>
        <w:tc>
          <w:tcPr>
            <w:tcW w:w="714" w:type="pct"/>
            <w:noWrap/>
            <w:vAlign w:val="center"/>
          </w:tcPr>
          <w:p w14:paraId="0CE96C2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枯水期流量</w:t>
            </w:r>
            <w:r>
              <w:rPr>
                <w:rFonts w:hint="default" w:ascii="Times New Roman" w:hAnsi="Times New Roman" w:eastAsia="宋体" w:cs="Times New Roman"/>
                <w:b/>
                <w:bCs w:val="0"/>
                <w:i/>
                <w:iCs/>
                <w:color w:val="auto"/>
                <w:sz w:val="21"/>
                <w:szCs w:val="21"/>
              </w:rPr>
              <w:t>Q</w:t>
            </w:r>
            <w:r>
              <w:rPr>
                <w:rFonts w:hint="default" w:ascii="Times New Roman" w:hAnsi="Times New Roman" w:eastAsia="宋体" w:cs="Times New Roman"/>
                <w:b/>
                <w:bCs w:val="0"/>
                <w:i/>
                <w:iCs/>
                <w:color w:val="auto"/>
                <w:sz w:val="21"/>
                <w:szCs w:val="21"/>
                <w:vertAlign w:val="subscript"/>
              </w:rPr>
              <w:t>h</w:t>
            </w: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3</w:t>
            </w:r>
            <w:r>
              <w:rPr>
                <w:rFonts w:hint="default" w:ascii="Times New Roman" w:hAnsi="Times New Roman" w:eastAsia="宋体" w:cs="Times New Roman"/>
                <w:b/>
                <w:bCs w:val="0"/>
                <w:color w:val="auto"/>
                <w:sz w:val="21"/>
                <w:szCs w:val="21"/>
              </w:rPr>
              <w:t>/s）</w:t>
            </w:r>
          </w:p>
        </w:tc>
        <w:tc>
          <w:tcPr>
            <w:tcW w:w="714" w:type="pct"/>
            <w:noWrap/>
            <w:vAlign w:val="center"/>
          </w:tcPr>
          <w:p w14:paraId="6897D8E0">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污染物横向扩散系数</w:t>
            </w:r>
            <w:r>
              <w:rPr>
                <w:rFonts w:hint="default" w:ascii="Times New Roman" w:hAnsi="Times New Roman" w:eastAsia="宋体" w:cs="Times New Roman"/>
                <w:b/>
                <w:bCs w:val="0"/>
                <w:i/>
                <w:iCs/>
                <w:color w:val="auto"/>
                <w:sz w:val="21"/>
                <w:szCs w:val="21"/>
              </w:rPr>
              <w:t>E</w:t>
            </w:r>
            <w:r>
              <w:rPr>
                <w:rFonts w:hint="default" w:ascii="Times New Roman" w:hAnsi="Times New Roman" w:eastAsia="宋体" w:cs="Times New Roman"/>
                <w:b/>
                <w:bCs w:val="0"/>
                <w:i/>
                <w:iCs/>
                <w:color w:val="auto"/>
                <w:sz w:val="21"/>
                <w:szCs w:val="21"/>
                <w:vertAlign w:val="subscript"/>
              </w:rPr>
              <w:t>y</w:t>
            </w:r>
            <w:r>
              <w:rPr>
                <w:rFonts w:hint="default" w:ascii="Times New Roman" w:hAnsi="Times New Roman" w:eastAsia="宋体" w:cs="Times New Roman"/>
                <w:b/>
                <w:bCs w:val="0"/>
                <w:color w:val="auto"/>
                <w:sz w:val="21"/>
                <w:szCs w:val="21"/>
              </w:rPr>
              <w:t>(m</w:t>
            </w:r>
            <w:r>
              <w:rPr>
                <w:rFonts w:hint="default" w:ascii="Times New Roman" w:hAnsi="Times New Roman" w:eastAsia="宋体" w:cs="Times New Roman"/>
                <w:b/>
                <w:bCs w:val="0"/>
                <w:color w:val="auto"/>
                <w:sz w:val="21"/>
                <w:szCs w:val="21"/>
                <w:vertAlign w:val="superscript"/>
              </w:rPr>
              <w:t>2</w:t>
            </w:r>
            <w:r>
              <w:rPr>
                <w:rFonts w:hint="default" w:ascii="Times New Roman" w:hAnsi="Times New Roman" w:eastAsia="宋体" w:cs="Times New Roman"/>
                <w:b/>
                <w:bCs w:val="0"/>
                <w:color w:val="auto"/>
                <w:sz w:val="21"/>
                <w:szCs w:val="21"/>
              </w:rPr>
              <w:t>/s)</w:t>
            </w:r>
          </w:p>
        </w:tc>
        <w:tc>
          <w:tcPr>
            <w:tcW w:w="714" w:type="pct"/>
            <w:noWrap/>
            <w:vAlign w:val="center"/>
          </w:tcPr>
          <w:p w14:paraId="58B703E5">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混合过程段长度</w:t>
            </w:r>
            <w:r>
              <w:rPr>
                <w:rFonts w:hint="default" w:ascii="Times New Roman" w:hAnsi="Times New Roman" w:eastAsia="宋体" w:cs="Times New Roman"/>
                <w:b/>
                <w:bCs w:val="0"/>
                <w:i/>
                <w:iCs/>
                <w:color w:val="auto"/>
                <w:sz w:val="21"/>
                <w:szCs w:val="21"/>
              </w:rPr>
              <w:t>L</w:t>
            </w:r>
            <w:r>
              <w:rPr>
                <w:rFonts w:hint="default" w:ascii="Times New Roman" w:hAnsi="Times New Roman" w:eastAsia="宋体" w:cs="Times New Roman"/>
                <w:b/>
                <w:bCs w:val="0"/>
                <w:i/>
                <w:iCs/>
                <w:color w:val="auto"/>
                <w:sz w:val="21"/>
                <w:szCs w:val="21"/>
                <w:vertAlign w:val="subscript"/>
              </w:rPr>
              <w:t>m</w:t>
            </w:r>
            <w:r>
              <w:rPr>
                <w:rFonts w:hint="default" w:ascii="Times New Roman" w:hAnsi="Times New Roman" w:eastAsia="宋体" w:cs="Times New Roman"/>
                <w:b/>
                <w:bCs w:val="0"/>
                <w:color w:val="auto"/>
                <w:sz w:val="21"/>
                <w:szCs w:val="21"/>
              </w:rPr>
              <w:t>(m)</w:t>
            </w:r>
          </w:p>
        </w:tc>
      </w:tr>
      <w:tr w14:paraId="5BDBCDF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14" w:type="pct"/>
            <w:vAlign w:val="center"/>
          </w:tcPr>
          <w:p w14:paraId="37FADDC7">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枯水期</w:t>
            </w:r>
          </w:p>
        </w:tc>
        <w:tc>
          <w:tcPr>
            <w:tcW w:w="714" w:type="pct"/>
            <w:noWrap/>
            <w:vAlign w:val="center"/>
          </w:tcPr>
          <w:p w14:paraId="01D4F2E7">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p>
        </w:tc>
        <w:tc>
          <w:tcPr>
            <w:tcW w:w="714" w:type="pct"/>
            <w:noWrap/>
            <w:vAlign w:val="center"/>
          </w:tcPr>
          <w:p w14:paraId="08F4BF5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w:t>
            </w:r>
          </w:p>
        </w:tc>
        <w:tc>
          <w:tcPr>
            <w:tcW w:w="714" w:type="pct"/>
            <w:noWrap/>
            <w:vAlign w:val="center"/>
          </w:tcPr>
          <w:p w14:paraId="5EDEDA62">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0.1</w:t>
            </w:r>
          </w:p>
        </w:tc>
        <w:tc>
          <w:tcPr>
            <w:tcW w:w="714" w:type="pct"/>
            <w:noWrap/>
            <w:vAlign w:val="center"/>
          </w:tcPr>
          <w:p w14:paraId="00E622DA">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0.041</w:t>
            </w:r>
          </w:p>
        </w:tc>
        <w:tc>
          <w:tcPr>
            <w:tcW w:w="714" w:type="pct"/>
            <w:noWrap/>
            <w:vAlign w:val="center"/>
          </w:tcPr>
          <w:p w14:paraId="3A64C93F">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0.0151</w:t>
            </w:r>
          </w:p>
        </w:tc>
        <w:tc>
          <w:tcPr>
            <w:tcW w:w="714" w:type="pct"/>
            <w:noWrap/>
            <w:vAlign w:val="center"/>
          </w:tcPr>
          <w:p w14:paraId="6341C4ED">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73.4</w:t>
            </w:r>
          </w:p>
        </w:tc>
      </w:tr>
    </w:tbl>
    <w:p w14:paraId="3D740D65">
      <w:pPr>
        <w:pStyle w:val="46"/>
        <w:ind w:firstLine="480"/>
        <w:rPr>
          <w:rFonts w:hint="eastAsia" w:eastAsia="宋体"/>
          <w:color w:val="auto"/>
          <w:sz w:val="24"/>
          <w:lang w:eastAsia="zh-CN"/>
        </w:rPr>
      </w:pPr>
      <w:r>
        <w:rPr>
          <w:rFonts w:hint="eastAsia" w:eastAsia="宋体"/>
          <w:color w:val="auto"/>
          <w:sz w:val="24"/>
          <w:lang w:eastAsia="zh-CN"/>
        </w:rPr>
        <w:t>（2）预测模式</w:t>
      </w:r>
    </w:p>
    <w:p w14:paraId="49296928">
      <w:pPr>
        <w:pStyle w:val="46"/>
        <w:ind w:firstLine="480"/>
        <w:rPr>
          <w:rFonts w:hint="eastAsia" w:eastAsia="宋体"/>
          <w:color w:val="auto"/>
          <w:sz w:val="24"/>
          <w:lang w:eastAsia="zh-CN"/>
        </w:rPr>
      </w:pPr>
      <w:r>
        <w:rPr>
          <w:rFonts w:hint="eastAsia" w:eastAsia="宋体"/>
          <w:color w:val="auto"/>
          <w:sz w:val="24"/>
          <w:lang w:eastAsia="zh-CN"/>
        </w:rPr>
        <w:t>本项目</w:t>
      </w:r>
      <w:r>
        <w:rPr>
          <w:rFonts w:hint="eastAsia" w:eastAsia="宋体"/>
          <w:color w:val="auto"/>
          <w:sz w:val="24"/>
          <w:lang w:val="en-US" w:eastAsia="zh-CN"/>
        </w:rPr>
        <w:t>综合废水</w:t>
      </w:r>
      <w:r>
        <w:rPr>
          <w:rFonts w:hint="eastAsia" w:eastAsia="宋体"/>
          <w:color w:val="auto"/>
          <w:sz w:val="24"/>
          <w:lang w:eastAsia="zh-CN"/>
        </w:rPr>
        <w:t>排放采用岸边排放方式，受纳水体为新河，属于小河，排放的</w:t>
      </w:r>
      <w:r>
        <w:rPr>
          <w:rFonts w:hint="eastAsia" w:eastAsia="宋体"/>
          <w:color w:val="auto"/>
          <w:sz w:val="24"/>
          <w:lang w:val="en-US" w:eastAsia="zh-CN"/>
        </w:rPr>
        <w:t>废水</w:t>
      </w:r>
      <w:r>
        <w:rPr>
          <w:rFonts w:hint="eastAsia" w:eastAsia="宋体"/>
          <w:color w:val="auto"/>
          <w:sz w:val="24"/>
          <w:lang w:eastAsia="zh-CN"/>
        </w:rPr>
        <w:t>中COD、NH</w:t>
      </w:r>
      <w:r>
        <w:rPr>
          <w:rFonts w:hint="eastAsia" w:eastAsia="宋体"/>
          <w:color w:val="auto"/>
          <w:sz w:val="24"/>
          <w:vertAlign w:val="subscript"/>
          <w:lang w:eastAsia="zh-CN"/>
        </w:rPr>
        <w:t>3</w:t>
      </w:r>
      <w:r>
        <w:rPr>
          <w:rFonts w:hint="eastAsia" w:eastAsia="宋体"/>
          <w:color w:val="auto"/>
          <w:sz w:val="24"/>
          <w:lang w:eastAsia="zh-CN"/>
        </w:rPr>
        <w:t>-N等为非持久性污染物，本次仅考虑河流充分混合过程。</w:t>
      </w:r>
    </w:p>
    <w:p w14:paraId="139B06AA">
      <w:pPr>
        <w:pStyle w:val="46"/>
        <w:ind w:firstLine="480"/>
        <w:rPr>
          <w:rFonts w:hint="eastAsia" w:eastAsia="宋体"/>
          <w:color w:val="auto"/>
          <w:sz w:val="24"/>
          <w:lang w:eastAsia="zh-CN"/>
        </w:rPr>
      </w:pPr>
      <w:r>
        <w:rPr>
          <w:rFonts w:hint="eastAsia" w:eastAsia="宋体"/>
          <w:color w:val="auto"/>
          <w:sz w:val="24"/>
          <w:lang w:eastAsia="zh-CN"/>
        </w:rPr>
        <w:t>根据《环境影响评价技术导则 地表水环境》（HJ 2.3-2018），采用连续稳定排放的河流纵向一维水质模型方程解析解公式。</w:t>
      </w:r>
    </w:p>
    <w:p w14:paraId="62614D1E">
      <w:pPr>
        <w:pStyle w:val="46"/>
        <w:ind w:firstLine="480"/>
        <w:rPr>
          <w:rFonts w:hint="eastAsia" w:eastAsia="宋体"/>
          <w:color w:val="auto"/>
          <w:sz w:val="24"/>
          <w:lang w:eastAsia="zh-CN"/>
        </w:rPr>
      </w:pPr>
      <w:r>
        <w:rPr>
          <w:rFonts w:hint="eastAsia" w:eastAsia="宋体"/>
          <w:color w:val="auto"/>
          <w:sz w:val="24"/>
          <w:lang w:eastAsia="zh-CN"/>
        </w:rPr>
        <w:t>根据河流纵向一维模型方程的简化、分类判别条件（即：</w:t>
      </w:r>
      <w:r>
        <w:rPr>
          <w:rFonts w:hint="default" w:ascii="Times New Roman" w:hAnsi="Times New Roman" w:eastAsia="宋体" w:cs="Times New Roman"/>
          <w:color w:val="auto"/>
          <w:sz w:val="24"/>
          <w:lang w:eastAsia="zh-CN"/>
        </w:rPr>
        <w:t>O’Connor</w:t>
      </w:r>
      <w:r>
        <w:rPr>
          <w:rFonts w:hint="eastAsia" w:eastAsia="宋体"/>
          <w:color w:val="auto"/>
          <w:sz w:val="24"/>
          <w:lang w:eastAsia="zh-CN"/>
        </w:rPr>
        <w:t>数</w:t>
      </w:r>
      <w:r>
        <w:rPr>
          <w:rFonts w:hint="default" w:ascii="Arial" w:hAnsi="Arial" w:eastAsia="宋体" w:cs="Arial"/>
          <w:color w:val="auto"/>
          <w:sz w:val="24"/>
          <w:lang w:eastAsia="zh-CN"/>
        </w:rPr>
        <w:t>α</w:t>
      </w:r>
      <w:r>
        <w:rPr>
          <w:rFonts w:hint="eastAsia" w:eastAsia="宋体"/>
          <w:color w:val="auto"/>
          <w:sz w:val="24"/>
          <w:lang w:eastAsia="zh-CN"/>
        </w:rPr>
        <w:t>和贝克来数Pe的临界值），选择相应的解析解公式。</w:t>
      </w:r>
    </w:p>
    <w:p w14:paraId="71507C8C">
      <w:pPr>
        <w:pStyle w:val="46"/>
        <w:spacing w:line="240" w:lineRule="auto"/>
        <w:ind w:firstLine="480"/>
        <w:jc w:val="center"/>
        <w:rPr>
          <w:rFonts w:hint="eastAsia" w:eastAsia="宋体"/>
          <w:color w:val="auto"/>
          <w:sz w:val="24"/>
          <w:lang w:eastAsia="zh-CN"/>
        </w:rPr>
      </w:pPr>
      <w:r>
        <w:rPr>
          <w:color w:val="auto"/>
        </w:rPr>
        <w:drawing>
          <wp:inline distT="0" distB="0" distL="114300" distR="114300">
            <wp:extent cx="1089025" cy="1089025"/>
            <wp:effectExtent l="0" t="0" r="15875" b="15875"/>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pic:cNvPicPr>
                  </pic:nvPicPr>
                  <pic:blipFill>
                    <a:blip r:embed="rId42"/>
                    <a:stretch>
                      <a:fillRect/>
                    </a:stretch>
                  </pic:blipFill>
                  <pic:spPr>
                    <a:xfrm>
                      <a:off x="0" y="0"/>
                      <a:ext cx="1089025" cy="1089025"/>
                    </a:xfrm>
                    <a:prstGeom prst="rect">
                      <a:avLst/>
                    </a:prstGeom>
                    <a:noFill/>
                    <a:ln>
                      <a:noFill/>
                    </a:ln>
                  </pic:spPr>
                </pic:pic>
              </a:graphicData>
            </a:graphic>
          </wp:inline>
        </w:drawing>
      </w:r>
    </w:p>
    <w:p w14:paraId="07CD8E6A">
      <w:pPr>
        <w:pStyle w:val="46"/>
        <w:ind w:firstLine="480"/>
        <w:rPr>
          <w:rFonts w:hint="eastAsia" w:eastAsia="宋体"/>
          <w:color w:val="auto"/>
          <w:sz w:val="24"/>
          <w:lang w:eastAsia="zh-CN"/>
        </w:rPr>
      </w:pPr>
      <w:r>
        <w:rPr>
          <w:rFonts w:hint="eastAsia" w:eastAsia="宋体"/>
          <w:color w:val="auto"/>
          <w:sz w:val="24"/>
          <w:lang w:eastAsia="zh-CN"/>
        </w:rPr>
        <w:t>上述公式中：</w:t>
      </w:r>
      <w:r>
        <w:rPr>
          <w:rFonts w:hint="default" w:ascii="Arial" w:hAnsi="Arial" w:eastAsia="宋体" w:cs="Arial"/>
          <w:b w:val="0"/>
          <w:bCs w:val="0"/>
          <w:i/>
          <w:iCs/>
          <w:color w:val="auto"/>
          <w:sz w:val="24"/>
          <w:lang w:eastAsia="zh-CN"/>
        </w:rPr>
        <w:t>α</w:t>
      </w:r>
      <w:r>
        <w:rPr>
          <w:rFonts w:hint="eastAsia" w:eastAsia="宋体"/>
          <w:color w:val="auto"/>
          <w:sz w:val="24"/>
          <w:lang w:eastAsia="zh-CN"/>
        </w:rPr>
        <w:t>——</w:t>
      </w:r>
      <w:r>
        <w:rPr>
          <w:rFonts w:hint="default" w:ascii="Times New Roman" w:hAnsi="Times New Roman" w:eastAsia="宋体" w:cs="Times New Roman"/>
          <w:color w:val="auto"/>
          <w:sz w:val="24"/>
          <w:lang w:eastAsia="zh-CN"/>
        </w:rPr>
        <w:t>O’Connor数</w:t>
      </w:r>
      <w:r>
        <w:rPr>
          <w:rFonts w:hint="eastAsia" w:eastAsia="宋体"/>
          <w:color w:val="auto"/>
          <w:sz w:val="24"/>
          <w:lang w:eastAsia="zh-CN"/>
        </w:rPr>
        <w:t>，量纲为1，表征物质离散降解通量与移流通量比值；</w:t>
      </w:r>
    </w:p>
    <w:p w14:paraId="41ECFDCF">
      <w:pPr>
        <w:pStyle w:val="46"/>
        <w:ind w:firstLine="1680" w:firstLineChars="700"/>
        <w:rPr>
          <w:rFonts w:hint="eastAsia" w:eastAsia="宋体"/>
          <w:color w:val="auto"/>
          <w:sz w:val="24"/>
          <w:lang w:eastAsia="zh-CN"/>
        </w:rPr>
      </w:pPr>
      <w:r>
        <w:rPr>
          <w:rFonts w:hint="eastAsia" w:eastAsia="宋体"/>
          <w:color w:val="auto"/>
          <w:sz w:val="24"/>
          <w:lang w:eastAsia="zh-CN"/>
        </w:rPr>
        <w:t>Pe——贝克来数，量纲为1，表征物质移流通量与离散通量比值；</w:t>
      </w:r>
    </w:p>
    <w:p w14:paraId="77F983F0">
      <w:pPr>
        <w:pStyle w:val="46"/>
        <w:ind w:firstLine="1680" w:firstLineChars="700"/>
        <w:rPr>
          <w:rFonts w:hint="eastAsia" w:eastAsia="宋体"/>
          <w:color w:val="auto"/>
          <w:sz w:val="24"/>
          <w:lang w:eastAsia="zh-CN"/>
        </w:rPr>
      </w:pPr>
      <w:r>
        <w:rPr>
          <w:rFonts w:hint="eastAsia" w:eastAsia="宋体"/>
          <w:color w:val="auto"/>
          <w:sz w:val="24"/>
          <w:lang w:eastAsia="zh-CN"/>
        </w:rPr>
        <w:t>k——污染物综合衰减系数，1/s。本论证报告采用《陕西省国家重要江河水功能区纳污能力核定和分阶段限排总量控制方案报告》对陕西省黄河流域各水功能区的COD、氨氮降解系数分析研究数据，陕西省黄河流域其它水系COD的K值为0.20d</w:t>
      </w:r>
      <w:r>
        <w:rPr>
          <w:rFonts w:hint="eastAsia" w:eastAsia="宋体"/>
          <w:color w:val="auto"/>
          <w:sz w:val="24"/>
          <w:vertAlign w:val="superscript"/>
          <w:lang w:eastAsia="zh-CN"/>
        </w:rPr>
        <w:t>-1</w:t>
      </w:r>
      <w:r>
        <w:rPr>
          <w:rFonts w:hint="eastAsia" w:eastAsia="宋体"/>
          <w:color w:val="auto"/>
          <w:sz w:val="24"/>
          <w:lang w:eastAsia="zh-CN"/>
        </w:rPr>
        <w:t>，NH3-N的K值为0.30d</w:t>
      </w:r>
      <w:r>
        <w:rPr>
          <w:rFonts w:hint="eastAsia" w:eastAsia="宋体"/>
          <w:color w:val="auto"/>
          <w:sz w:val="24"/>
          <w:vertAlign w:val="superscript"/>
          <w:lang w:eastAsia="zh-CN"/>
        </w:rPr>
        <w:t>-1</w:t>
      </w:r>
      <w:r>
        <w:rPr>
          <w:rFonts w:hint="eastAsia" w:eastAsia="宋体"/>
          <w:color w:val="auto"/>
          <w:sz w:val="24"/>
          <w:lang w:eastAsia="zh-CN"/>
        </w:rPr>
        <w:t>。</w:t>
      </w:r>
    </w:p>
    <w:p w14:paraId="192C95E1">
      <w:pPr>
        <w:pStyle w:val="46"/>
        <w:ind w:firstLine="1680" w:firstLineChars="700"/>
        <w:rPr>
          <w:rFonts w:hint="eastAsia" w:eastAsia="宋体"/>
          <w:color w:val="auto"/>
          <w:sz w:val="24"/>
          <w:lang w:eastAsia="zh-CN"/>
        </w:rPr>
      </w:pPr>
      <w:r>
        <w:rPr>
          <w:rFonts w:hint="eastAsia" w:eastAsia="宋体"/>
          <w:i/>
          <w:iCs/>
          <w:color w:val="auto"/>
          <w:sz w:val="24"/>
          <w:lang w:eastAsia="zh-CN"/>
        </w:rPr>
        <w:t>E</w:t>
      </w:r>
      <w:r>
        <w:rPr>
          <w:rFonts w:hint="eastAsia" w:eastAsia="宋体"/>
          <w:i/>
          <w:iCs/>
          <w:color w:val="auto"/>
          <w:sz w:val="24"/>
          <w:vertAlign w:val="subscript"/>
          <w:lang w:eastAsia="zh-CN"/>
        </w:rPr>
        <w:t>x</w:t>
      </w:r>
      <w:r>
        <w:rPr>
          <w:rFonts w:hint="eastAsia" w:eastAsia="宋体"/>
          <w:color w:val="auto"/>
          <w:sz w:val="24"/>
          <w:lang w:eastAsia="zh-CN"/>
        </w:rPr>
        <w:t>——污染物纵向扩散系数，m</w:t>
      </w:r>
      <w:r>
        <w:rPr>
          <w:rFonts w:hint="eastAsia" w:eastAsia="宋体"/>
          <w:color w:val="auto"/>
          <w:sz w:val="24"/>
          <w:vertAlign w:val="superscript"/>
          <w:lang w:eastAsia="zh-CN"/>
        </w:rPr>
        <w:t>2</w:t>
      </w:r>
      <w:r>
        <w:rPr>
          <w:rFonts w:hint="eastAsia" w:eastAsia="宋体"/>
          <w:color w:val="auto"/>
          <w:sz w:val="24"/>
          <w:lang w:eastAsia="zh-CN"/>
        </w:rPr>
        <w:t>/s；用爱尔德（Elder）法求得：</w:t>
      </w:r>
    </w:p>
    <w:p w14:paraId="61D90AFD">
      <w:pPr>
        <w:pStyle w:val="46"/>
        <w:ind w:firstLine="480"/>
        <w:jc w:val="center"/>
        <w:rPr>
          <w:rFonts w:hint="eastAsia" w:eastAsia="宋体"/>
          <w:color w:val="auto"/>
          <w:sz w:val="24"/>
          <w:lang w:eastAsia="zh-CN"/>
        </w:rPr>
      </w:pPr>
      <w:r>
        <w:rPr>
          <w:rFonts w:hint="eastAsia" w:eastAsia="宋体"/>
          <w:i/>
          <w:iCs/>
          <w:color w:val="auto"/>
          <w:sz w:val="24"/>
          <w:lang w:eastAsia="zh-CN"/>
        </w:rPr>
        <w:t>E</w:t>
      </w:r>
      <w:r>
        <w:rPr>
          <w:rFonts w:hint="eastAsia" w:eastAsia="宋体"/>
          <w:i/>
          <w:iCs/>
          <w:color w:val="auto"/>
          <w:sz w:val="24"/>
          <w:vertAlign w:val="subscript"/>
          <w:lang w:eastAsia="zh-CN"/>
        </w:rPr>
        <w:t>x</w:t>
      </w:r>
      <w:r>
        <w:rPr>
          <w:rFonts w:hint="eastAsia" w:eastAsia="宋体"/>
          <w:color w:val="auto"/>
          <w:sz w:val="24"/>
          <w:lang w:eastAsia="zh-CN"/>
        </w:rPr>
        <w:t>=5.93H（gHI）</w:t>
      </w:r>
      <w:r>
        <w:rPr>
          <w:rFonts w:hint="eastAsia" w:eastAsia="宋体"/>
          <w:color w:val="auto"/>
          <w:sz w:val="24"/>
          <w:vertAlign w:val="superscript"/>
          <w:lang w:eastAsia="zh-CN"/>
        </w:rPr>
        <w:t>1/2</w:t>
      </w:r>
    </w:p>
    <w:p w14:paraId="5E95D5D1">
      <w:pPr>
        <w:pStyle w:val="46"/>
        <w:ind w:firstLine="480"/>
        <w:rPr>
          <w:rFonts w:hint="eastAsia" w:eastAsia="宋体"/>
          <w:color w:val="auto"/>
          <w:sz w:val="24"/>
          <w:lang w:eastAsia="zh-CN"/>
        </w:rPr>
      </w:pPr>
      <w:r>
        <w:rPr>
          <w:rFonts w:hint="eastAsia" w:eastAsia="宋体"/>
          <w:color w:val="auto"/>
          <w:sz w:val="24"/>
          <w:lang w:eastAsia="zh-CN"/>
        </w:rPr>
        <w:t>经计算，本项目 α=0.000256&lt;0.027，Pe=0.38＜1，适用于对流扩散降解简化模型（x≥0），公式如下：</w:t>
      </w:r>
    </w:p>
    <w:p w14:paraId="0B2467F4">
      <w:pPr>
        <w:pStyle w:val="46"/>
        <w:spacing w:line="240" w:lineRule="auto"/>
        <w:ind w:firstLine="480"/>
        <w:jc w:val="center"/>
        <w:rPr>
          <w:rFonts w:hint="eastAsia" w:eastAsia="宋体"/>
          <w:color w:val="auto"/>
          <w:sz w:val="24"/>
          <w:lang w:eastAsia="zh-CN"/>
        </w:rPr>
      </w:pPr>
      <w:r>
        <w:rPr>
          <w:rFonts w:hint="eastAsia" w:eastAsia="宋体"/>
          <w:color w:val="auto"/>
          <w:sz w:val="24"/>
          <w:lang w:eastAsia="zh-CN"/>
        </w:rPr>
        <w:drawing>
          <wp:inline distT="0" distB="0" distL="114300" distR="114300">
            <wp:extent cx="2522220" cy="845185"/>
            <wp:effectExtent l="0" t="0" r="11430" b="12065"/>
            <wp:docPr id="32" name="图片 32" descr="169408933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94089337094"/>
                    <pic:cNvPicPr>
                      <a:picLocks noChangeAspect="1"/>
                    </pic:cNvPicPr>
                  </pic:nvPicPr>
                  <pic:blipFill>
                    <a:blip r:embed="rId43"/>
                    <a:stretch>
                      <a:fillRect/>
                    </a:stretch>
                  </pic:blipFill>
                  <pic:spPr>
                    <a:xfrm>
                      <a:off x="0" y="0"/>
                      <a:ext cx="2522220" cy="845185"/>
                    </a:xfrm>
                    <a:prstGeom prst="rect">
                      <a:avLst/>
                    </a:prstGeom>
                  </pic:spPr>
                </pic:pic>
              </a:graphicData>
            </a:graphic>
          </wp:inline>
        </w:drawing>
      </w:r>
    </w:p>
    <w:p w14:paraId="56DA7BB9">
      <w:pPr>
        <w:pStyle w:val="46"/>
        <w:ind w:firstLine="480"/>
        <w:rPr>
          <w:rFonts w:hint="eastAsia" w:eastAsia="宋体"/>
          <w:color w:val="auto"/>
          <w:sz w:val="24"/>
          <w:lang w:eastAsia="zh-CN"/>
        </w:rPr>
      </w:pPr>
      <w:r>
        <w:rPr>
          <w:rFonts w:hint="eastAsia" w:eastAsia="宋体"/>
          <w:color w:val="auto"/>
          <w:sz w:val="24"/>
          <w:lang w:eastAsia="zh-CN"/>
        </w:rPr>
        <w:t>式中：</w:t>
      </w:r>
      <w:r>
        <w:rPr>
          <w:rFonts w:hint="eastAsia" w:eastAsia="宋体"/>
          <w:i/>
          <w:iCs/>
          <w:color w:val="auto"/>
          <w:sz w:val="24"/>
          <w:lang w:eastAsia="zh-CN"/>
        </w:rPr>
        <w:t>C</w:t>
      </w:r>
      <w:r>
        <w:rPr>
          <w:rFonts w:hint="eastAsia" w:eastAsia="宋体"/>
          <w:color w:val="auto"/>
          <w:sz w:val="24"/>
          <w:lang w:eastAsia="zh-CN"/>
        </w:rPr>
        <w:t>——污染物浓度，mg/L；</w:t>
      </w:r>
    </w:p>
    <w:p w14:paraId="416AF721">
      <w:pPr>
        <w:pStyle w:val="46"/>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i/>
          <w:iCs/>
          <w:color w:val="auto"/>
          <w:sz w:val="24"/>
          <w:vertAlign w:val="subscript"/>
          <w:lang w:eastAsia="zh-CN"/>
        </w:rPr>
        <w:t>0</w:t>
      </w:r>
      <w:r>
        <w:rPr>
          <w:rFonts w:hint="eastAsia" w:eastAsia="宋体"/>
          <w:color w:val="auto"/>
          <w:sz w:val="24"/>
          <w:lang w:eastAsia="zh-CN"/>
        </w:rPr>
        <w:t>——河流排放口初始断面混合浓度，mg/L</w:t>
      </w:r>
    </w:p>
    <w:p w14:paraId="05359327">
      <w:pPr>
        <w:pStyle w:val="46"/>
        <w:ind w:firstLine="1200" w:firstLineChars="500"/>
        <w:rPr>
          <w:rFonts w:hint="eastAsia" w:eastAsia="宋体"/>
          <w:color w:val="auto"/>
          <w:sz w:val="24"/>
          <w:lang w:eastAsia="zh-CN"/>
        </w:rPr>
      </w:pPr>
      <w:r>
        <w:rPr>
          <w:rFonts w:hint="eastAsia" w:eastAsia="宋体"/>
          <w:i/>
          <w:iCs/>
          <w:color w:val="auto"/>
          <w:sz w:val="24"/>
          <w:lang w:eastAsia="zh-CN"/>
        </w:rPr>
        <w:t>k</w:t>
      </w:r>
      <w:r>
        <w:rPr>
          <w:rFonts w:hint="eastAsia" w:eastAsia="宋体"/>
          <w:color w:val="auto"/>
          <w:sz w:val="24"/>
          <w:lang w:eastAsia="zh-CN"/>
        </w:rPr>
        <w:t>——污染物综合衰减系数，1/s；</w:t>
      </w:r>
    </w:p>
    <w:p w14:paraId="19C34365">
      <w:pPr>
        <w:pStyle w:val="46"/>
        <w:ind w:firstLine="1200" w:firstLineChars="500"/>
        <w:rPr>
          <w:rFonts w:hint="eastAsia" w:eastAsia="宋体"/>
          <w:color w:val="auto"/>
          <w:sz w:val="24"/>
          <w:lang w:eastAsia="zh-CN"/>
        </w:rPr>
      </w:pPr>
      <w:r>
        <w:rPr>
          <w:rFonts w:hint="eastAsia" w:eastAsia="宋体"/>
          <w:i/>
          <w:iCs/>
          <w:color w:val="auto"/>
          <w:sz w:val="24"/>
          <w:lang w:eastAsia="zh-CN"/>
        </w:rPr>
        <w:t>x</w:t>
      </w:r>
      <w:r>
        <w:rPr>
          <w:rFonts w:hint="eastAsia" w:eastAsia="宋体"/>
          <w:color w:val="auto"/>
          <w:sz w:val="24"/>
          <w:lang w:eastAsia="zh-CN"/>
        </w:rPr>
        <w:t>——笛卡尔坐标系X向的坐标，m；</w:t>
      </w:r>
    </w:p>
    <w:p w14:paraId="6AD42F23">
      <w:pPr>
        <w:pStyle w:val="46"/>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i/>
          <w:iCs/>
          <w:color w:val="auto"/>
          <w:sz w:val="24"/>
          <w:vertAlign w:val="subscript"/>
          <w:lang w:eastAsia="zh-CN"/>
        </w:rPr>
        <w:t>p</w:t>
      </w:r>
      <w:r>
        <w:rPr>
          <w:rFonts w:hint="eastAsia" w:eastAsia="宋体"/>
          <w:color w:val="auto"/>
          <w:sz w:val="24"/>
          <w:lang w:eastAsia="zh-CN"/>
        </w:rPr>
        <w:t>——污染物排放浓度，mg/L；</w:t>
      </w:r>
    </w:p>
    <w:p w14:paraId="1D18DECE">
      <w:pPr>
        <w:pStyle w:val="46"/>
        <w:ind w:firstLine="1200" w:firstLineChars="500"/>
        <w:rPr>
          <w:rFonts w:hint="eastAsia" w:eastAsia="宋体"/>
          <w:color w:val="auto"/>
          <w:sz w:val="24"/>
          <w:lang w:eastAsia="zh-CN"/>
        </w:rPr>
      </w:pPr>
      <w:r>
        <w:rPr>
          <w:rFonts w:hint="eastAsia" w:eastAsia="宋体"/>
          <w:i/>
          <w:iCs/>
          <w:color w:val="auto"/>
          <w:sz w:val="24"/>
          <w:lang w:eastAsia="zh-CN"/>
        </w:rPr>
        <w:t>Q</w:t>
      </w:r>
      <w:r>
        <w:rPr>
          <w:rFonts w:hint="eastAsia" w:eastAsia="宋体"/>
          <w:i/>
          <w:iCs/>
          <w:color w:val="auto"/>
          <w:sz w:val="24"/>
          <w:vertAlign w:val="subscript"/>
          <w:lang w:eastAsia="zh-CN"/>
        </w:rPr>
        <w:t>p</w:t>
      </w:r>
      <w:r>
        <w:rPr>
          <w:rFonts w:hint="eastAsia" w:eastAsia="宋体"/>
          <w:color w:val="auto"/>
          <w:sz w:val="24"/>
          <w:lang w:eastAsia="zh-CN"/>
        </w:rPr>
        <w:t>——污水排放量，m</w:t>
      </w:r>
      <w:r>
        <w:rPr>
          <w:rFonts w:hint="eastAsia" w:eastAsia="宋体"/>
          <w:color w:val="auto"/>
          <w:sz w:val="24"/>
          <w:vertAlign w:val="superscript"/>
          <w:lang w:eastAsia="zh-CN"/>
        </w:rPr>
        <w:t>3</w:t>
      </w:r>
      <w:r>
        <w:rPr>
          <w:rFonts w:hint="eastAsia" w:eastAsia="宋体"/>
          <w:color w:val="auto"/>
          <w:sz w:val="24"/>
          <w:lang w:eastAsia="zh-CN"/>
        </w:rPr>
        <w:t>/s；</w:t>
      </w:r>
    </w:p>
    <w:p w14:paraId="5BC8C7B2">
      <w:pPr>
        <w:pStyle w:val="46"/>
        <w:ind w:firstLine="1200" w:firstLineChars="500"/>
        <w:rPr>
          <w:rFonts w:hint="eastAsia" w:eastAsia="宋体"/>
          <w:color w:val="auto"/>
          <w:sz w:val="24"/>
          <w:lang w:eastAsia="zh-CN"/>
        </w:rPr>
      </w:pPr>
      <w:r>
        <w:rPr>
          <w:rFonts w:hint="eastAsia" w:eastAsia="宋体"/>
          <w:i/>
          <w:iCs/>
          <w:color w:val="auto"/>
          <w:sz w:val="24"/>
          <w:lang w:eastAsia="zh-CN"/>
        </w:rPr>
        <w:t>C</w:t>
      </w:r>
      <w:r>
        <w:rPr>
          <w:rFonts w:hint="eastAsia" w:eastAsia="宋体"/>
          <w:i/>
          <w:iCs/>
          <w:color w:val="auto"/>
          <w:sz w:val="24"/>
          <w:vertAlign w:val="subscript"/>
          <w:lang w:eastAsia="zh-CN"/>
        </w:rPr>
        <w:t>h</w:t>
      </w:r>
      <w:r>
        <w:rPr>
          <w:rFonts w:hint="eastAsia" w:eastAsia="宋体"/>
          <w:color w:val="auto"/>
          <w:sz w:val="24"/>
          <w:lang w:eastAsia="zh-CN"/>
        </w:rPr>
        <w:t>——河流上游污染物浓度，mg/L；</w:t>
      </w:r>
    </w:p>
    <w:p w14:paraId="15A36AFC">
      <w:pPr>
        <w:pStyle w:val="46"/>
        <w:ind w:firstLine="1200" w:firstLineChars="500"/>
        <w:rPr>
          <w:rFonts w:hint="eastAsia" w:eastAsia="宋体"/>
          <w:color w:val="auto"/>
          <w:sz w:val="24"/>
          <w:lang w:eastAsia="zh-CN"/>
        </w:rPr>
      </w:pPr>
      <w:r>
        <w:rPr>
          <w:rFonts w:hint="eastAsia" w:eastAsia="宋体"/>
          <w:i/>
          <w:iCs/>
          <w:color w:val="auto"/>
          <w:sz w:val="24"/>
          <w:lang w:eastAsia="zh-CN"/>
        </w:rPr>
        <w:t>Q</w:t>
      </w:r>
      <w:r>
        <w:rPr>
          <w:rFonts w:hint="eastAsia" w:eastAsia="宋体"/>
          <w:i/>
          <w:iCs/>
          <w:color w:val="auto"/>
          <w:sz w:val="24"/>
          <w:vertAlign w:val="subscript"/>
          <w:lang w:eastAsia="zh-CN"/>
        </w:rPr>
        <w:t>h</w:t>
      </w:r>
      <w:r>
        <w:rPr>
          <w:rFonts w:hint="eastAsia" w:eastAsia="宋体"/>
          <w:color w:val="auto"/>
          <w:sz w:val="24"/>
          <w:lang w:eastAsia="zh-CN"/>
        </w:rPr>
        <w:t>——河流流量，m</w:t>
      </w:r>
      <w:r>
        <w:rPr>
          <w:rFonts w:hint="eastAsia" w:eastAsia="宋体"/>
          <w:color w:val="auto"/>
          <w:sz w:val="24"/>
          <w:vertAlign w:val="superscript"/>
          <w:lang w:eastAsia="zh-CN"/>
        </w:rPr>
        <w:t>3</w:t>
      </w:r>
      <w:r>
        <w:rPr>
          <w:rFonts w:hint="eastAsia" w:eastAsia="宋体"/>
          <w:color w:val="auto"/>
          <w:sz w:val="24"/>
          <w:lang w:eastAsia="zh-CN"/>
        </w:rPr>
        <w:t>/s。</w:t>
      </w:r>
    </w:p>
    <w:p w14:paraId="139DA0D2">
      <w:pPr>
        <w:pStyle w:val="46"/>
        <w:ind w:firstLine="480"/>
        <w:rPr>
          <w:rFonts w:hint="eastAsia" w:eastAsia="宋体"/>
          <w:color w:val="auto"/>
          <w:sz w:val="24"/>
          <w:lang w:eastAsia="zh-CN"/>
        </w:rPr>
      </w:pPr>
      <w:r>
        <w:rPr>
          <w:rFonts w:hint="eastAsia" w:eastAsia="宋体"/>
          <w:color w:val="auto"/>
          <w:sz w:val="24"/>
          <w:lang w:eastAsia="zh-CN"/>
        </w:rPr>
        <w:t>（3）预测结果</w:t>
      </w:r>
    </w:p>
    <w:p w14:paraId="40068C64">
      <w:pPr>
        <w:pStyle w:val="46"/>
        <w:ind w:firstLine="480"/>
        <w:rPr>
          <w:rFonts w:hint="eastAsia" w:eastAsia="宋体"/>
          <w:color w:val="auto"/>
          <w:sz w:val="24"/>
          <w:lang w:eastAsia="zh-CN"/>
        </w:rPr>
      </w:pPr>
      <w:r>
        <w:rPr>
          <w:rFonts w:hint="eastAsia" w:eastAsia="宋体"/>
          <w:color w:val="auto"/>
          <w:sz w:val="24"/>
          <w:lang w:eastAsia="zh-CN"/>
        </w:rPr>
        <w:t>根据现场调查，本项目地表水影响范围内无国家级保护的野生植物、无国家级保护动物和濒危级保护动物、无集中式饮用水源地、无其他大型工业取水口、无渔业养殖等重要取用水方、无风景名胜区、无自然保护区等敏感保护目标。</w:t>
      </w:r>
    </w:p>
    <w:p w14:paraId="6EED96D8">
      <w:pPr>
        <w:pStyle w:val="46"/>
        <w:ind w:firstLine="480"/>
        <w:rPr>
          <w:rFonts w:hint="eastAsia" w:eastAsia="宋体"/>
          <w:color w:val="auto"/>
          <w:sz w:val="24"/>
          <w:lang w:eastAsia="zh-CN"/>
        </w:rPr>
      </w:pPr>
      <w:r>
        <w:rPr>
          <w:rFonts w:hint="eastAsia" w:eastAsia="宋体"/>
          <w:color w:val="auto"/>
          <w:sz w:val="24"/>
          <w:lang w:eastAsia="zh-CN"/>
        </w:rPr>
        <w:t>本项目废水排放、非正常排放情况下对新河的影响预测结果详下表</w:t>
      </w:r>
      <w:r>
        <w:rPr>
          <w:rFonts w:hint="eastAsia" w:eastAsia="宋体"/>
          <w:color w:val="auto"/>
          <w:sz w:val="24"/>
          <w:lang w:val="en-US" w:eastAsia="zh-CN"/>
        </w:rPr>
        <w:t>5.2</w:t>
      </w:r>
      <w:r>
        <w:rPr>
          <w:rFonts w:hint="eastAsia" w:eastAsia="宋体"/>
          <w:color w:val="auto"/>
          <w:sz w:val="24"/>
          <w:lang w:eastAsia="zh-CN"/>
        </w:rPr>
        <w:t>-6。</w:t>
      </w:r>
    </w:p>
    <w:p w14:paraId="4875A547">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rPr>
      </w:pPr>
    </w:p>
    <w:p w14:paraId="750DF7A2">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rPr>
      </w:pPr>
    </w:p>
    <w:p w14:paraId="70985962">
      <w:pPr>
        <w:pStyle w:val="63"/>
        <w:keepNext w:val="0"/>
        <w:keepLines w:val="0"/>
        <w:pageBreakBefore w:val="0"/>
        <w:widowControl/>
        <w:kinsoku/>
        <w:wordWrap/>
        <w:overflowPunct/>
        <w:topLinePunct w:val="0"/>
        <w:autoSpaceDE/>
        <w:autoSpaceDN/>
        <w:bidi w:val="0"/>
        <w:adjustRightInd/>
        <w:snapToGrid w:val="0"/>
        <w:spacing w:before="0" w:beforeLines="0" w:after="0" w:afterLines="0" w:line="500" w:lineRule="exact"/>
        <w:ind w:left="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表</w:t>
      </w:r>
      <w:r>
        <w:rPr>
          <w:rFonts w:hint="eastAsia" w:eastAsia="宋体" w:cs="Times New Roman"/>
          <w:color w:val="auto"/>
          <w:sz w:val="24"/>
          <w:szCs w:val="24"/>
          <w:lang w:val="en-US" w:eastAsia="zh-CN"/>
        </w:rPr>
        <w:t>5</w:t>
      </w:r>
      <w:r>
        <w:rPr>
          <w:rFonts w:hint="default" w:ascii="Times New Roman" w:hAnsi="Times New Roman" w:eastAsia="宋体" w:cs="Times New Roman"/>
          <w:color w:val="auto"/>
          <w:sz w:val="24"/>
          <w:szCs w:val="24"/>
        </w:rPr>
        <w:t>.2-</w:t>
      </w:r>
      <w:r>
        <w:rPr>
          <w:rFonts w:hint="eastAsia" w:eastAsia="宋体" w:cs="Times New Roman"/>
          <w:color w:val="auto"/>
          <w:sz w:val="24"/>
          <w:szCs w:val="24"/>
          <w:lang w:val="en-US" w:eastAsia="zh-CN"/>
        </w:rPr>
        <w:t>6    综合废水</w:t>
      </w:r>
      <w:r>
        <w:rPr>
          <w:rFonts w:hint="default" w:ascii="Times New Roman" w:hAnsi="Times New Roman" w:eastAsia="宋体" w:cs="Times New Roman"/>
          <w:color w:val="auto"/>
          <w:sz w:val="24"/>
          <w:szCs w:val="24"/>
        </w:rPr>
        <w:t>排放对地表水的环境影响预测</w:t>
      </w:r>
    </w:p>
    <w:tbl>
      <w:tblPr>
        <w:tblStyle w:val="25"/>
        <w:tblW w:w="4866"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168"/>
        <w:gridCol w:w="1687"/>
        <w:gridCol w:w="1285"/>
        <w:gridCol w:w="1285"/>
        <w:gridCol w:w="1285"/>
        <w:gridCol w:w="1285"/>
      </w:tblGrid>
      <w:tr w14:paraId="4CB21C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11" w:hRule="atLeast"/>
          <w:tblHeader/>
          <w:jc w:val="center"/>
        </w:trPr>
        <w:tc>
          <w:tcPr>
            <w:tcW w:w="2142" w:type="pct"/>
            <w:gridSpan w:val="2"/>
            <w:vMerge w:val="restart"/>
            <w:noWrap/>
            <w:vAlign w:val="center"/>
          </w:tcPr>
          <w:p w14:paraId="17B8A1E1">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纵向X预测值污染物</w:t>
            </w:r>
          </w:p>
        </w:tc>
        <w:tc>
          <w:tcPr>
            <w:tcW w:w="1428" w:type="pct"/>
            <w:gridSpan w:val="2"/>
            <w:noWrap/>
            <w:vAlign w:val="center"/>
          </w:tcPr>
          <w:p w14:paraId="04433C4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正常工况</w:t>
            </w:r>
          </w:p>
        </w:tc>
        <w:tc>
          <w:tcPr>
            <w:tcW w:w="1428" w:type="pct"/>
            <w:gridSpan w:val="2"/>
            <w:noWrap/>
            <w:vAlign w:val="center"/>
          </w:tcPr>
          <w:p w14:paraId="7253CB58">
            <w:pPr>
              <w:keepNext w:val="0"/>
              <w:keepLines w:val="0"/>
              <w:pageBreakBefore w:val="0"/>
              <w:widowControl/>
              <w:suppressLineNumbers w:val="0"/>
              <w:kinsoku/>
              <w:wordWrap/>
              <w:overflowPunct/>
              <w:topLinePunct w:val="0"/>
              <w:autoSpaceDE/>
              <w:autoSpaceDN/>
              <w:bidi w:val="0"/>
              <w:adjustRightInd/>
              <w:spacing w:line="240" w:lineRule="auto"/>
              <w:ind w:left="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非正常工况</w:t>
            </w:r>
          </w:p>
        </w:tc>
      </w:tr>
      <w:tr w14:paraId="0AE9EB8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42" w:type="pct"/>
            <w:gridSpan w:val="2"/>
            <w:vMerge w:val="continue"/>
            <w:vAlign w:val="center"/>
          </w:tcPr>
          <w:p w14:paraId="3DB2EA7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p>
        </w:tc>
        <w:tc>
          <w:tcPr>
            <w:tcW w:w="714" w:type="pct"/>
            <w:noWrap/>
            <w:vAlign w:val="center"/>
          </w:tcPr>
          <w:p w14:paraId="6B82A59B">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COD</w:t>
            </w:r>
          </w:p>
          <w:p w14:paraId="64C50EE6">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（mg/L）</w:t>
            </w:r>
          </w:p>
        </w:tc>
        <w:tc>
          <w:tcPr>
            <w:tcW w:w="714" w:type="pct"/>
            <w:noWrap/>
            <w:vAlign w:val="center"/>
          </w:tcPr>
          <w:p w14:paraId="246D97CB">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NH</w:t>
            </w:r>
            <w:r>
              <w:rPr>
                <w:rFonts w:hint="default" w:ascii="Times New Roman" w:hAnsi="Times New Roman" w:eastAsia="宋体" w:cs="Times New Roman"/>
                <w:b/>
                <w:bCs w:val="0"/>
                <w:color w:val="auto"/>
                <w:sz w:val="21"/>
                <w:szCs w:val="21"/>
                <w:vertAlign w:val="subscript"/>
                <w:lang w:val="en-US" w:eastAsia="zh-CN"/>
              </w:rPr>
              <w:t>3</w:t>
            </w:r>
            <w:r>
              <w:rPr>
                <w:rFonts w:hint="default" w:ascii="Times New Roman" w:hAnsi="Times New Roman" w:eastAsia="宋体" w:cs="Times New Roman"/>
                <w:b/>
                <w:bCs w:val="0"/>
                <w:color w:val="auto"/>
                <w:sz w:val="21"/>
                <w:szCs w:val="21"/>
                <w:lang w:val="en-US" w:eastAsia="zh-CN"/>
              </w:rPr>
              <w:t>-N</w:t>
            </w:r>
          </w:p>
          <w:p w14:paraId="033BA2FF">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（mg/L）</w:t>
            </w:r>
          </w:p>
        </w:tc>
        <w:tc>
          <w:tcPr>
            <w:tcW w:w="714" w:type="pct"/>
            <w:noWrap/>
            <w:vAlign w:val="center"/>
          </w:tcPr>
          <w:p w14:paraId="16F13254">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COD</w:t>
            </w:r>
          </w:p>
          <w:p w14:paraId="599A2AC6">
            <w:pPr>
              <w:keepNext w:val="0"/>
              <w:keepLines w:val="0"/>
              <w:pageBreakBefore w:val="0"/>
              <w:kinsoku/>
              <w:wordWrap/>
              <w:overflowPunct/>
              <w:topLinePunct w:val="0"/>
              <w:autoSpaceDE/>
              <w:autoSpaceDN/>
              <w:bidi w:val="0"/>
              <w:adjustRightInd/>
              <w:spacing w:line="240" w:lineRule="auto"/>
              <w:ind w:left="422" w:leftChars="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（mg/L）</w:t>
            </w:r>
          </w:p>
        </w:tc>
        <w:tc>
          <w:tcPr>
            <w:tcW w:w="714" w:type="pct"/>
            <w:noWrap/>
            <w:vAlign w:val="center"/>
          </w:tcPr>
          <w:p w14:paraId="0F0A0329">
            <w:pPr>
              <w:keepNext w:val="0"/>
              <w:keepLines w:val="0"/>
              <w:pageBreakBefore w:val="0"/>
              <w:kinsoku/>
              <w:wordWrap/>
              <w:overflowPunct/>
              <w:topLinePunct w:val="0"/>
              <w:autoSpaceDE/>
              <w:autoSpaceDN/>
              <w:bidi w:val="0"/>
              <w:adjustRightInd/>
              <w:spacing w:line="240" w:lineRule="auto"/>
              <w:ind w:left="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NH</w:t>
            </w:r>
            <w:r>
              <w:rPr>
                <w:rFonts w:hint="default" w:ascii="Times New Roman" w:hAnsi="Times New Roman" w:eastAsia="宋体" w:cs="Times New Roman"/>
                <w:b/>
                <w:bCs w:val="0"/>
                <w:color w:val="auto"/>
                <w:sz w:val="21"/>
                <w:szCs w:val="21"/>
                <w:vertAlign w:val="subscript"/>
                <w:lang w:val="en-US" w:eastAsia="zh-CN"/>
              </w:rPr>
              <w:t>3</w:t>
            </w:r>
            <w:r>
              <w:rPr>
                <w:rFonts w:hint="default" w:ascii="Times New Roman" w:hAnsi="Times New Roman" w:eastAsia="宋体" w:cs="Times New Roman"/>
                <w:b/>
                <w:bCs w:val="0"/>
                <w:color w:val="auto"/>
                <w:sz w:val="21"/>
                <w:szCs w:val="21"/>
                <w:lang w:val="en-US" w:eastAsia="zh-CN"/>
              </w:rPr>
              <w:t>-N</w:t>
            </w:r>
          </w:p>
          <w:p w14:paraId="1F06DF94">
            <w:pPr>
              <w:keepNext w:val="0"/>
              <w:keepLines w:val="0"/>
              <w:pageBreakBefore w:val="0"/>
              <w:kinsoku/>
              <w:wordWrap/>
              <w:overflowPunct/>
              <w:topLinePunct w:val="0"/>
              <w:autoSpaceDE/>
              <w:autoSpaceDN/>
              <w:bidi w:val="0"/>
              <w:adjustRightInd/>
              <w:spacing w:line="240" w:lineRule="auto"/>
              <w:ind w:left="422" w:leftChars="0" w:hanging="422" w:hangingChars="20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（mg/L）</w:t>
            </w:r>
          </w:p>
        </w:tc>
      </w:tr>
      <w:tr w14:paraId="7881D88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restart"/>
            <w:vAlign w:val="center"/>
          </w:tcPr>
          <w:p w14:paraId="71BD509D">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0m</w:t>
            </w:r>
          </w:p>
          <w:p w14:paraId="350B3D9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（初始混合断面）</w:t>
            </w:r>
          </w:p>
        </w:tc>
        <w:tc>
          <w:tcPr>
            <w:tcW w:w="937" w:type="pct"/>
            <w:vAlign w:val="center"/>
          </w:tcPr>
          <w:p w14:paraId="60AC7599">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预测结果</w:t>
            </w:r>
          </w:p>
        </w:tc>
        <w:tc>
          <w:tcPr>
            <w:tcW w:w="714" w:type="pct"/>
            <w:noWrap/>
            <w:vAlign w:val="center"/>
          </w:tcPr>
          <w:p w14:paraId="4F16642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14.33</w:t>
            </w:r>
          </w:p>
        </w:tc>
        <w:tc>
          <w:tcPr>
            <w:tcW w:w="714" w:type="pct"/>
            <w:noWrap/>
            <w:vAlign w:val="center"/>
          </w:tcPr>
          <w:p w14:paraId="281F56EA">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0.65</w:t>
            </w:r>
          </w:p>
        </w:tc>
        <w:tc>
          <w:tcPr>
            <w:tcW w:w="714" w:type="pct"/>
            <w:noWrap/>
            <w:vAlign w:val="center"/>
          </w:tcPr>
          <w:p w14:paraId="0AE10A88">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106.75</w:t>
            </w:r>
          </w:p>
        </w:tc>
        <w:tc>
          <w:tcPr>
            <w:tcW w:w="714" w:type="pct"/>
            <w:noWrap/>
            <w:vAlign w:val="center"/>
          </w:tcPr>
          <w:p w14:paraId="5A0279F1">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2.77</w:t>
            </w:r>
          </w:p>
        </w:tc>
      </w:tr>
      <w:tr w14:paraId="48A7B8F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continue"/>
            <w:vAlign w:val="center"/>
          </w:tcPr>
          <w:p w14:paraId="2F6C055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p>
        </w:tc>
        <w:tc>
          <w:tcPr>
            <w:tcW w:w="937" w:type="pct"/>
            <w:vAlign w:val="center"/>
          </w:tcPr>
          <w:p w14:paraId="734BD443">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超标倍数</w:t>
            </w:r>
          </w:p>
        </w:tc>
        <w:tc>
          <w:tcPr>
            <w:tcW w:w="714" w:type="pct"/>
            <w:noWrap/>
            <w:vAlign w:val="center"/>
          </w:tcPr>
          <w:p w14:paraId="4299C27A">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46E34BE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42CA0004">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2.56</w:t>
            </w:r>
          </w:p>
        </w:tc>
        <w:tc>
          <w:tcPr>
            <w:tcW w:w="714" w:type="pct"/>
            <w:noWrap/>
            <w:vAlign w:val="center"/>
          </w:tcPr>
          <w:p w14:paraId="251DEEF6">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0.84</w:t>
            </w:r>
          </w:p>
        </w:tc>
      </w:tr>
      <w:tr w14:paraId="44913A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restart"/>
            <w:vAlign w:val="center"/>
          </w:tcPr>
          <w:p w14:paraId="60EFD857">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500m</w:t>
            </w:r>
          </w:p>
          <w:p w14:paraId="4336B830">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（控制断面）</w:t>
            </w:r>
          </w:p>
        </w:tc>
        <w:tc>
          <w:tcPr>
            <w:tcW w:w="1687" w:type="dxa"/>
            <w:vAlign w:val="center"/>
          </w:tcPr>
          <w:p w14:paraId="07EB3018">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预测结果</w:t>
            </w:r>
          </w:p>
        </w:tc>
        <w:tc>
          <w:tcPr>
            <w:tcW w:w="714" w:type="pct"/>
            <w:noWrap/>
            <w:vAlign w:val="center"/>
          </w:tcPr>
          <w:p w14:paraId="77990ED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14.32</w:t>
            </w:r>
          </w:p>
        </w:tc>
        <w:tc>
          <w:tcPr>
            <w:tcW w:w="714" w:type="pct"/>
            <w:noWrap/>
            <w:vAlign w:val="center"/>
          </w:tcPr>
          <w:p w14:paraId="6453B40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0.65</w:t>
            </w:r>
          </w:p>
        </w:tc>
        <w:tc>
          <w:tcPr>
            <w:tcW w:w="714" w:type="pct"/>
            <w:noWrap/>
            <w:vAlign w:val="center"/>
          </w:tcPr>
          <w:p w14:paraId="2B4CADAA">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106.66</w:t>
            </w:r>
          </w:p>
        </w:tc>
        <w:tc>
          <w:tcPr>
            <w:tcW w:w="714" w:type="pct"/>
            <w:noWrap/>
            <w:vAlign w:val="center"/>
          </w:tcPr>
          <w:p w14:paraId="3D86B983">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2.76</w:t>
            </w:r>
          </w:p>
        </w:tc>
      </w:tr>
      <w:tr w14:paraId="3172811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continue"/>
            <w:vAlign w:val="center"/>
          </w:tcPr>
          <w:p w14:paraId="1223F4A5">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p>
        </w:tc>
        <w:tc>
          <w:tcPr>
            <w:tcW w:w="1687" w:type="dxa"/>
            <w:vAlign w:val="center"/>
          </w:tcPr>
          <w:p w14:paraId="285F1642">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超标倍数</w:t>
            </w:r>
          </w:p>
        </w:tc>
        <w:tc>
          <w:tcPr>
            <w:tcW w:w="714" w:type="pct"/>
            <w:noWrap/>
            <w:vAlign w:val="center"/>
          </w:tcPr>
          <w:p w14:paraId="0B6050C9">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78D6A4F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4159C8E0">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2.56</w:t>
            </w:r>
          </w:p>
        </w:tc>
        <w:tc>
          <w:tcPr>
            <w:tcW w:w="714" w:type="pct"/>
            <w:noWrap/>
            <w:vAlign w:val="center"/>
          </w:tcPr>
          <w:p w14:paraId="1618EE21">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0.84</w:t>
            </w:r>
          </w:p>
        </w:tc>
      </w:tr>
      <w:tr w14:paraId="392C7E2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restart"/>
            <w:vAlign w:val="center"/>
          </w:tcPr>
          <w:p w14:paraId="75390C46">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下游1500m</w:t>
            </w:r>
          </w:p>
          <w:p w14:paraId="5E85D34B">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（核算断面）</w:t>
            </w:r>
          </w:p>
        </w:tc>
        <w:tc>
          <w:tcPr>
            <w:tcW w:w="1687" w:type="dxa"/>
            <w:vAlign w:val="center"/>
          </w:tcPr>
          <w:p w14:paraId="5FE6E106">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预测结果</w:t>
            </w:r>
          </w:p>
        </w:tc>
        <w:tc>
          <w:tcPr>
            <w:tcW w:w="714" w:type="pct"/>
            <w:noWrap/>
            <w:vAlign w:val="center"/>
          </w:tcPr>
          <w:p w14:paraId="5F6B0E4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14.08</w:t>
            </w:r>
          </w:p>
        </w:tc>
        <w:tc>
          <w:tcPr>
            <w:tcW w:w="714" w:type="pct"/>
            <w:noWrap/>
            <w:vAlign w:val="center"/>
          </w:tcPr>
          <w:p w14:paraId="1ADF552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0.63</w:t>
            </w:r>
          </w:p>
        </w:tc>
        <w:tc>
          <w:tcPr>
            <w:tcW w:w="714" w:type="pct"/>
            <w:noWrap/>
            <w:vAlign w:val="center"/>
          </w:tcPr>
          <w:p w14:paraId="7CD4231F">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104.91</w:t>
            </w:r>
          </w:p>
        </w:tc>
        <w:tc>
          <w:tcPr>
            <w:tcW w:w="714" w:type="pct"/>
            <w:noWrap/>
            <w:vAlign w:val="center"/>
          </w:tcPr>
          <w:p w14:paraId="18375652">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2.71</w:t>
            </w:r>
          </w:p>
        </w:tc>
      </w:tr>
      <w:tr w14:paraId="6CEC73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continue"/>
            <w:vAlign w:val="center"/>
          </w:tcPr>
          <w:p w14:paraId="1CFF45E3">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p>
        </w:tc>
        <w:tc>
          <w:tcPr>
            <w:tcW w:w="1687" w:type="dxa"/>
            <w:vAlign w:val="center"/>
          </w:tcPr>
          <w:p w14:paraId="1281A24C">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超标倍数</w:t>
            </w:r>
          </w:p>
        </w:tc>
        <w:tc>
          <w:tcPr>
            <w:tcW w:w="714" w:type="pct"/>
            <w:noWrap/>
            <w:vAlign w:val="center"/>
          </w:tcPr>
          <w:p w14:paraId="7FA66BD9">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1A3A4AF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276A33DB">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2.50</w:t>
            </w:r>
          </w:p>
        </w:tc>
        <w:tc>
          <w:tcPr>
            <w:tcW w:w="714" w:type="pct"/>
            <w:noWrap/>
            <w:vAlign w:val="center"/>
          </w:tcPr>
          <w:p w14:paraId="38726303">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0.81</w:t>
            </w:r>
          </w:p>
        </w:tc>
      </w:tr>
      <w:tr w14:paraId="2A14CDB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restart"/>
            <w:vAlign w:val="center"/>
          </w:tcPr>
          <w:p w14:paraId="385914BC">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下游16400m</w:t>
            </w:r>
          </w:p>
          <w:p w14:paraId="41158F7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（文涝路省控断面）</w:t>
            </w:r>
          </w:p>
        </w:tc>
        <w:tc>
          <w:tcPr>
            <w:tcW w:w="1687" w:type="dxa"/>
            <w:vAlign w:val="center"/>
          </w:tcPr>
          <w:p w14:paraId="68258C5E">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预测结果</w:t>
            </w:r>
          </w:p>
        </w:tc>
        <w:tc>
          <w:tcPr>
            <w:tcW w:w="714" w:type="pct"/>
            <w:noWrap/>
            <w:vAlign w:val="center"/>
          </w:tcPr>
          <w:p w14:paraId="462C893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11.85</w:t>
            </w:r>
          </w:p>
        </w:tc>
        <w:tc>
          <w:tcPr>
            <w:tcW w:w="714" w:type="pct"/>
            <w:noWrap/>
            <w:vAlign w:val="center"/>
          </w:tcPr>
          <w:p w14:paraId="03A868B8">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0.52</w:t>
            </w:r>
          </w:p>
        </w:tc>
        <w:tc>
          <w:tcPr>
            <w:tcW w:w="714" w:type="pct"/>
            <w:noWrap/>
            <w:vAlign w:val="center"/>
          </w:tcPr>
          <w:p w14:paraId="2A7FF20D">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88.26</w:t>
            </w:r>
          </w:p>
        </w:tc>
        <w:tc>
          <w:tcPr>
            <w:tcW w:w="714" w:type="pct"/>
            <w:noWrap/>
            <w:vAlign w:val="center"/>
          </w:tcPr>
          <w:p w14:paraId="4E5CF41F">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2.20</w:t>
            </w:r>
          </w:p>
        </w:tc>
      </w:tr>
      <w:tr w14:paraId="3F0D89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1205" w:type="pct"/>
            <w:vMerge w:val="continue"/>
            <w:vAlign w:val="center"/>
          </w:tcPr>
          <w:p w14:paraId="0F7E2691">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p>
        </w:tc>
        <w:tc>
          <w:tcPr>
            <w:tcW w:w="1687" w:type="dxa"/>
            <w:vAlign w:val="center"/>
          </w:tcPr>
          <w:p w14:paraId="757C9968">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超标倍数</w:t>
            </w:r>
          </w:p>
        </w:tc>
        <w:tc>
          <w:tcPr>
            <w:tcW w:w="714" w:type="pct"/>
            <w:noWrap/>
            <w:vAlign w:val="center"/>
          </w:tcPr>
          <w:p w14:paraId="37FC34B2">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2CB40352">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w:t>
            </w:r>
          </w:p>
        </w:tc>
        <w:tc>
          <w:tcPr>
            <w:tcW w:w="714" w:type="pct"/>
            <w:noWrap/>
            <w:vAlign w:val="center"/>
          </w:tcPr>
          <w:p w14:paraId="5F6D4A79">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1.94</w:t>
            </w:r>
          </w:p>
        </w:tc>
        <w:tc>
          <w:tcPr>
            <w:tcW w:w="714" w:type="pct"/>
            <w:noWrap/>
            <w:vAlign w:val="center"/>
          </w:tcPr>
          <w:p w14:paraId="244C1119">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0.47</w:t>
            </w:r>
          </w:p>
        </w:tc>
      </w:tr>
      <w:tr w14:paraId="7D4BE9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42" w:type="pct"/>
            <w:gridSpan w:val="2"/>
            <w:vAlign w:val="center"/>
          </w:tcPr>
          <w:p w14:paraId="21AE0B0E">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地表水IV类标准限值（mg/L）</w:t>
            </w:r>
          </w:p>
        </w:tc>
        <w:tc>
          <w:tcPr>
            <w:tcW w:w="714" w:type="pct"/>
            <w:noWrap/>
            <w:vAlign w:val="center"/>
          </w:tcPr>
          <w:p w14:paraId="4DADB9AE">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30</w:t>
            </w:r>
          </w:p>
        </w:tc>
        <w:tc>
          <w:tcPr>
            <w:tcW w:w="714" w:type="pct"/>
            <w:noWrap/>
            <w:vAlign w:val="center"/>
          </w:tcPr>
          <w:p w14:paraId="3406BF96">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w:t>
            </w:r>
          </w:p>
        </w:tc>
        <w:tc>
          <w:tcPr>
            <w:tcW w:w="714" w:type="pct"/>
            <w:noWrap/>
            <w:vAlign w:val="center"/>
          </w:tcPr>
          <w:p w14:paraId="04ECD631">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30</w:t>
            </w:r>
          </w:p>
        </w:tc>
        <w:tc>
          <w:tcPr>
            <w:tcW w:w="714" w:type="pct"/>
            <w:noWrap/>
            <w:vAlign w:val="center"/>
          </w:tcPr>
          <w:p w14:paraId="18950AA6">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1.5</w:t>
            </w:r>
          </w:p>
        </w:tc>
      </w:tr>
      <w:tr w14:paraId="7AF52E6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2142" w:type="pct"/>
            <w:gridSpan w:val="2"/>
            <w:vAlign w:val="center"/>
          </w:tcPr>
          <w:p w14:paraId="786C842F">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安全余量（8%水环境质量标准）</w:t>
            </w:r>
          </w:p>
        </w:tc>
        <w:tc>
          <w:tcPr>
            <w:tcW w:w="714" w:type="pct"/>
            <w:noWrap/>
            <w:vAlign w:val="center"/>
          </w:tcPr>
          <w:p w14:paraId="48FE4EBB">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2.4</w:t>
            </w:r>
          </w:p>
        </w:tc>
        <w:tc>
          <w:tcPr>
            <w:tcW w:w="714" w:type="pct"/>
            <w:noWrap/>
            <w:vAlign w:val="center"/>
          </w:tcPr>
          <w:p w14:paraId="26C2D537">
            <w:pPr>
              <w:keepNext w:val="0"/>
              <w:keepLines w:val="0"/>
              <w:pageBreakBefore w:val="0"/>
              <w:kinsoku/>
              <w:wordWrap/>
              <w:overflowPunct/>
              <w:topLinePunct w:val="0"/>
              <w:autoSpaceDE/>
              <w:autoSpaceDN/>
              <w:bidi w:val="0"/>
              <w:adjustRightInd/>
              <w:spacing w:line="240" w:lineRule="auto"/>
              <w:ind w:left="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0.12</w:t>
            </w:r>
          </w:p>
        </w:tc>
        <w:tc>
          <w:tcPr>
            <w:tcW w:w="714" w:type="pct"/>
            <w:noWrap/>
            <w:vAlign w:val="center"/>
          </w:tcPr>
          <w:p w14:paraId="67D40F06">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2.4</w:t>
            </w:r>
          </w:p>
        </w:tc>
        <w:tc>
          <w:tcPr>
            <w:tcW w:w="714" w:type="pct"/>
            <w:noWrap/>
            <w:vAlign w:val="center"/>
          </w:tcPr>
          <w:p w14:paraId="5389AA5C">
            <w:pPr>
              <w:keepNext w:val="0"/>
              <w:keepLines w:val="0"/>
              <w:pageBreakBefore w:val="0"/>
              <w:kinsoku/>
              <w:wordWrap/>
              <w:overflowPunct/>
              <w:topLinePunct w:val="0"/>
              <w:autoSpaceDE/>
              <w:autoSpaceDN/>
              <w:bidi w:val="0"/>
              <w:adjustRightInd/>
              <w:spacing w:line="240" w:lineRule="auto"/>
              <w:ind w:left="420" w:leftChars="0" w:hanging="420" w:hangingChars="20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0.12</w:t>
            </w:r>
          </w:p>
        </w:tc>
      </w:tr>
    </w:tbl>
    <w:p w14:paraId="31AAE9B3">
      <w:pPr>
        <w:pStyle w:val="46"/>
        <w:ind w:firstLine="480"/>
        <w:rPr>
          <w:rFonts w:hint="eastAsia" w:eastAsia="宋体"/>
          <w:color w:val="auto"/>
          <w:sz w:val="24"/>
          <w:lang w:eastAsia="zh-CN"/>
        </w:rPr>
      </w:pPr>
      <w:r>
        <w:rPr>
          <w:rFonts w:hint="eastAsia" w:eastAsia="宋体"/>
          <w:color w:val="auto"/>
          <w:sz w:val="24"/>
          <w:lang w:eastAsia="zh-CN"/>
        </w:rPr>
        <w:t>（4）地表水环境影响评价结论</w:t>
      </w:r>
    </w:p>
    <w:p w14:paraId="7B8CBFFE">
      <w:pPr>
        <w:pStyle w:val="46"/>
        <w:ind w:firstLine="480"/>
        <w:rPr>
          <w:rFonts w:hint="eastAsia" w:eastAsia="宋体"/>
          <w:color w:val="auto"/>
          <w:sz w:val="24"/>
          <w:lang w:eastAsia="zh-CN"/>
        </w:rPr>
      </w:pPr>
      <w:r>
        <w:rPr>
          <w:rFonts w:hint="eastAsia" w:eastAsia="宋体"/>
          <w:color w:val="auto"/>
          <w:sz w:val="24"/>
          <w:lang w:eastAsia="zh-CN"/>
        </w:rPr>
        <w:t>1）正常工况</w:t>
      </w:r>
    </w:p>
    <w:p w14:paraId="0475AECF">
      <w:pPr>
        <w:pStyle w:val="46"/>
        <w:ind w:firstLine="480"/>
        <w:rPr>
          <w:rFonts w:hint="eastAsia" w:eastAsia="宋体"/>
          <w:color w:val="auto"/>
          <w:sz w:val="24"/>
          <w:lang w:eastAsia="zh-CN"/>
        </w:rPr>
      </w:pPr>
      <w:r>
        <w:rPr>
          <w:rFonts w:hint="eastAsia" w:eastAsia="宋体"/>
          <w:color w:val="auto"/>
          <w:sz w:val="24"/>
          <w:lang w:eastAsia="zh-CN"/>
        </w:rPr>
        <w:t>①对新河地表水水体的影响</w:t>
      </w:r>
    </w:p>
    <w:p w14:paraId="21D949AD">
      <w:pPr>
        <w:pStyle w:val="46"/>
        <w:ind w:firstLine="480"/>
        <w:rPr>
          <w:rFonts w:hint="eastAsia" w:eastAsia="宋体"/>
          <w:color w:val="auto"/>
          <w:sz w:val="24"/>
          <w:lang w:eastAsia="zh-CN"/>
        </w:rPr>
      </w:pPr>
      <w:r>
        <w:rPr>
          <w:rFonts w:hint="eastAsia" w:eastAsia="宋体"/>
          <w:color w:val="auto"/>
          <w:sz w:val="24"/>
          <w:lang w:eastAsia="zh-CN"/>
        </w:rPr>
        <w:t>根据预测结果可知，项目污水按工艺处理达标后的</w:t>
      </w:r>
      <w:r>
        <w:rPr>
          <w:rFonts w:hint="eastAsia" w:eastAsia="宋体"/>
          <w:color w:val="auto"/>
          <w:sz w:val="24"/>
          <w:lang w:val="en-US" w:eastAsia="zh-CN"/>
        </w:rPr>
        <w:t>综合废水</w:t>
      </w:r>
      <w:r>
        <w:rPr>
          <w:rFonts w:hint="eastAsia" w:eastAsia="宋体"/>
          <w:color w:val="auto"/>
          <w:sz w:val="24"/>
          <w:lang w:eastAsia="zh-CN"/>
        </w:rPr>
        <w:t>排入受纳水体新河，经新河混合、稀释、净化后，入河排放口下游各断面COD、NH</w:t>
      </w:r>
      <w:r>
        <w:rPr>
          <w:rFonts w:hint="eastAsia" w:eastAsia="宋体"/>
          <w:color w:val="auto"/>
          <w:sz w:val="24"/>
          <w:vertAlign w:val="subscript"/>
          <w:lang w:eastAsia="zh-CN"/>
        </w:rPr>
        <w:t>3</w:t>
      </w:r>
      <w:r>
        <w:rPr>
          <w:rFonts w:hint="eastAsia" w:eastAsia="宋体"/>
          <w:color w:val="auto"/>
          <w:sz w:val="24"/>
          <w:lang w:eastAsia="zh-CN"/>
        </w:rPr>
        <w:t>-N的浓度均可满足《地表水环境质量标准》（GB3838~2002）中IV类水质标准（COD≤30mg/L、NH</w:t>
      </w:r>
      <w:r>
        <w:rPr>
          <w:rFonts w:hint="eastAsia" w:eastAsia="宋体"/>
          <w:color w:val="auto"/>
          <w:sz w:val="24"/>
          <w:vertAlign w:val="subscript"/>
          <w:lang w:eastAsia="zh-CN"/>
        </w:rPr>
        <w:t>3</w:t>
      </w:r>
      <w:r>
        <w:rPr>
          <w:rFonts w:hint="eastAsia" w:eastAsia="宋体"/>
          <w:color w:val="auto"/>
          <w:sz w:val="24"/>
          <w:lang w:eastAsia="zh-CN"/>
        </w:rPr>
        <w:t>-N≤1.5mg/L），说明项目正常排放情况对地表水的影响在可接受范围内，满足水环境功能区划要求，对新河的影响较小。</w:t>
      </w:r>
    </w:p>
    <w:p w14:paraId="4472913C">
      <w:pPr>
        <w:pStyle w:val="46"/>
        <w:ind w:firstLine="480"/>
        <w:rPr>
          <w:rFonts w:hint="eastAsia" w:eastAsia="宋体"/>
          <w:color w:val="auto"/>
          <w:sz w:val="24"/>
          <w:lang w:eastAsia="zh-CN"/>
        </w:rPr>
      </w:pPr>
      <w:r>
        <w:rPr>
          <w:rFonts w:hint="eastAsia" w:eastAsia="宋体"/>
          <w:color w:val="auto"/>
          <w:sz w:val="24"/>
          <w:lang w:eastAsia="zh-CN"/>
        </w:rPr>
        <w:t>②对文涝路省控断面的影响</w:t>
      </w:r>
    </w:p>
    <w:p w14:paraId="20F656D1">
      <w:pPr>
        <w:pStyle w:val="46"/>
        <w:ind w:firstLine="480"/>
        <w:rPr>
          <w:rFonts w:hint="eastAsia" w:eastAsia="宋体"/>
          <w:color w:val="auto"/>
          <w:sz w:val="24"/>
          <w:lang w:eastAsia="zh-CN"/>
        </w:rPr>
      </w:pPr>
      <w:r>
        <w:rPr>
          <w:rFonts w:hint="eastAsia" w:eastAsia="宋体"/>
          <w:color w:val="auto"/>
          <w:sz w:val="24"/>
          <w:lang w:eastAsia="zh-CN"/>
        </w:rPr>
        <w:t>本项目入河排放口下游16.4km处为文涝路省控断面，该断面的水质目标为《地表水环境质量标准》的IV类水质标准（COD≤30mg/L、NH</w:t>
      </w:r>
      <w:r>
        <w:rPr>
          <w:rFonts w:hint="eastAsia" w:eastAsia="宋体"/>
          <w:color w:val="auto"/>
          <w:sz w:val="24"/>
          <w:vertAlign w:val="subscript"/>
          <w:lang w:eastAsia="zh-CN"/>
        </w:rPr>
        <w:t>3</w:t>
      </w:r>
      <w:r>
        <w:rPr>
          <w:rFonts w:hint="eastAsia" w:eastAsia="宋体"/>
          <w:color w:val="auto"/>
          <w:sz w:val="24"/>
          <w:lang w:eastAsia="zh-CN"/>
        </w:rPr>
        <w:t>-N≤1.5mg/L），由预测结果可知，该断面预测结果均满足IV类水质标准要求，因此正常排放情况对省控断面的影响在可接受范围内，满足省控断面水环境功能区划要求。</w:t>
      </w:r>
    </w:p>
    <w:p w14:paraId="241E2238">
      <w:pPr>
        <w:pStyle w:val="46"/>
        <w:ind w:firstLine="480"/>
        <w:rPr>
          <w:rFonts w:hint="eastAsia" w:eastAsia="宋体"/>
          <w:color w:val="auto"/>
          <w:sz w:val="24"/>
          <w:lang w:eastAsia="zh-CN"/>
        </w:rPr>
      </w:pPr>
      <w:r>
        <w:rPr>
          <w:rFonts w:hint="eastAsia" w:eastAsia="宋体"/>
          <w:color w:val="auto"/>
          <w:sz w:val="24"/>
          <w:lang w:eastAsia="zh-CN"/>
        </w:rPr>
        <w:t>2）非正常工况</w:t>
      </w:r>
    </w:p>
    <w:p w14:paraId="621EC57A">
      <w:pPr>
        <w:pStyle w:val="46"/>
        <w:ind w:firstLine="480"/>
        <w:rPr>
          <w:rFonts w:hint="eastAsia" w:eastAsia="宋体"/>
          <w:color w:val="auto"/>
          <w:sz w:val="24"/>
          <w:lang w:eastAsia="zh-CN"/>
        </w:rPr>
      </w:pPr>
      <w:r>
        <w:rPr>
          <w:rFonts w:hint="eastAsia" w:eastAsia="宋体"/>
          <w:color w:val="auto"/>
          <w:sz w:val="24"/>
          <w:lang w:eastAsia="zh-CN"/>
        </w:rPr>
        <w:t>①对新河地表水水体的影响</w:t>
      </w:r>
    </w:p>
    <w:p w14:paraId="550DBA60">
      <w:pPr>
        <w:pStyle w:val="46"/>
        <w:ind w:firstLine="480"/>
        <w:rPr>
          <w:rFonts w:hint="eastAsia" w:eastAsia="宋体"/>
          <w:color w:val="auto"/>
          <w:sz w:val="24"/>
          <w:lang w:eastAsia="zh-CN"/>
        </w:rPr>
      </w:pPr>
      <w:r>
        <w:rPr>
          <w:rFonts w:hint="eastAsia" w:eastAsia="宋体"/>
          <w:color w:val="auto"/>
          <w:sz w:val="24"/>
          <w:lang w:eastAsia="zh-CN"/>
        </w:rPr>
        <w:t>根据预测结果可知，非正常排放情况下，COD和NH</w:t>
      </w:r>
      <w:r>
        <w:rPr>
          <w:rFonts w:hint="eastAsia" w:eastAsia="宋体"/>
          <w:color w:val="auto"/>
          <w:sz w:val="24"/>
          <w:vertAlign w:val="subscript"/>
          <w:lang w:eastAsia="zh-CN"/>
        </w:rPr>
        <w:t>3</w:t>
      </w:r>
      <w:r>
        <w:rPr>
          <w:rFonts w:hint="eastAsia" w:eastAsia="宋体"/>
          <w:color w:val="auto"/>
          <w:sz w:val="24"/>
          <w:lang w:eastAsia="zh-CN"/>
        </w:rPr>
        <w:t>-N在下游质量浓度不能满足《地表水环境质量标准》（GB3838~2002）中IV类水质标准；说明项目非正常排放情况对新河地表水的影响范围较大。</w:t>
      </w:r>
    </w:p>
    <w:p w14:paraId="3A4F0335">
      <w:pPr>
        <w:pStyle w:val="46"/>
        <w:ind w:firstLine="480"/>
        <w:rPr>
          <w:rFonts w:hint="eastAsia" w:eastAsia="宋体"/>
          <w:color w:val="auto"/>
          <w:sz w:val="24"/>
          <w:lang w:eastAsia="zh-CN"/>
        </w:rPr>
      </w:pPr>
      <w:r>
        <w:rPr>
          <w:rFonts w:hint="eastAsia" w:eastAsia="宋体"/>
          <w:color w:val="auto"/>
          <w:sz w:val="24"/>
          <w:lang w:eastAsia="zh-CN"/>
        </w:rPr>
        <w:t>②对文涝路省控断面的影响</w:t>
      </w:r>
    </w:p>
    <w:p w14:paraId="2D356D9C">
      <w:pPr>
        <w:pStyle w:val="46"/>
        <w:ind w:firstLine="480"/>
        <w:rPr>
          <w:rFonts w:hint="eastAsia" w:eastAsia="宋体"/>
          <w:color w:val="auto"/>
          <w:sz w:val="24"/>
          <w:lang w:eastAsia="zh-CN"/>
        </w:rPr>
      </w:pPr>
      <w:r>
        <w:rPr>
          <w:rFonts w:hint="eastAsia" w:eastAsia="宋体"/>
          <w:color w:val="auto"/>
          <w:sz w:val="24"/>
          <w:lang w:eastAsia="zh-CN"/>
        </w:rPr>
        <w:t>非正常排放情况下，该断面COD超标1.94倍、NH</w:t>
      </w:r>
      <w:r>
        <w:rPr>
          <w:rFonts w:hint="eastAsia" w:eastAsia="宋体"/>
          <w:color w:val="auto"/>
          <w:sz w:val="24"/>
          <w:vertAlign w:val="subscript"/>
          <w:lang w:eastAsia="zh-CN"/>
        </w:rPr>
        <w:t>3</w:t>
      </w:r>
      <w:r>
        <w:rPr>
          <w:rFonts w:hint="eastAsia" w:eastAsia="宋体"/>
          <w:color w:val="auto"/>
          <w:sz w:val="24"/>
          <w:lang w:eastAsia="zh-CN"/>
        </w:rPr>
        <w:t>-N超标0.47倍，不满足《地表水环境质量标准》的IV类水质标准要求，因此本项目非正常排放情况对省控断面的影响较大。</w:t>
      </w:r>
    </w:p>
    <w:p w14:paraId="16129796">
      <w:pPr>
        <w:pStyle w:val="46"/>
        <w:ind w:firstLine="480"/>
        <w:rPr>
          <w:rFonts w:hint="eastAsia" w:eastAsia="宋体"/>
          <w:color w:val="auto"/>
          <w:sz w:val="24"/>
          <w:lang w:eastAsia="zh-CN"/>
        </w:rPr>
      </w:pPr>
      <w:r>
        <w:rPr>
          <w:rFonts w:hint="eastAsia" w:eastAsia="宋体"/>
          <w:color w:val="auto"/>
          <w:sz w:val="24"/>
          <w:lang w:eastAsia="zh-CN"/>
        </w:rPr>
        <w:t>3）地表水环境质量要求</w:t>
      </w:r>
    </w:p>
    <w:p w14:paraId="63924ED0">
      <w:pPr>
        <w:pStyle w:val="46"/>
        <w:ind w:firstLine="480"/>
        <w:rPr>
          <w:rFonts w:hint="eastAsia" w:eastAsia="宋体"/>
          <w:color w:val="auto"/>
          <w:sz w:val="24"/>
          <w:lang w:eastAsia="zh-CN"/>
        </w:rPr>
      </w:pPr>
      <w:r>
        <w:rPr>
          <w:rFonts w:hint="eastAsia" w:eastAsia="宋体"/>
          <w:color w:val="auto"/>
          <w:sz w:val="24"/>
          <w:lang w:eastAsia="zh-CN"/>
        </w:rPr>
        <w:t>根据地表水导则要求，污染物直接排放需遵循地表水环境质量底线要求，主要污染物需预留必要的安全余量，本项目受纳水体为IV类，因此安全余量不低于环境质量标准的8%。根据预测可知，入河排污口下游各断面均满足安全余量的要求，满足地表水环境质量底线要求。</w:t>
      </w:r>
    </w:p>
    <w:p w14:paraId="5CEB317D">
      <w:pPr>
        <w:pStyle w:val="46"/>
        <w:ind w:firstLine="480"/>
        <w:rPr>
          <w:rFonts w:hint="eastAsia" w:eastAsia="宋体"/>
          <w:color w:val="auto"/>
          <w:sz w:val="24"/>
          <w:lang w:eastAsia="zh-CN"/>
        </w:rPr>
      </w:pPr>
      <w:r>
        <w:rPr>
          <w:rFonts w:hint="eastAsia" w:eastAsia="宋体"/>
          <w:color w:val="auto"/>
          <w:sz w:val="24"/>
          <w:lang w:eastAsia="zh-CN"/>
        </w:rPr>
        <w:t>综上可知，本项目</w:t>
      </w:r>
      <w:r>
        <w:rPr>
          <w:rFonts w:hint="eastAsia" w:eastAsia="宋体"/>
          <w:color w:val="auto"/>
          <w:sz w:val="24"/>
          <w:lang w:val="en-US" w:eastAsia="zh-CN"/>
        </w:rPr>
        <w:t>综合废水</w:t>
      </w:r>
      <w:r>
        <w:rPr>
          <w:rFonts w:hint="eastAsia" w:eastAsia="宋体"/>
          <w:color w:val="auto"/>
          <w:sz w:val="24"/>
          <w:lang w:eastAsia="zh-CN"/>
        </w:rPr>
        <w:t>正常排放对地表水环境影响较小，非正常工况下，对地表水水质、省控断面的影响非常大，建设单位在管理中，应加强对污水处理站的日常维护，确保设备设施运转正常，避免事故状态的发生，采用双路供电，污水处理关键设备均应有备用设备，一旦设备发生故障，应尽快启动备用设备，防止污水处理站停运。杜绝超标废水外排，以确保下游新河水环境质量。</w:t>
      </w:r>
    </w:p>
    <w:p w14:paraId="7B9E5077">
      <w:pPr>
        <w:pStyle w:val="57"/>
        <w:numPr>
          <w:ilvl w:val="0"/>
          <w:numId w:val="0"/>
        </w:numPr>
        <w:spacing w:before="156" w:beforeLines="50" w:after="156" w:afterLines="50"/>
        <w:rPr>
          <w:rFonts w:eastAsia="宋体"/>
          <w:color w:val="auto"/>
          <w:sz w:val="30"/>
        </w:rPr>
      </w:pPr>
      <w:bookmarkStart w:id="52" w:name="_Toc18183"/>
      <w:r>
        <w:rPr>
          <w:rFonts w:eastAsia="宋体"/>
          <w:color w:val="auto"/>
          <w:sz w:val="30"/>
        </w:rPr>
        <w:t>5</w:t>
      </w:r>
      <w:r>
        <w:rPr>
          <w:rFonts w:hint="eastAsia" w:eastAsia="宋体"/>
          <w:color w:val="auto"/>
          <w:sz w:val="30"/>
        </w:rPr>
        <w:t>.</w:t>
      </w:r>
      <w:r>
        <w:rPr>
          <w:rFonts w:hint="eastAsia" w:eastAsia="宋体"/>
          <w:color w:val="auto"/>
          <w:sz w:val="30"/>
          <w:lang w:val="en-US" w:eastAsia="zh-CN"/>
        </w:rPr>
        <w:t>3</w:t>
      </w:r>
      <w:r>
        <w:rPr>
          <w:rFonts w:hint="eastAsia" w:eastAsia="宋体"/>
          <w:color w:val="auto"/>
          <w:sz w:val="30"/>
        </w:rPr>
        <w:t>对水生态的影响分析</w:t>
      </w:r>
      <w:bookmarkEnd w:id="52"/>
    </w:p>
    <w:p w14:paraId="441CEA66">
      <w:pPr>
        <w:pStyle w:val="61"/>
        <w:numPr>
          <w:ilvl w:val="0"/>
          <w:numId w:val="0"/>
        </w:numPr>
        <w:spacing w:before="0" w:after="0"/>
        <w:rPr>
          <w:rFonts w:eastAsia="宋体"/>
          <w:color w:val="auto"/>
        </w:rPr>
      </w:pPr>
      <w:r>
        <w:rPr>
          <w:rFonts w:eastAsia="宋体"/>
          <w:color w:val="auto"/>
        </w:rPr>
        <w:t>5.3.1</w:t>
      </w:r>
      <w:r>
        <w:rPr>
          <w:rFonts w:hint="eastAsia" w:eastAsia="宋体"/>
          <w:color w:val="auto"/>
        </w:rPr>
        <w:t>纳污水域水生态现状</w:t>
      </w:r>
    </w:p>
    <w:p w14:paraId="36E3C5D5">
      <w:pPr>
        <w:spacing w:line="500" w:lineRule="exact"/>
        <w:ind w:firstLine="480" w:firstLineChars="200"/>
        <w:rPr>
          <w:rFonts w:hint="eastAsia" w:eastAsia="宋体"/>
          <w:color w:val="auto"/>
          <w:sz w:val="24"/>
        </w:rPr>
      </w:pPr>
      <w:r>
        <w:rPr>
          <w:rFonts w:hint="eastAsia" w:eastAsia="宋体"/>
          <w:color w:val="auto"/>
          <w:sz w:val="24"/>
        </w:rPr>
        <w:t>新河是渭河右岸的一级支流，也是19条西安市市级重点河流之一，发源于秦岭北麓，自南向北流经鄠邑区4个镇街后流入西咸新区沣西新城，因历史原因，新河及其支流长期承担着鄠邑区铁路以东城区及余下地区的排污及排涝功能。根据现场走访调查，新河主要接纳沿线鄠邑区4个镇街的雨水，及沿线西安北方惠安化学工业有限公司、石井镇蔡家坡村污水处理厂、鄠邑区第</w:t>
      </w:r>
      <w:r>
        <w:rPr>
          <w:rFonts w:hint="eastAsia"/>
          <w:color w:val="auto"/>
          <w:sz w:val="24"/>
          <w:lang w:val="en-US" w:eastAsia="zh-CN"/>
        </w:rPr>
        <w:t>三</w:t>
      </w:r>
      <w:r>
        <w:rPr>
          <w:rFonts w:hint="eastAsia" w:eastAsia="宋体"/>
          <w:color w:val="auto"/>
          <w:sz w:val="24"/>
        </w:rPr>
        <w:t>污水处理厂、西安国维淀粉有限责任公司等4座污水处理厂（站）尾水及超溢退水，承担着沿线镇街的排污功能，河道内基本无天然的动植物生态系统。</w:t>
      </w:r>
    </w:p>
    <w:p w14:paraId="46550576">
      <w:pPr>
        <w:spacing w:line="500" w:lineRule="exact"/>
        <w:ind w:firstLine="480" w:firstLineChars="200"/>
        <w:rPr>
          <w:rFonts w:hint="eastAsia" w:eastAsia="宋体"/>
          <w:color w:val="auto"/>
          <w:sz w:val="24"/>
        </w:rPr>
      </w:pPr>
      <w:r>
        <w:rPr>
          <w:rFonts w:hint="eastAsia" w:eastAsia="宋体"/>
          <w:color w:val="auto"/>
          <w:sz w:val="24"/>
        </w:rPr>
        <w:t>根据环境影响评价报告及现场实地调查，论证范围内无国家级保护的野生植物、无国家级保护动物和濒危级保护动物、无集中式饮用水源地、无其他大型工业取水口、无渔业养殖等重要取用水方、无风景名胜区、无自然保护区等敏感保护目标。</w:t>
      </w:r>
    </w:p>
    <w:p w14:paraId="5D29CC58">
      <w:pPr>
        <w:pStyle w:val="61"/>
        <w:numPr>
          <w:ilvl w:val="0"/>
          <w:numId w:val="0"/>
        </w:numPr>
        <w:spacing w:before="0" w:after="0"/>
        <w:rPr>
          <w:rFonts w:eastAsia="宋体"/>
          <w:color w:val="auto"/>
        </w:rPr>
      </w:pPr>
      <w:r>
        <w:rPr>
          <w:rFonts w:eastAsia="宋体"/>
          <w:color w:val="auto"/>
        </w:rPr>
        <w:t>5.3.</w:t>
      </w:r>
      <w:r>
        <w:rPr>
          <w:rFonts w:hint="eastAsia" w:eastAsia="宋体"/>
          <w:color w:val="auto"/>
          <w:lang w:val="en-US" w:eastAsia="zh-CN"/>
        </w:rPr>
        <w:t>2</w:t>
      </w:r>
      <w:r>
        <w:rPr>
          <w:rFonts w:hint="eastAsia" w:eastAsia="宋体"/>
          <w:color w:val="auto"/>
        </w:rPr>
        <w:t>对水生态的影响</w:t>
      </w:r>
    </w:p>
    <w:p w14:paraId="7A9C0D87">
      <w:pPr>
        <w:spacing w:line="500" w:lineRule="exact"/>
        <w:ind w:firstLine="480" w:firstLineChars="200"/>
        <w:rPr>
          <w:rFonts w:eastAsia="宋体"/>
          <w:color w:val="auto"/>
          <w:sz w:val="24"/>
        </w:rPr>
      </w:pPr>
      <w:r>
        <w:rPr>
          <w:rFonts w:hint="eastAsia"/>
          <w:color w:val="auto"/>
          <w:sz w:val="24"/>
          <w:lang w:val="en-US" w:eastAsia="zh-CN"/>
        </w:rPr>
        <w:t>本项目</w:t>
      </w:r>
      <w:r>
        <w:rPr>
          <w:rFonts w:hint="eastAsia" w:eastAsia="宋体"/>
          <w:color w:val="auto"/>
          <w:sz w:val="24"/>
        </w:rPr>
        <w:t>排污入新河排污控制区，于新河文涝路出鄠邑区，最终于西咸新区沣西新城流入渭河。经预测，到本论证入河排污口下游</w:t>
      </w:r>
      <w:r>
        <w:rPr>
          <w:rFonts w:hint="eastAsia"/>
          <w:color w:val="auto"/>
          <w:sz w:val="24"/>
          <w:lang w:val="en-US" w:eastAsia="zh-CN"/>
        </w:rPr>
        <w:t>16.4</w:t>
      </w:r>
      <w:r>
        <w:rPr>
          <w:rFonts w:hint="eastAsia" w:eastAsia="宋体"/>
          <w:color w:val="auto"/>
          <w:sz w:val="24"/>
        </w:rPr>
        <w:t>km的新河文涝路断面（省控断面，本论证范围终止断面）处均满足《地表水环境质量标准》（GB3838-2002）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类标准限值，满足水功能区划目标要求，同时</w:t>
      </w:r>
      <w:r>
        <w:rPr>
          <w:rFonts w:hint="eastAsia"/>
          <w:color w:val="auto"/>
          <w:sz w:val="24"/>
          <w:lang w:val="en-US" w:eastAsia="zh-CN"/>
        </w:rPr>
        <w:t>水厂</w:t>
      </w:r>
      <w:r>
        <w:rPr>
          <w:rFonts w:hint="eastAsia" w:eastAsia="宋体"/>
          <w:color w:val="auto"/>
          <w:sz w:val="24"/>
        </w:rPr>
        <w:t>出水增加河流枯水期的流量，可进一步改善新河水生生态环境。</w:t>
      </w:r>
      <w:bookmarkEnd w:id="47"/>
      <w:bookmarkEnd w:id="48"/>
    </w:p>
    <w:p w14:paraId="6B6810BD">
      <w:pPr>
        <w:pStyle w:val="57"/>
        <w:numPr>
          <w:ilvl w:val="0"/>
          <w:numId w:val="0"/>
        </w:numPr>
        <w:spacing w:before="156" w:beforeLines="50" w:after="156" w:afterLines="50"/>
        <w:rPr>
          <w:rFonts w:eastAsia="宋体"/>
          <w:color w:val="auto"/>
          <w:sz w:val="30"/>
        </w:rPr>
      </w:pPr>
      <w:bookmarkStart w:id="53" w:name="_Toc13636"/>
      <w:r>
        <w:rPr>
          <w:rFonts w:eastAsia="宋体"/>
          <w:color w:val="auto"/>
          <w:sz w:val="30"/>
        </w:rPr>
        <w:t>5.</w:t>
      </w:r>
      <w:r>
        <w:rPr>
          <w:rFonts w:hint="eastAsia" w:eastAsia="宋体"/>
          <w:color w:val="auto"/>
          <w:sz w:val="30"/>
          <w:lang w:val="en-US" w:eastAsia="zh-CN"/>
        </w:rPr>
        <w:t>4</w:t>
      </w:r>
      <w:r>
        <w:rPr>
          <w:rFonts w:hint="eastAsia" w:eastAsia="宋体"/>
          <w:color w:val="auto"/>
          <w:sz w:val="30"/>
        </w:rPr>
        <w:t>对地下水影响的分析</w:t>
      </w:r>
      <w:bookmarkEnd w:id="53"/>
    </w:p>
    <w:p w14:paraId="78330FBB">
      <w:pPr>
        <w:pStyle w:val="46"/>
        <w:ind w:firstLine="480"/>
        <w:rPr>
          <w:rFonts w:hint="eastAsia" w:eastAsia="宋体"/>
          <w:color w:val="auto"/>
          <w:sz w:val="24"/>
        </w:rPr>
      </w:pPr>
      <w:bookmarkStart w:id="54" w:name="_Toc512677626"/>
      <w:bookmarkStart w:id="55" w:name="_Hlk38222470"/>
      <w:r>
        <w:rPr>
          <w:rFonts w:hint="eastAsia" w:eastAsia="宋体"/>
          <w:color w:val="auto"/>
          <w:sz w:val="24"/>
        </w:rPr>
        <w:t>地下水污染主要指人类活动引起地下水化学成分、物理性质和生物学特性发生改变而使质量下降的现象，地下水污染与地表水污染有一些明显的不同：由于污染物进入含水层，以及在含水层中运动都比较缓慢，污染往往是逐渐发生的，若不进行专门监测，很难及时发觉；发现地下水污染后，确定污染源也不像地表水那么容易。更重要的是地下水污染不易消除。排除污染源之后，地表水可以在较短时期内达到净化；而地下水，即便排除了污染源，已经进入含水层的污染物仍将长期产生不良影响。根据预测结果本论证入河排污口所排污染污物入河后经过衰减浓度迅速下降，评价范围内排污口至新河文涝路断面水质均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w:t>
      </w:r>
    </w:p>
    <w:p w14:paraId="051607DF">
      <w:pPr>
        <w:pStyle w:val="46"/>
        <w:ind w:firstLine="480"/>
        <w:rPr>
          <w:rFonts w:eastAsia="宋体"/>
          <w:color w:val="auto"/>
          <w:sz w:val="24"/>
        </w:rPr>
      </w:pPr>
      <w:r>
        <w:rPr>
          <w:rFonts w:hint="eastAsia" w:eastAsia="宋体"/>
          <w:color w:val="auto"/>
          <w:sz w:val="24"/>
        </w:rPr>
        <w:t>为了将本次论证入河排污口排污对受纳水域的影响降到最低，项目在设计、施工和运行中制定</w:t>
      </w:r>
      <w:r>
        <w:rPr>
          <w:rFonts w:hint="eastAsia" w:eastAsia="宋体"/>
          <w:color w:val="auto"/>
          <w:sz w:val="24"/>
          <w:lang w:eastAsia="zh-CN"/>
        </w:rPr>
        <w:t>了</w:t>
      </w:r>
      <w:r>
        <w:rPr>
          <w:rFonts w:hint="eastAsia" w:eastAsia="宋体"/>
          <w:color w:val="auto"/>
          <w:sz w:val="24"/>
        </w:rPr>
        <w:t>严格的操作制度、检修制度，加强对一线操作人员和维修人员的定期培训，防止滤池堵塞，关键设备（如污水提升泵）需设置备用，防止因突发事件而造成污水处理厂停运。</w:t>
      </w:r>
      <w:bookmarkEnd w:id="54"/>
      <w:bookmarkEnd w:id="55"/>
      <w:bookmarkStart w:id="56" w:name="_Toc512677629"/>
      <w:bookmarkStart w:id="57" w:name="_Toc294555529"/>
      <w:bookmarkStart w:id="58" w:name="_Toc301275625"/>
      <w:r>
        <w:rPr>
          <w:rFonts w:hint="eastAsia" w:eastAsia="宋体"/>
          <w:color w:val="auto"/>
          <w:sz w:val="24"/>
          <w:lang w:val="en-US" w:eastAsia="zh-CN"/>
        </w:rPr>
        <w:t>水</w:t>
      </w:r>
      <w:r>
        <w:rPr>
          <w:rFonts w:hint="eastAsia" w:eastAsia="宋体"/>
          <w:color w:val="auto"/>
          <w:sz w:val="24"/>
        </w:rPr>
        <w:t>厂运行期间，建设单位须做好应急预案和应急措施准备，一旦发生</w:t>
      </w:r>
      <w:r>
        <w:rPr>
          <w:rFonts w:hint="eastAsia" w:eastAsia="宋体"/>
          <w:color w:val="auto"/>
          <w:sz w:val="24"/>
          <w:lang w:val="en-US" w:eastAsia="zh-CN"/>
        </w:rPr>
        <w:t>综合废水</w:t>
      </w:r>
      <w:r>
        <w:rPr>
          <w:rFonts w:hint="eastAsia" w:eastAsia="宋体"/>
          <w:color w:val="auto"/>
          <w:sz w:val="24"/>
        </w:rPr>
        <w:t>事故排放，应立即启动应急预案及应急污染防范措施，降低</w:t>
      </w:r>
      <w:r>
        <w:rPr>
          <w:rFonts w:hint="eastAsia" w:eastAsia="宋体"/>
          <w:color w:val="auto"/>
          <w:sz w:val="24"/>
          <w:lang w:val="en-US" w:eastAsia="zh-CN"/>
        </w:rPr>
        <w:t>综合废水</w:t>
      </w:r>
      <w:r>
        <w:rPr>
          <w:rFonts w:hint="eastAsia" w:eastAsia="宋体"/>
          <w:color w:val="auto"/>
          <w:sz w:val="24"/>
        </w:rPr>
        <w:t>事故排放对周边水环境造成的影响。</w:t>
      </w:r>
    </w:p>
    <w:p w14:paraId="2F3A4CEA">
      <w:pPr>
        <w:pStyle w:val="46"/>
        <w:ind w:firstLine="480"/>
        <w:rPr>
          <w:rFonts w:eastAsia="宋体"/>
          <w:color w:val="auto"/>
          <w:sz w:val="24"/>
        </w:rPr>
      </w:pPr>
    </w:p>
    <w:p w14:paraId="1D8A906D">
      <w:pPr>
        <w:pStyle w:val="46"/>
        <w:ind w:firstLine="480"/>
        <w:rPr>
          <w:rFonts w:eastAsia="宋体"/>
          <w:color w:val="auto"/>
          <w:sz w:val="24"/>
        </w:rPr>
      </w:pPr>
      <w:r>
        <w:rPr>
          <w:rFonts w:eastAsia="宋体"/>
          <w:color w:val="auto"/>
          <w:sz w:val="24"/>
        </w:rPr>
        <w:br w:type="page"/>
      </w:r>
    </w:p>
    <w:bookmarkEnd w:id="56"/>
    <w:bookmarkEnd w:id="57"/>
    <w:bookmarkEnd w:id="58"/>
    <w:p w14:paraId="03B4B3D4">
      <w:pPr>
        <w:pStyle w:val="59"/>
        <w:numPr>
          <w:ilvl w:val="0"/>
          <w:numId w:val="0"/>
        </w:numPr>
        <w:spacing w:before="156" w:after="156"/>
        <w:rPr>
          <w:rFonts w:eastAsia="宋体"/>
          <w:color w:val="auto"/>
          <w:sz w:val="32"/>
        </w:rPr>
      </w:pPr>
      <w:bookmarkStart w:id="59" w:name="_Toc17697"/>
      <w:r>
        <w:rPr>
          <w:rFonts w:eastAsia="宋体"/>
          <w:color w:val="auto"/>
          <w:sz w:val="32"/>
        </w:rPr>
        <w:t>6</w:t>
      </w:r>
      <w:r>
        <w:rPr>
          <w:rFonts w:hint="eastAsia" w:eastAsia="宋体"/>
          <w:color w:val="auto"/>
          <w:sz w:val="32"/>
        </w:rPr>
        <w:t>入河排污口</w:t>
      </w:r>
      <w:r>
        <w:rPr>
          <w:rFonts w:eastAsia="宋体"/>
          <w:color w:val="auto"/>
          <w:sz w:val="32"/>
        </w:rPr>
        <w:t>设置对水生态及第三方环境影响分析</w:t>
      </w:r>
      <w:bookmarkEnd w:id="59"/>
    </w:p>
    <w:p w14:paraId="07739328">
      <w:pPr>
        <w:pStyle w:val="57"/>
        <w:numPr>
          <w:ilvl w:val="0"/>
          <w:numId w:val="0"/>
        </w:numPr>
        <w:spacing w:before="156" w:beforeLines="50" w:after="156" w:afterLines="50"/>
        <w:rPr>
          <w:rFonts w:eastAsia="宋体"/>
          <w:color w:val="auto"/>
          <w:sz w:val="30"/>
        </w:rPr>
      </w:pPr>
      <w:bookmarkStart w:id="60" w:name="_Toc7232"/>
      <w:r>
        <w:rPr>
          <w:rFonts w:eastAsia="宋体"/>
          <w:color w:val="auto"/>
          <w:sz w:val="30"/>
        </w:rPr>
        <w:t>6.1</w:t>
      </w:r>
      <w:r>
        <w:rPr>
          <w:rFonts w:hint="eastAsia" w:eastAsia="宋体"/>
          <w:color w:val="auto"/>
          <w:sz w:val="30"/>
          <w:lang w:val="en-US" w:eastAsia="zh-CN"/>
        </w:rPr>
        <w:t>对水功能区水质目标的影响</w:t>
      </w:r>
      <w:bookmarkEnd w:id="60"/>
    </w:p>
    <w:p w14:paraId="02E2FA84">
      <w:pPr>
        <w:pStyle w:val="46"/>
        <w:ind w:firstLine="480"/>
        <w:rPr>
          <w:rFonts w:hint="eastAsia" w:eastAsia="宋体"/>
          <w:color w:val="auto"/>
          <w:sz w:val="24"/>
        </w:rPr>
      </w:pPr>
      <w:r>
        <w:rPr>
          <w:rFonts w:hint="eastAsia" w:eastAsia="宋体"/>
          <w:color w:val="auto"/>
          <w:sz w:val="24"/>
        </w:rPr>
        <w:t>依据水功能区的划分本项目所处位置为新河排污控制区（水质控制目标为</w:t>
      </w:r>
      <w:r>
        <w:rPr>
          <w:rFonts w:hint="default" w:ascii="Times New Roman" w:hAnsi="Times New Roman" w:eastAsia="宋体" w:cs="Times New Roman"/>
          <w:color w:val="auto"/>
          <w:sz w:val="24"/>
        </w:rPr>
        <w:t>Ⅳ</w:t>
      </w:r>
      <w:r>
        <w:rPr>
          <w:rFonts w:hint="eastAsia" w:eastAsia="宋体"/>
          <w:color w:val="auto"/>
          <w:sz w:val="24"/>
        </w:rPr>
        <w:t>类），主要功能为接纳生活、生产</w:t>
      </w:r>
      <w:r>
        <w:rPr>
          <w:rFonts w:hint="eastAsia" w:eastAsia="宋体"/>
          <w:color w:val="auto"/>
          <w:sz w:val="24"/>
          <w:lang w:val="en-US" w:eastAsia="zh-CN"/>
        </w:rPr>
        <w:t>综合废</w:t>
      </w:r>
      <w:r>
        <w:rPr>
          <w:rFonts w:hint="eastAsia" w:eastAsia="宋体"/>
          <w:color w:val="auto"/>
          <w:sz w:val="24"/>
        </w:rPr>
        <w:t>水，因此本论证范围内水域水质需满足《地表水环境质量标准》（GB3838-2002）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类标准要求。</w:t>
      </w:r>
    </w:p>
    <w:p w14:paraId="4E3FA8F9">
      <w:pPr>
        <w:pStyle w:val="46"/>
        <w:ind w:firstLine="480"/>
        <w:rPr>
          <w:rFonts w:eastAsia="宋体"/>
          <w:color w:val="auto"/>
          <w:sz w:val="24"/>
        </w:rPr>
      </w:pPr>
      <w:r>
        <w:rPr>
          <w:rFonts w:hint="eastAsia" w:eastAsia="宋体"/>
          <w:color w:val="auto"/>
          <w:sz w:val="24"/>
        </w:rPr>
        <w:t>本论证入河排污口排污执行地表水准</w:t>
      </w:r>
      <w:r>
        <w:rPr>
          <w:rFonts w:hint="default" w:ascii="Times New Roman" w:hAnsi="Times New Roman" w:eastAsia="宋体" w:cs="Times New Roman"/>
          <w:color w:val="auto"/>
          <w:sz w:val="24"/>
        </w:rPr>
        <w:t>Ⅳ</w:t>
      </w:r>
      <w:r>
        <w:rPr>
          <w:rFonts w:hint="eastAsia" w:eastAsia="宋体"/>
          <w:color w:val="auto"/>
          <w:sz w:val="24"/>
        </w:rPr>
        <w:t>类标准，经预测本项目</w:t>
      </w:r>
      <w:r>
        <w:rPr>
          <w:rFonts w:hint="eastAsia" w:eastAsia="宋体"/>
          <w:color w:val="auto"/>
          <w:sz w:val="24"/>
          <w:lang w:val="en-US" w:eastAsia="zh-CN"/>
        </w:rPr>
        <w:t>综合废水</w:t>
      </w:r>
      <w:r>
        <w:rPr>
          <w:rFonts w:hint="eastAsia" w:eastAsia="宋体"/>
          <w:color w:val="auto"/>
          <w:sz w:val="24"/>
        </w:rPr>
        <w:t>排入新河后，可达到《地表水环境质量标准》（HJ2.3-2018）中IV类标准，下游</w:t>
      </w:r>
      <w:r>
        <w:rPr>
          <w:rFonts w:hint="eastAsia" w:eastAsia="宋体"/>
          <w:color w:val="auto"/>
          <w:sz w:val="24"/>
          <w:lang w:val="en-US" w:eastAsia="zh-CN"/>
        </w:rPr>
        <w:t>16.4</w:t>
      </w:r>
      <w:r>
        <w:rPr>
          <w:rFonts w:hint="eastAsia" w:eastAsia="宋体"/>
          <w:color w:val="auto"/>
          <w:sz w:val="24"/>
        </w:rPr>
        <w:t>km的新河文涝路断面（省控断面，本论证范围终止断面）处均满足《地表水环境质量标准》（GB3838-2002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类标准限值，对论证范围水体环境影响较小。</w:t>
      </w:r>
    </w:p>
    <w:p w14:paraId="35404491">
      <w:pPr>
        <w:pStyle w:val="57"/>
        <w:numPr>
          <w:ilvl w:val="0"/>
          <w:numId w:val="0"/>
        </w:numPr>
        <w:spacing w:before="156" w:beforeLines="50" w:after="156" w:afterLines="50"/>
        <w:rPr>
          <w:rFonts w:eastAsia="宋体"/>
          <w:color w:val="auto"/>
          <w:sz w:val="30"/>
        </w:rPr>
      </w:pPr>
      <w:bookmarkStart w:id="61" w:name="_Toc32621"/>
      <w:r>
        <w:rPr>
          <w:rFonts w:eastAsia="宋体"/>
          <w:color w:val="auto"/>
          <w:sz w:val="30"/>
        </w:rPr>
        <w:t>6.2</w:t>
      </w:r>
      <w:r>
        <w:rPr>
          <w:rFonts w:hint="eastAsia" w:eastAsia="宋体"/>
          <w:color w:val="auto"/>
          <w:sz w:val="30"/>
        </w:rPr>
        <w:t>对本论证范围内地下水源地和湿地的影响</w:t>
      </w:r>
      <w:bookmarkEnd w:id="61"/>
    </w:p>
    <w:p w14:paraId="582D72F0">
      <w:pPr>
        <w:pStyle w:val="46"/>
        <w:ind w:firstLine="480"/>
        <w:rPr>
          <w:rFonts w:eastAsia="宋体"/>
          <w:color w:val="auto"/>
          <w:sz w:val="24"/>
        </w:rPr>
      </w:pPr>
      <w:r>
        <w:rPr>
          <w:rFonts w:hint="eastAsia" w:eastAsia="宋体"/>
          <w:color w:val="auto"/>
          <w:sz w:val="24"/>
        </w:rPr>
        <w:t>根据走访调查，本次论证范围内无地下水集中式、分散式饮用水源地及其他地下水环境敏感保护目标，不涉及湿地及渔业养殖。</w:t>
      </w:r>
    </w:p>
    <w:p w14:paraId="0238D0B9">
      <w:pPr>
        <w:pStyle w:val="59"/>
        <w:numPr>
          <w:ilvl w:val="0"/>
          <w:numId w:val="0"/>
        </w:numPr>
        <w:spacing w:before="156" w:after="156"/>
        <w:rPr>
          <w:rFonts w:eastAsia="宋体"/>
          <w:color w:val="auto"/>
          <w:sz w:val="32"/>
        </w:rPr>
      </w:pPr>
      <w:bookmarkStart w:id="62" w:name="_Toc26168"/>
      <w:r>
        <w:rPr>
          <w:rFonts w:eastAsia="宋体"/>
          <w:color w:val="auto"/>
          <w:sz w:val="32"/>
        </w:rPr>
        <w:t>7水环境保护措施</w:t>
      </w:r>
      <w:bookmarkEnd w:id="62"/>
    </w:p>
    <w:p w14:paraId="7E5347B0">
      <w:pPr>
        <w:pStyle w:val="57"/>
        <w:numPr>
          <w:ilvl w:val="0"/>
          <w:numId w:val="0"/>
        </w:numPr>
        <w:spacing w:before="156" w:beforeLines="50" w:after="156" w:afterLines="50"/>
        <w:rPr>
          <w:rFonts w:eastAsia="宋体"/>
          <w:color w:val="auto"/>
          <w:sz w:val="30"/>
        </w:rPr>
      </w:pPr>
      <w:bookmarkStart w:id="63" w:name="_Toc25360"/>
      <w:r>
        <w:rPr>
          <w:rFonts w:eastAsia="宋体"/>
          <w:color w:val="auto"/>
          <w:sz w:val="30"/>
        </w:rPr>
        <w:t>7.1</w:t>
      </w:r>
      <w:r>
        <w:rPr>
          <w:rFonts w:hint="eastAsia" w:eastAsia="宋体"/>
          <w:color w:val="auto"/>
          <w:sz w:val="30"/>
        </w:rPr>
        <w:t>常规措施</w:t>
      </w:r>
      <w:bookmarkEnd w:id="63"/>
    </w:p>
    <w:p w14:paraId="33A74206">
      <w:pPr>
        <w:pStyle w:val="46"/>
        <w:ind w:firstLine="480"/>
        <w:rPr>
          <w:rFonts w:eastAsia="宋体"/>
          <w:color w:val="auto"/>
          <w:sz w:val="24"/>
        </w:rPr>
      </w:pPr>
      <w:r>
        <w:rPr>
          <w:rFonts w:hint="eastAsia" w:eastAsia="宋体"/>
          <w:color w:val="auto"/>
          <w:sz w:val="24"/>
          <w:lang w:val="en-US" w:eastAsia="zh-CN"/>
        </w:rPr>
        <w:t>应根据国家的环境保护政策，将水环境的监测作为重要内容。为保护水资源，一是要在工程建设中，确实把环境保护的硬件设施建设好；二是加强水资源保护的宣传，加强水法规定的宣贯，提高企业全员水资源保护的意识，保证工程建成后，环境保护工作能按设计方案运行。</w:t>
      </w:r>
    </w:p>
    <w:p w14:paraId="48A7A4AE">
      <w:pPr>
        <w:pStyle w:val="57"/>
        <w:numPr>
          <w:ilvl w:val="0"/>
          <w:numId w:val="0"/>
        </w:numPr>
        <w:spacing w:before="156" w:beforeLines="50" w:after="156" w:afterLines="50"/>
        <w:rPr>
          <w:rFonts w:eastAsia="宋体"/>
          <w:color w:val="auto"/>
          <w:sz w:val="30"/>
        </w:rPr>
      </w:pPr>
      <w:bookmarkStart w:id="64" w:name="_Toc29264"/>
      <w:r>
        <w:rPr>
          <w:rFonts w:eastAsia="宋体"/>
          <w:color w:val="auto"/>
          <w:sz w:val="30"/>
        </w:rPr>
        <w:t>7.2</w:t>
      </w:r>
      <w:r>
        <w:rPr>
          <w:rFonts w:hint="eastAsia" w:eastAsia="宋体"/>
          <w:color w:val="auto"/>
          <w:sz w:val="30"/>
        </w:rPr>
        <w:t>加强运行管理，确保达标排放</w:t>
      </w:r>
      <w:bookmarkEnd w:id="64"/>
    </w:p>
    <w:p w14:paraId="00F9485E">
      <w:pPr>
        <w:pStyle w:val="61"/>
        <w:numPr>
          <w:ilvl w:val="0"/>
          <w:numId w:val="0"/>
        </w:numPr>
        <w:spacing w:before="0" w:after="0"/>
        <w:rPr>
          <w:rFonts w:eastAsia="宋体"/>
          <w:color w:val="auto"/>
        </w:rPr>
      </w:pPr>
      <w:r>
        <w:rPr>
          <w:rFonts w:eastAsia="宋体"/>
          <w:color w:val="auto"/>
        </w:rPr>
        <w:t>7.2.1</w:t>
      </w:r>
      <w:r>
        <w:rPr>
          <w:rFonts w:hint="eastAsia" w:eastAsia="宋体"/>
          <w:color w:val="auto"/>
        </w:rPr>
        <w:t>管理措施</w:t>
      </w:r>
    </w:p>
    <w:p w14:paraId="1105F08F">
      <w:pPr>
        <w:pStyle w:val="46"/>
        <w:ind w:firstLine="480"/>
        <w:rPr>
          <w:rFonts w:hint="eastAsia" w:eastAsia="宋体"/>
          <w:color w:val="auto"/>
          <w:sz w:val="24"/>
        </w:rPr>
      </w:pPr>
      <w:r>
        <w:rPr>
          <w:rFonts w:hint="eastAsia" w:eastAsia="宋体"/>
          <w:color w:val="auto"/>
          <w:sz w:val="24"/>
        </w:rPr>
        <w:t>环境事件总是伴随着安全事故的发生，安全事故的发生往往是由于管理不善造成的，因此防范环境事件的发生做好安全管理是很重要的。</w:t>
      </w:r>
    </w:p>
    <w:p w14:paraId="350A407B">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1</w:t>
      </w:r>
      <w:r>
        <w:rPr>
          <w:rFonts w:hint="eastAsia" w:eastAsia="宋体"/>
          <w:color w:val="auto"/>
          <w:sz w:val="24"/>
          <w:lang w:eastAsia="zh-CN"/>
        </w:rPr>
        <w:t>）</w:t>
      </w:r>
      <w:r>
        <w:rPr>
          <w:rFonts w:hint="eastAsia" w:eastAsia="宋体"/>
          <w:color w:val="auto"/>
          <w:sz w:val="24"/>
        </w:rPr>
        <w:t>应制定出供正常、异常或紧急状态下的操作手册和维修手册，并对操作、维修人员进行培训，持证上岗，避免因严重操作失误而造成的事故。</w:t>
      </w:r>
    </w:p>
    <w:p w14:paraId="6912ECD1">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2</w:t>
      </w:r>
      <w:r>
        <w:rPr>
          <w:rFonts w:hint="eastAsia" w:eastAsia="宋体"/>
          <w:color w:val="auto"/>
          <w:sz w:val="24"/>
          <w:lang w:eastAsia="zh-CN"/>
        </w:rPr>
        <w:t>）</w:t>
      </w:r>
      <w:r>
        <w:rPr>
          <w:rFonts w:hint="eastAsia" w:eastAsia="宋体"/>
          <w:color w:val="auto"/>
          <w:sz w:val="24"/>
        </w:rPr>
        <w:t>制订应急操作规程，在规程中应说明发生管道事故时应采取的操作步骤，规定抢修进度，减少事故的影响，另外还应说明与管道操作人员有关的安全问题。</w:t>
      </w:r>
    </w:p>
    <w:p w14:paraId="5DA9EEE5">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3</w:t>
      </w:r>
      <w:r>
        <w:rPr>
          <w:rFonts w:hint="eastAsia" w:eastAsia="宋体"/>
          <w:color w:val="auto"/>
          <w:sz w:val="24"/>
          <w:lang w:eastAsia="zh-CN"/>
        </w:rPr>
        <w:t>）</w:t>
      </w:r>
      <w:r>
        <w:rPr>
          <w:rFonts w:hint="eastAsia" w:eastAsia="宋体"/>
          <w:color w:val="auto"/>
          <w:sz w:val="24"/>
        </w:rPr>
        <w:t>定期应进行安全活动，提高职工的安全意识，识别事故发生前的异常状态，并采取相应的措施。</w:t>
      </w:r>
    </w:p>
    <w:p w14:paraId="224C8F5F">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4</w:t>
      </w:r>
      <w:r>
        <w:rPr>
          <w:rFonts w:hint="eastAsia" w:eastAsia="宋体"/>
          <w:color w:val="auto"/>
          <w:sz w:val="24"/>
          <w:lang w:eastAsia="zh-CN"/>
        </w:rPr>
        <w:t>）</w:t>
      </w:r>
      <w:r>
        <w:rPr>
          <w:rFonts w:hint="eastAsia" w:eastAsia="宋体"/>
          <w:color w:val="auto"/>
          <w:sz w:val="24"/>
        </w:rPr>
        <w:t>对站区附近的居民加强宣传，进一步贯彻、落实《危险化学品安全管理条例》，减少、避免发生第三方破坏的事故。</w:t>
      </w:r>
    </w:p>
    <w:p w14:paraId="66CDEACC">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5</w:t>
      </w:r>
      <w:r>
        <w:rPr>
          <w:rFonts w:hint="eastAsia" w:eastAsia="宋体"/>
          <w:color w:val="auto"/>
          <w:sz w:val="24"/>
          <w:lang w:eastAsia="zh-CN"/>
        </w:rPr>
        <w:t>）</w:t>
      </w:r>
      <w:r>
        <w:rPr>
          <w:rFonts w:hint="eastAsia" w:eastAsia="宋体"/>
          <w:color w:val="auto"/>
          <w:sz w:val="24"/>
        </w:rPr>
        <w:t>建立事故应急队伍，配备相应的消防设备，对生产现场和要害部门配置消防器材和安全警示牌，定期举行安全、消防演练，并制定安全应急预案。</w:t>
      </w:r>
    </w:p>
    <w:p w14:paraId="207780C7">
      <w:pPr>
        <w:pStyle w:val="61"/>
        <w:numPr>
          <w:ilvl w:val="0"/>
          <w:numId w:val="0"/>
        </w:numPr>
        <w:spacing w:before="0" w:after="0"/>
        <w:rPr>
          <w:rFonts w:hint="eastAsia" w:eastAsia="宋体"/>
          <w:color w:val="auto"/>
        </w:rPr>
      </w:pPr>
      <w:r>
        <w:rPr>
          <w:rFonts w:eastAsia="宋体"/>
          <w:color w:val="auto"/>
        </w:rPr>
        <w:t>7.2.2</w:t>
      </w:r>
      <w:r>
        <w:rPr>
          <w:rFonts w:hint="eastAsia" w:eastAsia="宋体"/>
          <w:color w:val="auto"/>
        </w:rPr>
        <w:t>监测、监控措施</w:t>
      </w:r>
    </w:p>
    <w:p w14:paraId="56A7AC0B">
      <w:pPr>
        <w:pStyle w:val="46"/>
        <w:ind w:firstLine="480"/>
        <w:rPr>
          <w:rFonts w:hint="eastAsia" w:eastAsia="宋体"/>
          <w:color w:val="auto"/>
          <w:sz w:val="24"/>
        </w:rPr>
      </w:pPr>
      <w:r>
        <w:rPr>
          <w:rFonts w:hint="eastAsia" w:eastAsia="宋体"/>
          <w:color w:val="auto"/>
          <w:sz w:val="24"/>
        </w:rPr>
        <w:t>为了及时发现隐患及初期事件，将事件处置在萌芽和初期状态，本站采用监测技术装置和管理措施，对危险目标实施监控，便于及时发现隐患和初期事件，做到早发现、早报告、早处置。</w:t>
      </w:r>
    </w:p>
    <w:p w14:paraId="440280EB">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1</w:t>
      </w:r>
      <w:r>
        <w:rPr>
          <w:rFonts w:hint="eastAsia" w:eastAsia="宋体"/>
          <w:color w:val="auto"/>
          <w:sz w:val="24"/>
          <w:lang w:eastAsia="zh-CN"/>
        </w:rPr>
        <w:t>）</w:t>
      </w:r>
      <w:r>
        <w:rPr>
          <w:rFonts w:hint="eastAsia" w:eastAsia="宋体"/>
          <w:color w:val="auto"/>
          <w:sz w:val="24"/>
        </w:rPr>
        <w:t>建立危险源管理制度，落实监控措施。</w:t>
      </w:r>
    </w:p>
    <w:p w14:paraId="55862204">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2</w:t>
      </w:r>
      <w:r>
        <w:rPr>
          <w:rFonts w:hint="eastAsia" w:eastAsia="宋体"/>
          <w:color w:val="auto"/>
          <w:sz w:val="24"/>
          <w:lang w:eastAsia="zh-CN"/>
        </w:rPr>
        <w:t>）</w:t>
      </w:r>
      <w:r>
        <w:rPr>
          <w:rFonts w:hint="eastAsia" w:eastAsia="宋体"/>
          <w:color w:val="auto"/>
          <w:sz w:val="24"/>
        </w:rPr>
        <w:t>加氯间装有自动监测装置，泄漏达到一定浓度时可报警。</w:t>
      </w:r>
    </w:p>
    <w:p w14:paraId="11DAA7A4">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3</w:t>
      </w:r>
      <w:r>
        <w:rPr>
          <w:rFonts w:hint="eastAsia" w:eastAsia="宋体"/>
          <w:color w:val="auto"/>
          <w:sz w:val="24"/>
          <w:lang w:eastAsia="zh-CN"/>
        </w:rPr>
        <w:t>）</w:t>
      </w:r>
      <w:r>
        <w:rPr>
          <w:rFonts w:hint="eastAsia" w:eastAsia="宋体"/>
          <w:color w:val="auto"/>
          <w:sz w:val="24"/>
        </w:rPr>
        <w:t>卸车作业实施专人看护，做好交接班记录。</w:t>
      </w:r>
    </w:p>
    <w:p w14:paraId="52AD30B7">
      <w:pPr>
        <w:pStyle w:val="61"/>
        <w:numPr>
          <w:ilvl w:val="0"/>
          <w:numId w:val="0"/>
        </w:numPr>
        <w:spacing w:before="0" w:after="0"/>
        <w:rPr>
          <w:rFonts w:eastAsia="宋体"/>
          <w:color w:val="auto"/>
        </w:rPr>
      </w:pPr>
      <w:r>
        <w:rPr>
          <w:rFonts w:eastAsia="宋体"/>
          <w:color w:val="auto"/>
        </w:rPr>
        <w:t>7.2.</w:t>
      </w:r>
      <w:r>
        <w:rPr>
          <w:rFonts w:hint="eastAsia" w:eastAsia="宋体"/>
          <w:color w:val="auto"/>
          <w:lang w:val="en-US" w:eastAsia="zh-CN"/>
        </w:rPr>
        <w:t>3</w:t>
      </w:r>
      <w:r>
        <w:rPr>
          <w:rFonts w:hint="eastAsia" w:eastAsia="宋体"/>
          <w:color w:val="auto"/>
        </w:rPr>
        <w:t>风险、隐患排查</w:t>
      </w:r>
    </w:p>
    <w:p w14:paraId="756BD044">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1</w:t>
      </w:r>
      <w:r>
        <w:rPr>
          <w:rFonts w:hint="eastAsia" w:eastAsia="宋体"/>
          <w:color w:val="auto"/>
          <w:sz w:val="24"/>
          <w:lang w:eastAsia="zh-CN"/>
        </w:rPr>
        <w:t>）</w:t>
      </w:r>
      <w:r>
        <w:rPr>
          <w:rFonts w:hint="eastAsia" w:eastAsia="宋体"/>
          <w:color w:val="auto"/>
          <w:sz w:val="24"/>
        </w:rPr>
        <w:t>每日进行关键装置巡查不低于3次，每月进行检测1次。</w:t>
      </w:r>
    </w:p>
    <w:p w14:paraId="782E49D0">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2</w:t>
      </w:r>
      <w:r>
        <w:rPr>
          <w:rFonts w:hint="eastAsia" w:eastAsia="宋体"/>
          <w:color w:val="auto"/>
          <w:sz w:val="24"/>
          <w:lang w:eastAsia="zh-CN"/>
        </w:rPr>
        <w:t>）</w:t>
      </w:r>
      <w:r>
        <w:rPr>
          <w:rFonts w:hint="eastAsia" w:eastAsia="宋体"/>
          <w:color w:val="auto"/>
          <w:sz w:val="24"/>
        </w:rPr>
        <w:t>应急器材数量满足要求，定期检测，定期更换。</w:t>
      </w:r>
    </w:p>
    <w:p w14:paraId="575213BA">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3</w:t>
      </w:r>
      <w:r>
        <w:rPr>
          <w:rFonts w:hint="eastAsia" w:eastAsia="宋体"/>
          <w:color w:val="auto"/>
          <w:sz w:val="24"/>
          <w:lang w:eastAsia="zh-CN"/>
        </w:rPr>
        <w:t>）</w:t>
      </w:r>
      <w:r>
        <w:rPr>
          <w:rFonts w:hint="eastAsia" w:eastAsia="宋体"/>
          <w:color w:val="auto"/>
          <w:sz w:val="24"/>
        </w:rPr>
        <w:t>每周对危险源进行安全检查和巡回检查。</w:t>
      </w:r>
    </w:p>
    <w:p w14:paraId="164C3665">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4</w:t>
      </w:r>
      <w:r>
        <w:rPr>
          <w:rFonts w:hint="eastAsia" w:eastAsia="宋体"/>
          <w:color w:val="auto"/>
          <w:sz w:val="24"/>
          <w:lang w:eastAsia="zh-CN"/>
        </w:rPr>
        <w:t>）</w:t>
      </w:r>
      <w:r>
        <w:rPr>
          <w:rFonts w:hint="eastAsia" w:eastAsia="宋体"/>
          <w:color w:val="auto"/>
          <w:sz w:val="24"/>
        </w:rPr>
        <w:t>加强设备维护管理，定期检查各定点配置的消防器材、防爆工具、应急电源和防护用品（包括正压空气呼吸器、急救药品等）情况，保持消防通路通畅，确保消防设备、抢险工具、设施和器具全部处于临战状态。</w:t>
      </w:r>
    </w:p>
    <w:p w14:paraId="3C0CC795">
      <w:pPr>
        <w:pStyle w:val="46"/>
        <w:ind w:firstLine="480"/>
        <w:rPr>
          <w:rFonts w:eastAsia="宋体"/>
          <w:color w:val="auto"/>
          <w:sz w:val="24"/>
        </w:rPr>
      </w:pPr>
      <w:r>
        <w:rPr>
          <w:rFonts w:hint="eastAsia" w:eastAsia="宋体"/>
          <w:color w:val="auto"/>
          <w:sz w:val="24"/>
          <w:lang w:eastAsia="zh-CN"/>
        </w:rPr>
        <w:t>（</w:t>
      </w:r>
      <w:r>
        <w:rPr>
          <w:rFonts w:hint="eastAsia" w:eastAsia="宋体"/>
          <w:color w:val="auto"/>
          <w:sz w:val="24"/>
          <w:lang w:val="en-US" w:eastAsia="zh-CN"/>
        </w:rPr>
        <w:t>5</w:t>
      </w:r>
      <w:r>
        <w:rPr>
          <w:rFonts w:hint="eastAsia" w:eastAsia="宋体"/>
          <w:color w:val="auto"/>
          <w:sz w:val="24"/>
          <w:lang w:eastAsia="zh-CN"/>
        </w:rPr>
        <w:t>）</w:t>
      </w:r>
      <w:r>
        <w:rPr>
          <w:rFonts w:hint="eastAsia" w:eastAsia="宋体"/>
          <w:color w:val="auto"/>
          <w:sz w:val="24"/>
        </w:rPr>
        <w:t>加强电气管理，对电气设备定期进行维护和保养，发现电气设备绝缘不良及线路绝缘老化，要及时更换电气设备、线路；所有电气、仪表等安装均符合防爆等级的电气设备，对建筑物、管线等设备设施均采取防雷防静电接地措施</w:t>
      </w:r>
      <w:r>
        <w:rPr>
          <w:rFonts w:eastAsia="宋体"/>
          <w:color w:val="auto"/>
          <w:sz w:val="24"/>
        </w:rPr>
        <w:t>。</w:t>
      </w:r>
    </w:p>
    <w:p w14:paraId="337C24CE">
      <w:pPr>
        <w:pStyle w:val="57"/>
        <w:numPr>
          <w:ilvl w:val="0"/>
          <w:numId w:val="0"/>
        </w:numPr>
        <w:spacing w:before="156" w:beforeLines="50" w:after="156" w:afterLines="50"/>
        <w:rPr>
          <w:rFonts w:eastAsia="宋体"/>
          <w:color w:val="auto"/>
          <w:sz w:val="30"/>
          <w:lang w:val="en-US"/>
        </w:rPr>
      </w:pPr>
      <w:bookmarkStart w:id="65" w:name="_Toc9958"/>
      <w:r>
        <w:rPr>
          <w:rFonts w:eastAsia="宋体"/>
          <w:color w:val="auto"/>
          <w:sz w:val="30"/>
          <w:lang w:val="en-US"/>
        </w:rPr>
        <w:t>7.</w:t>
      </w:r>
      <w:r>
        <w:rPr>
          <w:rFonts w:hint="eastAsia" w:eastAsia="宋体"/>
          <w:color w:val="auto"/>
          <w:sz w:val="30"/>
          <w:lang w:val="en-US" w:eastAsia="zh-CN"/>
        </w:rPr>
        <w:t>3</w:t>
      </w:r>
      <w:r>
        <w:rPr>
          <w:rFonts w:hint="eastAsia" w:eastAsia="宋体"/>
          <w:color w:val="auto"/>
          <w:sz w:val="30"/>
        </w:rPr>
        <w:t>水资源保护措施</w:t>
      </w:r>
      <w:bookmarkEnd w:id="65"/>
    </w:p>
    <w:p w14:paraId="1060F444">
      <w:pPr>
        <w:pStyle w:val="46"/>
        <w:ind w:firstLine="480"/>
        <w:rPr>
          <w:rFonts w:hint="eastAsia" w:eastAsia="宋体"/>
          <w:color w:val="auto"/>
          <w:sz w:val="24"/>
        </w:rPr>
      </w:pPr>
      <w:r>
        <w:rPr>
          <w:rFonts w:hint="eastAsia" w:eastAsia="宋体"/>
          <w:color w:val="auto"/>
          <w:sz w:val="24"/>
        </w:rPr>
        <w:t>（1）强化入河排污口监测，入河排污总量以及入河污染物总量均按日计算。</w:t>
      </w:r>
    </w:p>
    <w:p w14:paraId="18B0731B">
      <w:pPr>
        <w:pStyle w:val="46"/>
        <w:ind w:firstLine="480"/>
        <w:rPr>
          <w:rFonts w:hint="eastAsia" w:eastAsia="宋体"/>
          <w:color w:val="auto"/>
          <w:sz w:val="24"/>
        </w:rPr>
      </w:pPr>
      <w:r>
        <w:rPr>
          <w:rFonts w:hint="eastAsia" w:eastAsia="宋体"/>
          <w:color w:val="auto"/>
          <w:sz w:val="24"/>
        </w:rPr>
        <w:t>对入河排污口废污水排放量和主要污染物质的排放浓度实施同步监测；在入河排污口上游500m、下游1</w:t>
      </w:r>
      <w:r>
        <w:rPr>
          <w:rFonts w:hint="eastAsia" w:eastAsia="宋体"/>
          <w:color w:val="auto"/>
          <w:sz w:val="24"/>
          <w:lang w:val="en-US" w:eastAsia="zh-CN"/>
        </w:rPr>
        <w:t>5</w:t>
      </w:r>
      <w:r>
        <w:rPr>
          <w:rFonts w:hint="eastAsia" w:eastAsia="宋体"/>
          <w:color w:val="auto"/>
          <w:sz w:val="24"/>
        </w:rPr>
        <w:t>00m设置监测断面；监测频率为4次/年；常规监测项目为流量、水温、pH值、COD、BOD</w:t>
      </w:r>
      <w:r>
        <w:rPr>
          <w:rFonts w:hint="eastAsia" w:eastAsia="宋体"/>
          <w:color w:val="auto"/>
          <w:sz w:val="24"/>
          <w:vertAlign w:val="subscript"/>
        </w:rPr>
        <w:t>5</w:t>
      </w:r>
      <w:r>
        <w:rPr>
          <w:rFonts w:hint="eastAsia" w:eastAsia="宋体"/>
          <w:color w:val="auto"/>
          <w:sz w:val="24"/>
        </w:rPr>
        <w:t>、NH</w:t>
      </w:r>
      <w:r>
        <w:rPr>
          <w:rFonts w:hint="eastAsia" w:eastAsia="宋体"/>
          <w:color w:val="auto"/>
          <w:sz w:val="24"/>
          <w:vertAlign w:val="subscript"/>
        </w:rPr>
        <w:t>3</w:t>
      </w:r>
      <w:r>
        <w:rPr>
          <w:rFonts w:hint="eastAsia" w:eastAsia="宋体"/>
          <w:color w:val="auto"/>
          <w:sz w:val="24"/>
        </w:rPr>
        <w:t>-N、总磷、总氮共</w:t>
      </w:r>
      <w:r>
        <w:rPr>
          <w:rFonts w:hint="eastAsia" w:eastAsia="宋体"/>
          <w:color w:val="auto"/>
          <w:sz w:val="24"/>
          <w:lang w:val="en-US" w:eastAsia="zh-CN"/>
        </w:rPr>
        <w:t>8</w:t>
      </w:r>
      <w:r>
        <w:rPr>
          <w:rFonts w:hint="eastAsia" w:eastAsia="宋体"/>
          <w:color w:val="auto"/>
          <w:sz w:val="24"/>
        </w:rPr>
        <w:t>项；监测方法应按照国家现行的检验、检测方法执行，所采用的分析方法应符合国家和行业有关标准的规定。人工监测应委托有相关能力的专业技术水平单位承担，监测承担单位应及时将监测结果反馈到管理部门。</w:t>
      </w:r>
    </w:p>
    <w:p w14:paraId="2D7FEBEE">
      <w:pPr>
        <w:pStyle w:val="46"/>
        <w:ind w:firstLine="480"/>
        <w:rPr>
          <w:rFonts w:hint="eastAsia" w:eastAsia="宋体"/>
          <w:color w:val="auto"/>
          <w:sz w:val="24"/>
        </w:rPr>
      </w:pPr>
      <w:r>
        <w:rPr>
          <w:rFonts w:hint="eastAsia" w:eastAsia="宋体"/>
          <w:color w:val="auto"/>
          <w:sz w:val="24"/>
        </w:rPr>
        <w:t>（2）入河排污口规范化建设</w:t>
      </w:r>
    </w:p>
    <w:p w14:paraId="1EF4F702">
      <w:pPr>
        <w:pStyle w:val="46"/>
        <w:ind w:firstLine="480"/>
        <w:rPr>
          <w:rFonts w:hint="eastAsia" w:eastAsia="宋体"/>
          <w:color w:val="auto"/>
          <w:sz w:val="24"/>
        </w:rPr>
      </w:pPr>
      <w:r>
        <w:rPr>
          <w:rFonts w:hint="eastAsia" w:eastAsia="宋体"/>
          <w:color w:val="auto"/>
          <w:sz w:val="24"/>
        </w:rPr>
        <w:t>按照《入河排污口管理技术导则》的规定，在排污口设置竖立明显的建筑物标示碑、实行排污口的立标管理、标明水污染物限制排放总量及浓度情况、明确责任主体及监督单位等内容。</w:t>
      </w:r>
    </w:p>
    <w:p w14:paraId="0D7DE96E">
      <w:pPr>
        <w:pStyle w:val="46"/>
        <w:ind w:firstLine="480"/>
        <w:rPr>
          <w:rFonts w:hint="eastAsia" w:eastAsia="宋体"/>
          <w:color w:val="auto"/>
          <w:sz w:val="24"/>
          <w:lang w:eastAsia="zh-CN"/>
        </w:rPr>
      </w:pPr>
      <w:r>
        <w:rPr>
          <w:rFonts w:hint="eastAsia" w:eastAsia="宋体"/>
          <w:color w:val="auto"/>
          <w:sz w:val="24"/>
          <w:lang w:eastAsia="zh-CN"/>
        </w:rPr>
        <w:t>（3）入河排污口规范化管理</w:t>
      </w:r>
    </w:p>
    <w:p w14:paraId="3CFC42DF">
      <w:pPr>
        <w:pStyle w:val="46"/>
        <w:ind w:firstLine="480"/>
        <w:rPr>
          <w:rFonts w:hint="eastAsia" w:eastAsia="宋体"/>
          <w:color w:val="auto"/>
          <w:sz w:val="24"/>
          <w:lang w:eastAsia="zh-CN"/>
        </w:rPr>
      </w:pPr>
      <w:r>
        <w:rPr>
          <w:rFonts w:hint="eastAsia" w:eastAsia="宋体"/>
          <w:color w:val="auto"/>
          <w:sz w:val="24"/>
          <w:lang w:eastAsia="zh-CN"/>
        </w:rPr>
        <w:t>规范化整治排污口有关环境保护设施，应将其纳入本单位设备管理，并选派责任心强、有专业知识和技能的专职人员对排污口进行管理。</w:t>
      </w:r>
    </w:p>
    <w:p w14:paraId="5ABCAE64">
      <w:pPr>
        <w:pStyle w:val="59"/>
        <w:numPr>
          <w:ilvl w:val="0"/>
          <w:numId w:val="0"/>
        </w:numPr>
        <w:spacing w:before="156" w:after="156"/>
        <w:rPr>
          <w:rFonts w:eastAsia="宋体"/>
          <w:color w:val="auto"/>
          <w:sz w:val="32"/>
        </w:rPr>
      </w:pPr>
      <w:bookmarkStart w:id="66" w:name="_Toc18196"/>
      <w:r>
        <w:rPr>
          <w:rFonts w:eastAsia="宋体"/>
          <w:color w:val="auto"/>
          <w:sz w:val="32"/>
        </w:rPr>
        <w:t>8入河排污口设置合理性分析</w:t>
      </w:r>
      <w:bookmarkEnd w:id="66"/>
    </w:p>
    <w:p w14:paraId="59E66548">
      <w:pPr>
        <w:pStyle w:val="57"/>
        <w:numPr>
          <w:ilvl w:val="0"/>
          <w:numId w:val="0"/>
        </w:numPr>
        <w:spacing w:before="156" w:beforeLines="50" w:after="156" w:afterLines="50"/>
        <w:rPr>
          <w:rFonts w:eastAsia="宋体"/>
          <w:color w:val="auto"/>
          <w:sz w:val="30"/>
        </w:rPr>
      </w:pPr>
      <w:bookmarkStart w:id="67" w:name="_Toc512677642"/>
      <w:bookmarkStart w:id="68" w:name="_Toc301275634"/>
      <w:bookmarkStart w:id="69" w:name="_Toc15843"/>
      <w:r>
        <w:rPr>
          <w:rFonts w:eastAsia="宋体"/>
          <w:color w:val="auto"/>
          <w:sz w:val="30"/>
        </w:rPr>
        <w:t>8.1与产业政策相符性</w:t>
      </w:r>
      <w:bookmarkEnd w:id="67"/>
      <w:bookmarkEnd w:id="68"/>
      <w:r>
        <w:rPr>
          <w:rFonts w:eastAsia="宋体"/>
          <w:color w:val="auto"/>
          <w:sz w:val="30"/>
        </w:rPr>
        <w:t>分析</w:t>
      </w:r>
      <w:bookmarkEnd w:id="69"/>
    </w:p>
    <w:p w14:paraId="01C791DA">
      <w:pPr>
        <w:pStyle w:val="46"/>
        <w:ind w:firstLine="480"/>
        <w:rPr>
          <w:rFonts w:hint="eastAsia" w:eastAsia="宋体"/>
          <w:color w:val="auto"/>
          <w:sz w:val="24"/>
        </w:rPr>
      </w:pPr>
      <w:r>
        <w:rPr>
          <w:rFonts w:hint="eastAsia" w:eastAsia="宋体"/>
          <w:color w:val="auto"/>
          <w:sz w:val="24"/>
        </w:rPr>
        <w:t>以习近平新时代中国特色社会主义思想为指导，全面贯彻党的</w:t>
      </w:r>
      <w:r>
        <w:rPr>
          <w:rFonts w:hint="eastAsia" w:eastAsia="宋体"/>
          <w:color w:val="auto"/>
          <w:sz w:val="24"/>
          <w:lang w:val="en-US" w:eastAsia="zh-CN"/>
        </w:rPr>
        <w:t>二十</w:t>
      </w:r>
      <w:r>
        <w:rPr>
          <w:rFonts w:hint="eastAsia" w:eastAsia="宋体"/>
          <w:color w:val="auto"/>
          <w:sz w:val="24"/>
        </w:rPr>
        <w:t>大精神</w:t>
      </w:r>
      <w:r>
        <w:rPr>
          <w:rFonts w:hint="eastAsia" w:eastAsia="宋体"/>
          <w:color w:val="auto"/>
          <w:sz w:val="24"/>
          <w:lang w:eastAsia="zh-CN"/>
        </w:rPr>
        <w:t>，</w:t>
      </w:r>
      <w:r>
        <w:rPr>
          <w:rFonts w:hint="eastAsia" w:eastAsia="宋体"/>
          <w:color w:val="auto"/>
          <w:sz w:val="24"/>
        </w:rPr>
        <w:t>大力推进生态文明建设，以改善水环境质量为核心，按照“节水优先、空间均衡、系统治理、两手发力”原则，贯彻“安全、清洁、健康”方针，强化源头控制，水陆统筹、河海兼顾，对江河湖海实施分流域、分区域、分阶段科学治理，系统推进水污染防治、水生态保护和水资源管理。《国务院关于印发水污染防治行动计划的通知》（国发〔2015〕17号）</w:t>
      </w:r>
      <w:r>
        <w:rPr>
          <w:rFonts w:hint="eastAsia" w:eastAsia="宋体"/>
          <w:color w:val="auto"/>
          <w:sz w:val="24"/>
          <w:lang w:eastAsia="zh-CN"/>
        </w:rPr>
        <w:t>、</w:t>
      </w:r>
      <w:r>
        <w:rPr>
          <w:rFonts w:hint="eastAsia" w:eastAsia="宋体"/>
          <w:color w:val="auto"/>
          <w:sz w:val="24"/>
        </w:rPr>
        <w:t>《国务院办公厅关于加强入河入海排污口监督管理工作的实施意见》</w:t>
      </w:r>
      <w:r>
        <w:rPr>
          <w:rFonts w:hint="eastAsia" w:eastAsia="宋体"/>
          <w:color w:val="auto"/>
          <w:sz w:val="24"/>
          <w:lang w:eastAsia="zh-CN"/>
        </w:rPr>
        <w:t>（</w:t>
      </w:r>
      <w:r>
        <w:rPr>
          <w:rFonts w:hint="eastAsia" w:eastAsia="宋体"/>
          <w:color w:val="auto"/>
          <w:sz w:val="24"/>
        </w:rPr>
        <w:t>国</w:t>
      </w:r>
      <w:r>
        <w:rPr>
          <w:rFonts w:hint="eastAsia" w:eastAsia="宋体"/>
          <w:color w:val="auto"/>
          <w:sz w:val="24"/>
          <w:lang w:val="en-US" w:eastAsia="zh-CN"/>
        </w:rPr>
        <w:t>办函</w:t>
      </w:r>
      <w:r>
        <w:rPr>
          <w:rFonts w:hint="eastAsia" w:eastAsia="宋体"/>
          <w:color w:val="auto"/>
          <w:sz w:val="24"/>
        </w:rPr>
        <w:t>〔20</w:t>
      </w:r>
      <w:r>
        <w:rPr>
          <w:rFonts w:hint="eastAsia" w:eastAsia="宋体"/>
          <w:color w:val="auto"/>
          <w:sz w:val="24"/>
          <w:lang w:val="en-US" w:eastAsia="zh-CN"/>
        </w:rPr>
        <w:t>22</w:t>
      </w:r>
      <w:r>
        <w:rPr>
          <w:rFonts w:hint="eastAsia" w:eastAsia="宋体"/>
          <w:color w:val="auto"/>
          <w:sz w:val="24"/>
        </w:rPr>
        <w:t>〕17号</w:t>
      </w:r>
      <w:r>
        <w:rPr>
          <w:rFonts w:hint="eastAsia" w:eastAsia="宋体"/>
          <w:color w:val="auto"/>
          <w:sz w:val="24"/>
          <w:lang w:eastAsia="zh-CN"/>
        </w:rPr>
        <w:t>）、《环境保护部、国家发改委、住房和城乡建设部、水利部关于落实〈水污染防治行动计划〉实施区域差别化环境准入的指导意见》、《关于</w:t>
      </w:r>
      <w:r>
        <w:rPr>
          <w:rFonts w:hint="eastAsia" w:eastAsia="宋体"/>
          <w:color w:val="auto"/>
          <w:sz w:val="24"/>
          <w:lang w:val="en-US" w:eastAsia="zh-CN"/>
        </w:rPr>
        <w:t>&lt;</w:t>
      </w:r>
      <w:r>
        <w:rPr>
          <w:rFonts w:hint="eastAsia" w:eastAsia="宋体"/>
          <w:color w:val="auto"/>
          <w:sz w:val="24"/>
          <w:lang w:eastAsia="zh-CN"/>
        </w:rPr>
        <w:t>落实水污染防治行动计划</w:t>
      </w:r>
      <w:r>
        <w:rPr>
          <w:rFonts w:hint="eastAsia" w:eastAsia="宋体"/>
          <w:color w:val="auto"/>
          <w:sz w:val="24"/>
          <w:lang w:val="en-US" w:eastAsia="zh-CN"/>
        </w:rPr>
        <w:t>&gt;</w:t>
      </w:r>
      <w:r>
        <w:rPr>
          <w:rFonts w:hint="eastAsia" w:eastAsia="宋体"/>
          <w:color w:val="auto"/>
          <w:sz w:val="24"/>
          <w:lang w:eastAsia="zh-CN"/>
        </w:rPr>
        <w:t>和</w:t>
      </w:r>
      <w:r>
        <w:rPr>
          <w:rFonts w:hint="eastAsia" w:eastAsia="宋体"/>
          <w:color w:val="auto"/>
          <w:sz w:val="24"/>
          <w:lang w:val="en-US" w:eastAsia="zh-CN"/>
        </w:rPr>
        <w:t>&lt;</w:t>
      </w:r>
      <w:r>
        <w:rPr>
          <w:rFonts w:hint="eastAsia" w:eastAsia="宋体"/>
          <w:color w:val="auto"/>
          <w:sz w:val="24"/>
          <w:lang w:eastAsia="zh-CN"/>
        </w:rPr>
        <w:t>陕西省水污染防治工作方案</w:t>
      </w:r>
      <w:r>
        <w:rPr>
          <w:rFonts w:hint="eastAsia" w:eastAsia="宋体"/>
          <w:color w:val="auto"/>
          <w:sz w:val="24"/>
          <w:lang w:val="en-US" w:eastAsia="zh-CN"/>
        </w:rPr>
        <w:t>&gt;</w:t>
      </w:r>
      <w:r>
        <w:rPr>
          <w:rFonts w:hint="eastAsia" w:eastAsia="宋体"/>
          <w:color w:val="auto"/>
          <w:sz w:val="24"/>
          <w:lang w:eastAsia="zh-CN"/>
        </w:rPr>
        <w:t>实施差别化环境准入的指导意见》（陕环发〔2017〕27号）</w:t>
      </w:r>
      <w:r>
        <w:rPr>
          <w:rFonts w:hint="eastAsia" w:eastAsia="宋体"/>
          <w:color w:val="auto"/>
          <w:sz w:val="24"/>
          <w:lang w:val="en-US" w:eastAsia="zh-CN"/>
        </w:rPr>
        <w:t>等等</w:t>
      </w:r>
      <w:r>
        <w:rPr>
          <w:rFonts w:hint="eastAsia" w:eastAsia="宋体"/>
          <w:color w:val="auto"/>
          <w:sz w:val="24"/>
        </w:rPr>
        <w:t>这些政策的出台，</w:t>
      </w:r>
      <w:r>
        <w:rPr>
          <w:rFonts w:hint="eastAsia" w:eastAsia="宋体"/>
          <w:color w:val="auto"/>
          <w:sz w:val="24"/>
          <w:lang w:val="en-US" w:eastAsia="zh-CN"/>
        </w:rPr>
        <w:t>加大对排污口监督管理法律法规和政策的宣传普及力度，增强公众对污染物排放的监督意识。</w:t>
      </w:r>
      <w:r>
        <w:rPr>
          <w:rFonts w:hint="eastAsia" w:eastAsia="宋体"/>
          <w:color w:val="auto"/>
          <w:sz w:val="24"/>
        </w:rPr>
        <w:t>地方政府和有关行政管理部门根据国家宏观政策框架，认真总结当地实践经验，积极探索，制定和出台了一些实施细则和指导意见。</w:t>
      </w:r>
    </w:p>
    <w:p w14:paraId="4C2AED6D">
      <w:pPr>
        <w:pStyle w:val="46"/>
        <w:ind w:firstLine="480"/>
        <w:rPr>
          <w:rFonts w:eastAsia="宋体"/>
          <w:color w:val="auto"/>
          <w:sz w:val="24"/>
        </w:rPr>
      </w:pPr>
      <w:r>
        <w:rPr>
          <w:rFonts w:hint="eastAsia" w:eastAsia="宋体"/>
          <w:color w:val="auto"/>
          <w:sz w:val="24"/>
        </w:rPr>
        <w:t>本项目列入国务院批准颁发的项目属于《产业结构调整指导目录（201</w:t>
      </w:r>
      <w:r>
        <w:rPr>
          <w:rFonts w:eastAsia="宋体"/>
          <w:color w:val="auto"/>
          <w:sz w:val="24"/>
        </w:rPr>
        <w:t>9</w:t>
      </w:r>
      <w:r>
        <w:rPr>
          <w:rFonts w:hint="eastAsia" w:eastAsia="宋体"/>
          <w:color w:val="auto"/>
          <w:sz w:val="24"/>
        </w:rPr>
        <w:t>年本）</w:t>
      </w:r>
      <w:r>
        <w:rPr>
          <w:rFonts w:hint="eastAsia" w:eastAsia="宋体"/>
          <w:color w:val="auto"/>
          <w:sz w:val="24"/>
          <w:lang w:eastAsia="zh-CN"/>
        </w:rPr>
        <w:t>》（</w:t>
      </w:r>
      <w:r>
        <w:rPr>
          <w:rFonts w:hint="eastAsia" w:eastAsia="宋体"/>
          <w:color w:val="auto"/>
          <w:sz w:val="24"/>
          <w:lang w:val="en-US" w:eastAsia="zh-CN"/>
        </w:rPr>
        <w:t>2021年修订版</w:t>
      </w:r>
      <w:r>
        <w:rPr>
          <w:rFonts w:hint="eastAsia" w:eastAsia="宋体"/>
          <w:color w:val="auto"/>
          <w:sz w:val="24"/>
          <w:lang w:eastAsia="zh-CN"/>
        </w:rPr>
        <w:t>）</w:t>
      </w:r>
      <w:r>
        <w:rPr>
          <w:rFonts w:hint="eastAsia" w:eastAsia="宋体"/>
          <w:color w:val="auto"/>
          <w:sz w:val="24"/>
        </w:rPr>
        <w:t>中第一类 鼓励类项目；项目未被列入《市场准入负面清单（2022年版）》（发改体改规〔2022〕397号）内中的建设项目，也不属于其它相关法律法规要求淘汰和限制的产业。</w:t>
      </w:r>
    </w:p>
    <w:p w14:paraId="4111B3EE">
      <w:pPr>
        <w:pStyle w:val="46"/>
        <w:ind w:firstLine="480"/>
        <w:rPr>
          <w:rFonts w:eastAsia="宋体"/>
          <w:color w:val="auto"/>
          <w:sz w:val="24"/>
        </w:rPr>
      </w:pPr>
      <w:r>
        <w:rPr>
          <w:rFonts w:hint="eastAsia" w:eastAsia="宋体"/>
          <w:color w:val="auto"/>
          <w:sz w:val="24"/>
        </w:rPr>
        <w:t>因此，本项目符合国家和地方产业政策。</w:t>
      </w:r>
    </w:p>
    <w:p w14:paraId="1D003193">
      <w:pPr>
        <w:pStyle w:val="57"/>
        <w:numPr>
          <w:ilvl w:val="0"/>
          <w:numId w:val="0"/>
        </w:numPr>
        <w:spacing w:before="156" w:beforeLines="50" w:after="156" w:afterLines="50"/>
        <w:rPr>
          <w:rFonts w:eastAsia="宋体"/>
          <w:color w:val="auto"/>
          <w:sz w:val="30"/>
        </w:rPr>
      </w:pPr>
      <w:bookmarkStart w:id="70" w:name="_Toc24542"/>
      <w:r>
        <w:rPr>
          <w:rFonts w:eastAsia="宋体"/>
          <w:color w:val="auto"/>
          <w:sz w:val="30"/>
        </w:rPr>
        <w:t>8.2</w:t>
      </w:r>
      <w:r>
        <w:rPr>
          <w:rFonts w:hint="eastAsia" w:eastAsia="宋体"/>
          <w:color w:val="auto"/>
          <w:sz w:val="30"/>
        </w:rPr>
        <w:t>与《</w:t>
      </w:r>
      <w:r>
        <w:rPr>
          <w:rFonts w:hint="eastAsia" w:eastAsia="宋体"/>
          <w:color w:val="auto"/>
          <w:sz w:val="30"/>
          <w:lang w:val="en-US" w:eastAsia="zh-CN"/>
        </w:rPr>
        <w:t>陕西</w:t>
      </w:r>
      <w:r>
        <w:rPr>
          <w:rFonts w:hint="eastAsia" w:eastAsia="宋体"/>
          <w:color w:val="auto"/>
          <w:sz w:val="30"/>
        </w:rPr>
        <w:t>省水功能区划》</w:t>
      </w:r>
      <w:r>
        <w:rPr>
          <w:rFonts w:eastAsia="宋体"/>
          <w:color w:val="auto"/>
          <w:sz w:val="30"/>
        </w:rPr>
        <w:t>相符性分析</w:t>
      </w:r>
      <w:bookmarkEnd w:id="70"/>
    </w:p>
    <w:p w14:paraId="16E064D5">
      <w:pPr>
        <w:pStyle w:val="46"/>
        <w:ind w:firstLine="480"/>
        <w:rPr>
          <w:rFonts w:eastAsia="宋体"/>
          <w:color w:val="auto"/>
          <w:sz w:val="24"/>
        </w:rPr>
      </w:pPr>
      <w:r>
        <w:rPr>
          <w:rFonts w:hint="eastAsia" w:eastAsia="宋体"/>
          <w:color w:val="auto"/>
          <w:sz w:val="24"/>
        </w:rPr>
        <w:t>根据陕西省人民政府批复的《陕西省水功能区划》（陕政办发[2004]100号），新河并未进行水功能区划。根据原西安市环保局《关于转发&lt;陕西省水功能区划&gt;（西安部分）的通知》可知，本项目排污口所在河段为新河，新河户县全水域水质管理目标为《地表水环境质量标准》IV类水水质标准，水功能一级区为户县（现鄠邑区）开发利用区，二级区为新河排污控制区。本项目排污口位于新河排污控制区，无饮用水功能，亦不位于取水口的一级、二级保护区范围内，不属于禁止排污河段。因此本项目排污口设置符合水功能区划的管理要求。</w:t>
      </w:r>
    </w:p>
    <w:p w14:paraId="6F38B28A">
      <w:pPr>
        <w:pStyle w:val="57"/>
        <w:numPr>
          <w:ilvl w:val="0"/>
          <w:numId w:val="0"/>
        </w:numPr>
        <w:spacing w:before="156" w:beforeLines="50" w:after="156" w:afterLines="50"/>
        <w:rPr>
          <w:rFonts w:eastAsia="宋体"/>
          <w:color w:val="auto"/>
          <w:sz w:val="30"/>
        </w:rPr>
      </w:pPr>
      <w:bookmarkStart w:id="71" w:name="_Toc361"/>
      <w:bookmarkStart w:id="72" w:name="_Toc301275636"/>
      <w:bookmarkStart w:id="73" w:name="_Toc512677650"/>
      <w:bookmarkStart w:id="74" w:name="_Toc165106846"/>
      <w:bookmarkStart w:id="75" w:name="_Toc294555538"/>
      <w:bookmarkStart w:id="76" w:name="_Toc165102297"/>
      <w:bookmarkStart w:id="77" w:name="_Toc217195191"/>
      <w:bookmarkStart w:id="78" w:name="_Toc294555536"/>
      <w:bookmarkStart w:id="79" w:name="_Toc292887187"/>
      <w:r>
        <w:rPr>
          <w:rFonts w:eastAsia="宋体"/>
          <w:color w:val="auto"/>
          <w:sz w:val="30"/>
        </w:rPr>
        <w:t>8.</w:t>
      </w:r>
      <w:r>
        <w:rPr>
          <w:rFonts w:hint="eastAsia" w:eastAsia="宋体"/>
          <w:color w:val="auto"/>
          <w:sz w:val="30"/>
          <w:lang w:val="en-US" w:eastAsia="zh-CN"/>
        </w:rPr>
        <w:t>3</w:t>
      </w:r>
      <w:r>
        <w:rPr>
          <w:rFonts w:hint="eastAsia" w:eastAsia="宋体"/>
          <w:color w:val="auto"/>
          <w:sz w:val="30"/>
        </w:rPr>
        <w:t>与</w:t>
      </w:r>
      <w:r>
        <w:rPr>
          <w:rFonts w:hint="eastAsia" w:eastAsia="宋体"/>
          <w:color w:val="auto"/>
          <w:sz w:val="30"/>
          <w:lang w:eastAsia="zh-CN"/>
        </w:rPr>
        <w:t>《</w:t>
      </w:r>
      <w:r>
        <w:rPr>
          <w:rFonts w:hint="eastAsia" w:eastAsia="宋体"/>
          <w:color w:val="auto"/>
          <w:sz w:val="30"/>
          <w:lang w:val="en-US" w:eastAsia="zh-CN"/>
        </w:rPr>
        <w:t>陕西</w:t>
      </w:r>
      <w:r>
        <w:rPr>
          <w:rFonts w:hint="eastAsia" w:eastAsia="宋体"/>
          <w:color w:val="auto"/>
          <w:sz w:val="30"/>
        </w:rPr>
        <w:t>省秦岭生态环境保护总体规划</w:t>
      </w:r>
      <w:r>
        <w:rPr>
          <w:rFonts w:hint="eastAsia" w:eastAsia="宋体"/>
          <w:color w:val="auto"/>
          <w:sz w:val="30"/>
          <w:lang w:eastAsia="zh-CN"/>
        </w:rPr>
        <w:t>》</w:t>
      </w:r>
      <w:r>
        <w:rPr>
          <w:rFonts w:eastAsia="宋体"/>
          <w:color w:val="auto"/>
          <w:sz w:val="30"/>
        </w:rPr>
        <w:t>相符性分析</w:t>
      </w:r>
      <w:bookmarkEnd w:id="71"/>
    </w:p>
    <w:p w14:paraId="184DCBE9">
      <w:pPr>
        <w:pStyle w:val="46"/>
        <w:ind w:firstLine="480"/>
        <w:rPr>
          <w:rFonts w:eastAsia="宋体"/>
          <w:color w:val="auto"/>
          <w:sz w:val="24"/>
        </w:rPr>
      </w:pPr>
      <w:r>
        <w:rPr>
          <w:rFonts w:hint="eastAsia" w:eastAsia="宋体"/>
          <w:color w:val="auto"/>
          <w:sz w:val="24"/>
        </w:rPr>
        <w:t>根据</w:t>
      </w:r>
      <w:r>
        <w:rPr>
          <w:rFonts w:hint="eastAsia" w:eastAsia="宋体"/>
          <w:color w:val="auto"/>
          <w:sz w:val="24"/>
          <w:lang w:eastAsia="zh-CN"/>
        </w:rPr>
        <w:t>《</w:t>
      </w:r>
      <w:r>
        <w:rPr>
          <w:rFonts w:hint="eastAsia" w:eastAsia="宋体"/>
          <w:color w:val="auto"/>
          <w:sz w:val="24"/>
          <w:lang w:val="en-US" w:eastAsia="zh-CN"/>
        </w:rPr>
        <w:t>陕西</w:t>
      </w:r>
      <w:r>
        <w:rPr>
          <w:rFonts w:hint="eastAsia" w:eastAsia="宋体"/>
          <w:color w:val="auto"/>
          <w:sz w:val="24"/>
        </w:rPr>
        <w:t>省秦岭生态环境保护总体规划》</w:t>
      </w:r>
      <w:r>
        <w:rPr>
          <w:rFonts w:hint="eastAsia" w:eastAsia="宋体"/>
          <w:color w:val="auto"/>
          <w:sz w:val="24"/>
          <w:lang w:eastAsia="zh-CN"/>
        </w:rPr>
        <w:t>（</w:t>
      </w:r>
      <w:r>
        <w:rPr>
          <w:rFonts w:hint="eastAsia" w:eastAsia="宋体"/>
          <w:color w:val="auto"/>
          <w:sz w:val="24"/>
        </w:rPr>
        <w:t>陕政办发〔2020〕13号</w:t>
      </w:r>
      <w:r>
        <w:rPr>
          <w:rFonts w:hint="eastAsia" w:eastAsia="宋体"/>
          <w:color w:val="auto"/>
          <w:sz w:val="24"/>
          <w:lang w:eastAsia="zh-CN"/>
        </w:rPr>
        <w:t>），</w:t>
      </w:r>
      <w:r>
        <w:rPr>
          <w:rFonts w:hint="eastAsia" w:eastAsia="宋体"/>
          <w:color w:val="auto"/>
          <w:sz w:val="24"/>
          <w:lang w:val="en-US" w:eastAsia="zh-CN"/>
        </w:rPr>
        <w:t>其</w:t>
      </w:r>
      <w:r>
        <w:rPr>
          <w:rFonts w:hint="eastAsia" w:eastAsia="宋体"/>
          <w:color w:val="auto"/>
          <w:sz w:val="24"/>
          <w:lang w:eastAsia="zh-CN"/>
        </w:rPr>
        <w:t>划分为核心保护区、重点保护区和一般保护区，实行分区保护。</w:t>
      </w:r>
      <w:r>
        <w:rPr>
          <w:rFonts w:hint="eastAsia" w:eastAsia="宋体"/>
          <w:color w:val="auto"/>
          <w:sz w:val="24"/>
        </w:rPr>
        <w:t>本项目</w:t>
      </w:r>
      <w:r>
        <w:rPr>
          <w:rFonts w:hint="eastAsia" w:eastAsia="宋体"/>
          <w:color w:val="auto"/>
          <w:sz w:val="24"/>
          <w:lang w:val="en-US" w:eastAsia="zh-CN"/>
        </w:rPr>
        <w:t>厂址</w:t>
      </w:r>
      <w:r>
        <w:rPr>
          <w:rFonts w:hint="eastAsia" w:eastAsia="宋体"/>
          <w:color w:val="auto"/>
          <w:sz w:val="24"/>
        </w:rPr>
        <w:t>及排污口</w:t>
      </w:r>
      <w:r>
        <w:rPr>
          <w:rFonts w:eastAsia="宋体"/>
          <w:color w:val="auto"/>
          <w:sz w:val="24"/>
        </w:rPr>
        <w:t>不在</w:t>
      </w:r>
      <w:r>
        <w:rPr>
          <w:rFonts w:hint="eastAsia" w:eastAsia="宋体"/>
          <w:color w:val="auto"/>
          <w:sz w:val="24"/>
        </w:rPr>
        <w:t>秦岭生态环境保护区</w:t>
      </w:r>
      <w:r>
        <w:rPr>
          <w:rFonts w:eastAsia="宋体"/>
          <w:color w:val="auto"/>
          <w:sz w:val="24"/>
        </w:rPr>
        <w:t>之内</w:t>
      </w:r>
      <w:r>
        <w:rPr>
          <w:rFonts w:hint="eastAsia" w:eastAsia="宋体"/>
          <w:color w:val="auto"/>
          <w:sz w:val="24"/>
        </w:rPr>
        <w:t>。因此本项目排污口设置符合</w:t>
      </w:r>
      <w:r>
        <w:rPr>
          <w:rFonts w:hint="eastAsia" w:eastAsia="宋体"/>
          <w:color w:val="auto"/>
          <w:sz w:val="24"/>
          <w:lang w:val="en-US" w:eastAsia="zh-CN"/>
        </w:rPr>
        <w:t>该规划</w:t>
      </w:r>
      <w:r>
        <w:rPr>
          <w:rFonts w:hint="eastAsia" w:eastAsia="宋体"/>
          <w:color w:val="auto"/>
          <w:sz w:val="24"/>
        </w:rPr>
        <w:t>要求。</w:t>
      </w:r>
    </w:p>
    <w:p w14:paraId="3149B76B">
      <w:pPr>
        <w:pStyle w:val="46"/>
        <w:ind w:firstLine="480"/>
        <w:rPr>
          <w:rFonts w:eastAsia="宋体"/>
          <w:color w:val="auto"/>
          <w:sz w:val="24"/>
        </w:rPr>
      </w:pPr>
      <w:r>
        <w:rPr>
          <w:rFonts w:eastAsia="宋体"/>
          <w:color w:val="auto"/>
          <w:sz w:val="24"/>
        </w:rPr>
        <w:t>本项目与</w:t>
      </w:r>
      <w:r>
        <w:rPr>
          <w:rFonts w:hint="eastAsia" w:eastAsia="宋体"/>
          <w:color w:val="auto"/>
          <w:sz w:val="24"/>
        </w:rPr>
        <w:t>西安市秦岭生态环境保护范围</w:t>
      </w:r>
      <w:r>
        <w:rPr>
          <w:rFonts w:eastAsia="宋体"/>
          <w:color w:val="auto"/>
          <w:sz w:val="24"/>
        </w:rPr>
        <w:t>相对位置</w:t>
      </w:r>
      <w:r>
        <w:rPr>
          <w:rFonts w:hint="eastAsia" w:eastAsia="宋体"/>
          <w:color w:val="auto"/>
          <w:sz w:val="24"/>
        </w:rPr>
        <w:t>见图8</w:t>
      </w:r>
      <w:r>
        <w:rPr>
          <w:rFonts w:eastAsia="宋体"/>
          <w:color w:val="auto"/>
          <w:sz w:val="24"/>
        </w:rPr>
        <w:t>.4-1</w:t>
      </w:r>
      <w:r>
        <w:rPr>
          <w:rFonts w:hint="eastAsia" w:eastAsia="宋体"/>
          <w:color w:val="auto"/>
          <w:sz w:val="24"/>
        </w:rPr>
        <w:t>。</w:t>
      </w:r>
    </w:p>
    <w:p w14:paraId="2359836A">
      <w:pPr>
        <w:pStyle w:val="46"/>
        <w:spacing w:line="240" w:lineRule="auto"/>
        <w:ind w:left="0" w:leftChars="0" w:firstLine="0" w:firstLineChars="0"/>
        <w:rPr>
          <w:rFonts w:hint="eastAsia" w:eastAsia="宋体"/>
          <w:color w:val="auto"/>
          <w:sz w:val="24"/>
          <w:lang w:eastAsia="zh-CN"/>
        </w:rPr>
      </w:pPr>
      <w:r>
        <w:rPr>
          <w:rFonts w:hint="eastAsia" w:eastAsia="宋体"/>
          <w:color w:val="auto"/>
          <w:sz w:val="24"/>
          <w:lang w:eastAsia="zh-CN"/>
        </w:rPr>
        <w:drawing>
          <wp:inline distT="0" distB="0" distL="114300" distR="114300">
            <wp:extent cx="5730240" cy="3032125"/>
            <wp:effectExtent l="0" t="0" r="3810" b="15875"/>
            <wp:docPr id="30" name="图片 30" descr="1.正文0610会后修改稿完整版_合并_页面_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正文0610会后修改稿完整版_合并_页面_125"/>
                    <pic:cNvPicPr>
                      <a:picLocks noChangeAspect="1"/>
                    </pic:cNvPicPr>
                  </pic:nvPicPr>
                  <pic:blipFill>
                    <a:blip r:embed="rId44"/>
                    <a:stretch>
                      <a:fillRect/>
                    </a:stretch>
                  </pic:blipFill>
                  <pic:spPr>
                    <a:xfrm>
                      <a:off x="0" y="0"/>
                      <a:ext cx="5730240" cy="3032125"/>
                    </a:xfrm>
                    <a:prstGeom prst="rect">
                      <a:avLst/>
                    </a:prstGeom>
                  </pic:spPr>
                </pic:pic>
              </a:graphicData>
            </a:graphic>
          </wp:inline>
        </w:drawing>
      </w:r>
    </w:p>
    <w:p w14:paraId="51FB260E">
      <w:pPr>
        <w:pStyle w:val="46"/>
        <w:ind w:firstLine="480"/>
        <w:jc w:val="center"/>
        <w:rPr>
          <w:rFonts w:eastAsia="宋体"/>
          <w:b/>
          <w:bCs/>
          <w:color w:val="auto"/>
          <w:sz w:val="24"/>
        </w:rPr>
      </w:pPr>
      <w:r>
        <w:rPr>
          <w:rFonts w:hint="eastAsia" w:eastAsia="宋体"/>
          <w:b/>
          <w:bCs/>
          <w:color w:val="auto"/>
          <w:sz w:val="24"/>
          <w:lang w:val="en-US" w:eastAsia="zh-CN"/>
        </w:rPr>
        <w:t xml:space="preserve">图8.5-1    </w:t>
      </w:r>
      <w:r>
        <w:rPr>
          <w:rFonts w:eastAsia="宋体"/>
          <w:b/>
          <w:bCs/>
          <w:color w:val="auto"/>
          <w:sz w:val="24"/>
        </w:rPr>
        <w:t>本项目与</w:t>
      </w:r>
      <w:r>
        <w:rPr>
          <w:rFonts w:hint="eastAsia" w:eastAsia="宋体"/>
          <w:b/>
          <w:bCs/>
          <w:color w:val="auto"/>
          <w:sz w:val="24"/>
        </w:rPr>
        <w:t>西安市秦岭生态环境保护范围</w:t>
      </w:r>
      <w:r>
        <w:rPr>
          <w:rFonts w:eastAsia="宋体"/>
          <w:b/>
          <w:bCs/>
          <w:color w:val="auto"/>
          <w:sz w:val="24"/>
        </w:rPr>
        <w:t>相对位置</w:t>
      </w:r>
      <w:r>
        <w:rPr>
          <w:rFonts w:hint="eastAsia" w:eastAsia="宋体"/>
          <w:b/>
          <w:bCs/>
          <w:color w:val="auto"/>
          <w:sz w:val="24"/>
        </w:rPr>
        <w:t>图</w:t>
      </w:r>
    </w:p>
    <w:bookmarkEnd w:id="72"/>
    <w:bookmarkEnd w:id="73"/>
    <w:bookmarkEnd w:id="74"/>
    <w:bookmarkEnd w:id="75"/>
    <w:bookmarkEnd w:id="76"/>
    <w:bookmarkEnd w:id="77"/>
    <w:bookmarkEnd w:id="78"/>
    <w:bookmarkEnd w:id="79"/>
    <w:p w14:paraId="57618203">
      <w:pPr>
        <w:pStyle w:val="57"/>
        <w:numPr>
          <w:ilvl w:val="0"/>
          <w:numId w:val="0"/>
        </w:numPr>
        <w:spacing w:before="156" w:beforeLines="50" w:after="156" w:afterLines="50"/>
        <w:rPr>
          <w:rFonts w:hint="eastAsia" w:eastAsia="宋体"/>
          <w:color w:val="auto"/>
          <w:sz w:val="30"/>
        </w:rPr>
      </w:pPr>
      <w:bookmarkStart w:id="80" w:name="_Toc30279"/>
      <w:r>
        <w:rPr>
          <w:rFonts w:hint="eastAsia" w:eastAsia="宋体"/>
          <w:color w:val="auto"/>
          <w:sz w:val="30"/>
        </w:rPr>
        <w:t>8.</w:t>
      </w:r>
      <w:r>
        <w:rPr>
          <w:rFonts w:hint="eastAsia" w:eastAsia="宋体"/>
          <w:color w:val="auto"/>
          <w:sz w:val="30"/>
          <w:lang w:val="en-US" w:eastAsia="zh-CN"/>
        </w:rPr>
        <w:t>4与</w:t>
      </w:r>
      <w:r>
        <w:rPr>
          <w:rFonts w:hint="eastAsia" w:eastAsia="宋体"/>
          <w:color w:val="auto"/>
          <w:sz w:val="30"/>
        </w:rPr>
        <w:t>《西安市“十四五”水务发展规划》相符性分析</w:t>
      </w:r>
      <w:bookmarkEnd w:id="80"/>
    </w:p>
    <w:p w14:paraId="109D6D27">
      <w:pPr>
        <w:pStyle w:val="46"/>
        <w:ind w:firstLine="480"/>
        <w:rPr>
          <w:rFonts w:hint="default" w:eastAsia="宋体"/>
          <w:color w:val="auto"/>
          <w:sz w:val="24"/>
          <w:lang w:val="en-US" w:eastAsia="zh-CN"/>
        </w:rPr>
      </w:pPr>
      <w:r>
        <w:rPr>
          <w:rFonts w:hint="eastAsia" w:eastAsia="宋体"/>
          <w:color w:val="auto"/>
          <w:sz w:val="24"/>
        </w:rPr>
        <w:t>根据《西安市“十四五”水务发展规划》</w:t>
      </w:r>
      <w:r>
        <w:rPr>
          <w:rFonts w:hint="eastAsia" w:eastAsia="宋体"/>
          <w:color w:val="auto"/>
          <w:sz w:val="24"/>
          <w:lang w:val="en-US" w:eastAsia="zh-CN"/>
        </w:rPr>
        <w:t>中</w:t>
      </w:r>
      <w:r>
        <w:rPr>
          <w:rFonts w:hint="eastAsia" w:eastAsia="宋体"/>
          <w:color w:val="auto"/>
          <w:sz w:val="24"/>
          <w:lang w:eastAsia="zh-CN"/>
        </w:rPr>
        <w:t>“</w:t>
      </w:r>
      <w:r>
        <w:rPr>
          <w:rFonts w:hint="eastAsia" w:eastAsia="宋体"/>
          <w:color w:val="auto"/>
          <w:sz w:val="24"/>
        </w:rPr>
        <w:t>进一步完善西安市调水、输水网络，重点建设引汉济渭调蓄水库、泥峪河水库等5个水源工程，启动承接近期引汉济渭来水输配水工程建设。完善水厂和管网配套设施，打通渭河、灞河天然地形地势分割，完善互联互通供水通道。</w:t>
      </w:r>
      <w:r>
        <w:rPr>
          <w:rFonts w:hint="eastAsia" w:eastAsia="宋体"/>
          <w:color w:val="auto"/>
          <w:sz w:val="24"/>
          <w:lang w:eastAsia="zh-CN"/>
        </w:rPr>
        <w:t>”</w:t>
      </w:r>
      <w:r>
        <w:rPr>
          <w:rFonts w:hint="eastAsia" w:eastAsia="宋体"/>
          <w:color w:val="auto"/>
          <w:sz w:val="24"/>
          <w:lang w:val="en-US" w:eastAsia="zh-CN"/>
        </w:rPr>
        <w:t>水厂</w:t>
      </w:r>
      <w:r>
        <w:rPr>
          <w:rFonts w:hint="eastAsia" w:eastAsia="宋体"/>
          <w:color w:val="auto"/>
          <w:sz w:val="24"/>
          <w:lang w:eastAsia="zh-CN"/>
        </w:rPr>
        <w:t>取水依托西南郊水厂引水工程的管道，该引水工程属于“十四五”期间重点实施的水源工程，</w:t>
      </w:r>
      <w:r>
        <w:rPr>
          <w:rFonts w:hint="eastAsia" w:eastAsia="宋体"/>
          <w:color w:val="auto"/>
          <w:sz w:val="24"/>
          <w:lang w:val="en-US" w:eastAsia="zh-CN"/>
        </w:rPr>
        <w:t>进一步完善西安</w:t>
      </w:r>
      <w:r>
        <w:rPr>
          <w:rFonts w:hint="eastAsia" w:eastAsia="宋体"/>
          <w:color w:val="auto"/>
          <w:sz w:val="24"/>
        </w:rPr>
        <w:t>供水基础设施网络系统。</w:t>
      </w:r>
      <w:r>
        <w:rPr>
          <w:rFonts w:hint="eastAsia" w:eastAsia="宋体"/>
          <w:color w:val="auto"/>
          <w:sz w:val="24"/>
          <w:lang w:val="en-US" w:eastAsia="zh-CN"/>
        </w:rPr>
        <w:t>因此符合该发展规划要求。</w:t>
      </w:r>
    </w:p>
    <w:p w14:paraId="1DD189DA">
      <w:pPr>
        <w:pStyle w:val="57"/>
        <w:numPr>
          <w:ilvl w:val="0"/>
          <w:numId w:val="0"/>
        </w:numPr>
        <w:spacing w:before="156" w:beforeLines="50" w:after="156" w:afterLines="50"/>
        <w:rPr>
          <w:rFonts w:eastAsia="宋体"/>
          <w:color w:val="auto"/>
          <w:sz w:val="30"/>
        </w:rPr>
      </w:pPr>
      <w:bookmarkStart w:id="81" w:name="_Toc31586"/>
      <w:r>
        <w:rPr>
          <w:rFonts w:hint="eastAsia" w:eastAsia="宋体"/>
          <w:color w:val="auto"/>
          <w:sz w:val="30"/>
          <w:lang w:val="en-US" w:eastAsia="zh-CN"/>
        </w:rPr>
        <w:t>8.5</w:t>
      </w:r>
      <w:r>
        <w:rPr>
          <w:rFonts w:hint="eastAsia" w:eastAsia="宋体"/>
          <w:color w:val="auto"/>
          <w:sz w:val="30"/>
        </w:rPr>
        <w:t>项目</w:t>
      </w:r>
      <w:r>
        <w:rPr>
          <w:rFonts w:eastAsia="宋体"/>
          <w:color w:val="auto"/>
          <w:sz w:val="30"/>
        </w:rPr>
        <w:t>设置合理性分析</w:t>
      </w:r>
      <w:bookmarkEnd w:id="81"/>
    </w:p>
    <w:p w14:paraId="18141873">
      <w:pPr>
        <w:pStyle w:val="46"/>
        <w:ind w:firstLine="480"/>
        <w:rPr>
          <w:rFonts w:eastAsia="宋体"/>
          <w:color w:val="auto"/>
          <w:sz w:val="24"/>
        </w:rPr>
      </w:pPr>
      <w:r>
        <w:rPr>
          <w:rFonts w:hint="eastAsia" w:eastAsia="宋体"/>
          <w:color w:val="auto"/>
          <w:sz w:val="24"/>
        </w:rPr>
        <w:t>根据上述分析，项目符合产业政策；排污口设在</w:t>
      </w:r>
      <w:r>
        <w:rPr>
          <w:rFonts w:hint="eastAsia" w:eastAsia="宋体"/>
          <w:color w:val="auto"/>
          <w:sz w:val="24"/>
          <w:lang w:val="en-US" w:eastAsia="zh-CN"/>
        </w:rPr>
        <w:t>新河右</w:t>
      </w:r>
      <w:r>
        <w:rPr>
          <w:rFonts w:hint="eastAsia" w:eastAsia="宋体"/>
          <w:color w:val="auto"/>
          <w:sz w:val="24"/>
        </w:rPr>
        <w:t>岸，排污口的设置符合相关法律法规。</w:t>
      </w:r>
    </w:p>
    <w:p w14:paraId="0543FBCA">
      <w:pPr>
        <w:pStyle w:val="46"/>
        <w:ind w:firstLine="480"/>
        <w:rPr>
          <w:rFonts w:eastAsia="宋体"/>
          <w:color w:val="auto"/>
          <w:sz w:val="24"/>
        </w:rPr>
      </w:pPr>
      <w:r>
        <w:rPr>
          <w:rFonts w:hint="eastAsia" w:eastAsia="宋体"/>
          <w:color w:val="auto"/>
          <w:sz w:val="24"/>
        </w:rPr>
        <w:t>根据</w:t>
      </w:r>
      <w:r>
        <w:rPr>
          <w:rFonts w:eastAsia="宋体"/>
          <w:color w:val="auto"/>
          <w:sz w:val="24"/>
        </w:rPr>
        <w:t>水环境影响预测结果</w:t>
      </w:r>
      <w:r>
        <w:rPr>
          <w:rFonts w:hint="eastAsia" w:eastAsia="宋体"/>
          <w:color w:val="auto"/>
          <w:sz w:val="24"/>
        </w:rPr>
        <w:t>，经预测本项目</w:t>
      </w:r>
      <w:r>
        <w:rPr>
          <w:rFonts w:hint="eastAsia" w:eastAsia="宋体"/>
          <w:color w:val="auto"/>
          <w:sz w:val="24"/>
          <w:lang w:val="en-US" w:eastAsia="zh-CN"/>
        </w:rPr>
        <w:t>综合废水</w:t>
      </w:r>
      <w:r>
        <w:rPr>
          <w:rFonts w:hint="eastAsia" w:eastAsia="宋体"/>
          <w:color w:val="auto"/>
          <w:sz w:val="24"/>
        </w:rPr>
        <w:t>排入新河后，可达到《地表水环境质量标准》（HJ2.3-2018）中IV类标准，下游</w:t>
      </w:r>
      <w:r>
        <w:rPr>
          <w:rFonts w:hint="eastAsia" w:eastAsia="宋体"/>
          <w:color w:val="auto"/>
          <w:sz w:val="24"/>
          <w:lang w:val="en-US" w:eastAsia="zh-CN"/>
        </w:rPr>
        <w:t>16.4</w:t>
      </w:r>
      <w:r>
        <w:rPr>
          <w:rFonts w:hint="eastAsia" w:eastAsia="宋体"/>
          <w:color w:val="auto"/>
          <w:sz w:val="24"/>
        </w:rPr>
        <w:t>km的新河文涝路断面（省控断面，本论证范围终止断面）处均满足《地表水环境质量标准》（GB3838-2002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类标准限值，对论证范围水体环境影响较小。</w:t>
      </w:r>
      <w:r>
        <w:rPr>
          <w:rFonts w:hint="eastAsia" w:eastAsia="宋体"/>
          <w:color w:val="auto"/>
          <w:sz w:val="24"/>
          <w:lang w:eastAsia="zh-CN"/>
        </w:rPr>
        <w:t>本项目</w:t>
      </w:r>
      <w:r>
        <w:rPr>
          <w:rFonts w:hint="eastAsia" w:eastAsia="宋体"/>
          <w:color w:val="auto"/>
          <w:sz w:val="24"/>
          <w:lang w:val="en-US" w:eastAsia="zh-CN"/>
        </w:rPr>
        <w:t>综合废水</w:t>
      </w:r>
      <w:r>
        <w:rPr>
          <w:rFonts w:hint="eastAsia" w:eastAsia="宋体"/>
          <w:color w:val="auto"/>
          <w:sz w:val="24"/>
          <w:lang w:eastAsia="zh-CN"/>
        </w:rPr>
        <w:t>正常排放对水环境影响较小，非正常工况下，对地表水水质、省控断面的影响非常大，建设单位在管理中，应加强对污水处理站的日常维护，确保设备设施运转正常，避免事故状态的发生，采用双路供电，污水处理关键设备均应有备用设备，一旦设备发生故障，应尽快启动备用设备，防止污水处理站停运。杜绝超标废水外排，以确保下游新河水环境质量。</w:t>
      </w:r>
    </w:p>
    <w:p w14:paraId="7F24697C">
      <w:pPr>
        <w:pStyle w:val="46"/>
        <w:ind w:firstLine="480"/>
        <w:rPr>
          <w:rFonts w:eastAsia="宋体"/>
          <w:color w:val="auto"/>
          <w:sz w:val="24"/>
        </w:rPr>
      </w:pPr>
      <w:r>
        <w:rPr>
          <w:rFonts w:hint="eastAsia" w:eastAsia="宋体"/>
          <w:color w:val="auto"/>
          <w:sz w:val="24"/>
        </w:rPr>
        <w:t>因此，在落实相应的环保措施、风险防范措施及应急治理措施的前提下，排污口设置是可行的。</w:t>
      </w:r>
    </w:p>
    <w:p w14:paraId="751B05F5">
      <w:pPr>
        <w:pStyle w:val="59"/>
        <w:numPr>
          <w:ilvl w:val="0"/>
          <w:numId w:val="0"/>
        </w:numPr>
        <w:spacing w:before="156" w:after="156"/>
        <w:rPr>
          <w:rFonts w:eastAsia="宋体"/>
          <w:color w:val="auto"/>
          <w:sz w:val="32"/>
        </w:rPr>
      </w:pPr>
      <w:bookmarkStart w:id="82" w:name="_Toc12384"/>
      <w:r>
        <w:rPr>
          <w:rFonts w:eastAsia="宋体"/>
          <w:color w:val="auto"/>
          <w:sz w:val="32"/>
        </w:rPr>
        <w:t>9入河排污口设置论证结论与建议</w:t>
      </w:r>
      <w:bookmarkEnd w:id="82"/>
    </w:p>
    <w:p w14:paraId="1B82783B">
      <w:pPr>
        <w:pStyle w:val="57"/>
        <w:numPr>
          <w:ilvl w:val="0"/>
          <w:numId w:val="0"/>
        </w:numPr>
        <w:spacing w:before="156" w:beforeLines="50" w:after="156" w:afterLines="50"/>
        <w:rPr>
          <w:rFonts w:eastAsia="宋体"/>
          <w:color w:val="auto"/>
          <w:sz w:val="30"/>
        </w:rPr>
      </w:pPr>
      <w:bookmarkStart w:id="83" w:name="_Toc512677653"/>
      <w:bookmarkStart w:id="84" w:name="_Toc301275639"/>
      <w:bookmarkStart w:id="85" w:name="_Toc294555541"/>
      <w:bookmarkStart w:id="86" w:name="_Toc13861"/>
      <w:r>
        <w:rPr>
          <w:rFonts w:eastAsia="宋体"/>
          <w:color w:val="auto"/>
          <w:sz w:val="30"/>
        </w:rPr>
        <w:t>9.1结论</w:t>
      </w:r>
      <w:bookmarkEnd w:id="83"/>
      <w:bookmarkEnd w:id="84"/>
      <w:bookmarkEnd w:id="85"/>
      <w:bookmarkEnd w:id="86"/>
    </w:p>
    <w:p w14:paraId="2A863387">
      <w:pPr>
        <w:pStyle w:val="61"/>
        <w:numPr>
          <w:ilvl w:val="0"/>
          <w:numId w:val="0"/>
        </w:numPr>
        <w:spacing w:before="0" w:after="0"/>
        <w:rPr>
          <w:rFonts w:eastAsia="宋体"/>
          <w:color w:val="auto"/>
        </w:rPr>
      </w:pPr>
      <w:r>
        <w:rPr>
          <w:rFonts w:eastAsia="宋体"/>
          <w:color w:val="auto"/>
        </w:rPr>
        <w:t>9.1.1</w:t>
      </w:r>
      <w:r>
        <w:rPr>
          <w:rFonts w:hint="eastAsia" w:eastAsia="宋体"/>
          <w:color w:val="auto"/>
        </w:rPr>
        <w:t>入河排污口位置及类型</w:t>
      </w:r>
    </w:p>
    <w:p w14:paraId="4A347CAE">
      <w:pPr>
        <w:pStyle w:val="46"/>
        <w:ind w:firstLine="480"/>
        <w:rPr>
          <w:rFonts w:hint="eastAsia" w:eastAsia="宋体"/>
          <w:color w:val="auto"/>
          <w:sz w:val="24"/>
        </w:rPr>
      </w:pPr>
      <w:r>
        <w:rPr>
          <w:rFonts w:hint="eastAsia" w:eastAsia="宋体"/>
          <w:color w:val="auto"/>
          <w:sz w:val="24"/>
        </w:rPr>
        <w:t>西安市西南郊水厂近期工程第一阶段项目</w:t>
      </w:r>
      <w:r>
        <w:rPr>
          <w:rFonts w:hint="eastAsia" w:eastAsia="宋体"/>
          <w:color w:val="auto"/>
          <w:sz w:val="24"/>
          <w:lang w:val="en-US" w:eastAsia="zh-CN"/>
        </w:rPr>
        <w:t>废水</w:t>
      </w:r>
      <w:r>
        <w:rPr>
          <w:rFonts w:hint="eastAsia" w:eastAsia="宋体"/>
          <w:color w:val="auto"/>
          <w:sz w:val="24"/>
        </w:rPr>
        <w:t>管道选用DN1800mm球墨铸铁管下穿</w:t>
      </w:r>
      <w:r>
        <w:rPr>
          <w:rFonts w:hint="eastAsia" w:eastAsia="宋体"/>
          <w:color w:val="auto"/>
          <w:sz w:val="24"/>
          <w:lang w:val="en-US" w:eastAsia="zh-CN"/>
        </w:rPr>
        <w:t>新河</w:t>
      </w:r>
      <w:r>
        <w:rPr>
          <w:rFonts w:hint="eastAsia" w:eastAsia="宋体"/>
          <w:color w:val="auto"/>
          <w:sz w:val="24"/>
        </w:rPr>
        <w:t>堤岸，排放的废水主要为生产废水和生活污水。</w:t>
      </w:r>
      <w:r>
        <w:rPr>
          <w:rFonts w:hint="eastAsia" w:eastAsia="宋体"/>
          <w:color w:val="auto"/>
          <w:sz w:val="24"/>
          <w:lang w:val="en-US" w:eastAsia="zh-CN"/>
        </w:rPr>
        <w:t>废水</w:t>
      </w:r>
      <w:r>
        <w:rPr>
          <w:rFonts w:hint="eastAsia" w:eastAsia="宋体"/>
          <w:color w:val="auto"/>
          <w:sz w:val="24"/>
        </w:rPr>
        <w:t>排放口位于</w:t>
      </w:r>
      <w:r>
        <w:rPr>
          <w:rFonts w:hint="eastAsia" w:eastAsia="宋体"/>
          <w:color w:val="auto"/>
          <w:sz w:val="24"/>
          <w:lang w:val="en-US" w:eastAsia="zh-CN"/>
        </w:rPr>
        <w:t>新河右</w:t>
      </w:r>
      <w:r>
        <w:rPr>
          <w:rFonts w:hint="eastAsia" w:eastAsia="宋体"/>
          <w:color w:val="auto"/>
          <w:sz w:val="24"/>
        </w:rPr>
        <w:t>岸</w:t>
      </w:r>
      <w:r>
        <w:rPr>
          <w:rFonts w:hint="eastAsia" w:eastAsia="宋体"/>
          <w:color w:val="auto"/>
          <w:sz w:val="24"/>
          <w:lang w:val="en-US" w:eastAsia="zh-CN"/>
        </w:rPr>
        <w:t>距西厂界约35m处。河道坡度较缓，采用钢筋混凝土出水口。废水总排口经纬度</w:t>
      </w:r>
      <w:r>
        <w:rPr>
          <w:rFonts w:hint="default" w:eastAsia="宋体"/>
          <w:color w:val="auto"/>
          <w:sz w:val="24"/>
          <w:lang w:val="en-US" w:eastAsia="zh-CN"/>
        </w:rPr>
        <w:t>：E</w:t>
      </w:r>
      <w:r>
        <w:rPr>
          <w:rFonts w:hint="eastAsia" w:eastAsia="宋体"/>
          <w:color w:val="auto"/>
          <w:sz w:val="24"/>
          <w:lang w:val="en-US" w:eastAsia="zh-CN"/>
        </w:rPr>
        <w:t xml:space="preserve"> </w:t>
      </w:r>
      <w:r>
        <w:rPr>
          <w:rFonts w:hint="default" w:eastAsia="宋体"/>
          <w:color w:val="auto"/>
          <w:sz w:val="24"/>
          <w:lang w:val="en-US" w:eastAsia="zh-CN"/>
        </w:rPr>
        <w:t>108°38′18.789″</w:t>
      </w:r>
      <w:r>
        <w:rPr>
          <w:rFonts w:hint="eastAsia" w:eastAsia="宋体"/>
          <w:color w:val="auto"/>
          <w:sz w:val="24"/>
          <w:lang w:val="en-US" w:eastAsia="zh-CN"/>
        </w:rPr>
        <w:t>，</w:t>
      </w:r>
      <w:r>
        <w:rPr>
          <w:rFonts w:hint="default" w:eastAsia="宋体"/>
          <w:color w:val="auto"/>
          <w:sz w:val="24"/>
          <w:lang w:val="en-US" w:eastAsia="zh-CN"/>
        </w:rPr>
        <w:t>N</w:t>
      </w:r>
      <w:r>
        <w:rPr>
          <w:rFonts w:hint="eastAsia" w:eastAsia="宋体"/>
          <w:color w:val="auto"/>
          <w:sz w:val="24"/>
          <w:lang w:val="en-US" w:eastAsia="zh-CN"/>
        </w:rPr>
        <w:t xml:space="preserve"> </w:t>
      </w:r>
      <w:r>
        <w:rPr>
          <w:rFonts w:hint="default" w:eastAsia="宋体"/>
          <w:color w:val="auto"/>
          <w:sz w:val="24"/>
          <w:lang w:val="en-US" w:eastAsia="zh-CN"/>
        </w:rPr>
        <w:t>34°1′48.377″</w:t>
      </w:r>
      <w:r>
        <w:rPr>
          <w:rFonts w:hint="eastAsia" w:eastAsia="宋体"/>
          <w:color w:val="auto"/>
          <w:sz w:val="24"/>
          <w:lang w:val="en-US" w:eastAsia="zh-CN"/>
        </w:rPr>
        <w:t>。</w:t>
      </w:r>
    </w:p>
    <w:p w14:paraId="71ED41A0">
      <w:pPr>
        <w:pStyle w:val="61"/>
        <w:numPr>
          <w:ilvl w:val="0"/>
          <w:numId w:val="0"/>
        </w:numPr>
        <w:spacing w:before="0" w:after="0"/>
        <w:rPr>
          <w:rFonts w:eastAsia="宋体"/>
          <w:color w:val="auto"/>
        </w:rPr>
      </w:pPr>
      <w:r>
        <w:rPr>
          <w:rFonts w:eastAsia="宋体"/>
          <w:color w:val="auto"/>
        </w:rPr>
        <w:t>9.1.2</w:t>
      </w:r>
      <w:r>
        <w:rPr>
          <w:rFonts w:hint="eastAsia" w:eastAsia="宋体"/>
          <w:color w:val="auto"/>
        </w:rPr>
        <w:t>入河排污口污染物排放量</w:t>
      </w:r>
    </w:p>
    <w:p w14:paraId="607B7F4F">
      <w:pPr>
        <w:pStyle w:val="46"/>
        <w:ind w:firstLine="480"/>
        <w:rPr>
          <w:rFonts w:eastAsia="宋体"/>
          <w:color w:val="auto"/>
          <w:sz w:val="24"/>
        </w:rPr>
      </w:pPr>
      <w:r>
        <w:rPr>
          <w:rFonts w:eastAsia="宋体"/>
          <w:color w:val="auto"/>
          <w:sz w:val="24"/>
        </w:rPr>
        <w:t>根据</w:t>
      </w:r>
      <w:r>
        <w:rPr>
          <w:rFonts w:hint="eastAsia" w:eastAsia="宋体"/>
          <w:color w:val="auto"/>
          <w:sz w:val="24"/>
          <w:lang w:val="en-US" w:eastAsia="zh-CN"/>
        </w:rPr>
        <w:t>水厂一期</w:t>
      </w:r>
      <w:r>
        <w:rPr>
          <w:rFonts w:eastAsia="宋体"/>
          <w:color w:val="auto"/>
          <w:sz w:val="24"/>
        </w:rPr>
        <w:t>的设计规模及排放浓度可以计算出污染物质的排放总量。本工程建成后的实际排放水量为</w:t>
      </w:r>
      <w:r>
        <w:rPr>
          <w:rFonts w:hint="eastAsia" w:eastAsia="宋体"/>
          <w:color w:val="auto"/>
          <w:sz w:val="24"/>
          <w:lang w:val="en-US" w:eastAsia="zh-CN"/>
        </w:rPr>
        <w:t>1180.08m</w:t>
      </w:r>
      <w:r>
        <w:rPr>
          <w:rFonts w:hint="eastAsia" w:eastAsia="宋体"/>
          <w:color w:val="auto"/>
          <w:sz w:val="24"/>
          <w:vertAlign w:val="superscript"/>
          <w:lang w:val="en-US" w:eastAsia="zh-CN"/>
        </w:rPr>
        <w:t>3</w:t>
      </w:r>
      <w:r>
        <w:rPr>
          <w:rFonts w:eastAsia="宋体"/>
          <w:color w:val="auto"/>
          <w:sz w:val="24"/>
        </w:rPr>
        <w:t>/d，年排放水量</w:t>
      </w:r>
      <w:r>
        <w:rPr>
          <w:rFonts w:hint="eastAsia" w:eastAsia="宋体"/>
          <w:color w:val="auto"/>
          <w:sz w:val="24"/>
          <w:lang w:val="en-US" w:eastAsia="zh-CN"/>
        </w:rPr>
        <w:t>430729.2m</w:t>
      </w:r>
      <w:r>
        <w:rPr>
          <w:rFonts w:hint="eastAsia" w:eastAsia="宋体"/>
          <w:color w:val="auto"/>
          <w:sz w:val="24"/>
          <w:vertAlign w:val="superscript"/>
          <w:lang w:val="en-US" w:eastAsia="zh-CN"/>
        </w:rPr>
        <w:t>3</w:t>
      </w:r>
      <w:r>
        <w:rPr>
          <w:rFonts w:eastAsia="宋体"/>
          <w:color w:val="auto"/>
          <w:sz w:val="24"/>
        </w:rPr>
        <w:t>/</w:t>
      </w:r>
      <w:r>
        <w:rPr>
          <w:rFonts w:hint="eastAsia" w:eastAsia="宋体"/>
          <w:color w:val="auto"/>
          <w:sz w:val="24"/>
        </w:rPr>
        <w:t>a。</w:t>
      </w:r>
      <w:r>
        <w:rPr>
          <w:rFonts w:eastAsia="宋体"/>
          <w:color w:val="auto"/>
          <w:sz w:val="24"/>
        </w:rPr>
        <w:t>经计算，满负荷投产后，</w:t>
      </w:r>
      <w:r>
        <w:rPr>
          <w:rFonts w:hint="eastAsia" w:eastAsia="宋体"/>
          <w:color w:val="auto"/>
          <w:sz w:val="24"/>
          <w:lang w:val="en-US" w:eastAsia="zh-CN"/>
        </w:rPr>
        <w:t>废水</w:t>
      </w:r>
      <w:r>
        <w:rPr>
          <w:rFonts w:eastAsia="宋体"/>
          <w:color w:val="auto"/>
          <w:sz w:val="24"/>
        </w:rPr>
        <w:t>正常排放情况下</w:t>
      </w:r>
      <w:r>
        <w:rPr>
          <w:rFonts w:hint="eastAsia" w:eastAsia="宋体"/>
          <w:color w:val="auto"/>
          <w:sz w:val="24"/>
        </w:rPr>
        <w:t>，</w:t>
      </w:r>
      <w:r>
        <w:rPr>
          <w:rFonts w:eastAsia="宋体"/>
          <w:color w:val="auto"/>
          <w:sz w:val="24"/>
        </w:rPr>
        <w:t>本项目BOD</w:t>
      </w:r>
      <w:r>
        <w:rPr>
          <w:rFonts w:eastAsia="宋体"/>
          <w:color w:val="auto"/>
          <w:sz w:val="24"/>
          <w:vertAlign w:val="subscript"/>
        </w:rPr>
        <w:t>5</w:t>
      </w:r>
      <w:r>
        <w:rPr>
          <w:rFonts w:eastAsia="宋体"/>
          <w:color w:val="auto"/>
          <w:sz w:val="24"/>
        </w:rPr>
        <w:t>排放总量为</w:t>
      </w:r>
      <w:r>
        <w:rPr>
          <w:rFonts w:hint="eastAsia" w:eastAsia="宋体"/>
          <w:color w:val="auto"/>
          <w:sz w:val="24"/>
          <w:lang w:val="en-US" w:eastAsia="zh-CN"/>
        </w:rPr>
        <w:t>2.62</w:t>
      </w:r>
      <w:r>
        <w:rPr>
          <w:rFonts w:eastAsia="宋体"/>
          <w:color w:val="auto"/>
          <w:sz w:val="24"/>
        </w:rPr>
        <w:t>t/a，SS排放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0.22</w:t>
      </w:r>
      <w:r>
        <w:rPr>
          <w:rFonts w:eastAsia="宋体"/>
          <w:color w:val="auto"/>
          <w:sz w:val="24"/>
        </w:rPr>
        <w:t>t/a</w:t>
      </w:r>
      <w:r>
        <w:rPr>
          <w:rFonts w:hint="eastAsia" w:eastAsia="宋体"/>
          <w:color w:val="auto"/>
          <w:sz w:val="24"/>
        </w:rPr>
        <w:t>，T</w:t>
      </w:r>
      <w:r>
        <w:rPr>
          <w:rFonts w:eastAsia="宋体"/>
          <w:color w:val="auto"/>
          <w:sz w:val="24"/>
        </w:rPr>
        <w:t>N排放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6.44</w:t>
      </w:r>
      <w:r>
        <w:rPr>
          <w:rFonts w:eastAsia="宋体"/>
          <w:color w:val="auto"/>
          <w:sz w:val="24"/>
        </w:rPr>
        <w:t>t/a，TP排放</w:t>
      </w:r>
      <w:r>
        <w:rPr>
          <w:rFonts w:hint="eastAsia" w:eastAsia="宋体"/>
          <w:color w:val="auto"/>
          <w:sz w:val="24"/>
          <w:lang w:eastAsia="zh-CN"/>
        </w:rPr>
        <w:t>总</w:t>
      </w:r>
      <w:r>
        <w:rPr>
          <w:rFonts w:eastAsia="宋体"/>
          <w:color w:val="auto"/>
          <w:sz w:val="24"/>
        </w:rPr>
        <w:t>量为</w:t>
      </w:r>
      <w:r>
        <w:rPr>
          <w:rFonts w:hint="eastAsia" w:eastAsia="宋体"/>
          <w:color w:val="auto"/>
          <w:sz w:val="24"/>
          <w:lang w:val="en-US" w:eastAsia="zh-CN"/>
        </w:rPr>
        <w:t>0.13</w:t>
      </w:r>
      <w:r>
        <w:rPr>
          <w:rFonts w:eastAsia="宋体"/>
          <w:color w:val="auto"/>
          <w:sz w:val="24"/>
        </w:rPr>
        <w:t>t/a</w:t>
      </w:r>
      <w:r>
        <w:rPr>
          <w:rFonts w:hint="eastAsia" w:eastAsia="宋体"/>
          <w:color w:val="auto"/>
          <w:sz w:val="24"/>
          <w:lang w:eastAsia="zh-CN"/>
        </w:rPr>
        <w:t>，</w:t>
      </w:r>
      <w:r>
        <w:rPr>
          <w:rFonts w:eastAsia="宋体"/>
          <w:color w:val="auto"/>
          <w:sz w:val="24"/>
        </w:rPr>
        <w:t>COD排放总量为</w:t>
      </w:r>
      <w:r>
        <w:rPr>
          <w:rFonts w:hint="eastAsia" w:eastAsia="宋体"/>
          <w:color w:val="auto"/>
          <w:sz w:val="24"/>
          <w:lang w:val="en-US" w:eastAsia="zh-CN"/>
        </w:rPr>
        <w:t>12.98</w:t>
      </w:r>
      <w:r>
        <w:rPr>
          <w:rFonts w:eastAsia="宋体"/>
          <w:color w:val="auto"/>
          <w:sz w:val="24"/>
        </w:rPr>
        <w:t>t/a，氨氮排放总量为</w:t>
      </w:r>
      <w:r>
        <w:rPr>
          <w:rFonts w:hint="eastAsia" w:eastAsia="宋体"/>
          <w:color w:val="auto"/>
          <w:sz w:val="24"/>
          <w:lang w:val="en-US" w:eastAsia="zh-CN"/>
        </w:rPr>
        <w:t>0.66</w:t>
      </w:r>
      <w:r>
        <w:rPr>
          <w:rFonts w:eastAsia="宋体"/>
          <w:color w:val="auto"/>
          <w:sz w:val="24"/>
        </w:rPr>
        <w:t>t/a。</w:t>
      </w:r>
    </w:p>
    <w:p w14:paraId="2DB369D4">
      <w:pPr>
        <w:pStyle w:val="61"/>
        <w:numPr>
          <w:ilvl w:val="0"/>
          <w:numId w:val="0"/>
        </w:numPr>
        <w:spacing w:before="0" w:after="0"/>
        <w:rPr>
          <w:rFonts w:eastAsia="宋体"/>
          <w:color w:val="auto"/>
        </w:rPr>
      </w:pPr>
      <w:r>
        <w:rPr>
          <w:rFonts w:eastAsia="宋体"/>
          <w:color w:val="auto"/>
        </w:rPr>
        <w:t>9.1.3</w:t>
      </w:r>
      <w:r>
        <w:rPr>
          <w:rFonts w:hint="eastAsia" w:eastAsia="宋体"/>
          <w:color w:val="auto"/>
        </w:rPr>
        <w:t>污水处理措施及效果评价</w:t>
      </w:r>
    </w:p>
    <w:p w14:paraId="2B3E8684">
      <w:pPr>
        <w:pStyle w:val="46"/>
        <w:ind w:firstLine="480"/>
        <w:rPr>
          <w:rFonts w:hint="eastAsia" w:eastAsia="宋体"/>
          <w:color w:val="auto"/>
          <w:sz w:val="24"/>
        </w:rPr>
      </w:pPr>
      <w:r>
        <w:rPr>
          <w:rFonts w:hint="eastAsia" w:eastAsia="宋体"/>
          <w:b/>
          <w:bCs/>
          <w:color w:val="auto"/>
          <w:sz w:val="24"/>
        </w:rPr>
        <w:t>净水生产：</w:t>
      </w:r>
      <w:r>
        <w:rPr>
          <w:rFonts w:hint="eastAsia" w:eastAsia="宋体"/>
          <w:color w:val="auto"/>
          <w:sz w:val="24"/>
        </w:rPr>
        <w:t>采用“预加氯+沉砂+混凝+沉淀及砂滤+次氯酸钠消毒”工艺。</w:t>
      </w:r>
    </w:p>
    <w:p w14:paraId="3636508C">
      <w:pPr>
        <w:pStyle w:val="46"/>
        <w:ind w:firstLine="480"/>
        <w:rPr>
          <w:rFonts w:hint="eastAsia" w:eastAsia="宋体"/>
          <w:color w:val="auto"/>
          <w:sz w:val="24"/>
        </w:rPr>
      </w:pPr>
      <w:r>
        <w:rPr>
          <w:rFonts w:hint="eastAsia" w:eastAsia="宋体"/>
          <w:b/>
          <w:bCs/>
          <w:color w:val="auto"/>
          <w:sz w:val="24"/>
        </w:rPr>
        <w:t>生活污水：</w:t>
      </w:r>
      <w:r>
        <w:rPr>
          <w:rFonts w:hint="eastAsia" w:eastAsia="宋体"/>
          <w:color w:val="auto"/>
          <w:sz w:val="24"/>
        </w:rPr>
        <w:t>食堂废水经油水分离器隔油处理后与其它生活污水混合进入化粪池，进入生活污水一体化处理装置处理（A/O+MBR工艺+消毒工艺处理），处理规模为30m3/d，达标后由厂区西北角总排放口DW001排放至新河。</w:t>
      </w:r>
    </w:p>
    <w:p w14:paraId="461EA096">
      <w:pPr>
        <w:pStyle w:val="46"/>
        <w:ind w:firstLine="480"/>
        <w:rPr>
          <w:rFonts w:hint="eastAsia" w:eastAsia="宋体"/>
          <w:color w:val="auto"/>
          <w:sz w:val="24"/>
        </w:rPr>
      </w:pPr>
      <w:r>
        <w:rPr>
          <w:rFonts w:hint="eastAsia" w:eastAsia="宋体"/>
          <w:b/>
          <w:bCs/>
          <w:color w:val="auto"/>
          <w:sz w:val="24"/>
        </w:rPr>
        <w:t>生产废水：</w:t>
      </w:r>
      <w:r>
        <w:rPr>
          <w:rFonts w:hint="eastAsia" w:eastAsia="宋体"/>
          <w:color w:val="auto"/>
          <w:sz w:val="24"/>
        </w:rPr>
        <w:t>主要为污泥的压滤液，离心脱水机进泥含水率约为98%，压滤后的泥饼含水率＜80%，离心脱水机分离效率约为98%，进入生产废水一体化处理装置处理（混凝沉淀+曝气生物滤池+消毒工艺处理），处理规模为1200m³/d，达标后由厂区西北角总排放口DW001排放至新河。</w:t>
      </w:r>
    </w:p>
    <w:p w14:paraId="480436D8">
      <w:pPr>
        <w:pStyle w:val="46"/>
        <w:ind w:firstLine="480"/>
        <w:rPr>
          <w:rFonts w:hint="eastAsia" w:eastAsia="宋体"/>
          <w:color w:val="auto"/>
          <w:sz w:val="24"/>
        </w:rPr>
      </w:pPr>
      <w:r>
        <w:rPr>
          <w:rFonts w:hint="eastAsia" w:eastAsia="宋体"/>
          <w:color w:val="auto"/>
          <w:sz w:val="24"/>
        </w:rPr>
        <w:t>处理后</w:t>
      </w:r>
      <w:r>
        <w:rPr>
          <w:rFonts w:hint="eastAsia" w:eastAsia="宋体"/>
          <w:color w:val="auto"/>
          <w:sz w:val="24"/>
          <w:lang w:val="en-US" w:eastAsia="zh-CN"/>
        </w:rPr>
        <w:t>综合废水</w:t>
      </w:r>
      <w:r>
        <w:rPr>
          <w:rFonts w:hint="eastAsia" w:eastAsia="宋体"/>
          <w:color w:val="auto"/>
          <w:sz w:val="24"/>
        </w:rPr>
        <w:t>达到《陕西省黄河流域污水综合排放标准》（DB61/224-2018）中表2的标准限值（其中悬浮物参照表1中标准）后排入</w:t>
      </w:r>
      <w:r>
        <w:rPr>
          <w:rFonts w:hint="eastAsia" w:eastAsia="宋体"/>
          <w:color w:val="auto"/>
          <w:sz w:val="24"/>
          <w:lang w:val="en-US" w:eastAsia="zh-CN"/>
        </w:rPr>
        <w:t>新</w:t>
      </w:r>
      <w:r>
        <w:rPr>
          <w:rFonts w:hint="eastAsia" w:eastAsia="宋体"/>
          <w:color w:val="auto"/>
          <w:sz w:val="24"/>
        </w:rPr>
        <w:t>河。</w:t>
      </w:r>
    </w:p>
    <w:p w14:paraId="756E27F4">
      <w:pPr>
        <w:pStyle w:val="61"/>
        <w:numPr>
          <w:ilvl w:val="0"/>
          <w:numId w:val="0"/>
        </w:numPr>
        <w:spacing w:before="0" w:after="0"/>
        <w:rPr>
          <w:rFonts w:eastAsia="宋体"/>
          <w:color w:val="auto"/>
        </w:rPr>
      </w:pPr>
      <w:r>
        <w:rPr>
          <w:rFonts w:eastAsia="宋体"/>
          <w:color w:val="auto"/>
        </w:rPr>
        <w:t>9.1.4</w:t>
      </w:r>
      <w:r>
        <w:rPr>
          <w:rFonts w:hint="eastAsia" w:eastAsia="宋体"/>
          <w:color w:val="auto"/>
        </w:rPr>
        <w:t>项目排放对水功能区水质的影响</w:t>
      </w:r>
    </w:p>
    <w:p w14:paraId="68BB50AA">
      <w:pPr>
        <w:spacing w:line="500" w:lineRule="exact"/>
        <w:ind w:firstLine="480" w:firstLineChars="200"/>
        <w:rPr>
          <w:rFonts w:eastAsia="宋体"/>
          <w:color w:val="auto"/>
          <w:sz w:val="24"/>
        </w:rPr>
      </w:pPr>
      <w:r>
        <w:rPr>
          <w:rFonts w:hint="eastAsia"/>
          <w:color w:val="auto"/>
          <w:sz w:val="24"/>
          <w:lang w:val="en-US" w:eastAsia="zh-CN"/>
        </w:rPr>
        <w:t>本项目</w:t>
      </w:r>
      <w:r>
        <w:rPr>
          <w:rFonts w:hint="eastAsia" w:eastAsia="宋体"/>
          <w:color w:val="auto"/>
          <w:sz w:val="24"/>
        </w:rPr>
        <w:t>排污入新河排污控制区，于新河文涝路出鄠邑区，最终于西咸新区沣西新城流入渭河。经预测，到本论证入河排污口下游</w:t>
      </w:r>
      <w:r>
        <w:rPr>
          <w:rFonts w:hint="eastAsia"/>
          <w:color w:val="auto"/>
          <w:sz w:val="24"/>
          <w:lang w:val="en-US" w:eastAsia="zh-CN"/>
        </w:rPr>
        <w:t>16.4</w:t>
      </w:r>
      <w:r>
        <w:rPr>
          <w:rFonts w:hint="eastAsia" w:eastAsia="宋体"/>
          <w:color w:val="auto"/>
          <w:sz w:val="24"/>
        </w:rPr>
        <w:t>km的新河文涝路断面（省控断面，本论证范围终止断面）处均满足《地表水环境质量标准》（GB3838-2002）</w:t>
      </w:r>
      <w:r>
        <w:rPr>
          <w:rFonts w:hint="default" w:ascii="Times New Roman" w:hAnsi="Times New Roman" w:eastAsia="宋体" w:cs="Times New Roman"/>
          <w:color w:val="auto"/>
          <w:sz w:val="24"/>
        </w:rPr>
        <w:t>Ⅳ</w:t>
      </w:r>
      <w:r>
        <w:rPr>
          <w:rFonts w:hint="eastAsia" w:eastAsia="宋体"/>
          <w:color w:val="auto"/>
          <w:sz w:val="24"/>
        </w:rPr>
        <w:t>类标准限值，满足水功能区划目标要求，同时</w:t>
      </w:r>
      <w:r>
        <w:rPr>
          <w:rFonts w:hint="eastAsia"/>
          <w:color w:val="auto"/>
          <w:sz w:val="24"/>
          <w:lang w:val="en-US" w:eastAsia="zh-CN"/>
        </w:rPr>
        <w:t>水厂</w:t>
      </w:r>
      <w:r>
        <w:rPr>
          <w:rFonts w:hint="eastAsia" w:eastAsia="宋体"/>
          <w:color w:val="auto"/>
          <w:sz w:val="24"/>
        </w:rPr>
        <w:t>出水增加河流枯水期的流量，可进一步改善新河水生生态环境。</w:t>
      </w:r>
    </w:p>
    <w:p w14:paraId="34532029">
      <w:pPr>
        <w:pStyle w:val="61"/>
        <w:numPr>
          <w:ilvl w:val="0"/>
          <w:numId w:val="0"/>
        </w:numPr>
        <w:spacing w:before="0" w:after="0"/>
        <w:rPr>
          <w:rFonts w:eastAsia="宋体"/>
          <w:color w:val="auto"/>
        </w:rPr>
      </w:pPr>
      <w:r>
        <w:rPr>
          <w:rFonts w:eastAsia="宋体"/>
          <w:color w:val="auto"/>
        </w:rPr>
        <w:t>9.1.5</w:t>
      </w:r>
      <w:r>
        <w:rPr>
          <w:rFonts w:hint="eastAsia" w:eastAsia="宋体"/>
          <w:color w:val="auto"/>
        </w:rPr>
        <w:t>入河排污口设置结论</w:t>
      </w:r>
    </w:p>
    <w:p w14:paraId="3728EE65">
      <w:pPr>
        <w:pStyle w:val="46"/>
        <w:ind w:firstLine="480"/>
        <w:rPr>
          <w:rFonts w:eastAsia="宋体"/>
          <w:color w:val="auto"/>
          <w:sz w:val="24"/>
        </w:rPr>
      </w:pPr>
      <w:r>
        <w:rPr>
          <w:rFonts w:hint="eastAsia" w:eastAsia="宋体"/>
          <w:color w:val="auto"/>
          <w:sz w:val="24"/>
          <w:lang w:val="en-US" w:eastAsia="zh-CN"/>
        </w:rPr>
        <w:t>综上所述</w:t>
      </w:r>
      <w:r>
        <w:rPr>
          <w:rFonts w:hint="eastAsia" w:eastAsia="宋体"/>
          <w:color w:val="auto"/>
          <w:sz w:val="24"/>
        </w:rPr>
        <w:t>，</w:t>
      </w:r>
      <w:r>
        <w:rPr>
          <w:rFonts w:hint="eastAsia" w:eastAsia="宋体"/>
          <w:color w:val="auto"/>
          <w:sz w:val="24"/>
          <w:lang w:val="en-US" w:eastAsia="zh-CN"/>
        </w:rPr>
        <w:t>本项目</w:t>
      </w:r>
      <w:r>
        <w:rPr>
          <w:rFonts w:hint="eastAsia" w:eastAsia="宋体"/>
          <w:color w:val="auto"/>
          <w:sz w:val="24"/>
        </w:rPr>
        <w:t>排污口设在</w:t>
      </w:r>
      <w:r>
        <w:rPr>
          <w:rFonts w:hint="eastAsia" w:eastAsia="宋体"/>
          <w:color w:val="auto"/>
          <w:sz w:val="24"/>
          <w:lang w:val="en-US" w:eastAsia="zh-CN"/>
        </w:rPr>
        <w:t>新河右</w:t>
      </w:r>
      <w:r>
        <w:rPr>
          <w:rFonts w:hint="eastAsia" w:eastAsia="宋体"/>
          <w:color w:val="auto"/>
          <w:sz w:val="24"/>
        </w:rPr>
        <w:t>岸，排污口的设置符合相关法律法规</w:t>
      </w:r>
      <w:r>
        <w:rPr>
          <w:rFonts w:hint="eastAsia" w:eastAsia="宋体"/>
          <w:color w:val="auto"/>
          <w:sz w:val="24"/>
          <w:lang w:val="en-US" w:eastAsia="zh-CN"/>
        </w:rPr>
        <w:t>及产业政策</w:t>
      </w:r>
      <w:r>
        <w:rPr>
          <w:rFonts w:hint="eastAsia" w:eastAsia="宋体"/>
          <w:color w:val="auto"/>
          <w:sz w:val="24"/>
        </w:rPr>
        <w:t>，设置</w:t>
      </w:r>
      <w:r>
        <w:rPr>
          <w:rFonts w:hint="eastAsia" w:eastAsia="宋体"/>
          <w:color w:val="auto"/>
          <w:sz w:val="24"/>
          <w:lang w:eastAsia="zh-CN"/>
        </w:rPr>
        <w:t>是</w:t>
      </w:r>
      <w:r>
        <w:rPr>
          <w:rFonts w:hint="eastAsia" w:eastAsia="宋体"/>
          <w:color w:val="auto"/>
          <w:sz w:val="24"/>
        </w:rPr>
        <w:t>可行</w:t>
      </w:r>
      <w:r>
        <w:rPr>
          <w:rFonts w:hint="eastAsia" w:eastAsia="宋体"/>
          <w:color w:val="auto"/>
          <w:sz w:val="24"/>
          <w:lang w:eastAsia="zh-CN"/>
        </w:rPr>
        <w:t>的</w:t>
      </w:r>
      <w:r>
        <w:rPr>
          <w:rFonts w:hint="eastAsia" w:eastAsia="宋体"/>
          <w:color w:val="auto"/>
          <w:sz w:val="24"/>
        </w:rPr>
        <w:t>。</w:t>
      </w:r>
    </w:p>
    <w:p w14:paraId="46CC5572">
      <w:pPr>
        <w:pStyle w:val="57"/>
        <w:numPr>
          <w:ilvl w:val="0"/>
          <w:numId w:val="0"/>
        </w:numPr>
        <w:spacing w:before="156" w:beforeLines="50" w:after="156" w:afterLines="50"/>
        <w:rPr>
          <w:rFonts w:eastAsia="宋体"/>
          <w:color w:val="auto"/>
          <w:sz w:val="30"/>
        </w:rPr>
      </w:pPr>
      <w:bookmarkStart w:id="87" w:name="_Toc217195198"/>
      <w:bookmarkStart w:id="88" w:name="_Toc294555542"/>
      <w:bookmarkStart w:id="89" w:name="_Toc165106850"/>
      <w:bookmarkStart w:id="90" w:name="_Toc512677654"/>
      <w:bookmarkStart w:id="91" w:name="_Toc165102301"/>
      <w:bookmarkStart w:id="92" w:name="_Toc8588"/>
      <w:bookmarkStart w:id="93" w:name="_Toc301275640"/>
      <w:bookmarkStart w:id="94" w:name="_Toc163818366"/>
      <w:r>
        <w:rPr>
          <w:rFonts w:eastAsia="宋体"/>
          <w:color w:val="auto"/>
          <w:sz w:val="30"/>
        </w:rPr>
        <w:t>9.2建议</w:t>
      </w:r>
      <w:bookmarkEnd w:id="87"/>
      <w:bookmarkEnd w:id="88"/>
      <w:bookmarkEnd w:id="89"/>
      <w:bookmarkEnd w:id="90"/>
      <w:bookmarkEnd w:id="91"/>
      <w:bookmarkEnd w:id="92"/>
      <w:bookmarkEnd w:id="93"/>
      <w:bookmarkEnd w:id="94"/>
    </w:p>
    <w:p w14:paraId="1C50D8A0">
      <w:pPr>
        <w:pStyle w:val="46"/>
        <w:ind w:firstLine="480"/>
        <w:rPr>
          <w:rFonts w:hint="eastAsia" w:eastAsia="宋体"/>
          <w:color w:val="auto"/>
          <w:sz w:val="24"/>
          <w:lang w:eastAsia="zh-CN"/>
        </w:rPr>
      </w:pPr>
      <w:r>
        <w:rPr>
          <w:rFonts w:hint="eastAsia" w:eastAsia="宋体"/>
          <w:color w:val="auto"/>
          <w:sz w:val="24"/>
        </w:rPr>
        <w:t>（</w:t>
      </w:r>
      <w:r>
        <w:rPr>
          <w:rFonts w:hint="eastAsia" w:eastAsia="宋体"/>
          <w:color w:val="auto"/>
          <w:sz w:val="24"/>
          <w:lang w:val="en-US" w:eastAsia="zh-CN"/>
        </w:rPr>
        <w:t>1</w:t>
      </w:r>
      <w:r>
        <w:rPr>
          <w:rFonts w:hint="eastAsia" w:eastAsia="宋体"/>
          <w:color w:val="auto"/>
          <w:sz w:val="24"/>
        </w:rPr>
        <w:t>）确保</w:t>
      </w:r>
      <w:r>
        <w:rPr>
          <w:rFonts w:hint="eastAsia" w:eastAsia="宋体"/>
          <w:color w:val="auto"/>
          <w:sz w:val="24"/>
          <w:lang w:val="en-US" w:eastAsia="zh-CN"/>
        </w:rPr>
        <w:t>水</w:t>
      </w:r>
      <w:r>
        <w:rPr>
          <w:rFonts w:hint="eastAsia" w:eastAsia="宋体"/>
          <w:color w:val="auto"/>
          <w:sz w:val="24"/>
        </w:rPr>
        <w:t>厂正常运行，建立日常污染物监测方案，加强监测管理，从源头上防止污染物超标排放。建设单位应积极配合和服从水行政主管部门对设置排污口所在水域功能区以及上下游相邻水功能区的管理，建立出水水质监测分析台帐，定期向水行政主管部门报送信息</w:t>
      </w:r>
      <w:r>
        <w:rPr>
          <w:rFonts w:hint="eastAsia" w:eastAsia="宋体"/>
          <w:color w:val="auto"/>
          <w:sz w:val="24"/>
          <w:lang w:eastAsia="zh-CN"/>
        </w:rPr>
        <w:t>。</w:t>
      </w:r>
      <w:r>
        <w:rPr>
          <w:rFonts w:hint="eastAsia" w:eastAsia="宋体"/>
          <w:color w:val="auto"/>
          <w:sz w:val="24"/>
        </w:rPr>
        <w:t>营运期，接受并配合水行政主管部门监测机构定期或不定期的例行监测。</w:t>
      </w:r>
    </w:p>
    <w:p w14:paraId="2A247949">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2</w:t>
      </w:r>
      <w:r>
        <w:rPr>
          <w:rFonts w:hint="eastAsia" w:eastAsia="宋体"/>
          <w:color w:val="auto"/>
          <w:sz w:val="24"/>
          <w:lang w:eastAsia="zh-CN"/>
        </w:rPr>
        <w:t>）</w:t>
      </w:r>
      <w:r>
        <w:rPr>
          <w:rFonts w:hint="eastAsia" w:eastAsia="宋体"/>
          <w:color w:val="auto"/>
          <w:sz w:val="24"/>
        </w:rPr>
        <w:t>拟建的入河排污口处应有明显的标志牌</w:t>
      </w:r>
      <w:r>
        <w:rPr>
          <w:rFonts w:hint="eastAsia" w:eastAsia="宋体"/>
          <w:color w:val="auto"/>
          <w:sz w:val="24"/>
          <w:lang w:eastAsia="zh-CN"/>
        </w:rPr>
        <w:t>，</w:t>
      </w:r>
      <w:r>
        <w:rPr>
          <w:rFonts w:hint="eastAsia" w:eastAsia="宋体"/>
          <w:color w:val="auto"/>
          <w:sz w:val="24"/>
        </w:rPr>
        <w:t>标志牌内容应包括以下资料信息：</w:t>
      </w:r>
    </w:p>
    <w:p w14:paraId="5F75FD0C">
      <w:pPr>
        <w:pStyle w:val="46"/>
        <w:ind w:firstLine="480"/>
        <w:rPr>
          <w:rFonts w:hint="eastAsia" w:eastAsia="宋体"/>
          <w:color w:val="auto"/>
          <w:sz w:val="24"/>
        </w:rPr>
      </w:pPr>
      <w:r>
        <w:rPr>
          <w:rFonts w:hint="eastAsia" w:eastAsia="宋体"/>
          <w:color w:val="auto"/>
          <w:sz w:val="24"/>
        </w:rPr>
        <w:t>①入河排污口编号；</w:t>
      </w:r>
    </w:p>
    <w:p w14:paraId="2966BFBC">
      <w:pPr>
        <w:pStyle w:val="46"/>
        <w:ind w:firstLine="480"/>
        <w:rPr>
          <w:rFonts w:hint="eastAsia" w:eastAsia="宋体"/>
          <w:color w:val="auto"/>
          <w:sz w:val="24"/>
        </w:rPr>
      </w:pPr>
      <w:r>
        <w:rPr>
          <w:rFonts w:hint="eastAsia" w:eastAsia="宋体"/>
          <w:color w:val="auto"/>
          <w:sz w:val="24"/>
        </w:rPr>
        <w:t>②入河排污口名称；</w:t>
      </w:r>
    </w:p>
    <w:p w14:paraId="4E40119B">
      <w:pPr>
        <w:pStyle w:val="46"/>
        <w:ind w:firstLine="480"/>
        <w:rPr>
          <w:rFonts w:hint="eastAsia" w:eastAsia="宋体"/>
          <w:color w:val="auto"/>
          <w:sz w:val="24"/>
        </w:rPr>
      </w:pPr>
      <w:r>
        <w:rPr>
          <w:rFonts w:hint="eastAsia" w:eastAsia="宋体"/>
          <w:color w:val="auto"/>
          <w:sz w:val="24"/>
        </w:rPr>
        <w:t>③入河排污口地理位置及经纬度坐标；</w:t>
      </w:r>
    </w:p>
    <w:p w14:paraId="4914DADB">
      <w:pPr>
        <w:pStyle w:val="46"/>
        <w:ind w:firstLine="480"/>
        <w:rPr>
          <w:rFonts w:hint="eastAsia" w:eastAsia="宋体"/>
          <w:color w:val="auto"/>
          <w:sz w:val="24"/>
        </w:rPr>
      </w:pPr>
      <w:r>
        <w:rPr>
          <w:rFonts w:hint="eastAsia" w:eastAsia="宋体"/>
          <w:color w:val="auto"/>
          <w:sz w:val="24"/>
        </w:rPr>
        <w:t>④排入的水功能区名称及水质保护目标；</w:t>
      </w:r>
    </w:p>
    <w:p w14:paraId="7A5F8D91">
      <w:pPr>
        <w:pStyle w:val="46"/>
        <w:ind w:firstLine="480"/>
        <w:rPr>
          <w:rFonts w:hint="eastAsia" w:eastAsia="宋体"/>
          <w:color w:val="auto"/>
          <w:sz w:val="24"/>
        </w:rPr>
      </w:pPr>
      <w:r>
        <w:rPr>
          <w:rFonts w:hint="eastAsia" w:eastAsia="宋体"/>
          <w:color w:val="auto"/>
          <w:sz w:val="24"/>
        </w:rPr>
        <w:t>⑤入河排污口设置单位；</w:t>
      </w:r>
    </w:p>
    <w:p w14:paraId="3AB0B66B">
      <w:pPr>
        <w:pStyle w:val="46"/>
        <w:ind w:firstLine="480"/>
        <w:rPr>
          <w:rFonts w:hint="eastAsia" w:eastAsia="宋体"/>
          <w:color w:val="auto"/>
          <w:sz w:val="24"/>
        </w:rPr>
      </w:pPr>
      <w:r>
        <w:rPr>
          <w:rFonts w:hint="eastAsia" w:eastAsia="宋体"/>
          <w:color w:val="auto"/>
          <w:sz w:val="24"/>
        </w:rPr>
        <w:t>⑥入河排污口设置审批单位及监督电话。标志牌设置应距入河排污口较近处，可根据情况分别选择设置立式或平面固定式标志牌。</w:t>
      </w:r>
    </w:p>
    <w:p w14:paraId="1B6D2EED">
      <w:pPr>
        <w:pStyle w:val="46"/>
        <w:ind w:firstLine="480"/>
        <w:rPr>
          <w:rFonts w:hint="eastAsia" w:eastAsia="宋体"/>
          <w:color w:val="auto"/>
          <w:sz w:val="24"/>
        </w:rPr>
      </w:pPr>
      <w:r>
        <w:rPr>
          <w:rFonts w:hint="eastAsia" w:eastAsia="宋体"/>
          <w:color w:val="auto"/>
          <w:sz w:val="24"/>
          <w:lang w:eastAsia="zh-CN"/>
        </w:rPr>
        <w:t>（</w:t>
      </w:r>
      <w:r>
        <w:rPr>
          <w:rFonts w:hint="eastAsia" w:eastAsia="宋体"/>
          <w:color w:val="auto"/>
          <w:sz w:val="24"/>
          <w:lang w:val="en-US" w:eastAsia="zh-CN"/>
        </w:rPr>
        <w:t>3</w:t>
      </w:r>
      <w:r>
        <w:rPr>
          <w:rFonts w:hint="eastAsia" w:eastAsia="宋体"/>
          <w:color w:val="auto"/>
          <w:sz w:val="24"/>
          <w:lang w:eastAsia="zh-CN"/>
        </w:rPr>
        <w:t>）</w:t>
      </w:r>
      <w:r>
        <w:rPr>
          <w:rFonts w:hint="eastAsia" w:eastAsia="宋体"/>
          <w:color w:val="auto"/>
          <w:sz w:val="24"/>
        </w:rPr>
        <w:t>建立企业员工的环境安全培训体系，加强设施、设备的监控和管理，防止发生环境污染事故。</w:t>
      </w:r>
    </w:p>
    <w:p w14:paraId="6165C857">
      <w:pPr>
        <w:pStyle w:val="46"/>
        <w:ind w:firstLine="480"/>
        <w:rPr>
          <w:rFonts w:eastAsia="宋体"/>
          <w:color w:val="auto"/>
          <w:sz w:val="24"/>
        </w:rPr>
      </w:pPr>
      <w:r>
        <w:rPr>
          <w:rFonts w:hint="eastAsia" w:eastAsia="宋体"/>
          <w:color w:val="auto"/>
          <w:sz w:val="24"/>
        </w:rPr>
        <w:t>（4）管理部门应建立突发事故排放的预警系统；建设单位应按照水行政主管部门的要求，编制切实可行的应急解决方案措施报水行政主管部门批准。建设单位应当编制并定期修订突发性水污染事故应急预案，加强演练，提高应急反应能力；若遇到超标排放时，建设单位应实行限产、停产等应急处置措施。</w:t>
      </w:r>
    </w:p>
    <w:sectPr>
      <w:footerReference r:id="rId10" w:type="default"/>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GrObjects">
    <w:altName w:val="Verdana"/>
    <w:panose1 w:val="02000000000000000000"/>
    <w:charset w:val="00"/>
    <w:family w:val="auto"/>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华文新魏">
    <w:altName w:val="宋体"/>
    <w:panose1 w:val="02010800040101010101"/>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Cambria">
    <w:panose1 w:val="02040503050406030204"/>
    <w:charset w:val="00"/>
    <w:family w:val="roman"/>
    <w:pitch w:val="default"/>
    <w:sig w:usb0="E00006FF" w:usb1="420024FF" w:usb2="0200000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A83E2">
    <w:pPr>
      <w:pStyle w:val="17"/>
      <w:framePr w:wrap="around" w:vAnchor="text" w:hAnchor="margin" w:xAlign="center" w:y="1"/>
      <w:ind w:firstLine="360"/>
      <w:rPr>
        <w:rStyle w:val="28"/>
      </w:rPr>
    </w:pPr>
    <w:r>
      <w:rPr>
        <w:rStyle w:val="28"/>
      </w:rPr>
      <w:fldChar w:fldCharType="begin"/>
    </w:r>
    <w:r>
      <w:rPr>
        <w:rStyle w:val="28"/>
      </w:rPr>
      <w:instrText xml:space="preserve">PAGE  </w:instrText>
    </w:r>
    <w:r>
      <w:rPr>
        <w:rStyle w:val="28"/>
      </w:rPr>
      <w:fldChar w:fldCharType="separate"/>
    </w:r>
    <w:r>
      <w:rPr>
        <w:rStyle w:val="28"/>
      </w:rPr>
      <w:t>17</w:t>
    </w:r>
    <w:r>
      <w:rPr>
        <w:rStyle w:val="28"/>
      </w:rPr>
      <w:fldChar w:fldCharType="end"/>
    </w:r>
  </w:p>
  <w:p w14:paraId="3A2D173D">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4C00E">
    <w:pPr>
      <w:pStyle w:val="17"/>
      <w:framePr w:wrap="around" w:vAnchor="text" w:hAnchor="margin" w:xAlign="center" w:y="1"/>
      <w:ind w:firstLine="360"/>
      <w:rPr>
        <w:rStyle w:val="28"/>
      </w:rPr>
    </w:pPr>
    <w:r>
      <w:rPr>
        <w:rStyle w:val="28"/>
      </w:rPr>
      <w:fldChar w:fldCharType="begin"/>
    </w:r>
    <w:r>
      <w:rPr>
        <w:rStyle w:val="28"/>
      </w:rPr>
      <w:instrText xml:space="preserve">PAGE  </w:instrText>
    </w:r>
    <w:r>
      <w:rPr>
        <w:rStyle w:val="28"/>
      </w:rPr>
      <w:fldChar w:fldCharType="end"/>
    </w:r>
  </w:p>
  <w:p w14:paraId="2DF1B8BB">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B4E10">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D481B">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92332">
                          <w:pPr>
                            <w:pStyle w:val="17"/>
                          </w:pPr>
                          <w:r>
                            <w:t xml:space="preserve">— </w:t>
                          </w:r>
                          <w:r>
                            <w:fldChar w:fldCharType="begin"/>
                          </w:r>
                          <w:r>
                            <w:instrText xml:space="preserve"> PAGE  \* MERGEFORMAT </w:instrText>
                          </w:r>
                          <w:r>
                            <w:fldChar w:fldCharType="separate"/>
                          </w:r>
                          <w:r>
                            <w:t>III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68092332">
                    <w:pPr>
                      <w:pStyle w:val="17"/>
                    </w:pPr>
                    <w:r>
                      <w:t xml:space="preserve">— </w:t>
                    </w:r>
                    <w:r>
                      <w:fldChar w:fldCharType="begin"/>
                    </w:r>
                    <w:r>
                      <w:instrText xml:space="preserve"> PAGE  \* MERGEFORMAT </w:instrText>
                    </w:r>
                    <w:r>
                      <w:fldChar w:fldCharType="separate"/>
                    </w:r>
                    <w:r>
                      <w:t>III</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6B4FA">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618DB">
                          <w:pPr>
                            <w:pStyle w:val="17"/>
                          </w:pPr>
                          <w:r>
                            <w:t xml:space="preserve">— </w:t>
                          </w:r>
                          <w:r>
                            <w:fldChar w:fldCharType="begin"/>
                          </w:r>
                          <w:r>
                            <w:instrText xml:space="preserve"> PAGE  \* MERGEFORMAT </w:instrText>
                          </w:r>
                          <w:r>
                            <w:fldChar w:fldCharType="separate"/>
                          </w:r>
                          <w:r>
                            <w:t>LII</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2D6618DB">
                    <w:pPr>
                      <w:pStyle w:val="17"/>
                    </w:pPr>
                    <w:r>
                      <w:t xml:space="preserve">— </w:t>
                    </w:r>
                    <w:r>
                      <w:fldChar w:fldCharType="begin"/>
                    </w:r>
                    <w:r>
                      <w:instrText xml:space="preserve"> PAGE  \* MERGEFORMAT </w:instrText>
                    </w:r>
                    <w:r>
                      <w:fldChar w:fldCharType="separate"/>
                    </w:r>
                    <w:r>
                      <w:t>LII</w:t>
                    </w:r>
                    <w:r>
                      <w:fldChar w:fldCharType="end"/>
                    </w:r>
                    <w:r>
                      <w:t xml:space="preserve"> —</w:t>
                    </w:r>
                  </w:p>
                </w:txbxContent>
              </v:textbox>
            </v:shape>
          </w:pict>
        </mc:Fallback>
      </mc:AlternateContent>
    </w:r>
  </w:p>
  <w:p w14:paraId="2DB3F04D">
    <w:pPr>
      <w:pStyle w:val="1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D306F">
    <w:pPr>
      <w:pStyle w:val="18"/>
      <w:ind w:firstLine="360"/>
    </w:pPr>
    <w:r>
      <w:rPr>
        <w:rFonts w:hint="eastAsia"/>
      </w:rPr>
      <w:t>西安排水集团有限公司将军山水厂入河排污口设置论证报告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8E712">
    <w:pPr>
      <w:pStyle w:val="18"/>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A3280">
    <w:pPr>
      <w:pStyle w:val="18"/>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9567A0"/>
    <w:multiLevelType w:val="singleLevel"/>
    <w:tmpl w:val="679567A0"/>
    <w:lvl w:ilvl="0" w:tentative="0">
      <w:start w:val="1"/>
      <w:numFmt w:val="decimal"/>
      <w:suff w:val="nothing"/>
      <w:lvlText w:val="%1、"/>
      <w:lvlJc w:val="left"/>
    </w:lvl>
  </w:abstractNum>
  <w:abstractNum w:abstractNumId="1">
    <w:nsid w:val="68777650"/>
    <w:multiLevelType w:val="multilevel"/>
    <w:tmpl w:val="68777650"/>
    <w:lvl w:ilvl="0" w:tentative="0">
      <w:start w:val="1"/>
      <w:numFmt w:val="decimal"/>
      <w:pStyle w:val="59"/>
      <w:suff w:val="space"/>
      <w:lvlText w:val="%1"/>
      <w:lvlJc w:val="left"/>
      <w:pPr>
        <w:ind w:left="0" w:firstLine="0"/>
      </w:pPr>
      <w:rPr>
        <w:rFonts w:hint="eastAsia"/>
      </w:rPr>
    </w:lvl>
    <w:lvl w:ilvl="1" w:tentative="0">
      <w:start w:val="1"/>
      <w:numFmt w:val="decimal"/>
      <w:pStyle w:val="57"/>
      <w:suff w:val="space"/>
      <w:lvlText w:val="%1.%2"/>
      <w:lvlJc w:val="left"/>
      <w:pPr>
        <w:ind w:left="0" w:firstLine="0"/>
      </w:pPr>
      <w:rPr>
        <w:rFonts w:hint="eastAsia"/>
      </w:rPr>
    </w:lvl>
    <w:lvl w:ilvl="2" w:tentative="0">
      <w:start w:val="1"/>
      <w:numFmt w:val="decimal"/>
      <w:pStyle w:val="61"/>
      <w:suff w:val="space"/>
      <w:lvlText w:val="%1.%2.%3"/>
      <w:lvlJc w:val="left"/>
      <w:pPr>
        <w:ind w:left="6521"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Restart w:val="0"/>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iMGU2YjkyMTk4YmRlZmMyMDk2OGM0NTM4ZDkyNDkifQ=="/>
  </w:docVars>
  <w:rsids>
    <w:rsidRoot w:val="006B4D58"/>
    <w:rsid w:val="0000213A"/>
    <w:rsid w:val="000035E0"/>
    <w:rsid w:val="0000754F"/>
    <w:rsid w:val="0000757F"/>
    <w:rsid w:val="00007A10"/>
    <w:rsid w:val="00011910"/>
    <w:rsid w:val="00012568"/>
    <w:rsid w:val="0001256E"/>
    <w:rsid w:val="000142D3"/>
    <w:rsid w:val="00015163"/>
    <w:rsid w:val="000169FE"/>
    <w:rsid w:val="000219DE"/>
    <w:rsid w:val="00023FE2"/>
    <w:rsid w:val="00025951"/>
    <w:rsid w:val="000266F3"/>
    <w:rsid w:val="00026B36"/>
    <w:rsid w:val="00027469"/>
    <w:rsid w:val="00030411"/>
    <w:rsid w:val="00031554"/>
    <w:rsid w:val="00032F2F"/>
    <w:rsid w:val="000345A4"/>
    <w:rsid w:val="000345D0"/>
    <w:rsid w:val="00035D9F"/>
    <w:rsid w:val="000360A0"/>
    <w:rsid w:val="00036F76"/>
    <w:rsid w:val="0004263C"/>
    <w:rsid w:val="00043B0E"/>
    <w:rsid w:val="000445DD"/>
    <w:rsid w:val="00044B9E"/>
    <w:rsid w:val="00046691"/>
    <w:rsid w:val="00047DFE"/>
    <w:rsid w:val="00054640"/>
    <w:rsid w:val="000555DB"/>
    <w:rsid w:val="00057000"/>
    <w:rsid w:val="00060315"/>
    <w:rsid w:val="00066459"/>
    <w:rsid w:val="0006695A"/>
    <w:rsid w:val="000700FA"/>
    <w:rsid w:val="00072931"/>
    <w:rsid w:val="00073861"/>
    <w:rsid w:val="00074420"/>
    <w:rsid w:val="00074F00"/>
    <w:rsid w:val="00075A14"/>
    <w:rsid w:val="000773CC"/>
    <w:rsid w:val="000800C0"/>
    <w:rsid w:val="00083784"/>
    <w:rsid w:val="00083C0E"/>
    <w:rsid w:val="000842CD"/>
    <w:rsid w:val="0008590D"/>
    <w:rsid w:val="00086B2A"/>
    <w:rsid w:val="00095693"/>
    <w:rsid w:val="00095829"/>
    <w:rsid w:val="000A2F4F"/>
    <w:rsid w:val="000A478E"/>
    <w:rsid w:val="000A47AD"/>
    <w:rsid w:val="000A6430"/>
    <w:rsid w:val="000A6C82"/>
    <w:rsid w:val="000A7498"/>
    <w:rsid w:val="000A7ABD"/>
    <w:rsid w:val="000B24AA"/>
    <w:rsid w:val="000B4B88"/>
    <w:rsid w:val="000B5F74"/>
    <w:rsid w:val="000B7234"/>
    <w:rsid w:val="000C04AC"/>
    <w:rsid w:val="000C1352"/>
    <w:rsid w:val="000C2C59"/>
    <w:rsid w:val="000C3145"/>
    <w:rsid w:val="000C3D00"/>
    <w:rsid w:val="000C4AEA"/>
    <w:rsid w:val="000C4CBD"/>
    <w:rsid w:val="000C66F8"/>
    <w:rsid w:val="000C79F0"/>
    <w:rsid w:val="000C7C9C"/>
    <w:rsid w:val="000C7E2D"/>
    <w:rsid w:val="000D1D67"/>
    <w:rsid w:val="000D2C3E"/>
    <w:rsid w:val="000D480F"/>
    <w:rsid w:val="000D4AA3"/>
    <w:rsid w:val="000D51EE"/>
    <w:rsid w:val="000D7C79"/>
    <w:rsid w:val="000E2621"/>
    <w:rsid w:val="000E3107"/>
    <w:rsid w:val="000E333B"/>
    <w:rsid w:val="000E3CA2"/>
    <w:rsid w:val="000E5229"/>
    <w:rsid w:val="000E6D1A"/>
    <w:rsid w:val="000E70B7"/>
    <w:rsid w:val="000E7F68"/>
    <w:rsid w:val="000F299B"/>
    <w:rsid w:val="000F4C80"/>
    <w:rsid w:val="00100DC9"/>
    <w:rsid w:val="001016B8"/>
    <w:rsid w:val="001029FF"/>
    <w:rsid w:val="00107E6D"/>
    <w:rsid w:val="00110DAA"/>
    <w:rsid w:val="0011126A"/>
    <w:rsid w:val="00113378"/>
    <w:rsid w:val="00116818"/>
    <w:rsid w:val="00116B36"/>
    <w:rsid w:val="00117E87"/>
    <w:rsid w:val="001214A0"/>
    <w:rsid w:val="0012311A"/>
    <w:rsid w:val="00123928"/>
    <w:rsid w:val="0012398C"/>
    <w:rsid w:val="00123BC1"/>
    <w:rsid w:val="00124746"/>
    <w:rsid w:val="0012568C"/>
    <w:rsid w:val="00125F33"/>
    <w:rsid w:val="0012772E"/>
    <w:rsid w:val="00131800"/>
    <w:rsid w:val="00132FB6"/>
    <w:rsid w:val="0013386A"/>
    <w:rsid w:val="00136A12"/>
    <w:rsid w:val="001411AB"/>
    <w:rsid w:val="00142113"/>
    <w:rsid w:val="00142F19"/>
    <w:rsid w:val="0014397B"/>
    <w:rsid w:val="00150C7D"/>
    <w:rsid w:val="001514DE"/>
    <w:rsid w:val="00151F3E"/>
    <w:rsid w:val="00153518"/>
    <w:rsid w:val="00154775"/>
    <w:rsid w:val="0015538E"/>
    <w:rsid w:val="00155781"/>
    <w:rsid w:val="00156828"/>
    <w:rsid w:val="001604AB"/>
    <w:rsid w:val="001613B2"/>
    <w:rsid w:val="00162577"/>
    <w:rsid w:val="00162753"/>
    <w:rsid w:val="00162983"/>
    <w:rsid w:val="00162FA9"/>
    <w:rsid w:val="00164601"/>
    <w:rsid w:val="001663B2"/>
    <w:rsid w:val="0016796C"/>
    <w:rsid w:val="001679D9"/>
    <w:rsid w:val="00170C62"/>
    <w:rsid w:val="00170F81"/>
    <w:rsid w:val="00174671"/>
    <w:rsid w:val="00174ECF"/>
    <w:rsid w:val="0018111A"/>
    <w:rsid w:val="00182CB0"/>
    <w:rsid w:val="00185065"/>
    <w:rsid w:val="00185853"/>
    <w:rsid w:val="0018682B"/>
    <w:rsid w:val="0018739D"/>
    <w:rsid w:val="00187675"/>
    <w:rsid w:val="0018782D"/>
    <w:rsid w:val="00190B95"/>
    <w:rsid w:val="001953D1"/>
    <w:rsid w:val="00197BBB"/>
    <w:rsid w:val="001A0CA9"/>
    <w:rsid w:val="001A2AC4"/>
    <w:rsid w:val="001A3336"/>
    <w:rsid w:val="001A3433"/>
    <w:rsid w:val="001A346C"/>
    <w:rsid w:val="001A45F8"/>
    <w:rsid w:val="001A5D9F"/>
    <w:rsid w:val="001A76D3"/>
    <w:rsid w:val="001B4E80"/>
    <w:rsid w:val="001B573C"/>
    <w:rsid w:val="001B731F"/>
    <w:rsid w:val="001B7C87"/>
    <w:rsid w:val="001C2295"/>
    <w:rsid w:val="001C2D64"/>
    <w:rsid w:val="001C3854"/>
    <w:rsid w:val="001C5EF7"/>
    <w:rsid w:val="001D290F"/>
    <w:rsid w:val="001D3CF4"/>
    <w:rsid w:val="001D4393"/>
    <w:rsid w:val="001D50AA"/>
    <w:rsid w:val="001D56C0"/>
    <w:rsid w:val="001D62A1"/>
    <w:rsid w:val="001D6884"/>
    <w:rsid w:val="001E19E3"/>
    <w:rsid w:val="001E4309"/>
    <w:rsid w:val="001E4E0D"/>
    <w:rsid w:val="001E6386"/>
    <w:rsid w:val="001E69D6"/>
    <w:rsid w:val="001E7D45"/>
    <w:rsid w:val="001F097A"/>
    <w:rsid w:val="001F2BC0"/>
    <w:rsid w:val="001F4D35"/>
    <w:rsid w:val="001F54D7"/>
    <w:rsid w:val="001F5617"/>
    <w:rsid w:val="001F66B4"/>
    <w:rsid w:val="00201A77"/>
    <w:rsid w:val="00201F17"/>
    <w:rsid w:val="0020482C"/>
    <w:rsid w:val="00205AE3"/>
    <w:rsid w:val="0020724F"/>
    <w:rsid w:val="0021314D"/>
    <w:rsid w:val="002140F0"/>
    <w:rsid w:val="00214D11"/>
    <w:rsid w:val="002160BC"/>
    <w:rsid w:val="002161B2"/>
    <w:rsid w:val="00217EC2"/>
    <w:rsid w:val="00220D80"/>
    <w:rsid w:val="0022232C"/>
    <w:rsid w:val="00222E89"/>
    <w:rsid w:val="002237D0"/>
    <w:rsid w:val="00224A0C"/>
    <w:rsid w:val="002271BF"/>
    <w:rsid w:val="002302C1"/>
    <w:rsid w:val="00233A25"/>
    <w:rsid w:val="002376C6"/>
    <w:rsid w:val="002378E1"/>
    <w:rsid w:val="00237E0C"/>
    <w:rsid w:val="00240151"/>
    <w:rsid w:val="00240E79"/>
    <w:rsid w:val="0024356D"/>
    <w:rsid w:val="00243CEC"/>
    <w:rsid w:val="00246585"/>
    <w:rsid w:val="00250CAF"/>
    <w:rsid w:val="00252AF7"/>
    <w:rsid w:val="00255565"/>
    <w:rsid w:val="0025563E"/>
    <w:rsid w:val="00256311"/>
    <w:rsid w:val="00261879"/>
    <w:rsid w:val="00261A49"/>
    <w:rsid w:val="00261B58"/>
    <w:rsid w:val="00262B6F"/>
    <w:rsid w:val="00263B60"/>
    <w:rsid w:val="00263D6D"/>
    <w:rsid w:val="00265558"/>
    <w:rsid w:val="002670F5"/>
    <w:rsid w:val="00270CEA"/>
    <w:rsid w:val="00270D5E"/>
    <w:rsid w:val="00272BB9"/>
    <w:rsid w:val="0027389B"/>
    <w:rsid w:val="00273B7F"/>
    <w:rsid w:val="00274D81"/>
    <w:rsid w:val="00276C34"/>
    <w:rsid w:val="00276C49"/>
    <w:rsid w:val="00277322"/>
    <w:rsid w:val="00277E2F"/>
    <w:rsid w:val="002839B0"/>
    <w:rsid w:val="00286D51"/>
    <w:rsid w:val="00290E97"/>
    <w:rsid w:val="002914BF"/>
    <w:rsid w:val="00292466"/>
    <w:rsid w:val="002942DB"/>
    <w:rsid w:val="00294648"/>
    <w:rsid w:val="00297801"/>
    <w:rsid w:val="002A2494"/>
    <w:rsid w:val="002A4051"/>
    <w:rsid w:val="002A7EDF"/>
    <w:rsid w:val="002B3620"/>
    <w:rsid w:val="002B3C66"/>
    <w:rsid w:val="002B4D8B"/>
    <w:rsid w:val="002B56C0"/>
    <w:rsid w:val="002C5155"/>
    <w:rsid w:val="002C6271"/>
    <w:rsid w:val="002C7891"/>
    <w:rsid w:val="002D1B90"/>
    <w:rsid w:val="002D2378"/>
    <w:rsid w:val="002D395E"/>
    <w:rsid w:val="002D4E63"/>
    <w:rsid w:val="002D5826"/>
    <w:rsid w:val="002D66AF"/>
    <w:rsid w:val="002D7C33"/>
    <w:rsid w:val="002E0283"/>
    <w:rsid w:val="002E0CB4"/>
    <w:rsid w:val="002E1BB9"/>
    <w:rsid w:val="002E3F42"/>
    <w:rsid w:val="002E423C"/>
    <w:rsid w:val="002E66A8"/>
    <w:rsid w:val="002E6D44"/>
    <w:rsid w:val="002E77CF"/>
    <w:rsid w:val="002F0725"/>
    <w:rsid w:val="002F1C87"/>
    <w:rsid w:val="002F201A"/>
    <w:rsid w:val="002F2B2A"/>
    <w:rsid w:val="002F2E2F"/>
    <w:rsid w:val="002F76DC"/>
    <w:rsid w:val="002F7B13"/>
    <w:rsid w:val="002F7DED"/>
    <w:rsid w:val="00301632"/>
    <w:rsid w:val="00301C0E"/>
    <w:rsid w:val="00302AAD"/>
    <w:rsid w:val="00303368"/>
    <w:rsid w:val="00305ABF"/>
    <w:rsid w:val="00313166"/>
    <w:rsid w:val="0031320E"/>
    <w:rsid w:val="00313252"/>
    <w:rsid w:val="003132F8"/>
    <w:rsid w:val="00313B17"/>
    <w:rsid w:val="00321025"/>
    <w:rsid w:val="00323CBA"/>
    <w:rsid w:val="00324D07"/>
    <w:rsid w:val="00325731"/>
    <w:rsid w:val="0032603A"/>
    <w:rsid w:val="0032670D"/>
    <w:rsid w:val="00331829"/>
    <w:rsid w:val="00332712"/>
    <w:rsid w:val="003340C3"/>
    <w:rsid w:val="003342CA"/>
    <w:rsid w:val="00334A86"/>
    <w:rsid w:val="00334BC1"/>
    <w:rsid w:val="0033567A"/>
    <w:rsid w:val="00335BF3"/>
    <w:rsid w:val="003435F6"/>
    <w:rsid w:val="003444AA"/>
    <w:rsid w:val="003451E1"/>
    <w:rsid w:val="00345C7C"/>
    <w:rsid w:val="00346BD2"/>
    <w:rsid w:val="00346DEE"/>
    <w:rsid w:val="00350D7E"/>
    <w:rsid w:val="003518C1"/>
    <w:rsid w:val="00357C5C"/>
    <w:rsid w:val="00357CFC"/>
    <w:rsid w:val="00357E87"/>
    <w:rsid w:val="00360C26"/>
    <w:rsid w:val="00360FFE"/>
    <w:rsid w:val="00362774"/>
    <w:rsid w:val="00366A57"/>
    <w:rsid w:val="00367581"/>
    <w:rsid w:val="00372C7D"/>
    <w:rsid w:val="00376301"/>
    <w:rsid w:val="003769C7"/>
    <w:rsid w:val="00377FF7"/>
    <w:rsid w:val="00383F59"/>
    <w:rsid w:val="00387D06"/>
    <w:rsid w:val="00390FC7"/>
    <w:rsid w:val="0039250D"/>
    <w:rsid w:val="00392C0A"/>
    <w:rsid w:val="00393F58"/>
    <w:rsid w:val="003974EA"/>
    <w:rsid w:val="003A1783"/>
    <w:rsid w:val="003A249A"/>
    <w:rsid w:val="003A34A4"/>
    <w:rsid w:val="003A5249"/>
    <w:rsid w:val="003A5B06"/>
    <w:rsid w:val="003A5E70"/>
    <w:rsid w:val="003A6336"/>
    <w:rsid w:val="003A6845"/>
    <w:rsid w:val="003B02C9"/>
    <w:rsid w:val="003B10BE"/>
    <w:rsid w:val="003B1549"/>
    <w:rsid w:val="003B32AC"/>
    <w:rsid w:val="003B3621"/>
    <w:rsid w:val="003B7D88"/>
    <w:rsid w:val="003C025F"/>
    <w:rsid w:val="003C1B7C"/>
    <w:rsid w:val="003C22C0"/>
    <w:rsid w:val="003C32CF"/>
    <w:rsid w:val="003C4087"/>
    <w:rsid w:val="003C42AE"/>
    <w:rsid w:val="003C4F45"/>
    <w:rsid w:val="003C63CA"/>
    <w:rsid w:val="003C69AE"/>
    <w:rsid w:val="003C77F7"/>
    <w:rsid w:val="003D102E"/>
    <w:rsid w:val="003D1C9D"/>
    <w:rsid w:val="003D4047"/>
    <w:rsid w:val="003D43D5"/>
    <w:rsid w:val="003D6B2E"/>
    <w:rsid w:val="003D6C59"/>
    <w:rsid w:val="003E0087"/>
    <w:rsid w:val="003E056A"/>
    <w:rsid w:val="003E0ACE"/>
    <w:rsid w:val="003E0F43"/>
    <w:rsid w:val="003E10A2"/>
    <w:rsid w:val="003E2CEF"/>
    <w:rsid w:val="003E327C"/>
    <w:rsid w:val="003E5687"/>
    <w:rsid w:val="003E57C2"/>
    <w:rsid w:val="003E6BDC"/>
    <w:rsid w:val="003E7BC0"/>
    <w:rsid w:val="003F21D0"/>
    <w:rsid w:val="003F75FA"/>
    <w:rsid w:val="003F786F"/>
    <w:rsid w:val="003F7A52"/>
    <w:rsid w:val="003F7A5C"/>
    <w:rsid w:val="003F7B55"/>
    <w:rsid w:val="004000BD"/>
    <w:rsid w:val="00400345"/>
    <w:rsid w:val="00400D48"/>
    <w:rsid w:val="00401A76"/>
    <w:rsid w:val="0040273D"/>
    <w:rsid w:val="0040351A"/>
    <w:rsid w:val="00404CE7"/>
    <w:rsid w:val="00405573"/>
    <w:rsid w:val="0040572B"/>
    <w:rsid w:val="00406756"/>
    <w:rsid w:val="004110BF"/>
    <w:rsid w:val="004118A3"/>
    <w:rsid w:val="004121D8"/>
    <w:rsid w:val="00412E19"/>
    <w:rsid w:val="00414803"/>
    <w:rsid w:val="004160D3"/>
    <w:rsid w:val="0041725E"/>
    <w:rsid w:val="004175E0"/>
    <w:rsid w:val="00426D30"/>
    <w:rsid w:val="00427304"/>
    <w:rsid w:val="00427C41"/>
    <w:rsid w:val="00430258"/>
    <w:rsid w:val="00430658"/>
    <w:rsid w:val="0043125E"/>
    <w:rsid w:val="00431ABC"/>
    <w:rsid w:val="00431C7C"/>
    <w:rsid w:val="00431D11"/>
    <w:rsid w:val="004434D4"/>
    <w:rsid w:val="00443531"/>
    <w:rsid w:val="00443F81"/>
    <w:rsid w:val="0044426E"/>
    <w:rsid w:val="004470D8"/>
    <w:rsid w:val="00447240"/>
    <w:rsid w:val="0044731C"/>
    <w:rsid w:val="00447836"/>
    <w:rsid w:val="00450357"/>
    <w:rsid w:val="0045048D"/>
    <w:rsid w:val="00452E64"/>
    <w:rsid w:val="004560DA"/>
    <w:rsid w:val="00456D70"/>
    <w:rsid w:val="00457C5B"/>
    <w:rsid w:val="004602B2"/>
    <w:rsid w:val="00460396"/>
    <w:rsid w:val="00461455"/>
    <w:rsid w:val="004615D3"/>
    <w:rsid w:val="00461F2A"/>
    <w:rsid w:val="00462A56"/>
    <w:rsid w:val="0046302B"/>
    <w:rsid w:val="00463D6F"/>
    <w:rsid w:val="00467812"/>
    <w:rsid w:val="00470C62"/>
    <w:rsid w:val="00472522"/>
    <w:rsid w:val="00472650"/>
    <w:rsid w:val="0047391E"/>
    <w:rsid w:val="00474B43"/>
    <w:rsid w:val="004761ED"/>
    <w:rsid w:val="00476663"/>
    <w:rsid w:val="00482584"/>
    <w:rsid w:val="00482898"/>
    <w:rsid w:val="004830E7"/>
    <w:rsid w:val="00483DEB"/>
    <w:rsid w:val="00485EE3"/>
    <w:rsid w:val="004905BE"/>
    <w:rsid w:val="0049087C"/>
    <w:rsid w:val="004926D9"/>
    <w:rsid w:val="004934CB"/>
    <w:rsid w:val="00493B6A"/>
    <w:rsid w:val="0049433F"/>
    <w:rsid w:val="004A13BE"/>
    <w:rsid w:val="004A2561"/>
    <w:rsid w:val="004A3FB3"/>
    <w:rsid w:val="004A49CC"/>
    <w:rsid w:val="004A4BCE"/>
    <w:rsid w:val="004A64CD"/>
    <w:rsid w:val="004A7C98"/>
    <w:rsid w:val="004B1BF2"/>
    <w:rsid w:val="004B3601"/>
    <w:rsid w:val="004B42ED"/>
    <w:rsid w:val="004B5B6C"/>
    <w:rsid w:val="004B72A4"/>
    <w:rsid w:val="004C1856"/>
    <w:rsid w:val="004C466B"/>
    <w:rsid w:val="004C635E"/>
    <w:rsid w:val="004C74E3"/>
    <w:rsid w:val="004D0DE5"/>
    <w:rsid w:val="004D1530"/>
    <w:rsid w:val="004D2744"/>
    <w:rsid w:val="004D3145"/>
    <w:rsid w:val="004D4789"/>
    <w:rsid w:val="004D4D1A"/>
    <w:rsid w:val="004D4EE6"/>
    <w:rsid w:val="004D547F"/>
    <w:rsid w:val="004D687D"/>
    <w:rsid w:val="004E0336"/>
    <w:rsid w:val="004E064A"/>
    <w:rsid w:val="004E126E"/>
    <w:rsid w:val="004E24DB"/>
    <w:rsid w:val="004E4E1C"/>
    <w:rsid w:val="004E5803"/>
    <w:rsid w:val="004E5D72"/>
    <w:rsid w:val="004E7485"/>
    <w:rsid w:val="004E7BD4"/>
    <w:rsid w:val="004F23EB"/>
    <w:rsid w:val="004F4F79"/>
    <w:rsid w:val="004F52E0"/>
    <w:rsid w:val="004F7A44"/>
    <w:rsid w:val="00500EFC"/>
    <w:rsid w:val="0050168E"/>
    <w:rsid w:val="00504B0E"/>
    <w:rsid w:val="00505994"/>
    <w:rsid w:val="00505F0E"/>
    <w:rsid w:val="00506F65"/>
    <w:rsid w:val="00511ED5"/>
    <w:rsid w:val="005131A8"/>
    <w:rsid w:val="00513752"/>
    <w:rsid w:val="005140CD"/>
    <w:rsid w:val="0051422B"/>
    <w:rsid w:val="005153CA"/>
    <w:rsid w:val="005200E9"/>
    <w:rsid w:val="00521AAD"/>
    <w:rsid w:val="00522250"/>
    <w:rsid w:val="0052357F"/>
    <w:rsid w:val="005237D3"/>
    <w:rsid w:val="0052458E"/>
    <w:rsid w:val="005247E5"/>
    <w:rsid w:val="00526729"/>
    <w:rsid w:val="005277FF"/>
    <w:rsid w:val="00533424"/>
    <w:rsid w:val="00543749"/>
    <w:rsid w:val="0054595C"/>
    <w:rsid w:val="00545F42"/>
    <w:rsid w:val="00546292"/>
    <w:rsid w:val="005512A4"/>
    <w:rsid w:val="00553355"/>
    <w:rsid w:val="00553718"/>
    <w:rsid w:val="00553864"/>
    <w:rsid w:val="00557BFB"/>
    <w:rsid w:val="00560FCD"/>
    <w:rsid w:val="00564E19"/>
    <w:rsid w:val="00566626"/>
    <w:rsid w:val="00570EA0"/>
    <w:rsid w:val="005711C2"/>
    <w:rsid w:val="00574603"/>
    <w:rsid w:val="0057471B"/>
    <w:rsid w:val="00577BB6"/>
    <w:rsid w:val="00586B1E"/>
    <w:rsid w:val="00587800"/>
    <w:rsid w:val="00591FE2"/>
    <w:rsid w:val="00593C46"/>
    <w:rsid w:val="0059436C"/>
    <w:rsid w:val="005950DC"/>
    <w:rsid w:val="005969EA"/>
    <w:rsid w:val="005979DE"/>
    <w:rsid w:val="00597C89"/>
    <w:rsid w:val="00597FA9"/>
    <w:rsid w:val="005A1DD7"/>
    <w:rsid w:val="005A3725"/>
    <w:rsid w:val="005A63A2"/>
    <w:rsid w:val="005A6B3D"/>
    <w:rsid w:val="005A700F"/>
    <w:rsid w:val="005A7444"/>
    <w:rsid w:val="005B29D3"/>
    <w:rsid w:val="005B4D6A"/>
    <w:rsid w:val="005B7738"/>
    <w:rsid w:val="005C0E78"/>
    <w:rsid w:val="005C345D"/>
    <w:rsid w:val="005C351D"/>
    <w:rsid w:val="005C4193"/>
    <w:rsid w:val="005C47BB"/>
    <w:rsid w:val="005C4FE6"/>
    <w:rsid w:val="005C5FD1"/>
    <w:rsid w:val="005C7836"/>
    <w:rsid w:val="005D3AE5"/>
    <w:rsid w:val="005D40C6"/>
    <w:rsid w:val="005D6F96"/>
    <w:rsid w:val="005D73FA"/>
    <w:rsid w:val="005E30CD"/>
    <w:rsid w:val="005E51E4"/>
    <w:rsid w:val="005E5BD2"/>
    <w:rsid w:val="005F001C"/>
    <w:rsid w:val="005F0F95"/>
    <w:rsid w:val="005F1198"/>
    <w:rsid w:val="005F27BD"/>
    <w:rsid w:val="005F2D83"/>
    <w:rsid w:val="005F2FBC"/>
    <w:rsid w:val="005F4859"/>
    <w:rsid w:val="005F49C4"/>
    <w:rsid w:val="005F7E23"/>
    <w:rsid w:val="006006C2"/>
    <w:rsid w:val="0060089C"/>
    <w:rsid w:val="00600967"/>
    <w:rsid w:val="00601678"/>
    <w:rsid w:val="00606CF1"/>
    <w:rsid w:val="006076FF"/>
    <w:rsid w:val="00607ABC"/>
    <w:rsid w:val="006116BF"/>
    <w:rsid w:val="006116E7"/>
    <w:rsid w:val="00612EBF"/>
    <w:rsid w:val="00613294"/>
    <w:rsid w:val="006134F2"/>
    <w:rsid w:val="0061387A"/>
    <w:rsid w:val="00613D23"/>
    <w:rsid w:val="00614773"/>
    <w:rsid w:val="00617437"/>
    <w:rsid w:val="00620577"/>
    <w:rsid w:val="0062088B"/>
    <w:rsid w:val="00621688"/>
    <w:rsid w:val="006223A4"/>
    <w:rsid w:val="00622975"/>
    <w:rsid w:val="00622E09"/>
    <w:rsid w:val="00623EF2"/>
    <w:rsid w:val="006241E0"/>
    <w:rsid w:val="00627B7D"/>
    <w:rsid w:val="006316F0"/>
    <w:rsid w:val="0063196C"/>
    <w:rsid w:val="00632CB2"/>
    <w:rsid w:val="006349D0"/>
    <w:rsid w:val="00635404"/>
    <w:rsid w:val="00635E45"/>
    <w:rsid w:val="00636557"/>
    <w:rsid w:val="0063774E"/>
    <w:rsid w:val="00637C9E"/>
    <w:rsid w:val="00640B9C"/>
    <w:rsid w:val="00642395"/>
    <w:rsid w:val="00642EF9"/>
    <w:rsid w:val="00644B0A"/>
    <w:rsid w:val="006451A1"/>
    <w:rsid w:val="006453B6"/>
    <w:rsid w:val="00652025"/>
    <w:rsid w:val="0065342C"/>
    <w:rsid w:val="006544E7"/>
    <w:rsid w:val="006547BF"/>
    <w:rsid w:val="006556B5"/>
    <w:rsid w:val="00655B98"/>
    <w:rsid w:val="00655BA6"/>
    <w:rsid w:val="00656DBA"/>
    <w:rsid w:val="00657BA5"/>
    <w:rsid w:val="00661B14"/>
    <w:rsid w:val="006621AA"/>
    <w:rsid w:val="00663516"/>
    <w:rsid w:val="006675F8"/>
    <w:rsid w:val="00672774"/>
    <w:rsid w:val="006732C2"/>
    <w:rsid w:val="00674812"/>
    <w:rsid w:val="00676602"/>
    <w:rsid w:val="00676E81"/>
    <w:rsid w:val="006800DF"/>
    <w:rsid w:val="006818EC"/>
    <w:rsid w:val="00683A84"/>
    <w:rsid w:val="00683DC1"/>
    <w:rsid w:val="0068497B"/>
    <w:rsid w:val="0068702A"/>
    <w:rsid w:val="006875B6"/>
    <w:rsid w:val="00691970"/>
    <w:rsid w:val="006938CD"/>
    <w:rsid w:val="00693C5A"/>
    <w:rsid w:val="00697C8F"/>
    <w:rsid w:val="006A2534"/>
    <w:rsid w:val="006A2949"/>
    <w:rsid w:val="006A2A77"/>
    <w:rsid w:val="006A503A"/>
    <w:rsid w:val="006B1249"/>
    <w:rsid w:val="006B4D58"/>
    <w:rsid w:val="006B4FD4"/>
    <w:rsid w:val="006B5C49"/>
    <w:rsid w:val="006B5CAA"/>
    <w:rsid w:val="006B5DB1"/>
    <w:rsid w:val="006B7CE8"/>
    <w:rsid w:val="006C122D"/>
    <w:rsid w:val="006C5172"/>
    <w:rsid w:val="006C69EA"/>
    <w:rsid w:val="006D2AE8"/>
    <w:rsid w:val="006D3DCE"/>
    <w:rsid w:val="006D744B"/>
    <w:rsid w:val="006D7F85"/>
    <w:rsid w:val="006E342C"/>
    <w:rsid w:val="006E456D"/>
    <w:rsid w:val="006E4902"/>
    <w:rsid w:val="006E4C8B"/>
    <w:rsid w:val="006F45DE"/>
    <w:rsid w:val="006F49AD"/>
    <w:rsid w:val="00701A41"/>
    <w:rsid w:val="007020A1"/>
    <w:rsid w:val="0070247D"/>
    <w:rsid w:val="007029C0"/>
    <w:rsid w:val="0070322F"/>
    <w:rsid w:val="0070329C"/>
    <w:rsid w:val="00706166"/>
    <w:rsid w:val="007079A7"/>
    <w:rsid w:val="007112BA"/>
    <w:rsid w:val="0071131B"/>
    <w:rsid w:val="0071238A"/>
    <w:rsid w:val="00712987"/>
    <w:rsid w:val="0072018C"/>
    <w:rsid w:val="007201AC"/>
    <w:rsid w:val="00721AFD"/>
    <w:rsid w:val="0072307F"/>
    <w:rsid w:val="00725CCD"/>
    <w:rsid w:val="00727ECF"/>
    <w:rsid w:val="007325F8"/>
    <w:rsid w:val="00732F9B"/>
    <w:rsid w:val="007373DD"/>
    <w:rsid w:val="007415DE"/>
    <w:rsid w:val="007419A4"/>
    <w:rsid w:val="00746D80"/>
    <w:rsid w:val="00747A06"/>
    <w:rsid w:val="00750163"/>
    <w:rsid w:val="007539C3"/>
    <w:rsid w:val="00754399"/>
    <w:rsid w:val="0075442C"/>
    <w:rsid w:val="00757D91"/>
    <w:rsid w:val="007614D3"/>
    <w:rsid w:val="007637BA"/>
    <w:rsid w:val="0076768D"/>
    <w:rsid w:val="00771802"/>
    <w:rsid w:val="00772171"/>
    <w:rsid w:val="00773DAB"/>
    <w:rsid w:val="007747EA"/>
    <w:rsid w:val="00775654"/>
    <w:rsid w:val="00777590"/>
    <w:rsid w:val="00780FEA"/>
    <w:rsid w:val="007812CE"/>
    <w:rsid w:val="00783A58"/>
    <w:rsid w:val="007841E5"/>
    <w:rsid w:val="007855BE"/>
    <w:rsid w:val="007902D8"/>
    <w:rsid w:val="00790FDB"/>
    <w:rsid w:val="00792843"/>
    <w:rsid w:val="00792E04"/>
    <w:rsid w:val="0079367F"/>
    <w:rsid w:val="007945DA"/>
    <w:rsid w:val="007968B1"/>
    <w:rsid w:val="00796E35"/>
    <w:rsid w:val="0079749F"/>
    <w:rsid w:val="0079754A"/>
    <w:rsid w:val="00797C64"/>
    <w:rsid w:val="007A2830"/>
    <w:rsid w:val="007A3E54"/>
    <w:rsid w:val="007A4D00"/>
    <w:rsid w:val="007A64BB"/>
    <w:rsid w:val="007A6C66"/>
    <w:rsid w:val="007B0592"/>
    <w:rsid w:val="007B38B4"/>
    <w:rsid w:val="007C1E2F"/>
    <w:rsid w:val="007C21EB"/>
    <w:rsid w:val="007C3277"/>
    <w:rsid w:val="007C3DF1"/>
    <w:rsid w:val="007C5A69"/>
    <w:rsid w:val="007C6751"/>
    <w:rsid w:val="007D1278"/>
    <w:rsid w:val="007D1763"/>
    <w:rsid w:val="007D1951"/>
    <w:rsid w:val="007D3064"/>
    <w:rsid w:val="007D4B2D"/>
    <w:rsid w:val="007D683C"/>
    <w:rsid w:val="007D7336"/>
    <w:rsid w:val="007E01F3"/>
    <w:rsid w:val="007E0239"/>
    <w:rsid w:val="007E152B"/>
    <w:rsid w:val="007E19CA"/>
    <w:rsid w:val="007E1CFB"/>
    <w:rsid w:val="007E2C13"/>
    <w:rsid w:val="007E5C8C"/>
    <w:rsid w:val="007E654C"/>
    <w:rsid w:val="007F0856"/>
    <w:rsid w:val="007F36AA"/>
    <w:rsid w:val="007F3EBA"/>
    <w:rsid w:val="007F630B"/>
    <w:rsid w:val="007F77DD"/>
    <w:rsid w:val="00800379"/>
    <w:rsid w:val="00803543"/>
    <w:rsid w:val="008035CE"/>
    <w:rsid w:val="008035E8"/>
    <w:rsid w:val="00805167"/>
    <w:rsid w:val="00805656"/>
    <w:rsid w:val="00805FC7"/>
    <w:rsid w:val="008069C6"/>
    <w:rsid w:val="00811604"/>
    <w:rsid w:val="008118DC"/>
    <w:rsid w:val="00811B81"/>
    <w:rsid w:val="0081321C"/>
    <w:rsid w:val="00813991"/>
    <w:rsid w:val="00815F1D"/>
    <w:rsid w:val="008171FA"/>
    <w:rsid w:val="00821916"/>
    <w:rsid w:val="00823CA0"/>
    <w:rsid w:val="00824AF5"/>
    <w:rsid w:val="00827424"/>
    <w:rsid w:val="00827427"/>
    <w:rsid w:val="00827E06"/>
    <w:rsid w:val="00831153"/>
    <w:rsid w:val="00831EE4"/>
    <w:rsid w:val="008339C7"/>
    <w:rsid w:val="00835211"/>
    <w:rsid w:val="00836CE8"/>
    <w:rsid w:val="00836F8E"/>
    <w:rsid w:val="0084186F"/>
    <w:rsid w:val="00842FBE"/>
    <w:rsid w:val="008445FF"/>
    <w:rsid w:val="00846208"/>
    <w:rsid w:val="00846509"/>
    <w:rsid w:val="0084733E"/>
    <w:rsid w:val="00847E50"/>
    <w:rsid w:val="00850176"/>
    <w:rsid w:val="00851309"/>
    <w:rsid w:val="00852974"/>
    <w:rsid w:val="00854BCE"/>
    <w:rsid w:val="00854D30"/>
    <w:rsid w:val="008551C5"/>
    <w:rsid w:val="00856155"/>
    <w:rsid w:val="0086074E"/>
    <w:rsid w:val="00863AD9"/>
    <w:rsid w:val="00864663"/>
    <w:rsid w:val="008648C4"/>
    <w:rsid w:val="00864E28"/>
    <w:rsid w:val="00865514"/>
    <w:rsid w:val="008658D1"/>
    <w:rsid w:val="00870A36"/>
    <w:rsid w:val="00870FF4"/>
    <w:rsid w:val="0087131D"/>
    <w:rsid w:val="00872C17"/>
    <w:rsid w:val="00872D3F"/>
    <w:rsid w:val="00875D57"/>
    <w:rsid w:val="008776A9"/>
    <w:rsid w:val="008776E0"/>
    <w:rsid w:val="00881BEE"/>
    <w:rsid w:val="00881C0A"/>
    <w:rsid w:val="00882439"/>
    <w:rsid w:val="00883CF9"/>
    <w:rsid w:val="0088575D"/>
    <w:rsid w:val="00892C04"/>
    <w:rsid w:val="0089304D"/>
    <w:rsid w:val="00894741"/>
    <w:rsid w:val="008A002E"/>
    <w:rsid w:val="008A0A4A"/>
    <w:rsid w:val="008A2607"/>
    <w:rsid w:val="008A27C4"/>
    <w:rsid w:val="008A39E9"/>
    <w:rsid w:val="008A43C3"/>
    <w:rsid w:val="008A4E92"/>
    <w:rsid w:val="008A640C"/>
    <w:rsid w:val="008A6470"/>
    <w:rsid w:val="008A7952"/>
    <w:rsid w:val="008B0916"/>
    <w:rsid w:val="008B1320"/>
    <w:rsid w:val="008B15D9"/>
    <w:rsid w:val="008B39B8"/>
    <w:rsid w:val="008B3BF9"/>
    <w:rsid w:val="008B3C6C"/>
    <w:rsid w:val="008B60DF"/>
    <w:rsid w:val="008B6F52"/>
    <w:rsid w:val="008C2D0B"/>
    <w:rsid w:val="008C5731"/>
    <w:rsid w:val="008C637F"/>
    <w:rsid w:val="008D33CC"/>
    <w:rsid w:val="008D3C4E"/>
    <w:rsid w:val="008D3CB0"/>
    <w:rsid w:val="008D42B2"/>
    <w:rsid w:val="008D45DA"/>
    <w:rsid w:val="008D51C2"/>
    <w:rsid w:val="008D583C"/>
    <w:rsid w:val="008E1BA3"/>
    <w:rsid w:val="008E2AF0"/>
    <w:rsid w:val="008E3323"/>
    <w:rsid w:val="008E4BCB"/>
    <w:rsid w:val="008E6E40"/>
    <w:rsid w:val="008F37A6"/>
    <w:rsid w:val="008F50F7"/>
    <w:rsid w:val="008F5AD4"/>
    <w:rsid w:val="008F5C60"/>
    <w:rsid w:val="008F640C"/>
    <w:rsid w:val="008F799B"/>
    <w:rsid w:val="00900380"/>
    <w:rsid w:val="0090340E"/>
    <w:rsid w:val="009069D0"/>
    <w:rsid w:val="00917E02"/>
    <w:rsid w:val="00921850"/>
    <w:rsid w:val="00924314"/>
    <w:rsid w:val="009245A2"/>
    <w:rsid w:val="009257F4"/>
    <w:rsid w:val="00925E2D"/>
    <w:rsid w:val="009268D7"/>
    <w:rsid w:val="00930600"/>
    <w:rsid w:val="00934A62"/>
    <w:rsid w:val="00935693"/>
    <w:rsid w:val="00940D4E"/>
    <w:rsid w:val="00941FFD"/>
    <w:rsid w:val="0094268D"/>
    <w:rsid w:val="00943CBF"/>
    <w:rsid w:val="00945102"/>
    <w:rsid w:val="00945420"/>
    <w:rsid w:val="00950C5A"/>
    <w:rsid w:val="00952DF7"/>
    <w:rsid w:val="00953C3A"/>
    <w:rsid w:val="00953E0E"/>
    <w:rsid w:val="00954888"/>
    <w:rsid w:val="00956C24"/>
    <w:rsid w:val="00956F97"/>
    <w:rsid w:val="00957AC6"/>
    <w:rsid w:val="00960446"/>
    <w:rsid w:val="009605FF"/>
    <w:rsid w:val="00961907"/>
    <w:rsid w:val="0096263E"/>
    <w:rsid w:val="00962E8E"/>
    <w:rsid w:val="009641AD"/>
    <w:rsid w:val="009647A0"/>
    <w:rsid w:val="00964E2C"/>
    <w:rsid w:val="0096692C"/>
    <w:rsid w:val="009705E0"/>
    <w:rsid w:val="00973EC4"/>
    <w:rsid w:val="009746FF"/>
    <w:rsid w:val="00974EAF"/>
    <w:rsid w:val="00976CC4"/>
    <w:rsid w:val="00976EBE"/>
    <w:rsid w:val="00981BC3"/>
    <w:rsid w:val="00981EA7"/>
    <w:rsid w:val="0098275F"/>
    <w:rsid w:val="009830DE"/>
    <w:rsid w:val="009836C0"/>
    <w:rsid w:val="00984799"/>
    <w:rsid w:val="00984A43"/>
    <w:rsid w:val="00987BCF"/>
    <w:rsid w:val="00991409"/>
    <w:rsid w:val="00992E2E"/>
    <w:rsid w:val="0099315C"/>
    <w:rsid w:val="0099341B"/>
    <w:rsid w:val="00995DAC"/>
    <w:rsid w:val="009968C5"/>
    <w:rsid w:val="00997968"/>
    <w:rsid w:val="009A09E3"/>
    <w:rsid w:val="009A0B5F"/>
    <w:rsid w:val="009A0CA5"/>
    <w:rsid w:val="009A3ABB"/>
    <w:rsid w:val="009A40A4"/>
    <w:rsid w:val="009A46B5"/>
    <w:rsid w:val="009A571B"/>
    <w:rsid w:val="009A735D"/>
    <w:rsid w:val="009B04B3"/>
    <w:rsid w:val="009B0A1B"/>
    <w:rsid w:val="009B1AB7"/>
    <w:rsid w:val="009B65AD"/>
    <w:rsid w:val="009B796A"/>
    <w:rsid w:val="009B7ACD"/>
    <w:rsid w:val="009C075B"/>
    <w:rsid w:val="009C07B6"/>
    <w:rsid w:val="009C20EF"/>
    <w:rsid w:val="009C4216"/>
    <w:rsid w:val="009C49C3"/>
    <w:rsid w:val="009C685D"/>
    <w:rsid w:val="009D074A"/>
    <w:rsid w:val="009D1443"/>
    <w:rsid w:val="009D241F"/>
    <w:rsid w:val="009D36CE"/>
    <w:rsid w:val="009D3B0D"/>
    <w:rsid w:val="009D4C0C"/>
    <w:rsid w:val="009D501F"/>
    <w:rsid w:val="009D5628"/>
    <w:rsid w:val="009D58A3"/>
    <w:rsid w:val="009E0267"/>
    <w:rsid w:val="009E1782"/>
    <w:rsid w:val="009E1C96"/>
    <w:rsid w:val="009E2C11"/>
    <w:rsid w:val="009E50E7"/>
    <w:rsid w:val="009E573E"/>
    <w:rsid w:val="009E5DBC"/>
    <w:rsid w:val="009E6147"/>
    <w:rsid w:val="009E71B1"/>
    <w:rsid w:val="009E7B03"/>
    <w:rsid w:val="009F0CD3"/>
    <w:rsid w:val="009F1A3F"/>
    <w:rsid w:val="009F2EEC"/>
    <w:rsid w:val="009F4EF6"/>
    <w:rsid w:val="009F6148"/>
    <w:rsid w:val="009F735C"/>
    <w:rsid w:val="009F7D42"/>
    <w:rsid w:val="00A01734"/>
    <w:rsid w:val="00A04AE5"/>
    <w:rsid w:val="00A05194"/>
    <w:rsid w:val="00A0589F"/>
    <w:rsid w:val="00A071B1"/>
    <w:rsid w:val="00A0737C"/>
    <w:rsid w:val="00A10F8D"/>
    <w:rsid w:val="00A11F59"/>
    <w:rsid w:val="00A1451D"/>
    <w:rsid w:val="00A177E4"/>
    <w:rsid w:val="00A23486"/>
    <w:rsid w:val="00A252DD"/>
    <w:rsid w:val="00A25C44"/>
    <w:rsid w:val="00A274D0"/>
    <w:rsid w:val="00A347D1"/>
    <w:rsid w:val="00A352FC"/>
    <w:rsid w:val="00A41704"/>
    <w:rsid w:val="00A41E30"/>
    <w:rsid w:val="00A423F2"/>
    <w:rsid w:val="00A430C1"/>
    <w:rsid w:val="00A43E9D"/>
    <w:rsid w:val="00A467A3"/>
    <w:rsid w:val="00A50434"/>
    <w:rsid w:val="00A5087C"/>
    <w:rsid w:val="00A51265"/>
    <w:rsid w:val="00A525BE"/>
    <w:rsid w:val="00A52A0D"/>
    <w:rsid w:val="00A556C2"/>
    <w:rsid w:val="00A56811"/>
    <w:rsid w:val="00A571DC"/>
    <w:rsid w:val="00A618C1"/>
    <w:rsid w:val="00A618ED"/>
    <w:rsid w:val="00A61CA6"/>
    <w:rsid w:val="00A67037"/>
    <w:rsid w:val="00A719B3"/>
    <w:rsid w:val="00A72F6B"/>
    <w:rsid w:val="00A74BAA"/>
    <w:rsid w:val="00A7751D"/>
    <w:rsid w:val="00A8003B"/>
    <w:rsid w:val="00A810FD"/>
    <w:rsid w:val="00A81253"/>
    <w:rsid w:val="00A84802"/>
    <w:rsid w:val="00A848BB"/>
    <w:rsid w:val="00A855DA"/>
    <w:rsid w:val="00A87E44"/>
    <w:rsid w:val="00A929CC"/>
    <w:rsid w:val="00A92CCD"/>
    <w:rsid w:val="00A94D60"/>
    <w:rsid w:val="00A957BB"/>
    <w:rsid w:val="00A95D1A"/>
    <w:rsid w:val="00AA0D6D"/>
    <w:rsid w:val="00AA20B9"/>
    <w:rsid w:val="00AA4E70"/>
    <w:rsid w:val="00AA52BF"/>
    <w:rsid w:val="00AA5A1B"/>
    <w:rsid w:val="00AB1507"/>
    <w:rsid w:val="00AB232F"/>
    <w:rsid w:val="00AB268A"/>
    <w:rsid w:val="00AB2C7E"/>
    <w:rsid w:val="00AB4742"/>
    <w:rsid w:val="00AB5860"/>
    <w:rsid w:val="00AB5F49"/>
    <w:rsid w:val="00AB6159"/>
    <w:rsid w:val="00AB6387"/>
    <w:rsid w:val="00AB6C0B"/>
    <w:rsid w:val="00AB75D5"/>
    <w:rsid w:val="00AB7727"/>
    <w:rsid w:val="00AC1773"/>
    <w:rsid w:val="00AC24F6"/>
    <w:rsid w:val="00AC328B"/>
    <w:rsid w:val="00AC32DF"/>
    <w:rsid w:val="00AC3B4B"/>
    <w:rsid w:val="00AC4DBF"/>
    <w:rsid w:val="00AD02C1"/>
    <w:rsid w:val="00AD0432"/>
    <w:rsid w:val="00AD39F7"/>
    <w:rsid w:val="00AD7DB2"/>
    <w:rsid w:val="00AE380B"/>
    <w:rsid w:val="00AE4AB2"/>
    <w:rsid w:val="00AE56CD"/>
    <w:rsid w:val="00AE694F"/>
    <w:rsid w:val="00AF25D5"/>
    <w:rsid w:val="00AF4656"/>
    <w:rsid w:val="00AF71AC"/>
    <w:rsid w:val="00B00B15"/>
    <w:rsid w:val="00B00CC2"/>
    <w:rsid w:val="00B0121B"/>
    <w:rsid w:val="00B015C9"/>
    <w:rsid w:val="00B0196D"/>
    <w:rsid w:val="00B026E0"/>
    <w:rsid w:val="00B03149"/>
    <w:rsid w:val="00B034A1"/>
    <w:rsid w:val="00B036A7"/>
    <w:rsid w:val="00B03C6D"/>
    <w:rsid w:val="00B03C75"/>
    <w:rsid w:val="00B04671"/>
    <w:rsid w:val="00B059A4"/>
    <w:rsid w:val="00B11012"/>
    <w:rsid w:val="00B1220E"/>
    <w:rsid w:val="00B12DD2"/>
    <w:rsid w:val="00B1693E"/>
    <w:rsid w:val="00B16D5A"/>
    <w:rsid w:val="00B17001"/>
    <w:rsid w:val="00B17607"/>
    <w:rsid w:val="00B17636"/>
    <w:rsid w:val="00B17E45"/>
    <w:rsid w:val="00B21176"/>
    <w:rsid w:val="00B233C4"/>
    <w:rsid w:val="00B24416"/>
    <w:rsid w:val="00B25B17"/>
    <w:rsid w:val="00B26525"/>
    <w:rsid w:val="00B27901"/>
    <w:rsid w:val="00B3046B"/>
    <w:rsid w:val="00B32240"/>
    <w:rsid w:val="00B330A4"/>
    <w:rsid w:val="00B33A11"/>
    <w:rsid w:val="00B4043C"/>
    <w:rsid w:val="00B41AE7"/>
    <w:rsid w:val="00B4415E"/>
    <w:rsid w:val="00B468F4"/>
    <w:rsid w:val="00B46DE5"/>
    <w:rsid w:val="00B47246"/>
    <w:rsid w:val="00B52172"/>
    <w:rsid w:val="00B52CE0"/>
    <w:rsid w:val="00B53D66"/>
    <w:rsid w:val="00B54515"/>
    <w:rsid w:val="00B56092"/>
    <w:rsid w:val="00B56BDE"/>
    <w:rsid w:val="00B603BD"/>
    <w:rsid w:val="00B62FDB"/>
    <w:rsid w:val="00B636E3"/>
    <w:rsid w:val="00B63F4C"/>
    <w:rsid w:val="00B648E2"/>
    <w:rsid w:val="00B654CD"/>
    <w:rsid w:val="00B66A4A"/>
    <w:rsid w:val="00B676BD"/>
    <w:rsid w:val="00B71D8C"/>
    <w:rsid w:val="00B721BD"/>
    <w:rsid w:val="00B72B67"/>
    <w:rsid w:val="00B73125"/>
    <w:rsid w:val="00B73477"/>
    <w:rsid w:val="00B737EA"/>
    <w:rsid w:val="00B756BE"/>
    <w:rsid w:val="00B76E6E"/>
    <w:rsid w:val="00B77C7F"/>
    <w:rsid w:val="00B77F22"/>
    <w:rsid w:val="00B815A8"/>
    <w:rsid w:val="00B85EE9"/>
    <w:rsid w:val="00B877CE"/>
    <w:rsid w:val="00B90852"/>
    <w:rsid w:val="00B91442"/>
    <w:rsid w:val="00B91846"/>
    <w:rsid w:val="00B91F09"/>
    <w:rsid w:val="00B9268D"/>
    <w:rsid w:val="00B92A53"/>
    <w:rsid w:val="00B93D55"/>
    <w:rsid w:val="00B96BBD"/>
    <w:rsid w:val="00B97CBB"/>
    <w:rsid w:val="00BA44FA"/>
    <w:rsid w:val="00BA6977"/>
    <w:rsid w:val="00BA6A74"/>
    <w:rsid w:val="00BA72E9"/>
    <w:rsid w:val="00BB3DEA"/>
    <w:rsid w:val="00BB4D12"/>
    <w:rsid w:val="00BB4D24"/>
    <w:rsid w:val="00BB4E27"/>
    <w:rsid w:val="00BB4E82"/>
    <w:rsid w:val="00BB5DAD"/>
    <w:rsid w:val="00BB707C"/>
    <w:rsid w:val="00BC12F2"/>
    <w:rsid w:val="00BC3828"/>
    <w:rsid w:val="00BC3C3E"/>
    <w:rsid w:val="00BC4E6E"/>
    <w:rsid w:val="00BC674A"/>
    <w:rsid w:val="00BC769C"/>
    <w:rsid w:val="00BD16A1"/>
    <w:rsid w:val="00BD3DC9"/>
    <w:rsid w:val="00BD3E5C"/>
    <w:rsid w:val="00BD4A7A"/>
    <w:rsid w:val="00BD4D21"/>
    <w:rsid w:val="00BD5453"/>
    <w:rsid w:val="00BD6A69"/>
    <w:rsid w:val="00BE00BE"/>
    <w:rsid w:val="00BE0D69"/>
    <w:rsid w:val="00BE11BC"/>
    <w:rsid w:val="00BE16F5"/>
    <w:rsid w:val="00BE483A"/>
    <w:rsid w:val="00BE48F1"/>
    <w:rsid w:val="00BE4CE5"/>
    <w:rsid w:val="00BE5983"/>
    <w:rsid w:val="00BE62B7"/>
    <w:rsid w:val="00BE687A"/>
    <w:rsid w:val="00BE6C49"/>
    <w:rsid w:val="00BE6D61"/>
    <w:rsid w:val="00BE71CD"/>
    <w:rsid w:val="00BE7A46"/>
    <w:rsid w:val="00BF01B6"/>
    <w:rsid w:val="00BF14F6"/>
    <w:rsid w:val="00BF1AF7"/>
    <w:rsid w:val="00BF23CD"/>
    <w:rsid w:val="00BF2C6F"/>
    <w:rsid w:val="00BF2FCB"/>
    <w:rsid w:val="00BF4A25"/>
    <w:rsid w:val="00BF66E6"/>
    <w:rsid w:val="00BF7FF8"/>
    <w:rsid w:val="00C00697"/>
    <w:rsid w:val="00C01034"/>
    <w:rsid w:val="00C0241B"/>
    <w:rsid w:val="00C03714"/>
    <w:rsid w:val="00C040C3"/>
    <w:rsid w:val="00C0426C"/>
    <w:rsid w:val="00C043F8"/>
    <w:rsid w:val="00C04A92"/>
    <w:rsid w:val="00C10CBE"/>
    <w:rsid w:val="00C116BB"/>
    <w:rsid w:val="00C12223"/>
    <w:rsid w:val="00C1417D"/>
    <w:rsid w:val="00C1419E"/>
    <w:rsid w:val="00C144A9"/>
    <w:rsid w:val="00C15C47"/>
    <w:rsid w:val="00C15F5A"/>
    <w:rsid w:val="00C17318"/>
    <w:rsid w:val="00C17517"/>
    <w:rsid w:val="00C20F64"/>
    <w:rsid w:val="00C217E4"/>
    <w:rsid w:val="00C22BAA"/>
    <w:rsid w:val="00C23A70"/>
    <w:rsid w:val="00C241DF"/>
    <w:rsid w:val="00C247C6"/>
    <w:rsid w:val="00C2790B"/>
    <w:rsid w:val="00C31D45"/>
    <w:rsid w:val="00C3563E"/>
    <w:rsid w:val="00C40B4D"/>
    <w:rsid w:val="00C40B96"/>
    <w:rsid w:val="00C41402"/>
    <w:rsid w:val="00C43EA7"/>
    <w:rsid w:val="00C462F4"/>
    <w:rsid w:val="00C500FE"/>
    <w:rsid w:val="00C51F2F"/>
    <w:rsid w:val="00C5364C"/>
    <w:rsid w:val="00C53B32"/>
    <w:rsid w:val="00C5504C"/>
    <w:rsid w:val="00C55249"/>
    <w:rsid w:val="00C56A02"/>
    <w:rsid w:val="00C56E84"/>
    <w:rsid w:val="00C61733"/>
    <w:rsid w:val="00C6709B"/>
    <w:rsid w:val="00C6725A"/>
    <w:rsid w:val="00C67C4C"/>
    <w:rsid w:val="00C67C6B"/>
    <w:rsid w:val="00C702EB"/>
    <w:rsid w:val="00C706FD"/>
    <w:rsid w:val="00C71BB5"/>
    <w:rsid w:val="00C730DE"/>
    <w:rsid w:val="00C74988"/>
    <w:rsid w:val="00C75522"/>
    <w:rsid w:val="00C75E2C"/>
    <w:rsid w:val="00C76446"/>
    <w:rsid w:val="00C819BF"/>
    <w:rsid w:val="00C820DB"/>
    <w:rsid w:val="00C83610"/>
    <w:rsid w:val="00C83B5F"/>
    <w:rsid w:val="00C8446D"/>
    <w:rsid w:val="00C84AB1"/>
    <w:rsid w:val="00C84ABD"/>
    <w:rsid w:val="00C84FC3"/>
    <w:rsid w:val="00C87EA0"/>
    <w:rsid w:val="00C90C24"/>
    <w:rsid w:val="00C9103F"/>
    <w:rsid w:val="00C91D82"/>
    <w:rsid w:val="00C9394E"/>
    <w:rsid w:val="00C95250"/>
    <w:rsid w:val="00C9642B"/>
    <w:rsid w:val="00C96488"/>
    <w:rsid w:val="00C96E71"/>
    <w:rsid w:val="00CA2D52"/>
    <w:rsid w:val="00CA3167"/>
    <w:rsid w:val="00CA37E9"/>
    <w:rsid w:val="00CA562C"/>
    <w:rsid w:val="00CA6D80"/>
    <w:rsid w:val="00CB047B"/>
    <w:rsid w:val="00CB2811"/>
    <w:rsid w:val="00CB2B53"/>
    <w:rsid w:val="00CB414E"/>
    <w:rsid w:val="00CB4B5D"/>
    <w:rsid w:val="00CC07D1"/>
    <w:rsid w:val="00CC1B7B"/>
    <w:rsid w:val="00CC2C95"/>
    <w:rsid w:val="00CC31EB"/>
    <w:rsid w:val="00CC58AB"/>
    <w:rsid w:val="00CC6174"/>
    <w:rsid w:val="00CD57B1"/>
    <w:rsid w:val="00CD62D1"/>
    <w:rsid w:val="00CD64EA"/>
    <w:rsid w:val="00CE0E1A"/>
    <w:rsid w:val="00CE1665"/>
    <w:rsid w:val="00CE1983"/>
    <w:rsid w:val="00CE1BE3"/>
    <w:rsid w:val="00CE2BCF"/>
    <w:rsid w:val="00CE4ABD"/>
    <w:rsid w:val="00CE5602"/>
    <w:rsid w:val="00CE5855"/>
    <w:rsid w:val="00CE680F"/>
    <w:rsid w:val="00CE6C42"/>
    <w:rsid w:val="00CE7C6D"/>
    <w:rsid w:val="00CF00F3"/>
    <w:rsid w:val="00CF091B"/>
    <w:rsid w:val="00CF0AE0"/>
    <w:rsid w:val="00CF2364"/>
    <w:rsid w:val="00CF5D7C"/>
    <w:rsid w:val="00CF6399"/>
    <w:rsid w:val="00D0375F"/>
    <w:rsid w:val="00D03E96"/>
    <w:rsid w:val="00D0422C"/>
    <w:rsid w:val="00D04C70"/>
    <w:rsid w:val="00D06459"/>
    <w:rsid w:val="00D064BD"/>
    <w:rsid w:val="00D06FBD"/>
    <w:rsid w:val="00D07F22"/>
    <w:rsid w:val="00D13803"/>
    <w:rsid w:val="00D13BD4"/>
    <w:rsid w:val="00D17262"/>
    <w:rsid w:val="00D206F7"/>
    <w:rsid w:val="00D2179A"/>
    <w:rsid w:val="00D22128"/>
    <w:rsid w:val="00D247C6"/>
    <w:rsid w:val="00D25C3F"/>
    <w:rsid w:val="00D33996"/>
    <w:rsid w:val="00D37F02"/>
    <w:rsid w:val="00D40EBB"/>
    <w:rsid w:val="00D4393D"/>
    <w:rsid w:val="00D4502C"/>
    <w:rsid w:val="00D45F66"/>
    <w:rsid w:val="00D46D07"/>
    <w:rsid w:val="00D519FC"/>
    <w:rsid w:val="00D52A4B"/>
    <w:rsid w:val="00D54519"/>
    <w:rsid w:val="00D54B79"/>
    <w:rsid w:val="00D606C8"/>
    <w:rsid w:val="00D664F2"/>
    <w:rsid w:val="00D712EA"/>
    <w:rsid w:val="00D71A7D"/>
    <w:rsid w:val="00D72256"/>
    <w:rsid w:val="00D75FD9"/>
    <w:rsid w:val="00D76C44"/>
    <w:rsid w:val="00D77095"/>
    <w:rsid w:val="00D800F2"/>
    <w:rsid w:val="00D810D0"/>
    <w:rsid w:val="00D82EA5"/>
    <w:rsid w:val="00D8347E"/>
    <w:rsid w:val="00D84401"/>
    <w:rsid w:val="00D857B2"/>
    <w:rsid w:val="00D87F14"/>
    <w:rsid w:val="00D91FA4"/>
    <w:rsid w:val="00D93F56"/>
    <w:rsid w:val="00DA06CF"/>
    <w:rsid w:val="00DA1F82"/>
    <w:rsid w:val="00DA381A"/>
    <w:rsid w:val="00DA3EEE"/>
    <w:rsid w:val="00DA6BAC"/>
    <w:rsid w:val="00DB07BB"/>
    <w:rsid w:val="00DB1B55"/>
    <w:rsid w:val="00DB2EF5"/>
    <w:rsid w:val="00DB341D"/>
    <w:rsid w:val="00DB3676"/>
    <w:rsid w:val="00DB4D91"/>
    <w:rsid w:val="00DB54DB"/>
    <w:rsid w:val="00DB672B"/>
    <w:rsid w:val="00DB6A29"/>
    <w:rsid w:val="00DC2221"/>
    <w:rsid w:val="00DC60A6"/>
    <w:rsid w:val="00DC6BE3"/>
    <w:rsid w:val="00DC7801"/>
    <w:rsid w:val="00DD07DC"/>
    <w:rsid w:val="00DD1FA3"/>
    <w:rsid w:val="00DD3E4A"/>
    <w:rsid w:val="00DD440A"/>
    <w:rsid w:val="00DD5B06"/>
    <w:rsid w:val="00DD66BE"/>
    <w:rsid w:val="00DD7574"/>
    <w:rsid w:val="00DE046E"/>
    <w:rsid w:val="00DE0DAC"/>
    <w:rsid w:val="00DE1901"/>
    <w:rsid w:val="00DE39A4"/>
    <w:rsid w:val="00DE436F"/>
    <w:rsid w:val="00DE54A1"/>
    <w:rsid w:val="00DE5D72"/>
    <w:rsid w:val="00DE6183"/>
    <w:rsid w:val="00DE6D70"/>
    <w:rsid w:val="00DF01E7"/>
    <w:rsid w:val="00DF2DD1"/>
    <w:rsid w:val="00DF5EB9"/>
    <w:rsid w:val="00E001D5"/>
    <w:rsid w:val="00E00A7C"/>
    <w:rsid w:val="00E00C7D"/>
    <w:rsid w:val="00E017B6"/>
    <w:rsid w:val="00E01A2B"/>
    <w:rsid w:val="00E025D6"/>
    <w:rsid w:val="00E0481B"/>
    <w:rsid w:val="00E10527"/>
    <w:rsid w:val="00E105E8"/>
    <w:rsid w:val="00E14013"/>
    <w:rsid w:val="00E147ED"/>
    <w:rsid w:val="00E14B59"/>
    <w:rsid w:val="00E14E14"/>
    <w:rsid w:val="00E15180"/>
    <w:rsid w:val="00E16715"/>
    <w:rsid w:val="00E21EB4"/>
    <w:rsid w:val="00E242A9"/>
    <w:rsid w:val="00E248A6"/>
    <w:rsid w:val="00E25B45"/>
    <w:rsid w:val="00E25CCC"/>
    <w:rsid w:val="00E26C62"/>
    <w:rsid w:val="00E277D6"/>
    <w:rsid w:val="00E32E65"/>
    <w:rsid w:val="00E32FC3"/>
    <w:rsid w:val="00E35D00"/>
    <w:rsid w:val="00E3645F"/>
    <w:rsid w:val="00E41B59"/>
    <w:rsid w:val="00E4293D"/>
    <w:rsid w:val="00E43549"/>
    <w:rsid w:val="00E44B0D"/>
    <w:rsid w:val="00E502AF"/>
    <w:rsid w:val="00E5098A"/>
    <w:rsid w:val="00E52315"/>
    <w:rsid w:val="00E527BB"/>
    <w:rsid w:val="00E54A86"/>
    <w:rsid w:val="00E573AC"/>
    <w:rsid w:val="00E57787"/>
    <w:rsid w:val="00E62934"/>
    <w:rsid w:val="00E63EA2"/>
    <w:rsid w:val="00E654A6"/>
    <w:rsid w:val="00E654C3"/>
    <w:rsid w:val="00E655B1"/>
    <w:rsid w:val="00E66B61"/>
    <w:rsid w:val="00E67140"/>
    <w:rsid w:val="00E7033D"/>
    <w:rsid w:val="00E704D3"/>
    <w:rsid w:val="00E704E0"/>
    <w:rsid w:val="00E72BDF"/>
    <w:rsid w:val="00E7459B"/>
    <w:rsid w:val="00E7497E"/>
    <w:rsid w:val="00E773C6"/>
    <w:rsid w:val="00E775EA"/>
    <w:rsid w:val="00E81514"/>
    <w:rsid w:val="00E817E3"/>
    <w:rsid w:val="00E81AB2"/>
    <w:rsid w:val="00E906DC"/>
    <w:rsid w:val="00E922C8"/>
    <w:rsid w:val="00E92EC7"/>
    <w:rsid w:val="00E958A9"/>
    <w:rsid w:val="00E95DA0"/>
    <w:rsid w:val="00E96328"/>
    <w:rsid w:val="00E9668B"/>
    <w:rsid w:val="00E96F4A"/>
    <w:rsid w:val="00E9750B"/>
    <w:rsid w:val="00E9797C"/>
    <w:rsid w:val="00E97B16"/>
    <w:rsid w:val="00EA364A"/>
    <w:rsid w:val="00EA36D5"/>
    <w:rsid w:val="00EA490F"/>
    <w:rsid w:val="00EB02B0"/>
    <w:rsid w:val="00EB0304"/>
    <w:rsid w:val="00EB1E1A"/>
    <w:rsid w:val="00EB3117"/>
    <w:rsid w:val="00EB34CF"/>
    <w:rsid w:val="00EB3CA7"/>
    <w:rsid w:val="00EB459E"/>
    <w:rsid w:val="00EB57B1"/>
    <w:rsid w:val="00EB5CE3"/>
    <w:rsid w:val="00EB66B0"/>
    <w:rsid w:val="00EB6E2D"/>
    <w:rsid w:val="00EB7FB2"/>
    <w:rsid w:val="00EC4BAA"/>
    <w:rsid w:val="00EC53ED"/>
    <w:rsid w:val="00EC6782"/>
    <w:rsid w:val="00ED09E2"/>
    <w:rsid w:val="00ED3D65"/>
    <w:rsid w:val="00ED4686"/>
    <w:rsid w:val="00EE1B29"/>
    <w:rsid w:val="00EE4202"/>
    <w:rsid w:val="00EE519A"/>
    <w:rsid w:val="00EE66AD"/>
    <w:rsid w:val="00EE7561"/>
    <w:rsid w:val="00EF189C"/>
    <w:rsid w:val="00EF2AAE"/>
    <w:rsid w:val="00EF7065"/>
    <w:rsid w:val="00F0041A"/>
    <w:rsid w:val="00F013B7"/>
    <w:rsid w:val="00F01D68"/>
    <w:rsid w:val="00F02584"/>
    <w:rsid w:val="00F027C8"/>
    <w:rsid w:val="00F06206"/>
    <w:rsid w:val="00F063BB"/>
    <w:rsid w:val="00F10248"/>
    <w:rsid w:val="00F1039D"/>
    <w:rsid w:val="00F109BA"/>
    <w:rsid w:val="00F13C76"/>
    <w:rsid w:val="00F143AD"/>
    <w:rsid w:val="00F152AB"/>
    <w:rsid w:val="00F20ECB"/>
    <w:rsid w:val="00F21956"/>
    <w:rsid w:val="00F24529"/>
    <w:rsid w:val="00F25E09"/>
    <w:rsid w:val="00F31B9C"/>
    <w:rsid w:val="00F337D1"/>
    <w:rsid w:val="00F348E4"/>
    <w:rsid w:val="00F34AB6"/>
    <w:rsid w:val="00F35024"/>
    <w:rsid w:val="00F35575"/>
    <w:rsid w:val="00F37946"/>
    <w:rsid w:val="00F37995"/>
    <w:rsid w:val="00F40925"/>
    <w:rsid w:val="00F414E7"/>
    <w:rsid w:val="00F42DBD"/>
    <w:rsid w:val="00F43F07"/>
    <w:rsid w:val="00F446CD"/>
    <w:rsid w:val="00F451D3"/>
    <w:rsid w:val="00F45526"/>
    <w:rsid w:val="00F459A6"/>
    <w:rsid w:val="00F45EEE"/>
    <w:rsid w:val="00F46D02"/>
    <w:rsid w:val="00F47735"/>
    <w:rsid w:val="00F501C7"/>
    <w:rsid w:val="00F5194F"/>
    <w:rsid w:val="00F52570"/>
    <w:rsid w:val="00F52576"/>
    <w:rsid w:val="00F60F2B"/>
    <w:rsid w:val="00F64B1B"/>
    <w:rsid w:val="00F70AF8"/>
    <w:rsid w:val="00F70C5D"/>
    <w:rsid w:val="00F730C9"/>
    <w:rsid w:val="00F73886"/>
    <w:rsid w:val="00F73DEF"/>
    <w:rsid w:val="00F80466"/>
    <w:rsid w:val="00F80587"/>
    <w:rsid w:val="00F837FB"/>
    <w:rsid w:val="00F85E28"/>
    <w:rsid w:val="00F87462"/>
    <w:rsid w:val="00F90D80"/>
    <w:rsid w:val="00F92B12"/>
    <w:rsid w:val="00F96B31"/>
    <w:rsid w:val="00FA03D2"/>
    <w:rsid w:val="00FA0D5E"/>
    <w:rsid w:val="00FA58D3"/>
    <w:rsid w:val="00FB0AA5"/>
    <w:rsid w:val="00FB1E03"/>
    <w:rsid w:val="00FB21B9"/>
    <w:rsid w:val="00FB2B5E"/>
    <w:rsid w:val="00FB330F"/>
    <w:rsid w:val="00FB4547"/>
    <w:rsid w:val="00FB4832"/>
    <w:rsid w:val="00FB484D"/>
    <w:rsid w:val="00FB4B0D"/>
    <w:rsid w:val="00FB4ED8"/>
    <w:rsid w:val="00FB4F05"/>
    <w:rsid w:val="00FB5C30"/>
    <w:rsid w:val="00FC1F67"/>
    <w:rsid w:val="00FC2CA9"/>
    <w:rsid w:val="00FC3677"/>
    <w:rsid w:val="00FC3AD7"/>
    <w:rsid w:val="00FC5095"/>
    <w:rsid w:val="00FC7BC1"/>
    <w:rsid w:val="00FD2076"/>
    <w:rsid w:val="00FD7C95"/>
    <w:rsid w:val="00FE50CD"/>
    <w:rsid w:val="00FE5CBF"/>
    <w:rsid w:val="00FE67E7"/>
    <w:rsid w:val="00FE6C54"/>
    <w:rsid w:val="00FF2141"/>
    <w:rsid w:val="00FF220C"/>
    <w:rsid w:val="00FF366B"/>
    <w:rsid w:val="00FF596D"/>
    <w:rsid w:val="00FF7143"/>
    <w:rsid w:val="016B52F8"/>
    <w:rsid w:val="01E054EB"/>
    <w:rsid w:val="04CB1B2F"/>
    <w:rsid w:val="04EC4171"/>
    <w:rsid w:val="07927288"/>
    <w:rsid w:val="0833477D"/>
    <w:rsid w:val="08627F12"/>
    <w:rsid w:val="089808CE"/>
    <w:rsid w:val="0B215545"/>
    <w:rsid w:val="0B7F4A99"/>
    <w:rsid w:val="0C0E7C83"/>
    <w:rsid w:val="0F59068B"/>
    <w:rsid w:val="0FFB276D"/>
    <w:rsid w:val="10AC19D5"/>
    <w:rsid w:val="10D35FB4"/>
    <w:rsid w:val="10ED3781"/>
    <w:rsid w:val="12371710"/>
    <w:rsid w:val="15714980"/>
    <w:rsid w:val="166444E5"/>
    <w:rsid w:val="16E81DD2"/>
    <w:rsid w:val="16F339FA"/>
    <w:rsid w:val="178D35C8"/>
    <w:rsid w:val="1B9238A2"/>
    <w:rsid w:val="1BDE43F2"/>
    <w:rsid w:val="1C295FB5"/>
    <w:rsid w:val="1CBE6263"/>
    <w:rsid w:val="1DDC0E05"/>
    <w:rsid w:val="21BE0F4D"/>
    <w:rsid w:val="21E854D8"/>
    <w:rsid w:val="21FF3314"/>
    <w:rsid w:val="220B0423"/>
    <w:rsid w:val="228850B7"/>
    <w:rsid w:val="22EE13BE"/>
    <w:rsid w:val="232B5672"/>
    <w:rsid w:val="237613B4"/>
    <w:rsid w:val="261C6242"/>
    <w:rsid w:val="271C2411"/>
    <w:rsid w:val="289C7B0E"/>
    <w:rsid w:val="2AAE58D7"/>
    <w:rsid w:val="2BB57409"/>
    <w:rsid w:val="2CE43832"/>
    <w:rsid w:val="2ECD6C74"/>
    <w:rsid w:val="2F761F23"/>
    <w:rsid w:val="2F762E67"/>
    <w:rsid w:val="2FC302D9"/>
    <w:rsid w:val="306E1D90"/>
    <w:rsid w:val="30872E52"/>
    <w:rsid w:val="32506177"/>
    <w:rsid w:val="3264344B"/>
    <w:rsid w:val="32987598"/>
    <w:rsid w:val="32ED2848"/>
    <w:rsid w:val="34104B64"/>
    <w:rsid w:val="342637AE"/>
    <w:rsid w:val="34BA1A48"/>
    <w:rsid w:val="39D82985"/>
    <w:rsid w:val="3B9E3ED8"/>
    <w:rsid w:val="3B9E42B3"/>
    <w:rsid w:val="3BCC2061"/>
    <w:rsid w:val="3C577345"/>
    <w:rsid w:val="3D0C6BB9"/>
    <w:rsid w:val="3D136199"/>
    <w:rsid w:val="3D421E06"/>
    <w:rsid w:val="3F035D9A"/>
    <w:rsid w:val="3F4452DB"/>
    <w:rsid w:val="43C26223"/>
    <w:rsid w:val="43D146B8"/>
    <w:rsid w:val="44103433"/>
    <w:rsid w:val="449B0822"/>
    <w:rsid w:val="455C26A8"/>
    <w:rsid w:val="459A2334"/>
    <w:rsid w:val="47FE17F4"/>
    <w:rsid w:val="48EA3ADD"/>
    <w:rsid w:val="499C0B00"/>
    <w:rsid w:val="4BC15012"/>
    <w:rsid w:val="4C59349D"/>
    <w:rsid w:val="4EEF140F"/>
    <w:rsid w:val="4F6E7875"/>
    <w:rsid w:val="52E4164A"/>
    <w:rsid w:val="561F5757"/>
    <w:rsid w:val="56E147BB"/>
    <w:rsid w:val="57A015AF"/>
    <w:rsid w:val="585D299D"/>
    <w:rsid w:val="586308C3"/>
    <w:rsid w:val="5BA30BED"/>
    <w:rsid w:val="5F2E2567"/>
    <w:rsid w:val="619E39E9"/>
    <w:rsid w:val="622639C9"/>
    <w:rsid w:val="624502F4"/>
    <w:rsid w:val="62546789"/>
    <w:rsid w:val="642663F5"/>
    <w:rsid w:val="653B59DE"/>
    <w:rsid w:val="67AC2BC3"/>
    <w:rsid w:val="68A35D74"/>
    <w:rsid w:val="6905774D"/>
    <w:rsid w:val="6BB142C3"/>
    <w:rsid w:val="6C253EB2"/>
    <w:rsid w:val="6D390A55"/>
    <w:rsid w:val="6DC62449"/>
    <w:rsid w:val="711E1588"/>
    <w:rsid w:val="75E941CB"/>
    <w:rsid w:val="7C183F2B"/>
    <w:rsid w:val="7D0C3A90"/>
    <w:rsid w:val="7DC132D4"/>
    <w:rsid w:val="7E82700D"/>
    <w:rsid w:val="7FBC2F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9" w:semiHidden="0" w:name="heading 3"/>
    <w:lsdException w:qFormat="1" w:uiPriority="9" w:semiHidden="0" w:name="heading 4"/>
    <w:lsdException w:uiPriority="9" w:name="heading 5"/>
    <w:lsdException w:uiPriority="9" w:name="heading 6"/>
    <w:lsdException w:uiPriority="9" w:name="heading 7"/>
    <w:lsdException w:uiPriority="9" w:name="heading 8"/>
    <w:lsdException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z w:val="24"/>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qFormat/>
    <w:uiPriority w:val="99"/>
    <w:pPr>
      <w:keepNext/>
      <w:keepLines/>
      <w:adjustRightInd w:val="0"/>
      <w:snapToGrid w:val="0"/>
      <w:spacing w:line="360" w:lineRule="auto"/>
      <w:outlineLvl w:val="1"/>
    </w:pPr>
    <w:rPr>
      <w:b/>
      <w:bCs/>
      <w:sz w:val="30"/>
      <w:szCs w:val="32"/>
    </w:rPr>
  </w:style>
  <w:style w:type="paragraph" w:styleId="4">
    <w:name w:val="heading 3"/>
    <w:basedOn w:val="1"/>
    <w:next w:val="1"/>
    <w:link w:val="33"/>
    <w:unhideWhenUsed/>
    <w:qFormat/>
    <w:uiPriority w:val="99"/>
    <w:pPr>
      <w:keepNext/>
      <w:keepLines/>
      <w:spacing w:before="160" w:after="160" w:line="360" w:lineRule="auto"/>
      <w:outlineLvl w:val="2"/>
    </w:pPr>
    <w:rPr>
      <w:b/>
      <w:bCs/>
      <w:sz w:val="30"/>
      <w:szCs w:val="32"/>
    </w:rPr>
  </w:style>
  <w:style w:type="paragraph" w:styleId="5">
    <w:name w:val="heading 4"/>
    <w:basedOn w:val="1"/>
    <w:next w:val="1"/>
    <w:link w:val="34"/>
    <w:unhideWhenUsed/>
    <w:qFormat/>
    <w:uiPriority w:val="9"/>
    <w:pPr>
      <w:keepNext/>
      <w:keepLines/>
      <w:spacing w:line="360" w:lineRule="auto"/>
      <w:outlineLvl w:val="3"/>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1440"/>
      <w:jc w:val="left"/>
    </w:pPr>
    <w:rPr>
      <w:rFonts w:asciiTheme="minorHAnsi" w:hAnsiTheme="minorHAnsi"/>
      <w:sz w:val="18"/>
      <w:szCs w:val="18"/>
    </w:rPr>
  </w:style>
  <w:style w:type="paragraph" w:styleId="7">
    <w:name w:val="Normal Indent"/>
    <w:basedOn w:val="1"/>
    <w:link w:val="94"/>
    <w:qFormat/>
    <w:uiPriority w:val="99"/>
    <w:pPr>
      <w:autoSpaceDE w:val="0"/>
      <w:autoSpaceDN w:val="0"/>
      <w:adjustRightInd w:val="0"/>
      <w:snapToGrid w:val="0"/>
      <w:spacing w:line="315" w:lineRule="atLeast"/>
      <w:ind w:left="720" w:firstLine="560" w:firstLineChars="200"/>
      <w:jc w:val="left"/>
    </w:pPr>
    <w:rPr>
      <w:rFonts w:ascii="宋体"/>
      <w:sz w:val="28"/>
    </w:rPr>
  </w:style>
  <w:style w:type="paragraph" w:styleId="8">
    <w:name w:val="caption"/>
    <w:basedOn w:val="1"/>
    <w:next w:val="1"/>
    <w:unhideWhenUsed/>
    <w:qFormat/>
    <w:uiPriority w:val="0"/>
    <w:rPr>
      <w:rFonts w:eastAsia="黑体" w:asciiTheme="majorHAnsi" w:hAnsiTheme="majorHAnsi" w:cstheme="majorBidi"/>
      <w:sz w:val="20"/>
    </w:rPr>
  </w:style>
  <w:style w:type="paragraph" w:styleId="9">
    <w:name w:val="annotation text"/>
    <w:basedOn w:val="1"/>
    <w:link w:val="43"/>
    <w:semiHidden/>
    <w:unhideWhenUsed/>
    <w:qFormat/>
    <w:uiPriority w:val="99"/>
    <w:pPr>
      <w:jc w:val="left"/>
    </w:pPr>
  </w:style>
  <w:style w:type="paragraph" w:styleId="10">
    <w:name w:val="Body Text"/>
    <w:basedOn w:val="1"/>
    <w:link w:val="48"/>
    <w:qFormat/>
    <w:uiPriority w:val="99"/>
    <w:pPr>
      <w:adjustRightInd w:val="0"/>
      <w:snapToGrid w:val="0"/>
      <w:spacing w:after="120" w:line="360" w:lineRule="auto"/>
      <w:ind w:firstLine="560" w:firstLineChars="200"/>
    </w:pPr>
    <w:rPr>
      <w:sz w:val="28"/>
      <w:szCs w:val="24"/>
    </w:rPr>
  </w:style>
  <w:style w:type="paragraph" w:styleId="11">
    <w:name w:val="toc 5"/>
    <w:basedOn w:val="1"/>
    <w:next w:val="1"/>
    <w:unhideWhenUsed/>
    <w:qFormat/>
    <w:uiPriority w:val="39"/>
    <w:pPr>
      <w:ind w:left="960"/>
      <w:jc w:val="left"/>
    </w:pPr>
    <w:rPr>
      <w:rFonts w:asciiTheme="minorHAnsi" w:hAnsiTheme="minorHAnsi"/>
      <w:sz w:val="18"/>
      <w:szCs w:val="18"/>
    </w:rPr>
  </w:style>
  <w:style w:type="paragraph" w:styleId="12">
    <w:name w:val="toc 3"/>
    <w:basedOn w:val="1"/>
    <w:next w:val="1"/>
    <w:unhideWhenUsed/>
    <w:qFormat/>
    <w:uiPriority w:val="39"/>
    <w:pPr>
      <w:ind w:left="480"/>
      <w:jc w:val="left"/>
    </w:pPr>
    <w:rPr>
      <w:rFonts w:asciiTheme="minorHAnsi" w:hAnsiTheme="minorHAnsi"/>
      <w:i/>
      <w:iCs/>
      <w:sz w:val="20"/>
    </w:rPr>
  </w:style>
  <w:style w:type="paragraph" w:styleId="13">
    <w:name w:val="Plain Text"/>
    <w:basedOn w:val="1"/>
    <w:link w:val="90"/>
    <w:qFormat/>
    <w:uiPriority w:val="99"/>
    <w:pPr>
      <w:adjustRightInd w:val="0"/>
      <w:snapToGrid w:val="0"/>
      <w:spacing w:line="360" w:lineRule="auto"/>
      <w:ind w:firstLine="560" w:firstLineChars="200"/>
    </w:pPr>
    <w:rPr>
      <w:rFonts w:ascii="宋体" w:hAnsi="Courier New" w:cs="Courier New"/>
      <w:kern w:val="2"/>
      <w:sz w:val="28"/>
      <w:szCs w:val="21"/>
    </w:rPr>
  </w:style>
  <w:style w:type="paragraph" w:styleId="14">
    <w:name w:val="toc 8"/>
    <w:basedOn w:val="1"/>
    <w:next w:val="1"/>
    <w:unhideWhenUsed/>
    <w:qFormat/>
    <w:uiPriority w:val="39"/>
    <w:pPr>
      <w:ind w:left="1680"/>
      <w:jc w:val="left"/>
    </w:pPr>
    <w:rPr>
      <w:rFonts w:asciiTheme="minorHAnsi" w:hAnsiTheme="minorHAnsi"/>
      <w:sz w:val="18"/>
      <w:szCs w:val="18"/>
    </w:rPr>
  </w:style>
  <w:style w:type="paragraph" w:styleId="15">
    <w:name w:val="Date"/>
    <w:basedOn w:val="1"/>
    <w:next w:val="1"/>
    <w:link w:val="95"/>
    <w:semiHidden/>
    <w:unhideWhenUsed/>
    <w:qFormat/>
    <w:uiPriority w:val="99"/>
    <w:pPr>
      <w:ind w:left="100" w:leftChars="2500"/>
    </w:pPr>
  </w:style>
  <w:style w:type="paragraph" w:styleId="16">
    <w:name w:val="Balloon Text"/>
    <w:basedOn w:val="1"/>
    <w:link w:val="45"/>
    <w:semiHidden/>
    <w:unhideWhenUsed/>
    <w:qFormat/>
    <w:uiPriority w:val="99"/>
    <w:rPr>
      <w:sz w:val="18"/>
      <w:szCs w:val="18"/>
    </w:rPr>
  </w:style>
  <w:style w:type="paragraph" w:styleId="17">
    <w:name w:val="footer"/>
    <w:basedOn w:val="1"/>
    <w:link w:val="36"/>
    <w:unhideWhenUsed/>
    <w:qFormat/>
    <w:uiPriority w:val="99"/>
    <w:pPr>
      <w:tabs>
        <w:tab w:val="center" w:pos="4153"/>
        <w:tab w:val="right" w:pos="8306"/>
      </w:tabs>
      <w:snapToGrid w:val="0"/>
      <w:jc w:val="left"/>
    </w:pPr>
    <w:rPr>
      <w:sz w:val="18"/>
      <w:szCs w:val="18"/>
    </w:rPr>
  </w:style>
  <w:style w:type="paragraph" w:styleId="18">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before="120" w:after="120"/>
      <w:jc w:val="left"/>
    </w:pPr>
    <w:rPr>
      <w:rFonts w:asciiTheme="minorHAnsi" w:hAnsiTheme="minorHAnsi"/>
      <w:b/>
      <w:bCs/>
      <w:caps/>
      <w:sz w:val="20"/>
    </w:rPr>
  </w:style>
  <w:style w:type="paragraph" w:styleId="20">
    <w:name w:val="toc 4"/>
    <w:basedOn w:val="1"/>
    <w:next w:val="1"/>
    <w:unhideWhenUsed/>
    <w:qFormat/>
    <w:uiPriority w:val="39"/>
    <w:pPr>
      <w:ind w:left="720"/>
      <w:jc w:val="left"/>
    </w:pPr>
    <w:rPr>
      <w:rFonts w:asciiTheme="minorHAnsi" w:hAnsiTheme="minorHAnsi"/>
      <w:sz w:val="18"/>
      <w:szCs w:val="18"/>
    </w:rPr>
  </w:style>
  <w:style w:type="paragraph" w:styleId="21">
    <w:name w:val="toc 6"/>
    <w:basedOn w:val="1"/>
    <w:next w:val="1"/>
    <w:unhideWhenUsed/>
    <w:qFormat/>
    <w:uiPriority w:val="39"/>
    <w:pPr>
      <w:ind w:left="1200"/>
      <w:jc w:val="left"/>
    </w:pPr>
    <w:rPr>
      <w:rFonts w:asciiTheme="minorHAnsi" w:hAnsiTheme="minorHAnsi"/>
      <w:sz w:val="18"/>
      <w:szCs w:val="18"/>
    </w:rPr>
  </w:style>
  <w:style w:type="paragraph" w:styleId="22">
    <w:name w:val="toc 2"/>
    <w:basedOn w:val="1"/>
    <w:next w:val="1"/>
    <w:unhideWhenUsed/>
    <w:qFormat/>
    <w:uiPriority w:val="39"/>
    <w:pPr>
      <w:ind w:left="240"/>
      <w:jc w:val="left"/>
    </w:pPr>
    <w:rPr>
      <w:rFonts w:asciiTheme="minorHAnsi" w:hAnsiTheme="minorHAnsi"/>
      <w:smallCaps/>
      <w:sz w:val="20"/>
    </w:rPr>
  </w:style>
  <w:style w:type="paragraph" w:styleId="23">
    <w:name w:val="toc 9"/>
    <w:basedOn w:val="1"/>
    <w:next w:val="1"/>
    <w:unhideWhenUsed/>
    <w:qFormat/>
    <w:uiPriority w:val="39"/>
    <w:pPr>
      <w:ind w:left="1920"/>
      <w:jc w:val="left"/>
    </w:pPr>
    <w:rPr>
      <w:rFonts w:asciiTheme="minorHAnsi" w:hAnsiTheme="minorHAnsi"/>
      <w:sz w:val="18"/>
      <w:szCs w:val="18"/>
    </w:rPr>
  </w:style>
  <w:style w:type="paragraph" w:styleId="24">
    <w:name w:val="annotation subject"/>
    <w:basedOn w:val="9"/>
    <w:next w:val="9"/>
    <w:link w:val="44"/>
    <w:semiHidden/>
    <w:unhideWhenUsed/>
    <w:qFormat/>
    <w:uiPriority w:val="99"/>
    <w:rPr>
      <w:b/>
      <w:bCs/>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99"/>
    <w:rPr>
      <w:rFonts w:cs="Times New Roman"/>
    </w:rPr>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styleId="30">
    <w:name w:val="annotation reference"/>
    <w:basedOn w:val="27"/>
    <w:semiHidden/>
    <w:unhideWhenUsed/>
    <w:qFormat/>
    <w:uiPriority w:val="99"/>
    <w:rPr>
      <w:sz w:val="21"/>
      <w:szCs w:val="21"/>
    </w:rPr>
  </w:style>
  <w:style w:type="character" w:customStyle="1" w:styleId="31">
    <w:name w:val="标题 1 Char"/>
    <w:basedOn w:val="27"/>
    <w:link w:val="2"/>
    <w:qFormat/>
    <w:uiPriority w:val="9"/>
    <w:rPr>
      <w:rFonts w:ascii="Times New Roman" w:hAnsi="Times New Roman" w:eastAsia="宋体" w:cs="Times New Roman"/>
      <w:b/>
      <w:bCs/>
      <w:kern w:val="44"/>
      <w:sz w:val="44"/>
      <w:szCs w:val="44"/>
    </w:rPr>
  </w:style>
  <w:style w:type="character" w:customStyle="1" w:styleId="32">
    <w:name w:val="标题 2 Char1"/>
    <w:link w:val="3"/>
    <w:qFormat/>
    <w:uiPriority w:val="99"/>
    <w:rPr>
      <w:rFonts w:ascii="Times New Roman" w:hAnsi="Times New Roman" w:eastAsia="宋体" w:cs="Times New Roman"/>
      <w:b/>
      <w:bCs/>
      <w:sz w:val="30"/>
      <w:szCs w:val="32"/>
    </w:rPr>
  </w:style>
  <w:style w:type="character" w:customStyle="1" w:styleId="33">
    <w:name w:val="标题 3 Char"/>
    <w:basedOn w:val="27"/>
    <w:link w:val="4"/>
    <w:qFormat/>
    <w:uiPriority w:val="9"/>
    <w:rPr>
      <w:rFonts w:ascii="Times New Roman" w:hAnsi="Times New Roman" w:eastAsia="宋体" w:cs="Times New Roman"/>
      <w:b/>
      <w:bCs/>
      <w:sz w:val="30"/>
      <w:szCs w:val="32"/>
    </w:rPr>
  </w:style>
  <w:style w:type="character" w:customStyle="1" w:styleId="34">
    <w:name w:val="标题 4 Char"/>
    <w:basedOn w:val="27"/>
    <w:link w:val="5"/>
    <w:qFormat/>
    <w:uiPriority w:val="9"/>
    <w:rPr>
      <w:rFonts w:ascii="Times New Roman" w:hAnsi="Times New Roman" w:eastAsia="宋体" w:cs="Times New Roman"/>
      <w:b/>
      <w:bCs/>
      <w:sz w:val="28"/>
      <w:szCs w:val="28"/>
    </w:rPr>
  </w:style>
  <w:style w:type="character" w:customStyle="1" w:styleId="35">
    <w:name w:val="页眉 Char"/>
    <w:basedOn w:val="27"/>
    <w:link w:val="18"/>
    <w:qFormat/>
    <w:uiPriority w:val="99"/>
    <w:rPr>
      <w:sz w:val="18"/>
      <w:szCs w:val="18"/>
    </w:rPr>
  </w:style>
  <w:style w:type="character" w:customStyle="1" w:styleId="36">
    <w:name w:val="页脚 Char"/>
    <w:basedOn w:val="27"/>
    <w:link w:val="17"/>
    <w:qFormat/>
    <w:uiPriority w:val="99"/>
    <w:rPr>
      <w:sz w:val="18"/>
      <w:szCs w:val="18"/>
    </w:rPr>
  </w:style>
  <w:style w:type="character" w:customStyle="1" w:styleId="37">
    <w:name w:val="标题 2 Char"/>
    <w:basedOn w:val="27"/>
    <w:semiHidden/>
    <w:qFormat/>
    <w:uiPriority w:val="9"/>
    <w:rPr>
      <w:rFonts w:asciiTheme="majorHAnsi" w:hAnsiTheme="majorHAnsi" w:eastAsiaTheme="majorEastAsia" w:cstheme="majorBidi"/>
      <w:b/>
      <w:bCs/>
      <w:sz w:val="32"/>
      <w:szCs w:val="32"/>
    </w:rPr>
  </w:style>
  <w:style w:type="character" w:customStyle="1" w:styleId="38">
    <w:name w:val="标题 3 字符"/>
    <w:qFormat/>
    <w:uiPriority w:val="99"/>
    <w:rPr>
      <w:rFonts w:ascii="GrObjects" w:hAnsi="GrObjects"/>
      <w:b/>
      <w:bCs/>
      <w:color w:val="FF0000"/>
      <w:sz w:val="30"/>
      <w:szCs w:val="32"/>
    </w:rPr>
  </w:style>
  <w:style w:type="paragraph" w:customStyle="1" w:styleId="39">
    <w:name w:val="表题名"/>
    <w:basedOn w:val="8"/>
    <w:link w:val="40"/>
    <w:qFormat/>
    <w:uiPriority w:val="0"/>
    <w:pPr>
      <w:spacing w:line="360" w:lineRule="auto"/>
      <w:jc w:val="center"/>
    </w:pPr>
    <w:rPr>
      <w:rFonts w:ascii="Times New Roman" w:hAnsi="Times New Roman" w:eastAsia="宋体" w:cs="Times New Roman"/>
      <w:sz w:val="24"/>
      <w:szCs w:val="24"/>
    </w:rPr>
  </w:style>
  <w:style w:type="character" w:customStyle="1" w:styleId="40">
    <w:name w:val="表题名 Char"/>
    <w:link w:val="39"/>
    <w:qFormat/>
    <w:uiPriority w:val="0"/>
    <w:rPr>
      <w:rFonts w:ascii="Times New Roman" w:hAnsi="Times New Roman" w:eastAsia="宋体" w:cs="Times New Roman"/>
      <w:sz w:val="24"/>
      <w:szCs w:val="24"/>
    </w:rPr>
  </w:style>
  <w:style w:type="paragraph" w:customStyle="1" w:styleId="41">
    <w:name w:val="表格"/>
    <w:link w:val="42"/>
    <w:qFormat/>
    <w:uiPriority w:val="0"/>
    <w:pPr>
      <w:adjustRightInd w:val="0"/>
      <w:snapToGrid w:val="0"/>
      <w:jc w:val="center"/>
    </w:pPr>
    <w:rPr>
      <w:rFonts w:ascii="Times New Roman" w:hAnsi="Times New Roman" w:eastAsia="宋体" w:cs="Times New Roman"/>
      <w:szCs w:val="24"/>
      <w:lang w:val="en-US" w:eastAsia="zh-CN" w:bidi="ar-SA"/>
    </w:rPr>
  </w:style>
  <w:style w:type="character" w:customStyle="1" w:styleId="42">
    <w:name w:val="表格 字符"/>
    <w:link w:val="41"/>
    <w:qFormat/>
    <w:uiPriority w:val="0"/>
    <w:rPr>
      <w:rFonts w:ascii="Times New Roman" w:hAnsi="Times New Roman" w:eastAsia="宋体" w:cs="Times New Roman"/>
      <w:kern w:val="0"/>
      <w:szCs w:val="24"/>
    </w:rPr>
  </w:style>
  <w:style w:type="character" w:customStyle="1" w:styleId="43">
    <w:name w:val="批注文字 Char"/>
    <w:basedOn w:val="27"/>
    <w:link w:val="9"/>
    <w:semiHidden/>
    <w:qFormat/>
    <w:uiPriority w:val="99"/>
    <w:rPr>
      <w:rFonts w:ascii="Times New Roman" w:hAnsi="Times New Roman" w:eastAsia="宋体" w:cs="Times New Roman"/>
      <w:sz w:val="24"/>
    </w:rPr>
  </w:style>
  <w:style w:type="character" w:customStyle="1" w:styleId="44">
    <w:name w:val="批注主题 Char"/>
    <w:basedOn w:val="43"/>
    <w:link w:val="24"/>
    <w:semiHidden/>
    <w:qFormat/>
    <w:uiPriority w:val="99"/>
    <w:rPr>
      <w:rFonts w:ascii="Times New Roman" w:hAnsi="Times New Roman" w:eastAsia="宋体" w:cs="Times New Roman"/>
      <w:b/>
      <w:bCs/>
      <w:sz w:val="24"/>
    </w:rPr>
  </w:style>
  <w:style w:type="character" w:customStyle="1" w:styleId="45">
    <w:name w:val="批注框文本 Char"/>
    <w:basedOn w:val="27"/>
    <w:link w:val="16"/>
    <w:semiHidden/>
    <w:qFormat/>
    <w:uiPriority w:val="99"/>
    <w:rPr>
      <w:rFonts w:ascii="Times New Roman" w:hAnsi="Times New Roman" w:eastAsia="宋体" w:cs="Times New Roman"/>
      <w:sz w:val="18"/>
      <w:szCs w:val="18"/>
    </w:rPr>
  </w:style>
  <w:style w:type="paragraph" w:customStyle="1" w:styleId="46">
    <w:name w:val="报告书 正文"/>
    <w:link w:val="47"/>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47">
    <w:name w:val="报告书 正文 Char"/>
    <w:link w:val="46"/>
    <w:qFormat/>
    <w:uiPriority w:val="0"/>
    <w:rPr>
      <w:rFonts w:ascii="Times New Roman" w:hAnsi="Times New Roman" w:eastAsia="仿宋_GB2312" w:cs="Times New Roman"/>
      <w:sz w:val="28"/>
      <w:szCs w:val="24"/>
    </w:rPr>
  </w:style>
  <w:style w:type="character" w:customStyle="1" w:styleId="48">
    <w:name w:val="正文文本 Char"/>
    <w:basedOn w:val="27"/>
    <w:link w:val="10"/>
    <w:qFormat/>
    <w:uiPriority w:val="99"/>
    <w:rPr>
      <w:rFonts w:ascii="Times New Roman" w:hAnsi="Times New Roman" w:eastAsia="宋体" w:cs="Times New Roman"/>
      <w:sz w:val="28"/>
      <w:szCs w:val="24"/>
    </w:rPr>
  </w:style>
  <w:style w:type="paragraph" w:customStyle="1" w:styleId="49">
    <w:name w:val="导则标题1"/>
    <w:basedOn w:val="3"/>
    <w:link w:val="50"/>
    <w:qFormat/>
    <w:uiPriority w:val="0"/>
    <w:pPr>
      <w:adjustRightInd/>
      <w:snapToGrid/>
      <w:spacing w:before="156" w:beforeLines="50" w:after="156" w:afterLines="50"/>
      <w:ind w:firstLine="420"/>
      <w:jc w:val="center"/>
    </w:pPr>
    <w:rPr>
      <w:rFonts w:ascii="黑体" w:hAnsi="黑体" w:eastAsia="黑体"/>
      <w:b w:val="0"/>
      <w:sz w:val="28"/>
      <w:szCs w:val="28"/>
      <w:lang w:val="zh-CN" w:eastAsia="zh-CN"/>
    </w:rPr>
  </w:style>
  <w:style w:type="character" w:customStyle="1" w:styleId="50">
    <w:name w:val="导则标题1 Char"/>
    <w:link w:val="49"/>
    <w:qFormat/>
    <w:uiPriority w:val="0"/>
    <w:rPr>
      <w:rFonts w:ascii="黑体" w:hAnsi="黑体" w:eastAsia="黑体" w:cs="Times New Roman"/>
      <w:bCs/>
      <w:sz w:val="28"/>
      <w:szCs w:val="28"/>
      <w:lang w:val="zh-CN" w:eastAsia="zh-CN"/>
    </w:rPr>
  </w:style>
  <w:style w:type="paragraph" w:customStyle="1" w:styleId="51">
    <w:name w:val="首页 评价单位时间"/>
    <w:basedOn w:val="1"/>
    <w:link w:val="52"/>
    <w:qFormat/>
    <w:uiPriority w:val="0"/>
    <w:pPr>
      <w:spacing w:line="500" w:lineRule="exact"/>
      <w:jc w:val="center"/>
    </w:pPr>
    <w:rPr>
      <w:rFonts w:ascii="华文新魏" w:eastAsia="华文新魏" w:hAnsiTheme="minorHAnsi" w:cstheme="minorBidi"/>
      <w:sz w:val="32"/>
      <w:szCs w:val="32"/>
    </w:rPr>
  </w:style>
  <w:style w:type="character" w:customStyle="1" w:styleId="52">
    <w:name w:val="首页 评价单位时间 Char"/>
    <w:basedOn w:val="27"/>
    <w:link w:val="51"/>
    <w:qFormat/>
    <w:uiPriority w:val="0"/>
    <w:rPr>
      <w:rFonts w:ascii="华文新魏" w:eastAsia="华文新魏"/>
      <w:sz w:val="32"/>
      <w:szCs w:val="32"/>
    </w:rPr>
  </w:style>
  <w:style w:type="paragraph" w:customStyle="1" w:styleId="53">
    <w:name w:val="首页 文件类型"/>
    <w:link w:val="54"/>
    <w:qFormat/>
    <w:uiPriority w:val="0"/>
    <w:pPr>
      <w:spacing w:before="312" w:beforeLines="100"/>
      <w:jc w:val="center"/>
    </w:pPr>
    <w:rPr>
      <w:rFonts w:ascii="华文新魏" w:hAnsi="Times New Roman" w:eastAsia="华文新魏" w:cs="Times New Roman"/>
      <w:bCs/>
      <w:sz w:val="44"/>
      <w:szCs w:val="44"/>
      <w:lang w:val="en-US" w:eastAsia="zh-CN" w:bidi="ar-SA"/>
    </w:rPr>
  </w:style>
  <w:style w:type="character" w:customStyle="1" w:styleId="54">
    <w:name w:val="首页 文件类型 Char"/>
    <w:basedOn w:val="27"/>
    <w:link w:val="53"/>
    <w:qFormat/>
    <w:uiPriority w:val="0"/>
    <w:rPr>
      <w:rFonts w:ascii="华文新魏" w:hAnsi="Times New Roman" w:eastAsia="华文新魏" w:cs="Times New Roman"/>
      <w:bCs/>
      <w:sz w:val="44"/>
      <w:szCs w:val="44"/>
    </w:rPr>
  </w:style>
  <w:style w:type="paragraph" w:customStyle="1" w:styleId="55">
    <w:name w:val="首页 项目名称"/>
    <w:link w:val="56"/>
    <w:qFormat/>
    <w:uiPriority w:val="0"/>
    <w:pPr>
      <w:spacing w:line="360" w:lineRule="auto"/>
      <w:jc w:val="center"/>
    </w:pPr>
    <w:rPr>
      <w:rFonts w:ascii="华文新魏" w:hAnsi="黑体" w:eastAsia="华文新魏" w:cstheme="minorBidi"/>
      <w:bCs/>
      <w:sz w:val="44"/>
      <w:szCs w:val="44"/>
      <w:lang w:val="en-US" w:eastAsia="zh-CN" w:bidi="ar-SA"/>
    </w:rPr>
  </w:style>
  <w:style w:type="character" w:customStyle="1" w:styleId="56">
    <w:name w:val="首页 项目名称 Char"/>
    <w:basedOn w:val="27"/>
    <w:link w:val="55"/>
    <w:qFormat/>
    <w:uiPriority w:val="0"/>
    <w:rPr>
      <w:rFonts w:ascii="华文新魏" w:hAnsi="黑体" w:eastAsia="华文新魏"/>
      <w:bCs/>
      <w:sz w:val="44"/>
      <w:szCs w:val="44"/>
    </w:rPr>
  </w:style>
  <w:style w:type="paragraph" w:customStyle="1" w:styleId="57">
    <w:name w:val="标题 2级"/>
    <w:link w:val="58"/>
    <w:qFormat/>
    <w:uiPriority w:val="0"/>
    <w:pPr>
      <w:keepNext/>
      <w:keepLines/>
      <w:numPr>
        <w:ilvl w:val="1"/>
        <w:numId w:val="1"/>
      </w:numPr>
      <w:spacing w:before="20" w:beforeLines="20" w:after="20" w:afterLines="20" w:line="500" w:lineRule="exact"/>
      <w:jc w:val="both"/>
      <w:outlineLvl w:val="1"/>
    </w:pPr>
    <w:rPr>
      <w:rFonts w:ascii="Times New Roman" w:hAnsi="Times New Roman" w:eastAsia="仿宋_GB2312" w:cs="Times New Roman"/>
      <w:b/>
      <w:bCs/>
      <w:kern w:val="2"/>
      <w:sz w:val="32"/>
      <w:szCs w:val="28"/>
      <w:lang w:val="zh-CN" w:eastAsia="zh-CN" w:bidi="ar-SA"/>
    </w:rPr>
  </w:style>
  <w:style w:type="character" w:customStyle="1" w:styleId="58">
    <w:name w:val="标题 2级 Char"/>
    <w:basedOn w:val="27"/>
    <w:link w:val="57"/>
    <w:qFormat/>
    <w:uiPriority w:val="0"/>
    <w:rPr>
      <w:rFonts w:ascii="Times New Roman" w:hAnsi="Times New Roman" w:eastAsia="仿宋_GB2312" w:cs="Times New Roman"/>
      <w:b/>
      <w:bCs/>
      <w:kern w:val="2"/>
      <w:sz w:val="32"/>
      <w:szCs w:val="28"/>
      <w:lang w:val="zh-CN"/>
    </w:rPr>
  </w:style>
  <w:style w:type="paragraph" w:customStyle="1" w:styleId="59">
    <w:name w:val="标题 1级"/>
    <w:link w:val="60"/>
    <w:qFormat/>
    <w:uiPriority w:val="0"/>
    <w:pPr>
      <w:keepNext/>
      <w:pageBreakBefore/>
      <w:numPr>
        <w:ilvl w:val="0"/>
        <w:numId w:val="1"/>
      </w:numPr>
      <w:spacing w:before="50" w:beforeLines="50" w:after="50" w:afterLines="50" w:line="500" w:lineRule="exact"/>
      <w:outlineLvl w:val="0"/>
    </w:pPr>
    <w:rPr>
      <w:rFonts w:ascii="Times New Roman" w:hAnsi="Times New Roman" w:eastAsia="仿宋_GB2312" w:cs="Times New Roman"/>
      <w:b/>
      <w:bCs/>
      <w:snapToGrid w:val="0"/>
      <w:sz w:val="36"/>
      <w:szCs w:val="44"/>
      <w:lang w:val="zh-CN" w:eastAsia="zh-CN" w:bidi="ar-SA"/>
    </w:rPr>
  </w:style>
  <w:style w:type="character" w:customStyle="1" w:styleId="60">
    <w:name w:val="标题 1级 Char"/>
    <w:basedOn w:val="27"/>
    <w:link w:val="59"/>
    <w:qFormat/>
    <w:uiPriority w:val="0"/>
    <w:rPr>
      <w:rFonts w:ascii="Times New Roman" w:hAnsi="Times New Roman" w:eastAsia="仿宋_GB2312" w:cs="Times New Roman"/>
      <w:b/>
      <w:bCs/>
      <w:snapToGrid w:val="0"/>
      <w:sz w:val="36"/>
      <w:szCs w:val="44"/>
      <w:lang w:val="zh-CN"/>
    </w:rPr>
  </w:style>
  <w:style w:type="paragraph" w:customStyle="1" w:styleId="61">
    <w:name w:val="标题 3级"/>
    <w:link w:val="62"/>
    <w:qFormat/>
    <w:uiPriority w:val="0"/>
    <w:pPr>
      <w:keepNext/>
      <w:keepLines/>
      <w:numPr>
        <w:ilvl w:val="2"/>
        <w:numId w:val="1"/>
      </w:numPr>
      <w:adjustRightInd w:val="0"/>
      <w:spacing w:before="120" w:after="120" w:line="500" w:lineRule="exact"/>
      <w:jc w:val="both"/>
      <w:outlineLvl w:val="2"/>
    </w:pPr>
    <w:rPr>
      <w:rFonts w:ascii="Times New Roman" w:hAnsi="Times New Roman" w:eastAsia="仿宋_GB2312" w:cs="Times New Roman"/>
      <w:b/>
      <w:bCs/>
      <w:sz w:val="28"/>
      <w:szCs w:val="28"/>
      <w:lang w:val="en-US" w:eastAsia="zh-CN" w:bidi="ar-SA"/>
    </w:rPr>
  </w:style>
  <w:style w:type="character" w:customStyle="1" w:styleId="62">
    <w:name w:val="标题 3级 Char"/>
    <w:basedOn w:val="27"/>
    <w:link w:val="61"/>
    <w:qFormat/>
    <w:uiPriority w:val="0"/>
    <w:rPr>
      <w:rFonts w:ascii="Times New Roman" w:hAnsi="Times New Roman" w:eastAsia="仿宋_GB2312" w:cs="Times New Roman"/>
      <w:b/>
      <w:bCs/>
      <w:sz w:val="28"/>
      <w:szCs w:val="28"/>
    </w:rPr>
  </w:style>
  <w:style w:type="paragraph" w:customStyle="1" w:styleId="63">
    <w:name w:val="图表 标题"/>
    <w:link w:val="64"/>
    <w:qFormat/>
    <w:uiPriority w:val="0"/>
    <w:pPr>
      <w:snapToGrid w:val="0"/>
      <w:spacing w:before="20" w:beforeLines="20" w:after="20" w:afterLines="20" w:line="500" w:lineRule="exact"/>
      <w:jc w:val="center"/>
    </w:pPr>
    <w:rPr>
      <w:rFonts w:ascii="Times New Roman" w:hAnsi="Times New Roman" w:eastAsia="仿宋_GB2312" w:cs="Times New Roman"/>
      <w:b/>
      <w:sz w:val="24"/>
      <w:szCs w:val="24"/>
      <w:lang w:val="en-US" w:eastAsia="zh-CN" w:bidi="ar-SA"/>
    </w:rPr>
  </w:style>
  <w:style w:type="character" w:customStyle="1" w:styleId="64">
    <w:name w:val="图表 标题 Char"/>
    <w:link w:val="63"/>
    <w:qFormat/>
    <w:uiPriority w:val="0"/>
    <w:rPr>
      <w:rFonts w:ascii="Times New Roman" w:hAnsi="Times New Roman" w:eastAsia="仿宋_GB2312" w:cs="Times New Roman"/>
      <w:b/>
      <w:sz w:val="24"/>
      <w:szCs w:val="24"/>
    </w:rPr>
  </w:style>
  <w:style w:type="paragraph" w:customStyle="1" w:styleId="65">
    <w:name w:val="表格 普通文字"/>
    <w:link w:val="66"/>
    <w:qFormat/>
    <w:uiPriority w:val="0"/>
    <w:pPr>
      <w:framePr w:hSpace="180" w:wrap="around" w:vAnchor="text" w:hAnchor="text" w:xAlign="center" w:y="1"/>
      <w:suppressOverlap/>
      <w:snapToGrid w:val="0"/>
      <w:jc w:val="center"/>
    </w:pPr>
    <w:rPr>
      <w:rFonts w:ascii="Times New Roman" w:hAnsi="Times New Roman" w:eastAsia="宋体" w:cs="Times New Roman"/>
      <w:bCs/>
      <w:sz w:val="21"/>
      <w:szCs w:val="21"/>
      <w:lang w:val="en-US" w:eastAsia="zh-CN" w:bidi="ar-SA"/>
    </w:rPr>
  </w:style>
  <w:style w:type="character" w:customStyle="1" w:styleId="66">
    <w:name w:val="表格 普通文字 Char"/>
    <w:link w:val="65"/>
    <w:qFormat/>
    <w:uiPriority w:val="0"/>
    <w:rPr>
      <w:rFonts w:ascii="Times New Roman" w:hAnsi="Times New Roman" w:eastAsia="宋体" w:cs="Times New Roman"/>
      <w:bCs/>
      <w:sz w:val="21"/>
      <w:szCs w:val="21"/>
    </w:rPr>
  </w:style>
  <w:style w:type="paragraph" w:customStyle="1" w:styleId="67">
    <w:name w:val="表格 标注"/>
    <w:link w:val="68"/>
    <w:qFormat/>
    <w:uiPriority w:val="0"/>
    <w:pPr>
      <w:widowControl w:val="0"/>
      <w:snapToGrid w:val="0"/>
    </w:pPr>
    <w:rPr>
      <w:rFonts w:ascii="Times New Roman" w:hAnsi="Times New Roman" w:eastAsia="仿宋_GB2312" w:cs="Times New Roman"/>
      <w:sz w:val="18"/>
      <w:szCs w:val="18"/>
      <w:lang w:val="en-US" w:eastAsia="zh-CN" w:bidi="ar-SA"/>
    </w:rPr>
  </w:style>
  <w:style w:type="character" w:customStyle="1" w:styleId="68">
    <w:name w:val="表格 标注 Char"/>
    <w:basedOn w:val="27"/>
    <w:link w:val="67"/>
    <w:qFormat/>
    <w:uiPriority w:val="0"/>
    <w:rPr>
      <w:rFonts w:ascii="Times New Roman" w:hAnsi="Times New Roman" w:eastAsia="仿宋_GB2312" w:cs="Times New Roman"/>
      <w:sz w:val="18"/>
      <w:szCs w:val="18"/>
    </w:rPr>
  </w:style>
  <w:style w:type="paragraph" w:customStyle="1" w:styleId="69">
    <w:name w:val="标题 4级"/>
    <w:link w:val="70"/>
    <w:qFormat/>
    <w:uiPriority w:val="0"/>
    <w:pPr>
      <w:adjustRightInd w:val="0"/>
      <w:spacing w:line="500" w:lineRule="exact"/>
      <w:outlineLvl w:val="3"/>
    </w:pPr>
    <w:rPr>
      <w:rFonts w:ascii="Times New Roman" w:hAnsi="Times New Roman" w:eastAsia="宋体" w:cs="Times New Roman"/>
      <w:b/>
      <w:kern w:val="2"/>
      <w:sz w:val="24"/>
      <w:szCs w:val="24"/>
      <w:lang w:val="en-US" w:eastAsia="zh-CN" w:bidi="ar-SA"/>
    </w:rPr>
  </w:style>
  <w:style w:type="character" w:customStyle="1" w:styleId="70">
    <w:name w:val="标题 4级 Char"/>
    <w:basedOn w:val="27"/>
    <w:link w:val="69"/>
    <w:qFormat/>
    <w:uiPriority w:val="0"/>
    <w:rPr>
      <w:rFonts w:ascii="Times New Roman" w:hAnsi="Times New Roman" w:eastAsia="宋体" w:cs="Times New Roman"/>
      <w:b/>
      <w:kern w:val="2"/>
      <w:sz w:val="24"/>
      <w:szCs w:val="24"/>
    </w:rPr>
  </w:style>
  <w:style w:type="paragraph" w:customStyle="1" w:styleId="71">
    <w:name w:val="报告书 插图"/>
    <w:link w:val="72"/>
    <w:qFormat/>
    <w:uiPriority w:val="0"/>
    <w:pPr>
      <w:spacing w:before="50" w:beforeLines="50" w:after="50" w:afterLines="50"/>
      <w:jc w:val="center"/>
    </w:pPr>
    <w:rPr>
      <w:rFonts w:ascii="Times New Roman" w:hAnsi="Times New Roman" w:eastAsia="仿宋_GB2312" w:cs="Times New Roman"/>
      <w:sz w:val="28"/>
      <w:szCs w:val="24"/>
      <w:lang w:val="en-US" w:eastAsia="zh-CN" w:bidi="ar-SA"/>
    </w:rPr>
  </w:style>
  <w:style w:type="character" w:customStyle="1" w:styleId="72">
    <w:name w:val="报告书 插图 Char"/>
    <w:basedOn w:val="27"/>
    <w:link w:val="71"/>
    <w:qFormat/>
    <w:uiPriority w:val="0"/>
    <w:rPr>
      <w:rFonts w:ascii="Times New Roman" w:hAnsi="Times New Roman" w:eastAsia="仿宋_GB2312" w:cs="Times New Roman"/>
      <w:sz w:val="28"/>
      <w:szCs w:val="24"/>
    </w:rPr>
  </w:style>
  <w:style w:type="paragraph" w:customStyle="1" w:styleId="73">
    <w:name w:val="报告书 公式"/>
    <w:link w:val="74"/>
    <w:qFormat/>
    <w:uiPriority w:val="0"/>
    <w:pPr>
      <w:spacing w:before="50" w:beforeLines="50" w:after="50" w:afterLines="50"/>
      <w:jc w:val="right"/>
    </w:pPr>
    <w:rPr>
      <w:rFonts w:ascii="Cambria Math" w:hAnsi="Cambria Math" w:eastAsia="仿宋_GB2312" w:cs="Times New Roman"/>
      <w:sz w:val="28"/>
      <w:szCs w:val="24"/>
      <w:lang w:val="en-US" w:eastAsia="zh-CN" w:bidi="ar-SA"/>
    </w:rPr>
  </w:style>
  <w:style w:type="character" w:customStyle="1" w:styleId="74">
    <w:name w:val="报告书 公式 Char"/>
    <w:basedOn w:val="27"/>
    <w:link w:val="73"/>
    <w:qFormat/>
    <w:uiPriority w:val="0"/>
    <w:rPr>
      <w:rFonts w:ascii="Cambria Math" w:hAnsi="Cambria Math" w:eastAsia="仿宋_GB2312" w:cs="Times New Roman"/>
      <w:sz w:val="28"/>
      <w:szCs w:val="24"/>
    </w:rPr>
  </w:style>
  <w:style w:type="paragraph" w:customStyle="1" w:styleId="75">
    <w:name w:val="报告书封面"/>
    <w:basedOn w:val="1"/>
    <w:link w:val="76"/>
    <w:qFormat/>
    <w:uiPriority w:val="0"/>
    <w:pPr>
      <w:widowControl/>
      <w:spacing w:line="360" w:lineRule="auto"/>
      <w:jc w:val="center"/>
    </w:pPr>
    <w:rPr>
      <w:rFonts w:ascii="华文新魏" w:hAnsi="黑体" w:eastAsia="华文新魏" w:cstheme="minorBidi"/>
      <w:bCs/>
      <w:sz w:val="44"/>
      <w:szCs w:val="44"/>
    </w:rPr>
  </w:style>
  <w:style w:type="character" w:customStyle="1" w:styleId="76">
    <w:name w:val="报告书封面 Char"/>
    <w:basedOn w:val="27"/>
    <w:link w:val="75"/>
    <w:qFormat/>
    <w:uiPriority w:val="0"/>
    <w:rPr>
      <w:rFonts w:ascii="华文新魏" w:hAnsi="黑体" w:eastAsia="华文新魏"/>
      <w:bCs/>
      <w:sz w:val="44"/>
      <w:szCs w:val="44"/>
    </w:rPr>
  </w:style>
  <w:style w:type="paragraph" w:customStyle="1" w:styleId="77">
    <w:name w:val="首页 建设单位"/>
    <w:link w:val="78"/>
    <w:qFormat/>
    <w:uiPriority w:val="0"/>
    <w:pPr>
      <w:spacing w:after="20" w:line="480" w:lineRule="auto"/>
      <w:jc w:val="center"/>
    </w:pPr>
    <w:rPr>
      <w:rFonts w:ascii="华文新魏" w:hAnsi="黑体" w:eastAsia="华文新魏" w:cstheme="minorBidi"/>
      <w:bCs/>
      <w:sz w:val="60"/>
      <w:szCs w:val="60"/>
      <w:lang w:val="en-US" w:eastAsia="zh-CN" w:bidi="ar-SA"/>
    </w:rPr>
  </w:style>
  <w:style w:type="character" w:customStyle="1" w:styleId="78">
    <w:name w:val="首页 建设单位 Char"/>
    <w:basedOn w:val="27"/>
    <w:link w:val="77"/>
    <w:qFormat/>
    <w:uiPriority w:val="0"/>
    <w:rPr>
      <w:rFonts w:ascii="华文新魏" w:hAnsi="黑体" w:eastAsia="华文新魏"/>
      <w:bCs/>
      <w:sz w:val="60"/>
      <w:szCs w:val="60"/>
    </w:rPr>
  </w:style>
  <w:style w:type="paragraph" w:customStyle="1" w:styleId="79">
    <w:name w:val="表格 首行加粗"/>
    <w:link w:val="80"/>
    <w:qFormat/>
    <w:uiPriority w:val="0"/>
    <w:pPr>
      <w:snapToGrid w:val="0"/>
      <w:jc w:val="center"/>
    </w:pPr>
    <w:rPr>
      <w:rFonts w:ascii="Times New Roman" w:hAnsi="Times New Roman" w:eastAsia="仿宋_GB2312" w:cs="Times New Roman"/>
      <w:b/>
      <w:kern w:val="2"/>
      <w:sz w:val="21"/>
      <w:szCs w:val="21"/>
      <w:lang w:val="en-US" w:eastAsia="zh-CN" w:bidi="ar-SA"/>
    </w:rPr>
  </w:style>
  <w:style w:type="character" w:customStyle="1" w:styleId="80">
    <w:name w:val="表格 首行加粗 Char"/>
    <w:link w:val="79"/>
    <w:qFormat/>
    <w:uiPriority w:val="0"/>
    <w:rPr>
      <w:rFonts w:ascii="Times New Roman" w:hAnsi="Times New Roman" w:eastAsia="仿宋_GB2312" w:cs="Times New Roman"/>
      <w:b/>
      <w:kern w:val="2"/>
      <w:sz w:val="21"/>
      <w:szCs w:val="21"/>
    </w:rPr>
  </w:style>
  <w:style w:type="paragraph" w:customStyle="1" w:styleId="81">
    <w:name w:val="TOC Heading"/>
    <w:basedOn w:val="2"/>
    <w:next w:val="1"/>
    <w:unhideWhenUsed/>
    <w:qFormat/>
    <w:uiPriority w:val="39"/>
    <w:pPr>
      <w:adjustRightInd w:val="0"/>
      <w:snapToGrid w:val="0"/>
      <w:spacing w:line="578" w:lineRule="atLeast"/>
      <w:ind w:firstLine="200" w:firstLineChars="200"/>
      <w:outlineLvl w:val="9"/>
    </w:pPr>
    <w:rPr>
      <w:rFonts w:eastAsia="仿宋_GB2312"/>
    </w:rPr>
  </w:style>
  <w:style w:type="paragraph" w:customStyle="1" w:styleId="82">
    <w:name w:val="报告书 方程式"/>
    <w:link w:val="83"/>
    <w:qFormat/>
    <w:uiPriority w:val="0"/>
    <w:pPr>
      <w:spacing w:before="50" w:beforeLines="50" w:after="50" w:afterLines="50" w:line="500" w:lineRule="exact"/>
      <w:jc w:val="center"/>
    </w:pPr>
    <w:rPr>
      <w:rFonts w:ascii="Cambria" w:hAnsi="Cambria" w:eastAsia="仿宋_GB2312" w:cs="Arial"/>
      <w:sz w:val="28"/>
      <w:szCs w:val="24"/>
      <w:lang w:val="pl-PL" w:eastAsia="zh-CN" w:bidi="ar-SA"/>
    </w:rPr>
  </w:style>
  <w:style w:type="character" w:customStyle="1" w:styleId="83">
    <w:name w:val="报告书 方程式 Char"/>
    <w:basedOn w:val="27"/>
    <w:link w:val="82"/>
    <w:qFormat/>
    <w:uiPriority w:val="0"/>
    <w:rPr>
      <w:rFonts w:ascii="Cambria" w:hAnsi="Cambria" w:eastAsia="仿宋_GB2312" w:cs="Arial"/>
      <w:sz w:val="28"/>
      <w:szCs w:val="24"/>
      <w:lang w:val="pl-PL"/>
    </w:rPr>
  </w:style>
  <w:style w:type="paragraph" w:customStyle="1" w:styleId="84">
    <w:name w:val="报告书 图"/>
    <w:link w:val="85"/>
    <w:qFormat/>
    <w:uiPriority w:val="0"/>
    <w:pPr>
      <w:jc w:val="center"/>
    </w:pPr>
    <w:rPr>
      <w:rFonts w:ascii="Times New Roman" w:hAnsi="Times New Roman" w:eastAsia="仿宋_GB2312" w:cs="Times New Roman"/>
      <w:sz w:val="28"/>
      <w:szCs w:val="24"/>
      <w:lang w:val="en-US" w:eastAsia="zh-CN" w:bidi="ar-SA"/>
    </w:rPr>
  </w:style>
  <w:style w:type="character" w:customStyle="1" w:styleId="85">
    <w:name w:val="报告书 图 Char"/>
    <w:basedOn w:val="27"/>
    <w:link w:val="84"/>
    <w:qFormat/>
    <w:uiPriority w:val="0"/>
    <w:rPr>
      <w:rFonts w:ascii="Times New Roman" w:hAnsi="Times New Roman" w:eastAsia="仿宋_GB2312" w:cs="Times New Roman"/>
      <w:sz w:val="28"/>
      <w:szCs w:val="24"/>
    </w:rPr>
  </w:style>
  <w:style w:type="paragraph" w:styleId="86">
    <w:name w:val="List Paragraph"/>
    <w:basedOn w:val="1"/>
    <w:link w:val="96"/>
    <w:qFormat/>
    <w:uiPriority w:val="34"/>
    <w:pPr>
      <w:ind w:firstLine="420" w:firstLineChars="200"/>
    </w:pPr>
  </w:style>
  <w:style w:type="character" w:customStyle="1" w:styleId="87">
    <w:name w:val="页脚 字符"/>
    <w:qFormat/>
    <w:uiPriority w:val="99"/>
    <w:rPr>
      <w:rFonts w:ascii="Calibri" w:hAnsi="Calibri"/>
      <w:sz w:val="18"/>
      <w:szCs w:val="18"/>
    </w:rPr>
  </w:style>
  <w:style w:type="paragraph" w:customStyle="1" w:styleId="88">
    <w:name w:val="表头"/>
    <w:basedOn w:val="1"/>
    <w:next w:val="1"/>
    <w:qFormat/>
    <w:uiPriority w:val="99"/>
    <w:pPr>
      <w:overflowPunct w:val="0"/>
      <w:adjustRightInd w:val="0"/>
      <w:snapToGrid w:val="0"/>
      <w:spacing w:line="360" w:lineRule="auto"/>
      <w:ind w:firstLine="560" w:firstLineChars="200"/>
      <w:jc w:val="center"/>
    </w:pPr>
    <w:rPr>
      <w:rFonts w:ascii="宋体" w:hAnsi="宋体"/>
      <w:b/>
      <w:kern w:val="2"/>
      <w:sz w:val="21"/>
      <w:szCs w:val="21"/>
    </w:rPr>
  </w:style>
  <w:style w:type="paragraph" w:customStyle="1" w:styleId="89">
    <w:name w:val="样式 首行缩进:  2 字符"/>
    <w:basedOn w:val="1"/>
    <w:qFormat/>
    <w:uiPriority w:val="99"/>
    <w:pPr>
      <w:topLinePunct/>
      <w:adjustRightInd w:val="0"/>
      <w:snapToGrid w:val="0"/>
      <w:spacing w:line="529" w:lineRule="exact"/>
      <w:ind w:firstLine="480" w:firstLineChars="200"/>
    </w:pPr>
    <w:rPr>
      <w:rFonts w:eastAsia="汉鼎简书宋"/>
      <w:kern w:val="2"/>
    </w:rPr>
  </w:style>
  <w:style w:type="character" w:customStyle="1" w:styleId="90">
    <w:name w:val="纯文本 Char"/>
    <w:basedOn w:val="27"/>
    <w:link w:val="13"/>
    <w:qFormat/>
    <w:uiPriority w:val="99"/>
    <w:rPr>
      <w:rFonts w:ascii="宋体" w:hAnsi="Courier New" w:eastAsia="宋体" w:cs="Courier New"/>
      <w:kern w:val="2"/>
      <w:sz w:val="28"/>
      <w:szCs w:val="21"/>
    </w:rPr>
  </w:style>
  <w:style w:type="paragraph" w:customStyle="1" w:styleId="91">
    <w:name w:val="+列表1"/>
    <w:basedOn w:val="1"/>
    <w:qFormat/>
    <w:uiPriority w:val="0"/>
    <w:pPr>
      <w:jc w:val="center"/>
    </w:pPr>
    <w:rPr>
      <w:kern w:val="2"/>
      <w:szCs w:val="24"/>
    </w:rPr>
  </w:style>
  <w:style w:type="character" w:customStyle="1" w:styleId="92">
    <w:name w:val="未处理的提及1"/>
    <w:basedOn w:val="27"/>
    <w:semiHidden/>
    <w:unhideWhenUsed/>
    <w:qFormat/>
    <w:uiPriority w:val="99"/>
    <w:rPr>
      <w:color w:val="808080"/>
      <w:shd w:val="clear" w:color="auto" w:fill="E6E6E6"/>
    </w:rPr>
  </w:style>
  <w:style w:type="character" w:customStyle="1" w:styleId="93">
    <w:name w:val="未处理的提及2"/>
    <w:basedOn w:val="27"/>
    <w:semiHidden/>
    <w:unhideWhenUsed/>
    <w:qFormat/>
    <w:uiPriority w:val="99"/>
    <w:rPr>
      <w:color w:val="605E5C"/>
      <w:shd w:val="clear" w:color="auto" w:fill="E1DFDD"/>
    </w:rPr>
  </w:style>
  <w:style w:type="character" w:customStyle="1" w:styleId="94">
    <w:name w:val="正文缩进 Char1"/>
    <w:link w:val="7"/>
    <w:qFormat/>
    <w:locked/>
    <w:uiPriority w:val="99"/>
    <w:rPr>
      <w:rFonts w:ascii="宋体" w:hAnsi="Times New Roman" w:eastAsia="宋体" w:cs="Times New Roman"/>
      <w:sz w:val="28"/>
    </w:rPr>
  </w:style>
  <w:style w:type="character" w:customStyle="1" w:styleId="95">
    <w:name w:val="日期 Char"/>
    <w:basedOn w:val="27"/>
    <w:link w:val="15"/>
    <w:semiHidden/>
    <w:qFormat/>
    <w:uiPriority w:val="99"/>
    <w:rPr>
      <w:rFonts w:ascii="Times New Roman" w:hAnsi="Times New Roman" w:eastAsia="宋体" w:cs="Times New Roman"/>
      <w:sz w:val="24"/>
    </w:rPr>
  </w:style>
  <w:style w:type="character" w:customStyle="1" w:styleId="96">
    <w:name w:val="列出段落 Char"/>
    <w:link w:val="86"/>
    <w:qFormat/>
    <w:uiPriority w:val="34"/>
    <w:rPr>
      <w:rFonts w:ascii="Times New Roman" w:hAnsi="Times New Roman" w:eastAsia="宋体" w:cs="Times New Roman"/>
      <w:sz w:val="24"/>
    </w:rPr>
  </w:style>
  <w:style w:type="character" w:customStyle="1" w:styleId="97">
    <w:name w:val="font11"/>
    <w:basedOn w:val="27"/>
    <w:qFormat/>
    <w:uiPriority w:val="0"/>
    <w:rPr>
      <w:rFonts w:hint="default" w:ascii="Times New Roman" w:hAnsi="Times New Roman" w:cs="Times New Roman"/>
      <w:color w:val="000000"/>
      <w:sz w:val="21"/>
      <w:szCs w:val="21"/>
      <w:u w:val="none"/>
    </w:rPr>
  </w:style>
  <w:style w:type="character" w:customStyle="1" w:styleId="98">
    <w:name w:val="font31"/>
    <w:basedOn w:val="27"/>
    <w:qFormat/>
    <w:uiPriority w:val="0"/>
    <w:rPr>
      <w:rFonts w:hint="default" w:ascii="Times New Roman" w:hAnsi="Times New Roman" w:cs="Times New Roman"/>
      <w:color w:val="000000"/>
      <w:sz w:val="14"/>
      <w:szCs w:val="14"/>
      <w:u w:val="none"/>
    </w:rPr>
  </w:style>
  <w:style w:type="character" w:customStyle="1" w:styleId="99">
    <w:name w:val="font21"/>
    <w:basedOn w:val="27"/>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5.jpe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wmf"/><Relationship Id="rId40" Type="http://schemas.openxmlformats.org/officeDocument/2006/relationships/oleObject" Target="embeddings/oleObject8.bin"/><Relationship Id="rId4" Type="http://schemas.openxmlformats.org/officeDocument/2006/relationships/header" Target="header2.xml"/><Relationship Id="rId39" Type="http://schemas.openxmlformats.org/officeDocument/2006/relationships/image" Target="media/image21.wmf"/><Relationship Id="rId38" Type="http://schemas.openxmlformats.org/officeDocument/2006/relationships/oleObject" Target="embeddings/oleObject7.bin"/><Relationship Id="rId37" Type="http://schemas.openxmlformats.org/officeDocument/2006/relationships/image" Target="media/image20.wmf"/><Relationship Id="rId36" Type="http://schemas.openxmlformats.org/officeDocument/2006/relationships/oleObject" Target="embeddings/oleObject6.bin"/><Relationship Id="rId35" Type="http://schemas.openxmlformats.org/officeDocument/2006/relationships/image" Target="media/image19.wmf"/><Relationship Id="rId34" Type="http://schemas.openxmlformats.org/officeDocument/2006/relationships/oleObject" Target="embeddings/oleObject5.bin"/><Relationship Id="rId33" Type="http://schemas.openxmlformats.org/officeDocument/2006/relationships/image" Target="media/image18.wmf"/><Relationship Id="rId32" Type="http://schemas.openxmlformats.org/officeDocument/2006/relationships/oleObject" Target="embeddings/oleObject4.bin"/><Relationship Id="rId31" Type="http://schemas.openxmlformats.org/officeDocument/2006/relationships/image" Target="media/image17.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6.wmf"/><Relationship Id="rId28" Type="http://schemas.openxmlformats.org/officeDocument/2006/relationships/oleObject" Target="embeddings/oleObject2.bin"/><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emf"/><Relationship Id="rId16" Type="http://schemas.openxmlformats.org/officeDocument/2006/relationships/oleObject" Target="embeddings/oleObject1.bin"/><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B8E08-325D-4822-B0CE-ED7BFCD84139}">
  <ds:schemaRefs/>
</ds:datastoreItem>
</file>

<file path=docProps/app.xml><?xml version="1.0" encoding="utf-8"?>
<Properties xmlns="http://schemas.openxmlformats.org/officeDocument/2006/extended-properties" xmlns:vt="http://schemas.openxmlformats.org/officeDocument/2006/docPropsVTypes">
  <Template>Normal.dotm</Template>
  <Pages>71</Pages>
  <Words>602</Words>
  <Characters>714</Characters>
  <Lines>735</Lines>
  <Paragraphs>207</Paragraphs>
  <TotalTime>1</TotalTime>
  <ScaleCrop>false</ScaleCrop>
  <LinksUpToDate>false</LinksUpToDate>
  <CharactersWithSpaces>846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2020-04-19T11:54:00Z</dcterms:created>
  <dc:creator>xia kun</dc:creator>
  <cp:lastModifiedBy>wm</cp:lastModifiedBy>
  <cp:lastPrinted>2020-05-06T04:17:00Z</cp:lastPrinted>
  <dcterms:modified xsi:type="dcterms:W3CDTF">2025-11-26T06:50:15Z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4500FB62B06141E9B978D1293F0F7C1C_13</vt:lpwstr>
  </property>
  <property fmtid="{D5CDD505-2E9C-101B-9397-08002B2CF9AE}" pid="4" name="KSOTemplateDocerSaveRecord">
    <vt:lpwstr>eyJoZGlkIjoiOWE4OTcwM2JhOTk3MjZhMzJlOTQ4NGVkYWRjMDhjMGYiLCJ1c2VySWQiOiIzMDcwNjMyNDIifQ==</vt:lpwstr>
  </property>
</Properties>
</file>