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C63EA">
      <w:pPr>
        <w:rPr>
          <w:rFonts w:ascii="仿宋_GB2312" w:hAnsi="仿宋_GB2312" w:eastAsia="仿宋_GB2312" w:cs="仿宋_GB2312"/>
          <w:sz w:val="36"/>
          <w:szCs w:val="36"/>
        </w:rPr>
      </w:pPr>
      <w:r>
        <w:rPr>
          <w:rFonts w:hint="eastAsia" w:ascii="仿宋_GB2312" w:hAnsi="仿宋_GB2312" w:eastAsia="仿宋_GB2312" w:cs="仿宋_GB2312"/>
          <w:sz w:val="36"/>
          <w:szCs w:val="36"/>
        </w:rPr>
        <w:t xml:space="preserve">   </w:t>
      </w:r>
    </w:p>
    <w:p w14:paraId="014B52C0">
      <w:pPr>
        <w:pStyle w:val="5"/>
      </w:pPr>
    </w:p>
    <w:p w14:paraId="39CDBB95">
      <w:pPr>
        <w:pStyle w:val="5"/>
      </w:pPr>
    </w:p>
    <w:p w14:paraId="5FF143DA">
      <w:pPr>
        <w:rPr>
          <w:rFonts w:ascii="仿宋_GB2312" w:hAnsi="仿宋_GB2312" w:eastAsia="仿宋_GB2312" w:cs="仿宋_GB2312"/>
          <w:sz w:val="36"/>
          <w:szCs w:val="36"/>
        </w:rPr>
      </w:pPr>
    </w:p>
    <w:p w14:paraId="146F39AC">
      <w:pPr>
        <w:rPr>
          <w:rFonts w:ascii="仿宋_GB2312" w:hAnsi="仿宋_GB2312" w:eastAsia="仿宋_GB2312" w:cs="仿宋_GB2312"/>
          <w:sz w:val="36"/>
          <w:szCs w:val="36"/>
        </w:rPr>
      </w:pPr>
    </w:p>
    <w:p w14:paraId="3AAA1052">
      <w:pPr>
        <w:pStyle w:val="5"/>
      </w:pPr>
    </w:p>
    <w:p w14:paraId="720B9F3B">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18D5DD37">
      <w:pPr>
        <w:adjustRightInd w:val="0"/>
        <w:snapToGrid w:val="0"/>
        <w:spacing w:beforeLines="80"/>
        <w:jc w:val="center"/>
        <w:rPr>
          <w:rFonts w:ascii="楷体_GB2312" w:eastAsia="楷体_GB2312"/>
          <w:bCs/>
          <w:sz w:val="48"/>
          <w:szCs w:val="48"/>
        </w:rPr>
      </w:pPr>
      <w:r>
        <w:rPr>
          <w:rFonts w:hint="eastAsia" w:ascii="楷体_GB2312" w:eastAsia="楷体_GB2312"/>
          <w:bCs/>
          <w:sz w:val="48"/>
          <w:szCs w:val="48"/>
        </w:rPr>
        <w:t>（污染影响类）</w:t>
      </w:r>
    </w:p>
    <w:p w14:paraId="27FABB1A">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0A04FDEE">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6AE0350D">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58163B51">
      <w:pPr>
        <w:pStyle w:val="5"/>
      </w:pPr>
    </w:p>
    <w:p w14:paraId="7F1AA2B8">
      <w:pPr>
        <w:rPr>
          <w:rFonts w:eastAsia="仿宋"/>
          <w:sz w:val="44"/>
          <w:szCs w:val="44"/>
        </w:rPr>
      </w:pPr>
    </w:p>
    <w:p w14:paraId="246BB114">
      <w:pPr>
        <w:ind w:firstLine="1040"/>
        <w:rPr>
          <w:rFonts w:eastAsia="仿宋"/>
          <w:sz w:val="44"/>
          <w:szCs w:val="44"/>
        </w:rPr>
      </w:pPr>
    </w:p>
    <w:p w14:paraId="7A25D015">
      <w:pPr>
        <w:adjustRightInd w:val="0"/>
        <w:snapToGrid w:val="0"/>
        <w:spacing w:line="288" w:lineRule="auto"/>
        <w:ind w:left="4500" w:hanging="4500" w:hangingChars="1250"/>
        <w:jc w:val="left"/>
        <w:rPr>
          <w:rFonts w:ascii="仿宋_GB2312" w:eastAsia="仿宋_GB2312"/>
          <w:sz w:val="36"/>
          <w:szCs w:val="36"/>
          <w:u w:val="single"/>
        </w:rPr>
      </w:pPr>
      <w:r>
        <w:rPr>
          <w:rFonts w:hint="eastAsia" w:ascii="仿宋_GB2312" w:eastAsia="仿宋_GB2312"/>
          <w:sz w:val="36"/>
          <w:szCs w:val="36"/>
        </w:rPr>
        <w:t>项  目   名   称：</w:t>
      </w:r>
      <w:r>
        <w:rPr>
          <w:rFonts w:hint="eastAsia" w:ascii="仿宋_GB2312" w:eastAsia="仿宋_GB2312"/>
          <w:sz w:val="36"/>
          <w:szCs w:val="36"/>
          <w:u w:val="single"/>
        </w:rPr>
        <w:t xml:space="preserve">   </w:t>
      </w:r>
      <w:bookmarkStart w:id="6" w:name="_GoBack"/>
      <w:r>
        <w:rPr>
          <w:rFonts w:hint="eastAsia" w:ascii="仿宋_GB2312" w:eastAsia="仿宋_GB2312"/>
          <w:sz w:val="36"/>
          <w:szCs w:val="36"/>
          <w:u w:val="single"/>
        </w:rPr>
        <w:t>城市道路设施及建筑安全设施</w:t>
      </w:r>
      <w:bookmarkEnd w:id="6"/>
      <w:r>
        <w:rPr>
          <w:rFonts w:hint="eastAsia" w:ascii="仿宋_GB2312" w:eastAsia="仿宋_GB2312"/>
          <w:sz w:val="36"/>
          <w:szCs w:val="36"/>
          <w:u w:val="single"/>
        </w:rPr>
        <w:t xml:space="preserve">  </w:t>
      </w:r>
    </w:p>
    <w:p w14:paraId="6DE5F799">
      <w:pPr>
        <w:adjustRightInd w:val="0"/>
        <w:snapToGrid w:val="0"/>
        <w:spacing w:line="288" w:lineRule="auto"/>
        <w:ind w:firstLine="3240" w:firstLineChars="900"/>
        <w:jc w:val="left"/>
        <w:rPr>
          <w:rFonts w:ascii="仿宋_GB2312" w:eastAsia="仿宋_GB2312"/>
          <w:sz w:val="36"/>
          <w:szCs w:val="36"/>
          <w:u w:val="single"/>
        </w:rPr>
      </w:pPr>
      <w:r>
        <w:rPr>
          <w:rFonts w:hint="eastAsia" w:ascii="仿宋_GB2312" w:eastAsia="仿宋_GB2312"/>
          <w:sz w:val="36"/>
          <w:szCs w:val="36"/>
          <w:u w:val="single"/>
        </w:rPr>
        <w:t xml:space="preserve">             生产项目           </w:t>
      </w:r>
    </w:p>
    <w:p w14:paraId="323F0C29">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ascii="仿宋_GB2312" w:eastAsia="仿宋_GB2312"/>
          <w:sz w:val="36"/>
          <w:szCs w:val="36"/>
          <w:u w:val="single"/>
        </w:rPr>
        <w:t>陕西</w:t>
      </w:r>
      <w:r>
        <w:rPr>
          <w:rFonts w:hint="eastAsia" w:ascii="仿宋_GB2312" w:eastAsia="仿宋_GB2312"/>
          <w:sz w:val="36"/>
          <w:szCs w:val="36"/>
          <w:u w:val="single"/>
        </w:rPr>
        <w:t>诚顺翔电器设备</w:t>
      </w:r>
      <w:r>
        <w:rPr>
          <w:rFonts w:ascii="仿宋_GB2312" w:eastAsia="仿宋_GB2312"/>
          <w:sz w:val="36"/>
          <w:szCs w:val="36"/>
          <w:u w:val="single"/>
        </w:rPr>
        <w:t>有限</w:t>
      </w:r>
      <w:r>
        <w:rPr>
          <w:rFonts w:hint="eastAsia" w:ascii="仿宋_GB2312" w:eastAsia="仿宋_GB2312"/>
          <w:sz w:val="36"/>
          <w:szCs w:val="36"/>
          <w:u w:val="single"/>
        </w:rPr>
        <w:t>责任</w:t>
      </w:r>
      <w:r>
        <w:rPr>
          <w:rFonts w:ascii="仿宋_GB2312" w:eastAsia="仿宋_GB2312"/>
          <w:sz w:val="36"/>
          <w:szCs w:val="36"/>
          <w:u w:val="single"/>
        </w:rPr>
        <w:t>公司</w:t>
      </w:r>
      <w:r>
        <w:rPr>
          <w:rFonts w:hint="eastAsia" w:ascii="仿宋_GB2312" w:eastAsia="仿宋_GB2312"/>
          <w:sz w:val="36"/>
          <w:szCs w:val="36"/>
          <w:u w:val="single"/>
        </w:rPr>
        <w:t xml:space="preserve">   </w:t>
      </w:r>
    </w:p>
    <w:p w14:paraId="0F68CE8A">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编  制   日   期：</w:t>
      </w:r>
      <w:r>
        <w:rPr>
          <w:rFonts w:hint="eastAsia" w:ascii="仿宋_GB2312" w:eastAsia="仿宋_GB2312"/>
          <w:sz w:val="36"/>
          <w:szCs w:val="36"/>
          <w:u w:val="single"/>
        </w:rPr>
        <w:t xml:space="preserve">          </w:t>
      </w:r>
      <w:r>
        <w:rPr>
          <w:rFonts w:eastAsia="仿宋_GB2312"/>
          <w:sz w:val="36"/>
          <w:szCs w:val="36"/>
          <w:u w:val="single"/>
        </w:rPr>
        <w:t>202</w:t>
      </w:r>
      <w:r>
        <w:rPr>
          <w:rFonts w:hint="eastAsia" w:eastAsia="仿宋_GB2312"/>
          <w:sz w:val="36"/>
          <w:szCs w:val="36"/>
          <w:u w:val="single"/>
        </w:rPr>
        <w:t>3</w:t>
      </w:r>
      <w:r>
        <w:rPr>
          <w:rFonts w:eastAsia="仿宋_GB2312"/>
          <w:sz w:val="36"/>
          <w:szCs w:val="36"/>
          <w:u w:val="single"/>
        </w:rPr>
        <w:t>年</w:t>
      </w:r>
      <w:r>
        <w:rPr>
          <w:rFonts w:hint="eastAsia" w:eastAsia="仿宋_GB2312"/>
          <w:sz w:val="36"/>
          <w:szCs w:val="36"/>
          <w:u w:val="single"/>
        </w:rPr>
        <w:t>4</w:t>
      </w:r>
      <w:r>
        <w:rPr>
          <w:rFonts w:eastAsia="仿宋_GB2312"/>
          <w:sz w:val="36"/>
          <w:szCs w:val="36"/>
          <w:u w:val="single"/>
        </w:rPr>
        <w:t>月</w:t>
      </w:r>
      <w:bookmarkStart w:id="0" w:name="_Hlk57884087"/>
      <w:r>
        <w:rPr>
          <w:rFonts w:hint="eastAsia" w:eastAsia="仿宋_GB2312"/>
          <w:sz w:val="36"/>
          <w:szCs w:val="36"/>
          <w:u w:val="single"/>
        </w:rPr>
        <w:t xml:space="preserve">           </w:t>
      </w:r>
    </w:p>
    <w:p w14:paraId="6C368CEA">
      <w:pPr>
        <w:adjustRightInd w:val="0"/>
        <w:snapToGrid w:val="0"/>
        <w:spacing w:line="288" w:lineRule="auto"/>
        <w:ind w:firstLine="1040"/>
        <w:rPr>
          <w:rFonts w:ascii="仿宋_GB2312" w:eastAsia="仿宋_GB2312"/>
          <w:sz w:val="36"/>
          <w:szCs w:val="36"/>
        </w:rPr>
      </w:pPr>
    </w:p>
    <w:p w14:paraId="729D1DB7">
      <w:pPr>
        <w:adjustRightInd w:val="0"/>
        <w:snapToGrid w:val="0"/>
        <w:spacing w:line="288" w:lineRule="auto"/>
        <w:ind w:firstLine="1040"/>
        <w:rPr>
          <w:rFonts w:ascii="仿宋_GB2312" w:eastAsia="仿宋_GB2312"/>
          <w:sz w:val="36"/>
          <w:szCs w:val="36"/>
        </w:rPr>
      </w:pPr>
    </w:p>
    <w:p w14:paraId="6FE6EF17">
      <w:pPr>
        <w:adjustRightInd w:val="0"/>
        <w:snapToGrid w:val="0"/>
        <w:spacing w:line="288" w:lineRule="auto"/>
        <w:ind w:firstLine="1040"/>
        <w:rPr>
          <w:rFonts w:ascii="仿宋_GB2312" w:eastAsia="仿宋_GB2312"/>
          <w:sz w:val="36"/>
          <w:szCs w:val="36"/>
        </w:rPr>
      </w:pPr>
    </w:p>
    <w:bookmarkEnd w:id="0"/>
    <w:p w14:paraId="16A84ED0">
      <w:pPr>
        <w:adjustRightInd w:val="0"/>
        <w:snapToGrid w:val="0"/>
        <w:spacing w:line="288" w:lineRule="auto"/>
        <w:jc w:val="center"/>
        <w:rPr>
          <w:rFonts w:ascii="楷体_GB2312" w:eastAsia="楷体_GB2312"/>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r>
        <w:rPr>
          <w:rFonts w:hint="eastAsia" w:ascii="楷体_GB2312" w:eastAsia="楷体_GB2312"/>
          <w:sz w:val="36"/>
          <w:szCs w:val="36"/>
        </w:rPr>
        <w:t>中华人民共和国生态环境部制</w:t>
      </w:r>
    </w:p>
    <w:p w14:paraId="37E5C17A">
      <w:pPr>
        <w:pStyle w:val="5"/>
      </w:pPr>
    </w:p>
    <w:p w14:paraId="095E7179"/>
    <w:p w14:paraId="3E20AAC5">
      <w:pPr>
        <w:pStyle w:val="2"/>
      </w:pPr>
    </w:p>
    <w:p w14:paraId="43F1844E"/>
    <w:p w14:paraId="08DDA240">
      <w:pPr>
        <w:pStyle w:val="2"/>
        <w:sectPr>
          <w:pgSz w:w="11906" w:h="16838"/>
          <w:pgMar w:top="1701" w:right="1531" w:bottom="1701" w:left="1531" w:header="851" w:footer="1077" w:gutter="0"/>
          <w:pgNumType w:start="1"/>
          <w:cols w:space="720" w:num="1"/>
          <w:docGrid w:linePitch="312" w:charSpace="0"/>
        </w:sectPr>
      </w:pPr>
      <w:r>
        <w:br w:type="textWrapping"/>
      </w:r>
    </w:p>
    <w:p w14:paraId="53B14A22">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99"/>
        <w:gridCol w:w="2357"/>
        <w:gridCol w:w="2179"/>
        <w:gridCol w:w="2735"/>
      </w:tblGrid>
      <w:tr w14:paraId="67031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433178BB">
            <w:pPr>
              <w:adjustRightInd w:val="0"/>
              <w:snapToGrid w:val="0"/>
              <w:jc w:val="center"/>
              <w:rPr>
                <w:rFonts w:ascii="宋体" w:hAnsi="宋体" w:cs="宋体"/>
                <w:sz w:val="24"/>
              </w:rPr>
            </w:pPr>
            <w:r>
              <w:rPr>
                <w:rFonts w:hint="eastAsia" w:ascii="宋体" w:hAnsi="宋体" w:cs="宋体"/>
                <w:sz w:val="24"/>
              </w:rPr>
              <w:t>建设项目名称</w:t>
            </w:r>
          </w:p>
        </w:tc>
        <w:tc>
          <w:tcPr>
            <w:tcW w:w="7271" w:type="dxa"/>
            <w:gridSpan w:val="3"/>
            <w:vAlign w:val="center"/>
          </w:tcPr>
          <w:p w14:paraId="67F8CC53">
            <w:pPr>
              <w:adjustRightInd w:val="0"/>
              <w:snapToGrid w:val="0"/>
              <w:spacing w:line="288" w:lineRule="auto"/>
              <w:ind w:left="1440" w:hanging="1440" w:hangingChars="600"/>
              <w:jc w:val="center"/>
              <w:rPr>
                <w:rFonts w:ascii="宋体" w:hAnsi="宋体" w:cs="宋体"/>
                <w:sz w:val="24"/>
              </w:rPr>
            </w:pPr>
            <w:r>
              <w:rPr>
                <w:rFonts w:hint="eastAsia" w:ascii="宋体" w:hAnsi="宋体" w:cs="宋体"/>
                <w:sz w:val="24"/>
              </w:rPr>
              <w:t>城市道路设施及建筑安全设施生产项目</w:t>
            </w:r>
          </w:p>
        </w:tc>
      </w:tr>
      <w:tr w14:paraId="5210C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6211D235">
            <w:pPr>
              <w:adjustRightInd w:val="0"/>
              <w:snapToGrid w:val="0"/>
              <w:jc w:val="center"/>
              <w:rPr>
                <w:rFonts w:ascii="宋体" w:hAnsi="宋体" w:cs="宋体"/>
                <w:sz w:val="24"/>
              </w:rPr>
            </w:pPr>
            <w:r>
              <w:rPr>
                <w:rFonts w:hint="eastAsia" w:ascii="宋体" w:hAnsi="宋体" w:cs="宋体"/>
                <w:sz w:val="24"/>
              </w:rPr>
              <w:t>项目代码</w:t>
            </w:r>
          </w:p>
        </w:tc>
        <w:tc>
          <w:tcPr>
            <w:tcW w:w="7271" w:type="dxa"/>
            <w:gridSpan w:val="3"/>
            <w:vAlign w:val="center"/>
          </w:tcPr>
          <w:p w14:paraId="05271AE2">
            <w:pPr>
              <w:adjustRightInd w:val="0"/>
              <w:snapToGrid w:val="0"/>
              <w:jc w:val="center"/>
              <w:rPr>
                <w:sz w:val="24"/>
              </w:rPr>
            </w:pPr>
            <w:r>
              <w:rPr>
                <w:rFonts w:hint="eastAsia"/>
                <w:sz w:val="24"/>
              </w:rPr>
              <w:t>/</w:t>
            </w:r>
          </w:p>
        </w:tc>
      </w:tr>
      <w:tr w14:paraId="33A2E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3595AE86">
            <w:pPr>
              <w:adjustRightInd w:val="0"/>
              <w:snapToGrid w:val="0"/>
              <w:jc w:val="center"/>
              <w:rPr>
                <w:rFonts w:ascii="宋体" w:hAnsi="宋体" w:cs="宋体"/>
                <w:sz w:val="24"/>
              </w:rPr>
            </w:pPr>
            <w:r>
              <w:rPr>
                <w:rFonts w:hint="eastAsia" w:ascii="宋体" w:hAnsi="宋体" w:cs="宋体"/>
                <w:sz w:val="24"/>
              </w:rPr>
              <w:t>建设单位联系人</w:t>
            </w:r>
          </w:p>
        </w:tc>
        <w:tc>
          <w:tcPr>
            <w:tcW w:w="2357" w:type="dxa"/>
            <w:vAlign w:val="center"/>
          </w:tcPr>
          <w:p w14:paraId="1B532057">
            <w:pPr>
              <w:adjustRightInd w:val="0"/>
              <w:snapToGrid w:val="0"/>
              <w:jc w:val="center"/>
              <w:rPr>
                <w:rFonts w:ascii="宋体" w:hAnsi="宋体" w:cs="宋体"/>
                <w:sz w:val="24"/>
              </w:rPr>
            </w:pPr>
            <w:r>
              <w:rPr>
                <w:rFonts w:hint="eastAsia" w:ascii="宋体" w:hAnsi="宋体" w:cs="宋体"/>
                <w:sz w:val="24"/>
              </w:rPr>
              <w:t>李雪艳</w:t>
            </w:r>
          </w:p>
        </w:tc>
        <w:tc>
          <w:tcPr>
            <w:tcW w:w="2179" w:type="dxa"/>
            <w:vAlign w:val="center"/>
          </w:tcPr>
          <w:p w14:paraId="7F64C3B1">
            <w:pPr>
              <w:adjustRightInd w:val="0"/>
              <w:snapToGrid w:val="0"/>
              <w:jc w:val="center"/>
              <w:rPr>
                <w:sz w:val="24"/>
              </w:rPr>
            </w:pPr>
            <w:r>
              <w:rPr>
                <w:rFonts w:hAnsi="宋体"/>
                <w:sz w:val="24"/>
              </w:rPr>
              <w:t>联系方式</w:t>
            </w:r>
          </w:p>
        </w:tc>
        <w:tc>
          <w:tcPr>
            <w:tcW w:w="2735" w:type="dxa"/>
            <w:vAlign w:val="center"/>
          </w:tcPr>
          <w:p w14:paraId="49B63E26">
            <w:pPr>
              <w:spacing w:line="312" w:lineRule="auto"/>
              <w:jc w:val="center"/>
              <w:rPr>
                <w:sz w:val="24"/>
              </w:rPr>
            </w:pPr>
            <w:r>
              <w:rPr>
                <w:sz w:val="24"/>
              </w:rPr>
              <w:t>180</w:t>
            </w:r>
            <w:r>
              <w:rPr>
                <w:rFonts w:hint="eastAsia"/>
                <w:sz w:val="24"/>
                <w:lang w:val="en-US" w:eastAsia="zh-CN"/>
              </w:rPr>
              <w:t>*****</w:t>
            </w:r>
            <w:r>
              <w:rPr>
                <w:sz w:val="24"/>
              </w:rPr>
              <w:t>665</w:t>
            </w:r>
          </w:p>
        </w:tc>
      </w:tr>
      <w:tr w14:paraId="57492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54FB744B">
            <w:pPr>
              <w:adjustRightInd w:val="0"/>
              <w:snapToGrid w:val="0"/>
              <w:jc w:val="center"/>
              <w:rPr>
                <w:rFonts w:ascii="宋体" w:hAnsi="宋体" w:cs="宋体"/>
                <w:sz w:val="24"/>
              </w:rPr>
            </w:pPr>
            <w:r>
              <w:rPr>
                <w:rFonts w:hint="eastAsia" w:ascii="宋体" w:hAnsi="宋体" w:cs="宋体"/>
                <w:sz w:val="24"/>
              </w:rPr>
              <w:t>建设地点</w:t>
            </w:r>
          </w:p>
        </w:tc>
        <w:tc>
          <w:tcPr>
            <w:tcW w:w="7271" w:type="dxa"/>
            <w:gridSpan w:val="3"/>
            <w:vAlign w:val="center"/>
          </w:tcPr>
          <w:p w14:paraId="14ED12F4">
            <w:pPr>
              <w:adjustRightInd w:val="0"/>
              <w:snapToGrid w:val="0"/>
              <w:jc w:val="center"/>
              <w:rPr>
                <w:rFonts w:ascii="宋体" w:hAnsi="宋体" w:cs="宋体"/>
                <w:sz w:val="24"/>
              </w:rPr>
            </w:pPr>
            <w:r>
              <w:rPr>
                <w:rFonts w:hint="eastAsia" w:ascii="宋体" w:hAnsi="宋体" w:cs="宋体"/>
                <w:sz w:val="24"/>
              </w:rPr>
              <w:t>陕西省西安市鄠邑区余下镇大唐二电厂南侧</w:t>
            </w:r>
          </w:p>
        </w:tc>
      </w:tr>
      <w:tr w14:paraId="3F5F0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59C86776">
            <w:pPr>
              <w:adjustRightInd w:val="0"/>
              <w:snapToGrid w:val="0"/>
              <w:jc w:val="center"/>
              <w:rPr>
                <w:rFonts w:ascii="宋体" w:hAnsi="宋体" w:cs="宋体"/>
                <w:sz w:val="24"/>
              </w:rPr>
            </w:pPr>
            <w:r>
              <w:rPr>
                <w:rFonts w:hint="eastAsia" w:ascii="宋体" w:hAnsi="宋体" w:cs="宋体"/>
                <w:sz w:val="24"/>
              </w:rPr>
              <w:t>地理坐标</w:t>
            </w:r>
          </w:p>
        </w:tc>
        <w:tc>
          <w:tcPr>
            <w:tcW w:w="7271" w:type="dxa"/>
            <w:gridSpan w:val="3"/>
            <w:vAlign w:val="center"/>
          </w:tcPr>
          <w:p w14:paraId="14B50858">
            <w:pPr>
              <w:jc w:val="center"/>
              <w:rPr>
                <w:sz w:val="24"/>
              </w:rPr>
            </w:pPr>
            <w:r>
              <w:rPr>
                <w:rFonts w:hAnsi="宋体"/>
                <w:sz w:val="24"/>
              </w:rPr>
              <w:t>（</w:t>
            </w:r>
            <w:r>
              <w:rPr>
                <w:rFonts w:hint="eastAsia" w:hAnsi="宋体"/>
                <w:sz w:val="24"/>
              </w:rPr>
              <w:t>经度</w:t>
            </w:r>
            <w:r>
              <w:rPr>
                <w:sz w:val="24"/>
                <w:u w:val="single"/>
              </w:rPr>
              <w:t>10</w:t>
            </w:r>
            <w:r>
              <w:rPr>
                <w:rFonts w:hint="eastAsia"/>
                <w:sz w:val="24"/>
                <w:u w:val="single"/>
              </w:rPr>
              <w:t>8</w:t>
            </w:r>
            <w:r>
              <w:rPr>
                <w:rFonts w:hAnsi="宋体"/>
                <w:sz w:val="24"/>
              </w:rPr>
              <w:t>度</w:t>
            </w:r>
            <w:r>
              <w:rPr>
                <w:rFonts w:hint="eastAsia"/>
                <w:sz w:val="24"/>
                <w:u w:val="single"/>
              </w:rPr>
              <w:t>37</w:t>
            </w:r>
            <w:r>
              <w:rPr>
                <w:rFonts w:hAnsi="宋体"/>
                <w:sz w:val="24"/>
              </w:rPr>
              <w:t>分</w:t>
            </w:r>
            <w:r>
              <w:rPr>
                <w:rFonts w:hint="eastAsia"/>
                <w:sz w:val="24"/>
                <w:u w:val="single"/>
              </w:rPr>
              <w:t>16.269</w:t>
            </w:r>
            <w:r>
              <w:rPr>
                <w:rFonts w:hAnsi="宋体"/>
                <w:sz w:val="24"/>
              </w:rPr>
              <w:t>秒，</w:t>
            </w:r>
            <w:r>
              <w:rPr>
                <w:rFonts w:hint="eastAsia" w:hAnsi="宋体"/>
                <w:sz w:val="24"/>
              </w:rPr>
              <w:t>纬度</w:t>
            </w:r>
            <w:r>
              <w:rPr>
                <w:sz w:val="24"/>
                <w:u w:val="single"/>
              </w:rPr>
              <w:t>34</w:t>
            </w:r>
            <w:r>
              <w:rPr>
                <w:rFonts w:hAnsi="宋体"/>
                <w:sz w:val="24"/>
              </w:rPr>
              <w:t>度</w:t>
            </w:r>
            <w:r>
              <w:rPr>
                <w:rFonts w:hint="eastAsia"/>
                <w:sz w:val="24"/>
                <w:u w:val="single"/>
              </w:rPr>
              <w:t>4</w:t>
            </w:r>
            <w:r>
              <w:rPr>
                <w:rFonts w:hAnsi="宋体"/>
                <w:sz w:val="24"/>
              </w:rPr>
              <w:t>分</w:t>
            </w:r>
            <w:r>
              <w:rPr>
                <w:rFonts w:hint="eastAsia"/>
                <w:sz w:val="24"/>
                <w:u w:val="single"/>
              </w:rPr>
              <w:t>21.622</w:t>
            </w:r>
            <w:r>
              <w:rPr>
                <w:rFonts w:hAnsi="宋体"/>
                <w:sz w:val="24"/>
              </w:rPr>
              <w:t>秒）</w:t>
            </w:r>
          </w:p>
        </w:tc>
      </w:tr>
      <w:tr w14:paraId="0679F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599" w:type="dxa"/>
            <w:tcMar>
              <w:top w:w="16" w:type="dxa"/>
              <w:left w:w="16" w:type="dxa"/>
              <w:right w:w="16" w:type="dxa"/>
            </w:tcMar>
            <w:vAlign w:val="center"/>
          </w:tcPr>
          <w:p w14:paraId="6D4F9B50">
            <w:pPr>
              <w:adjustRightInd w:val="0"/>
              <w:snapToGrid w:val="0"/>
              <w:jc w:val="center"/>
              <w:rPr>
                <w:rFonts w:hAnsi="宋体"/>
                <w:sz w:val="24"/>
              </w:rPr>
            </w:pPr>
            <w:r>
              <w:rPr>
                <w:rFonts w:hint="eastAsia" w:hAnsi="宋体"/>
                <w:sz w:val="24"/>
              </w:rPr>
              <w:t>国民经济</w:t>
            </w:r>
          </w:p>
          <w:p w14:paraId="57AECC19">
            <w:pPr>
              <w:adjustRightInd w:val="0"/>
              <w:snapToGrid w:val="0"/>
              <w:jc w:val="center"/>
              <w:rPr>
                <w:rFonts w:hAnsi="宋体"/>
                <w:sz w:val="24"/>
              </w:rPr>
            </w:pPr>
            <w:r>
              <w:rPr>
                <w:rFonts w:hint="eastAsia" w:hAnsi="宋体"/>
                <w:sz w:val="24"/>
              </w:rPr>
              <w:t>行业类别</w:t>
            </w:r>
          </w:p>
        </w:tc>
        <w:tc>
          <w:tcPr>
            <w:tcW w:w="2357" w:type="dxa"/>
            <w:vAlign w:val="center"/>
          </w:tcPr>
          <w:p w14:paraId="6A126FFF">
            <w:pPr>
              <w:adjustRightInd w:val="0"/>
              <w:snapToGrid w:val="0"/>
              <w:jc w:val="center"/>
              <w:rPr>
                <w:rFonts w:hAnsi="宋体"/>
                <w:sz w:val="24"/>
              </w:rPr>
            </w:pPr>
            <w:r>
              <w:rPr>
                <w:rFonts w:hAnsi="宋体"/>
                <w:sz w:val="24"/>
              </w:rPr>
              <w:t>C</w:t>
            </w:r>
            <w:r>
              <w:rPr>
                <w:rFonts w:hint="eastAsia" w:hAnsi="宋体"/>
                <w:sz w:val="24"/>
              </w:rPr>
              <w:t>3311金属结构制造</w:t>
            </w:r>
          </w:p>
        </w:tc>
        <w:tc>
          <w:tcPr>
            <w:tcW w:w="2179" w:type="dxa"/>
            <w:vAlign w:val="center"/>
          </w:tcPr>
          <w:p w14:paraId="7735B91D">
            <w:pPr>
              <w:adjustRightInd w:val="0"/>
              <w:snapToGrid w:val="0"/>
              <w:jc w:val="center"/>
              <w:rPr>
                <w:sz w:val="24"/>
              </w:rPr>
            </w:pPr>
            <w:bookmarkStart w:id="1" w:name="_Hlk49843745"/>
            <w:r>
              <w:rPr>
                <w:rFonts w:hAnsi="宋体"/>
                <w:sz w:val="24"/>
              </w:rPr>
              <w:t>建设项目</w:t>
            </w:r>
          </w:p>
          <w:p w14:paraId="2E6F2AC2">
            <w:pPr>
              <w:adjustRightInd w:val="0"/>
              <w:snapToGrid w:val="0"/>
              <w:jc w:val="center"/>
              <w:rPr>
                <w:sz w:val="24"/>
              </w:rPr>
            </w:pPr>
            <w:r>
              <w:rPr>
                <w:rFonts w:hAnsi="宋体"/>
                <w:sz w:val="24"/>
              </w:rPr>
              <w:t>行业类别</w:t>
            </w:r>
            <w:bookmarkEnd w:id="1"/>
          </w:p>
        </w:tc>
        <w:tc>
          <w:tcPr>
            <w:tcW w:w="2735" w:type="dxa"/>
            <w:vAlign w:val="center"/>
          </w:tcPr>
          <w:p w14:paraId="4EA977F8">
            <w:pPr>
              <w:jc w:val="center"/>
              <w:rPr>
                <w:rFonts w:hAnsi="宋体"/>
                <w:sz w:val="24"/>
              </w:rPr>
            </w:pPr>
            <w:r>
              <w:rPr>
                <w:rFonts w:hint="eastAsia"/>
                <w:sz w:val="24"/>
              </w:rPr>
              <w:t>三十</w:t>
            </w:r>
            <w:r>
              <w:rPr>
                <w:sz w:val="24"/>
              </w:rPr>
              <w:t>、</w:t>
            </w:r>
            <w:r>
              <w:rPr>
                <w:rFonts w:hint="eastAsia"/>
                <w:sz w:val="24"/>
              </w:rPr>
              <w:t>金属制品业</w:t>
            </w:r>
          </w:p>
        </w:tc>
      </w:tr>
      <w:tr w14:paraId="1417F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99" w:type="dxa"/>
            <w:tcMar>
              <w:top w:w="16" w:type="dxa"/>
              <w:left w:w="16" w:type="dxa"/>
              <w:right w:w="16" w:type="dxa"/>
            </w:tcMar>
            <w:vAlign w:val="center"/>
          </w:tcPr>
          <w:p w14:paraId="3B1EBA58">
            <w:pPr>
              <w:adjustRightInd w:val="0"/>
              <w:snapToGrid w:val="0"/>
              <w:jc w:val="center"/>
              <w:rPr>
                <w:rFonts w:ascii="宋体" w:hAnsi="宋体" w:cs="宋体"/>
                <w:sz w:val="24"/>
              </w:rPr>
            </w:pPr>
            <w:r>
              <w:rPr>
                <w:rFonts w:hint="eastAsia" w:ascii="宋体" w:hAnsi="宋体" w:cs="宋体"/>
                <w:sz w:val="24"/>
              </w:rPr>
              <w:t>建设性质</w:t>
            </w:r>
          </w:p>
        </w:tc>
        <w:tc>
          <w:tcPr>
            <w:tcW w:w="2357" w:type="dxa"/>
            <w:vAlign w:val="center"/>
          </w:tcPr>
          <w:p w14:paraId="627E72EB">
            <w:pPr>
              <w:jc w:val="left"/>
              <w:rPr>
                <w:rFonts w:ascii="宋体" w:hAnsi="宋体" w:cs="宋体"/>
                <w:sz w:val="24"/>
              </w:rPr>
            </w:pPr>
            <w:r>
              <w:rPr>
                <w:sz w:val="24"/>
              </w:rPr>
              <w:sym w:font="Wingdings 2" w:char="0052"/>
            </w:r>
            <w:r>
              <w:rPr>
                <w:rFonts w:hint="eastAsia" w:ascii="宋体" w:hAnsi="宋体" w:cs="宋体"/>
                <w:sz w:val="24"/>
              </w:rPr>
              <w:t>新建（迁建）</w:t>
            </w:r>
          </w:p>
          <w:p w14:paraId="6CA7DB70">
            <w:pPr>
              <w:jc w:val="left"/>
              <w:rPr>
                <w:rFonts w:ascii="宋体" w:hAnsi="宋体" w:cs="宋体"/>
                <w:sz w:val="24"/>
              </w:rPr>
            </w:pPr>
            <w:r>
              <w:rPr>
                <w:rFonts w:hint="eastAsia" w:ascii="宋体" w:hAnsi="宋体" w:cs="宋体"/>
                <w:sz w:val="24"/>
              </w:rPr>
              <w:t>□改建</w:t>
            </w:r>
          </w:p>
          <w:p w14:paraId="71EAEFBC">
            <w:pPr>
              <w:jc w:val="left"/>
              <w:rPr>
                <w:rFonts w:ascii="宋体" w:hAnsi="宋体" w:cs="宋体"/>
                <w:sz w:val="24"/>
              </w:rPr>
            </w:pPr>
            <w:r>
              <w:rPr>
                <w:rFonts w:hint="eastAsia" w:ascii="宋体" w:hAnsi="宋体" w:cs="宋体"/>
                <w:sz w:val="24"/>
              </w:rPr>
              <w:t>□扩建</w:t>
            </w:r>
          </w:p>
          <w:p w14:paraId="18778B4A">
            <w:pPr>
              <w:jc w:val="left"/>
              <w:rPr>
                <w:rFonts w:ascii="宋体" w:hAnsi="宋体" w:cs="宋体"/>
                <w:sz w:val="24"/>
              </w:rPr>
            </w:pPr>
            <w:r>
              <w:rPr>
                <w:rFonts w:hint="eastAsia" w:ascii="宋体" w:hAnsi="宋体" w:cs="宋体"/>
                <w:sz w:val="24"/>
              </w:rPr>
              <w:t>□技术改造</w:t>
            </w:r>
          </w:p>
        </w:tc>
        <w:tc>
          <w:tcPr>
            <w:tcW w:w="2179" w:type="dxa"/>
            <w:vAlign w:val="center"/>
          </w:tcPr>
          <w:p w14:paraId="565AA5F8">
            <w:pPr>
              <w:adjustRightInd w:val="0"/>
              <w:snapToGrid w:val="0"/>
              <w:jc w:val="center"/>
              <w:rPr>
                <w:rFonts w:ascii="宋体" w:hAnsi="宋体" w:cs="宋体"/>
                <w:sz w:val="24"/>
              </w:rPr>
            </w:pPr>
            <w:r>
              <w:rPr>
                <w:rFonts w:hint="eastAsia" w:ascii="宋体" w:hAnsi="宋体" w:cs="宋体"/>
                <w:sz w:val="24"/>
              </w:rPr>
              <w:t>建设项目</w:t>
            </w:r>
          </w:p>
          <w:p w14:paraId="318A300A">
            <w:pPr>
              <w:adjustRightInd w:val="0"/>
              <w:snapToGrid w:val="0"/>
              <w:jc w:val="center"/>
              <w:rPr>
                <w:rFonts w:ascii="宋体" w:hAnsi="宋体" w:cs="宋体"/>
                <w:sz w:val="24"/>
              </w:rPr>
            </w:pPr>
            <w:r>
              <w:rPr>
                <w:rFonts w:hint="eastAsia" w:ascii="宋体" w:hAnsi="宋体" w:cs="宋体"/>
                <w:sz w:val="24"/>
              </w:rPr>
              <w:t>申报情形</w:t>
            </w:r>
          </w:p>
        </w:tc>
        <w:tc>
          <w:tcPr>
            <w:tcW w:w="2735" w:type="dxa"/>
            <w:vAlign w:val="center"/>
          </w:tcPr>
          <w:p w14:paraId="334F7F48">
            <w:pPr>
              <w:jc w:val="left"/>
              <w:rPr>
                <w:rFonts w:ascii="宋体" w:hAnsi="宋体" w:cs="宋体"/>
                <w:sz w:val="24"/>
              </w:rPr>
            </w:pPr>
            <w:r>
              <w:rPr>
                <w:sz w:val="24"/>
              </w:rPr>
              <w:sym w:font="Wingdings 2" w:char="0052"/>
            </w:r>
            <w:r>
              <w:rPr>
                <w:rFonts w:hint="eastAsia" w:ascii="宋体" w:hAnsi="宋体" w:cs="宋体"/>
                <w:sz w:val="24"/>
              </w:rPr>
              <w:t>首次申报项目</w:t>
            </w:r>
          </w:p>
          <w:p w14:paraId="3F36F215">
            <w:pPr>
              <w:jc w:val="left"/>
              <w:rPr>
                <w:rFonts w:ascii="宋体" w:hAnsi="宋体" w:cs="宋体"/>
                <w:sz w:val="24"/>
              </w:rPr>
            </w:pPr>
            <w:r>
              <w:rPr>
                <w:rFonts w:hint="eastAsia" w:ascii="宋体" w:hAnsi="宋体" w:cs="宋体"/>
                <w:sz w:val="24"/>
              </w:rPr>
              <w:t>□不予批准后再次申报项目</w:t>
            </w:r>
          </w:p>
          <w:p w14:paraId="1E379DA5">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p>
          <w:p w14:paraId="717A069F">
            <w:pPr>
              <w:jc w:val="left"/>
              <w:rPr>
                <w:rFonts w:ascii="宋体" w:hAnsi="宋体" w:cs="宋体"/>
                <w:sz w:val="24"/>
              </w:rPr>
            </w:pPr>
            <w:r>
              <w:rPr>
                <w:rFonts w:hint="eastAsia" w:ascii="宋体" w:hAnsi="宋体" w:cs="宋体"/>
                <w:sz w:val="24"/>
              </w:rPr>
              <w:t>□重大变动重新报批项目</w:t>
            </w:r>
          </w:p>
        </w:tc>
      </w:tr>
      <w:tr w14:paraId="24F9E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99" w:type="dxa"/>
            <w:tcMar>
              <w:top w:w="16" w:type="dxa"/>
              <w:left w:w="16" w:type="dxa"/>
              <w:right w:w="16" w:type="dxa"/>
            </w:tcMar>
            <w:vAlign w:val="center"/>
          </w:tcPr>
          <w:p w14:paraId="73C256CB">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备案）部门（选填）</w:t>
            </w:r>
          </w:p>
        </w:tc>
        <w:tc>
          <w:tcPr>
            <w:tcW w:w="2357" w:type="dxa"/>
            <w:vAlign w:val="center"/>
          </w:tcPr>
          <w:p w14:paraId="22D79BCA">
            <w:pPr>
              <w:adjustRightInd w:val="0"/>
              <w:snapToGrid w:val="0"/>
              <w:jc w:val="center"/>
              <w:rPr>
                <w:rFonts w:ascii="宋体" w:hAnsi="宋体" w:cs="宋体"/>
                <w:sz w:val="24"/>
              </w:rPr>
            </w:pPr>
            <w:r>
              <w:rPr>
                <w:rFonts w:hint="eastAsia"/>
                <w:sz w:val="24"/>
              </w:rPr>
              <w:t>/</w:t>
            </w:r>
          </w:p>
        </w:tc>
        <w:tc>
          <w:tcPr>
            <w:tcW w:w="2179" w:type="dxa"/>
            <w:vAlign w:val="center"/>
          </w:tcPr>
          <w:p w14:paraId="121A7CA2">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5C3645EC">
            <w:pPr>
              <w:adjustRightInd w:val="0"/>
              <w:snapToGrid w:val="0"/>
              <w:jc w:val="center"/>
              <w:rPr>
                <w:rFonts w:ascii="宋体" w:hAnsi="宋体" w:cs="宋体"/>
                <w:sz w:val="24"/>
              </w:rPr>
            </w:pPr>
            <w:r>
              <w:rPr>
                <w:rFonts w:hint="eastAsia" w:ascii="宋体" w:hAnsi="宋体" w:cs="宋体"/>
                <w:sz w:val="24"/>
              </w:rPr>
              <w:t>备案）文号（选填）</w:t>
            </w:r>
          </w:p>
        </w:tc>
        <w:tc>
          <w:tcPr>
            <w:tcW w:w="2735" w:type="dxa"/>
            <w:vAlign w:val="center"/>
          </w:tcPr>
          <w:p w14:paraId="0FC2484F">
            <w:pPr>
              <w:adjustRightInd w:val="0"/>
              <w:snapToGrid w:val="0"/>
              <w:jc w:val="center"/>
              <w:rPr>
                <w:sz w:val="24"/>
              </w:rPr>
            </w:pPr>
            <w:r>
              <w:rPr>
                <w:rFonts w:hint="eastAsia"/>
                <w:sz w:val="24"/>
              </w:rPr>
              <w:t>/</w:t>
            </w:r>
          </w:p>
        </w:tc>
      </w:tr>
      <w:tr w14:paraId="57BAD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00DC052D">
            <w:pPr>
              <w:adjustRightInd w:val="0"/>
              <w:snapToGrid w:val="0"/>
              <w:jc w:val="center"/>
              <w:rPr>
                <w:rFonts w:ascii="宋体" w:hAnsi="宋体" w:cs="宋体"/>
                <w:sz w:val="24"/>
              </w:rPr>
            </w:pPr>
            <w:r>
              <w:rPr>
                <w:rFonts w:hint="eastAsia" w:ascii="宋体" w:hAnsi="宋体" w:cs="宋体"/>
                <w:sz w:val="24"/>
              </w:rPr>
              <w:t>总投资（万元）</w:t>
            </w:r>
          </w:p>
        </w:tc>
        <w:tc>
          <w:tcPr>
            <w:tcW w:w="2357" w:type="dxa"/>
            <w:vAlign w:val="center"/>
          </w:tcPr>
          <w:p w14:paraId="25A05E77">
            <w:pPr>
              <w:adjustRightInd w:val="0"/>
              <w:snapToGrid w:val="0"/>
              <w:jc w:val="center"/>
              <w:rPr>
                <w:sz w:val="24"/>
              </w:rPr>
            </w:pPr>
            <w:r>
              <w:rPr>
                <w:rFonts w:hint="eastAsia"/>
                <w:sz w:val="24"/>
              </w:rPr>
              <w:t>3000</w:t>
            </w:r>
          </w:p>
        </w:tc>
        <w:tc>
          <w:tcPr>
            <w:tcW w:w="2179" w:type="dxa"/>
            <w:tcMar>
              <w:top w:w="16" w:type="dxa"/>
              <w:left w:w="16" w:type="dxa"/>
              <w:right w:w="16" w:type="dxa"/>
            </w:tcMar>
            <w:vAlign w:val="center"/>
          </w:tcPr>
          <w:p w14:paraId="1D74F1F3">
            <w:pPr>
              <w:adjustRightInd w:val="0"/>
              <w:snapToGrid w:val="0"/>
              <w:jc w:val="center"/>
              <w:rPr>
                <w:rFonts w:ascii="宋体" w:hAnsi="宋体" w:cs="宋体"/>
                <w:sz w:val="24"/>
              </w:rPr>
            </w:pPr>
            <w:r>
              <w:rPr>
                <w:rFonts w:hint="eastAsia" w:ascii="宋体" w:hAnsi="宋体" w:cs="宋体"/>
                <w:sz w:val="24"/>
              </w:rPr>
              <w:t>环保投资（万元）</w:t>
            </w:r>
          </w:p>
        </w:tc>
        <w:tc>
          <w:tcPr>
            <w:tcW w:w="2735" w:type="dxa"/>
            <w:vAlign w:val="center"/>
          </w:tcPr>
          <w:p w14:paraId="21F22471">
            <w:pPr>
              <w:adjustRightInd w:val="0"/>
              <w:snapToGrid w:val="0"/>
              <w:jc w:val="center"/>
              <w:rPr>
                <w:sz w:val="24"/>
              </w:rPr>
            </w:pPr>
            <w:r>
              <w:rPr>
                <w:rFonts w:hint="eastAsia"/>
                <w:sz w:val="24"/>
              </w:rPr>
              <w:t>109</w:t>
            </w:r>
          </w:p>
        </w:tc>
      </w:tr>
      <w:tr w14:paraId="19D29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0B2A3D12">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2357" w:type="dxa"/>
            <w:vAlign w:val="center"/>
          </w:tcPr>
          <w:p w14:paraId="6065783C">
            <w:pPr>
              <w:adjustRightInd w:val="0"/>
              <w:snapToGrid w:val="0"/>
              <w:jc w:val="center"/>
              <w:rPr>
                <w:sz w:val="24"/>
              </w:rPr>
            </w:pPr>
            <w:r>
              <w:rPr>
                <w:rFonts w:hint="eastAsia"/>
                <w:sz w:val="24"/>
              </w:rPr>
              <w:t>3.63</w:t>
            </w:r>
          </w:p>
        </w:tc>
        <w:tc>
          <w:tcPr>
            <w:tcW w:w="2179" w:type="dxa"/>
            <w:tcMar>
              <w:top w:w="16" w:type="dxa"/>
              <w:left w:w="16" w:type="dxa"/>
              <w:right w:w="16" w:type="dxa"/>
            </w:tcMar>
            <w:vAlign w:val="center"/>
          </w:tcPr>
          <w:p w14:paraId="6449CA0B">
            <w:pPr>
              <w:adjustRightInd w:val="0"/>
              <w:snapToGrid w:val="0"/>
              <w:jc w:val="center"/>
              <w:rPr>
                <w:rFonts w:ascii="宋体" w:hAnsi="宋体" w:cs="宋体"/>
                <w:sz w:val="24"/>
              </w:rPr>
            </w:pPr>
            <w:r>
              <w:rPr>
                <w:rFonts w:hint="eastAsia" w:ascii="宋体" w:hAnsi="宋体" w:cs="宋体"/>
                <w:sz w:val="24"/>
              </w:rPr>
              <w:t>施工工期</w:t>
            </w:r>
          </w:p>
        </w:tc>
        <w:tc>
          <w:tcPr>
            <w:tcW w:w="2735" w:type="dxa"/>
            <w:vAlign w:val="center"/>
          </w:tcPr>
          <w:p w14:paraId="73DDF7D2">
            <w:pPr>
              <w:adjustRightInd w:val="0"/>
              <w:snapToGrid w:val="0"/>
              <w:jc w:val="center"/>
              <w:rPr>
                <w:sz w:val="24"/>
              </w:rPr>
            </w:pPr>
            <w:r>
              <w:rPr>
                <w:rFonts w:hint="eastAsia"/>
                <w:sz w:val="24"/>
              </w:rPr>
              <w:t>2个月；</w:t>
            </w:r>
          </w:p>
          <w:p w14:paraId="0229158C">
            <w:pPr>
              <w:adjustRightInd w:val="0"/>
              <w:snapToGrid w:val="0"/>
              <w:jc w:val="center"/>
              <w:rPr>
                <w:sz w:val="24"/>
              </w:rPr>
            </w:pPr>
            <w:r>
              <w:rPr>
                <w:rFonts w:hint="eastAsia"/>
                <w:sz w:val="24"/>
              </w:rPr>
              <w:t>2023.05-2023.07</w:t>
            </w:r>
          </w:p>
        </w:tc>
      </w:tr>
      <w:tr w14:paraId="40FF7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9" w:type="dxa"/>
            <w:tcMar>
              <w:top w:w="16" w:type="dxa"/>
              <w:left w:w="16" w:type="dxa"/>
              <w:right w:w="16" w:type="dxa"/>
            </w:tcMar>
            <w:vAlign w:val="center"/>
          </w:tcPr>
          <w:p w14:paraId="0135D5CB">
            <w:pPr>
              <w:adjustRightInd w:val="0"/>
              <w:snapToGrid w:val="0"/>
              <w:jc w:val="center"/>
              <w:rPr>
                <w:rFonts w:ascii="宋体" w:hAnsi="宋体" w:cs="宋体"/>
                <w:sz w:val="24"/>
              </w:rPr>
            </w:pPr>
            <w:r>
              <w:rPr>
                <w:rFonts w:hint="eastAsia" w:ascii="宋体" w:hAnsi="宋体" w:cs="宋体"/>
                <w:sz w:val="24"/>
              </w:rPr>
              <w:t>是否开工建设</w:t>
            </w:r>
          </w:p>
        </w:tc>
        <w:tc>
          <w:tcPr>
            <w:tcW w:w="2357" w:type="dxa"/>
            <w:vAlign w:val="center"/>
          </w:tcPr>
          <w:p w14:paraId="5BCA0460">
            <w:pPr>
              <w:adjustRightInd w:val="0"/>
              <w:snapToGrid w:val="0"/>
              <w:rPr>
                <w:rFonts w:ascii="宋体" w:hAnsi="宋体" w:cs="宋体"/>
                <w:sz w:val="24"/>
              </w:rPr>
            </w:pPr>
            <w:r>
              <w:rPr>
                <w:sz w:val="24"/>
              </w:rPr>
              <w:sym w:font="Wingdings 2" w:char="0052"/>
            </w:r>
            <w:r>
              <w:rPr>
                <w:rFonts w:hint="eastAsia" w:ascii="宋体" w:hAnsi="宋体" w:cs="宋体"/>
                <w:sz w:val="24"/>
              </w:rPr>
              <w:t>否</w:t>
            </w:r>
          </w:p>
          <w:p w14:paraId="3E3DF40B">
            <w:pPr>
              <w:adjustRightInd w:val="0"/>
              <w:snapToGrid w:val="0"/>
              <w:rPr>
                <w:rFonts w:ascii="宋体" w:hAnsi="宋体" w:cs="宋体"/>
                <w:sz w:val="24"/>
              </w:rPr>
            </w:pPr>
            <w:r>
              <w:rPr>
                <w:rFonts w:hint="eastAsia" w:ascii="宋体" w:hAnsi="宋体" w:cs="宋体"/>
                <w:sz w:val="24"/>
              </w:rPr>
              <w:sym w:font="Wingdings 2" w:char="00A3"/>
            </w:r>
            <w:r>
              <w:rPr>
                <w:rFonts w:hint="eastAsia" w:ascii="宋体" w:hAnsi="宋体" w:cs="宋体"/>
                <w:sz w:val="24"/>
              </w:rPr>
              <w:t>是：</w:t>
            </w:r>
          </w:p>
        </w:tc>
        <w:tc>
          <w:tcPr>
            <w:tcW w:w="2179" w:type="dxa"/>
            <w:tcMar>
              <w:top w:w="16" w:type="dxa"/>
              <w:left w:w="16" w:type="dxa"/>
              <w:right w:w="16" w:type="dxa"/>
            </w:tcMar>
            <w:vAlign w:val="center"/>
          </w:tcPr>
          <w:p w14:paraId="27331611">
            <w:pPr>
              <w:adjustRightInd w:val="0"/>
              <w:snapToGrid w:val="0"/>
              <w:jc w:val="center"/>
              <w:rPr>
                <w:spacing w:val="-6"/>
                <w:sz w:val="24"/>
              </w:rPr>
            </w:pPr>
            <w:r>
              <w:rPr>
                <w:rFonts w:hAnsi="宋体"/>
                <w:spacing w:val="-6"/>
                <w:sz w:val="24"/>
              </w:rPr>
              <w:t>用地（用海）</w:t>
            </w:r>
          </w:p>
          <w:p w14:paraId="1096976A">
            <w:pPr>
              <w:adjustRightInd w:val="0"/>
              <w:snapToGrid w:val="0"/>
              <w:jc w:val="center"/>
              <w:rPr>
                <w:rFonts w:ascii="宋体" w:hAnsi="宋体" w:cs="宋体"/>
                <w:sz w:val="24"/>
              </w:rPr>
            </w:pPr>
            <w:r>
              <w:rPr>
                <w:rFonts w:hAnsi="宋体"/>
                <w:spacing w:val="-6"/>
                <w:sz w:val="24"/>
              </w:rPr>
              <w:t>面积（</w:t>
            </w:r>
            <w:r>
              <w:rPr>
                <w:spacing w:val="-6"/>
                <w:sz w:val="24"/>
              </w:rPr>
              <w:t>m</w:t>
            </w:r>
            <w:r>
              <w:rPr>
                <w:spacing w:val="-6"/>
                <w:sz w:val="24"/>
                <w:vertAlign w:val="superscript"/>
              </w:rPr>
              <w:t>2</w:t>
            </w:r>
            <w:r>
              <w:rPr>
                <w:rFonts w:hAnsi="宋体"/>
                <w:spacing w:val="-6"/>
                <w:sz w:val="24"/>
              </w:rPr>
              <w:t>）</w:t>
            </w:r>
          </w:p>
        </w:tc>
        <w:tc>
          <w:tcPr>
            <w:tcW w:w="2735" w:type="dxa"/>
            <w:vAlign w:val="center"/>
          </w:tcPr>
          <w:p w14:paraId="075EFBDB">
            <w:pPr>
              <w:adjustRightInd w:val="0"/>
              <w:snapToGrid w:val="0"/>
              <w:jc w:val="center"/>
              <w:rPr>
                <w:sz w:val="24"/>
              </w:rPr>
            </w:pPr>
            <w:r>
              <w:rPr>
                <w:rFonts w:hint="eastAsia"/>
                <w:sz w:val="24"/>
              </w:rPr>
              <w:t>2400</w:t>
            </w:r>
          </w:p>
        </w:tc>
      </w:tr>
      <w:tr w14:paraId="4A44D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9" w:type="dxa"/>
            <w:vAlign w:val="center"/>
          </w:tcPr>
          <w:p w14:paraId="54584798">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7271" w:type="dxa"/>
            <w:gridSpan w:val="3"/>
            <w:vAlign w:val="center"/>
          </w:tcPr>
          <w:p w14:paraId="13E6C122">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14:paraId="67CAE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99" w:type="dxa"/>
            <w:vAlign w:val="center"/>
          </w:tcPr>
          <w:p w14:paraId="56C1A301">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7271" w:type="dxa"/>
            <w:gridSpan w:val="3"/>
            <w:vAlign w:val="center"/>
          </w:tcPr>
          <w:p w14:paraId="2AD9AA4A">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14:paraId="0AE60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99" w:type="dxa"/>
            <w:vAlign w:val="center"/>
          </w:tcPr>
          <w:p w14:paraId="60D56E4D">
            <w:pPr>
              <w:adjustRightInd w:val="0"/>
              <w:snapToGrid w:val="0"/>
              <w:jc w:val="center"/>
              <w:rPr>
                <w:rFonts w:ascii="宋体" w:hAnsi="宋体" w:cs="宋体"/>
                <w:kern w:val="0"/>
                <w:sz w:val="24"/>
              </w:rPr>
            </w:pPr>
            <w:r>
              <w:rPr>
                <w:rFonts w:hint="eastAsia" w:ascii="宋体" w:hAnsi="宋体" w:cs="宋体"/>
                <w:sz w:val="24"/>
              </w:rPr>
              <w:t>规划环境影响评价情况</w:t>
            </w:r>
          </w:p>
        </w:tc>
        <w:tc>
          <w:tcPr>
            <w:tcW w:w="7271" w:type="dxa"/>
            <w:gridSpan w:val="3"/>
            <w:vAlign w:val="center"/>
          </w:tcPr>
          <w:p w14:paraId="640BB608">
            <w:pPr>
              <w:autoSpaceDE w:val="0"/>
              <w:autoSpaceDN w:val="0"/>
              <w:adjustRightInd w:val="0"/>
              <w:spacing w:line="360" w:lineRule="auto"/>
              <w:jc w:val="center"/>
              <w:rPr>
                <w:sz w:val="24"/>
              </w:rPr>
            </w:pPr>
            <w:r>
              <w:rPr>
                <w:rFonts w:hint="eastAsia"/>
                <w:sz w:val="24"/>
              </w:rPr>
              <w:t>无</w:t>
            </w:r>
          </w:p>
        </w:tc>
      </w:tr>
      <w:tr w14:paraId="6AB01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599" w:type="dxa"/>
            <w:vAlign w:val="center"/>
          </w:tcPr>
          <w:p w14:paraId="34012AD6">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w:t>
            </w:r>
          </w:p>
          <w:p w14:paraId="2BC1F31E">
            <w:pPr>
              <w:autoSpaceDE w:val="0"/>
              <w:autoSpaceDN w:val="0"/>
              <w:adjustRightInd w:val="0"/>
              <w:snapToGrid w:val="0"/>
              <w:jc w:val="center"/>
              <w:rPr>
                <w:rFonts w:ascii="宋体" w:hAnsi="宋体" w:cs="宋体"/>
                <w:kern w:val="0"/>
                <w:sz w:val="24"/>
              </w:rPr>
            </w:pPr>
            <w:r>
              <w:rPr>
                <w:rFonts w:hint="eastAsia" w:ascii="宋体" w:hAnsi="宋体" w:cs="宋体"/>
                <w:kern w:val="0"/>
                <w:sz w:val="24"/>
              </w:rPr>
              <w:t>影响评价符合性分析</w:t>
            </w:r>
          </w:p>
        </w:tc>
        <w:tc>
          <w:tcPr>
            <w:tcW w:w="7271" w:type="dxa"/>
            <w:gridSpan w:val="3"/>
            <w:vAlign w:val="center"/>
          </w:tcPr>
          <w:p w14:paraId="28046FA1">
            <w:pPr>
              <w:adjustRightInd w:val="0"/>
              <w:snapToGrid w:val="0"/>
              <w:spacing w:line="360" w:lineRule="auto"/>
              <w:jc w:val="center"/>
              <w:rPr>
                <w:sz w:val="24"/>
              </w:rPr>
            </w:pPr>
            <w:r>
              <w:rPr>
                <w:rFonts w:hint="eastAsia"/>
                <w:sz w:val="24"/>
              </w:rPr>
              <w:t>无</w:t>
            </w:r>
          </w:p>
        </w:tc>
      </w:tr>
      <w:tr w14:paraId="5EE8C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599" w:type="dxa"/>
            <w:vAlign w:val="center"/>
          </w:tcPr>
          <w:p w14:paraId="2BD6A234">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7271" w:type="dxa"/>
            <w:gridSpan w:val="3"/>
            <w:vAlign w:val="center"/>
          </w:tcPr>
          <w:p w14:paraId="2F23E785">
            <w:pPr>
              <w:spacing w:line="360" w:lineRule="auto"/>
              <w:rPr>
                <w:b/>
                <w:bCs/>
                <w:color w:val="000000"/>
                <w:sz w:val="24"/>
              </w:rPr>
            </w:pPr>
            <w:r>
              <w:rPr>
                <w:rFonts w:hint="eastAsia"/>
                <w:b/>
                <w:bCs/>
                <w:color w:val="000000"/>
                <w:sz w:val="24"/>
              </w:rPr>
              <w:t>1</w:t>
            </w:r>
            <w:r>
              <w:rPr>
                <w:b/>
                <w:bCs/>
                <w:color w:val="000000"/>
                <w:sz w:val="24"/>
              </w:rPr>
              <w:t>、环境影响评价的工作过程</w:t>
            </w:r>
          </w:p>
          <w:p w14:paraId="7A4814A4">
            <w:pPr>
              <w:autoSpaceDE w:val="0"/>
              <w:autoSpaceDN w:val="0"/>
              <w:adjustRightInd w:val="0"/>
              <w:spacing w:line="360" w:lineRule="auto"/>
              <w:ind w:firstLine="480" w:firstLineChars="200"/>
              <w:jc w:val="left"/>
              <w:rPr>
                <w:sz w:val="24"/>
              </w:rPr>
            </w:pPr>
            <w:r>
              <w:rPr>
                <w:sz w:val="24"/>
              </w:rPr>
              <w:t>根据《中华人民共和国环境保护法》（中华人民共和国主席令第9号）、《建设项目环境保护管理条例》，建设过程中或者建成投产后可能对环境产生影响的新建、扩建、改建、迁建、技术改造项目及区域开发建设项目，必须进行环境影响评价。根据《建设项目环境影响评价分类管理名录》（2021版），本项目属于“</w:t>
            </w:r>
            <w:r>
              <w:rPr>
                <w:rFonts w:hint="eastAsia"/>
                <w:sz w:val="24"/>
              </w:rPr>
              <w:t>三十</w:t>
            </w:r>
            <w:r>
              <w:rPr>
                <w:sz w:val="24"/>
              </w:rPr>
              <w:t>、</w:t>
            </w:r>
            <w:r>
              <w:rPr>
                <w:rFonts w:hint="eastAsia"/>
                <w:sz w:val="24"/>
              </w:rPr>
              <w:t>金属制品业    结构性金属制品制造</w:t>
            </w:r>
            <w:r>
              <w:rPr>
                <w:sz w:val="24"/>
              </w:rPr>
              <w:t>331</w:t>
            </w:r>
            <w:r>
              <w:rPr>
                <w:rFonts w:hint="eastAsia"/>
                <w:sz w:val="24"/>
              </w:rPr>
              <w:t>；金属工具制造</w:t>
            </w:r>
            <w:r>
              <w:rPr>
                <w:sz w:val="24"/>
              </w:rPr>
              <w:t>332</w:t>
            </w:r>
            <w:r>
              <w:rPr>
                <w:rFonts w:hint="eastAsia"/>
                <w:sz w:val="24"/>
              </w:rPr>
              <w:t>；集装箱及金属包装容器制造</w:t>
            </w:r>
            <w:r>
              <w:rPr>
                <w:sz w:val="24"/>
              </w:rPr>
              <w:t>333</w:t>
            </w:r>
            <w:r>
              <w:rPr>
                <w:rFonts w:hint="eastAsia"/>
                <w:sz w:val="24"/>
              </w:rPr>
              <w:t>；金属丝绳及其制品制造</w:t>
            </w:r>
            <w:r>
              <w:rPr>
                <w:sz w:val="24"/>
              </w:rPr>
              <w:t>334</w:t>
            </w:r>
            <w:r>
              <w:rPr>
                <w:rFonts w:hint="eastAsia"/>
                <w:sz w:val="24"/>
              </w:rPr>
              <w:t>；建筑、安全用金属制品制造</w:t>
            </w:r>
            <w:r>
              <w:rPr>
                <w:sz w:val="24"/>
              </w:rPr>
              <w:t>335</w:t>
            </w:r>
            <w:r>
              <w:rPr>
                <w:rFonts w:hint="eastAsia"/>
                <w:sz w:val="24"/>
              </w:rPr>
              <w:t>；搪瓷制品制造</w:t>
            </w:r>
            <w:r>
              <w:rPr>
                <w:sz w:val="24"/>
              </w:rPr>
              <w:t>337</w:t>
            </w:r>
            <w:r>
              <w:rPr>
                <w:rFonts w:hint="eastAsia"/>
                <w:sz w:val="24"/>
              </w:rPr>
              <w:t>；金属制日用品制造</w:t>
            </w:r>
            <w:r>
              <w:rPr>
                <w:sz w:val="24"/>
              </w:rPr>
              <w:t>338；---其他（仅分割、组装的除外；年用非溶剂型低VOCs含量涂料10吨以下的除外），本项目年用非溶剂型低VOCs含量涂料</w:t>
            </w:r>
            <w:r>
              <w:rPr>
                <w:rFonts w:hint="eastAsia"/>
                <w:sz w:val="24"/>
              </w:rPr>
              <w:t>（塑粉）10吨以上，</w:t>
            </w:r>
            <w:r>
              <w:rPr>
                <w:sz w:val="24"/>
              </w:rPr>
              <w:t>应编制环境影响报告表。</w:t>
            </w:r>
          </w:p>
          <w:p w14:paraId="6DCE70A9">
            <w:pPr>
              <w:pStyle w:val="5"/>
              <w:jc w:val="left"/>
              <w:rPr>
                <w:b/>
                <w:sz w:val="24"/>
              </w:rPr>
            </w:pPr>
            <w:r>
              <w:rPr>
                <w:rFonts w:hint="eastAsia"/>
                <w:b/>
                <w:sz w:val="24"/>
              </w:rPr>
              <w:t>2</w:t>
            </w:r>
            <w:r>
              <w:rPr>
                <w:b/>
                <w:sz w:val="24"/>
              </w:rPr>
              <w:t>、产业政策符合性</w:t>
            </w:r>
          </w:p>
          <w:p w14:paraId="05B832DB">
            <w:pPr>
              <w:pStyle w:val="5"/>
              <w:ind w:firstLine="480" w:firstLineChars="200"/>
              <w:jc w:val="left"/>
              <w:rPr>
                <w:sz w:val="24"/>
              </w:rPr>
            </w:pPr>
            <w:r>
              <w:rPr>
                <w:sz w:val="24"/>
              </w:rPr>
              <w:t>本项目属于</w:t>
            </w:r>
            <w:r>
              <w:rPr>
                <w:rFonts w:hint="eastAsia"/>
                <w:sz w:val="24"/>
              </w:rPr>
              <w:t>“金属制品业”</w:t>
            </w:r>
            <w:r>
              <w:rPr>
                <w:sz w:val="24"/>
              </w:rPr>
              <w:t>类项目。经查国家发改委第29号令《产业结构调整指导目录（2019年本）》，本项目生产规模及所用工艺、设备均不属于其中的鼓励类，也不在其限制类和</w:t>
            </w:r>
            <w:r>
              <w:rPr>
                <w:rFonts w:hint="eastAsia"/>
                <w:sz w:val="24"/>
              </w:rPr>
              <w:t>淘汰</w:t>
            </w:r>
            <w:r>
              <w:rPr>
                <w:sz w:val="24"/>
              </w:rPr>
              <w:t>类，视为允许类；同时本项目也不属于《市场准入负面清单（202</w:t>
            </w:r>
            <w:r>
              <w:rPr>
                <w:rFonts w:hint="eastAsia"/>
                <w:sz w:val="24"/>
              </w:rPr>
              <w:t>2</w:t>
            </w:r>
            <w:r>
              <w:rPr>
                <w:sz w:val="24"/>
              </w:rPr>
              <w:t>年版）》中禁止准入类和许可准入类项目，因此本项目的建设符合国家产业政策。</w:t>
            </w:r>
          </w:p>
          <w:p w14:paraId="49EFF091">
            <w:pPr>
              <w:pStyle w:val="5"/>
              <w:jc w:val="left"/>
              <w:rPr>
                <w:b/>
                <w:sz w:val="24"/>
              </w:rPr>
            </w:pPr>
            <w:r>
              <w:rPr>
                <w:rFonts w:hint="eastAsia"/>
                <w:b/>
                <w:sz w:val="24"/>
              </w:rPr>
              <w:t>3</w:t>
            </w:r>
            <w:r>
              <w:rPr>
                <w:b/>
                <w:sz w:val="24"/>
              </w:rPr>
              <w:t>、与“三线一单”的相符性</w:t>
            </w:r>
          </w:p>
          <w:p w14:paraId="346814CD">
            <w:pPr>
              <w:pStyle w:val="5"/>
              <w:ind w:firstLine="480" w:firstLineChars="200"/>
              <w:jc w:val="left"/>
              <w:rPr>
                <w:sz w:val="24"/>
              </w:rPr>
            </w:pPr>
            <w:r>
              <w:rPr>
                <w:rFonts w:hint="eastAsia"/>
                <w:sz w:val="24"/>
              </w:rPr>
              <w:t>（1）项目与环境管控单元对照分析</w:t>
            </w:r>
          </w:p>
          <w:p w14:paraId="57C0F302">
            <w:pPr>
              <w:pStyle w:val="5"/>
              <w:ind w:firstLine="480" w:firstLineChars="200"/>
              <w:jc w:val="left"/>
              <w:rPr>
                <w:sz w:val="24"/>
              </w:rPr>
            </w:pPr>
            <w:r>
              <w:rPr>
                <w:rFonts w:hint="eastAsia"/>
                <w:sz w:val="24"/>
              </w:rPr>
              <w:t>根据西安市环境管控单元图（附图6）及陕西省“三线一单”数据应用系统空间冲突附图（附图7），项目位于陕西省西安市鄠邑区余下镇大唐二电厂南侧，属于重点管控单元。</w:t>
            </w:r>
          </w:p>
          <w:p w14:paraId="2C43D4B3">
            <w:pPr>
              <w:pStyle w:val="5"/>
              <w:ind w:firstLine="480" w:firstLineChars="200"/>
              <w:jc w:val="left"/>
              <w:rPr>
                <w:sz w:val="24"/>
              </w:rPr>
            </w:pPr>
            <w:r>
              <w:rPr>
                <w:rFonts w:hint="eastAsia"/>
                <w:sz w:val="24"/>
              </w:rPr>
              <w:t>（2）项目范围涉及的生态环境管控单元准入对照分析</w:t>
            </w:r>
          </w:p>
          <w:p w14:paraId="4C2BFBCD">
            <w:pPr>
              <w:pStyle w:val="5"/>
              <w:ind w:firstLine="480" w:firstLineChars="200"/>
              <w:jc w:val="left"/>
              <w:rPr>
                <w:sz w:val="24"/>
              </w:rPr>
            </w:pPr>
            <w:r>
              <w:rPr>
                <w:sz w:val="24"/>
              </w:rPr>
              <w:t>根据《陕西省人民政府关于加快实施“三线一单”生态环境分区管控的意见》（陕政发〔2020〕11号）和</w:t>
            </w:r>
            <w:r>
              <w:rPr>
                <w:rFonts w:hint="eastAsia"/>
                <w:color w:val="000000" w:themeColor="text1"/>
                <w:sz w:val="24"/>
                <w14:textFill>
                  <w14:solidFill>
                    <w14:schemeClr w14:val="tx1"/>
                  </w14:solidFill>
                </w14:textFill>
              </w:rPr>
              <w:t>《西安市人民政府关于印发“三线一单”生态环境分区管控方案的通知》（市政发[2021]22号）、《陕西省国家重点生态功能区产业准入负面清单（试行）》、《陕西省生态保护红线划定方案》的符合性分析，</w:t>
            </w:r>
            <w:r>
              <w:rPr>
                <w:sz w:val="24"/>
              </w:rPr>
              <w:t>本项目“三线一单”符合情况见表</w:t>
            </w:r>
            <w:r>
              <w:rPr>
                <w:rFonts w:hint="eastAsia"/>
                <w:sz w:val="24"/>
              </w:rPr>
              <w:t>1</w:t>
            </w:r>
            <w:r>
              <w:rPr>
                <w:sz w:val="24"/>
              </w:rPr>
              <w:t>。</w:t>
            </w:r>
          </w:p>
          <w:p w14:paraId="772CE27C">
            <w:pPr>
              <w:numPr>
                <w:ilvl w:val="0"/>
                <w:numId w:val="1"/>
              </w:numPr>
              <w:adjustRightInd w:val="0"/>
              <w:snapToGrid w:val="0"/>
              <w:jc w:val="center"/>
              <w:rPr>
                <w:b/>
                <w:szCs w:val="21"/>
              </w:rPr>
            </w:pPr>
            <w:r>
              <w:rPr>
                <w:rFonts w:hint="eastAsia"/>
                <w:b/>
                <w:szCs w:val="21"/>
              </w:rPr>
              <w:t xml:space="preserve">    本项目与“三线一单”的符合性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5373"/>
              <w:gridCol w:w="820"/>
            </w:tblGrid>
            <w:tr w14:paraId="761A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 w:hRule="atLeast"/>
                <w:jc w:val="center"/>
              </w:trPr>
              <w:tc>
                <w:tcPr>
                  <w:tcW w:w="605" w:type="pct"/>
                  <w:vAlign w:val="center"/>
                </w:tcPr>
                <w:p w14:paraId="5B7EDDC6">
                  <w:pPr>
                    <w:tabs>
                      <w:tab w:val="left" w:pos="1044"/>
                    </w:tabs>
                    <w:wordWrap w:val="0"/>
                    <w:adjustRightInd w:val="0"/>
                    <w:snapToGrid w:val="0"/>
                    <w:jc w:val="center"/>
                    <w:outlineLvl w:val="3"/>
                    <w:rPr>
                      <w:szCs w:val="21"/>
                    </w:rPr>
                  </w:pPr>
                  <w:r>
                    <w:rPr>
                      <w:szCs w:val="21"/>
                    </w:rPr>
                    <w:t>“三线一单”</w:t>
                  </w:r>
                </w:p>
              </w:tc>
              <w:tc>
                <w:tcPr>
                  <w:tcW w:w="3813" w:type="pct"/>
                  <w:vAlign w:val="center"/>
                </w:tcPr>
                <w:p w14:paraId="298025E6">
                  <w:pPr>
                    <w:tabs>
                      <w:tab w:val="left" w:pos="1044"/>
                    </w:tabs>
                    <w:wordWrap w:val="0"/>
                    <w:adjustRightInd w:val="0"/>
                    <w:snapToGrid w:val="0"/>
                    <w:jc w:val="center"/>
                    <w:outlineLvl w:val="3"/>
                    <w:rPr>
                      <w:szCs w:val="21"/>
                    </w:rPr>
                  </w:pPr>
                  <w:r>
                    <w:rPr>
                      <w:szCs w:val="21"/>
                    </w:rPr>
                    <w:t>项目符合性分析</w:t>
                  </w:r>
                </w:p>
              </w:tc>
              <w:tc>
                <w:tcPr>
                  <w:tcW w:w="582" w:type="pct"/>
                  <w:vAlign w:val="center"/>
                </w:tcPr>
                <w:p w14:paraId="7B1F4CF9">
                  <w:pPr>
                    <w:tabs>
                      <w:tab w:val="left" w:pos="1044"/>
                    </w:tabs>
                    <w:wordWrap w:val="0"/>
                    <w:adjustRightInd w:val="0"/>
                    <w:snapToGrid w:val="0"/>
                    <w:jc w:val="center"/>
                    <w:outlineLvl w:val="3"/>
                    <w:rPr>
                      <w:szCs w:val="21"/>
                    </w:rPr>
                  </w:pPr>
                  <w:r>
                    <w:rPr>
                      <w:szCs w:val="21"/>
                    </w:rPr>
                    <w:t>符合性</w:t>
                  </w:r>
                </w:p>
              </w:tc>
            </w:tr>
            <w:tr w14:paraId="1528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Align w:val="center"/>
                </w:tcPr>
                <w:p w14:paraId="41EEBE21">
                  <w:pPr>
                    <w:tabs>
                      <w:tab w:val="left" w:pos="1044"/>
                    </w:tabs>
                    <w:wordWrap w:val="0"/>
                    <w:adjustRightInd w:val="0"/>
                    <w:snapToGrid w:val="0"/>
                    <w:jc w:val="center"/>
                    <w:outlineLvl w:val="3"/>
                    <w:rPr>
                      <w:szCs w:val="21"/>
                    </w:rPr>
                  </w:pPr>
                  <w:r>
                    <w:rPr>
                      <w:szCs w:val="21"/>
                    </w:rPr>
                    <w:t>生态保护红线</w:t>
                  </w:r>
                </w:p>
              </w:tc>
              <w:tc>
                <w:tcPr>
                  <w:tcW w:w="3813" w:type="pct"/>
                  <w:vAlign w:val="center"/>
                </w:tcPr>
                <w:p w14:paraId="3ED6EA41">
                  <w:pPr>
                    <w:tabs>
                      <w:tab w:val="left" w:pos="1044"/>
                    </w:tabs>
                    <w:wordWrap w:val="0"/>
                    <w:adjustRightInd w:val="0"/>
                    <w:snapToGrid w:val="0"/>
                    <w:jc w:val="center"/>
                    <w:outlineLvl w:val="3"/>
                    <w:rPr>
                      <w:szCs w:val="21"/>
                    </w:rPr>
                  </w:pPr>
                  <w:r>
                    <w:rPr>
                      <w:color w:val="000000" w:themeColor="text1"/>
                      <w:szCs w:val="21"/>
                      <w14:textFill>
                        <w14:solidFill>
                          <w14:schemeClr w14:val="tx1"/>
                        </w14:solidFill>
                      </w14:textFill>
                    </w:rPr>
                    <w:t>项目所在地及周边无天然林及珍稀植被；区域内生物多样性程度低，无珍稀动物。根据《陕西省生态保护红线划定方案》，项目建设不涉及生态红线区域，本项目符合陕西省生态保护红线划定方案的相关要求。</w:t>
                  </w:r>
                </w:p>
              </w:tc>
              <w:tc>
                <w:tcPr>
                  <w:tcW w:w="582" w:type="pct"/>
                  <w:vAlign w:val="center"/>
                </w:tcPr>
                <w:p w14:paraId="66881ABE">
                  <w:pPr>
                    <w:tabs>
                      <w:tab w:val="left" w:pos="1044"/>
                    </w:tabs>
                    <w:wordWrap w:val="0"/>
                    <w:adjustRightInd w:val="0"/>
                    <w:snapToGrid w:val="0"/>
                    <w:jc w:val="center"/>
                    <w:outlineLvl w:val="3"/>
                    <w:rPr>
                      <w:szCs w:val="21"/>
                    </w:rPr>
                  </w:pPr>
                  <w:r>
                    <w:rPr>
                      <w:szCs w:val="21"/>
                    </w:rPr>
                    <w:t>符合</w:t>
                  </w:r>
                </w:p>
              </w:tc>
            </w:tr>
            <w:tr w14:paraId="7FD7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Align w:val="center"/>
                </w:tcPr>
                <w:p w14:paraId="5853E9F8">
                  <w:pPr>
                    <w:tabs>
                      <w:tab w:val="left" w:pos="1044"/>
                    </w:tabs>
                    <w:wordWrap w:val="0"/>
                    <w:adjustRightInd w:val="0"/>
                    <w:snapToGrid w:val="0"/>
                    <w:jc w:val="center"/>
                    <w:outlineLvl w:val="3"/>
                    <w:rPr>
                      <w:szCs w:val="21"/>
                    </w:rPr>
                  </w:pPr>
                  <w:r>
                    <w:rPr>
                      <w:szCs w:val="21"/>
                    </w:rPr>
                    <w:t>环境质量底线</w:t>
                  </w:r>
                </w:p>
              </w:tc>
              <w:tc>
                <w:tcPr>
                  <w:tcW w:w="3813" w:type="pct"/>
                  <w:vAlign w:val="center"/>
                </w:tcPr>
                <w:p w14:paraId="72B196F0">
                  <w:pPr>
                    <w:tabs>
                      <w:tab w:val="left" w:pos="1044"/>
                    </w:tabs>
                    <w:wordWrap w:val="0"/>
                    <w:adjustRightInd w:val="0"/>
                    <w:snapToGrid w:val="0"/>
                    <w:jc w:val="center"/>
                    <w:outlineLvl w:val="3"/>
                    <w:rPr>
                      <w:szCs w:val="21"/>
                    </w:rPr>
                  </w:pPr>
                  <w:r>
                    <w:rPr>
                      <w:color w:val="000000" w:themeColor="text1"/>
                      <w:szCs w:val="21"/>
                      <w14:textFill>
                        <w14:solidFill>
                          <w14:schemeClr w14:val="tx1"/>
                        </w14:solidFill>
                      </w14:textFill>
                    </w:rPr>
                    <w:t>本项目评价范围内环境质量现状良好，项目实施后产生的废气、噪声等虽然对大气环境、声环境造成一定的负面影响，但对其影响程度很小，不会改变环境功能区，能够符合环境质量底线。</w:t>
                  </w:r>
                </w:p>
              </w:tc>
              <w:tc>
                <w:tcPr>
                  <w:tcW w:w="582" w:type="pct"/>
                  <w:vAlign w:val="center"/>
                </w:tcPr>
                <w:p w14:paraId="37404A1C">
                  <w:pPr>
                    <w:tabs>
                      <w:tab w:val="left" w:pos="1044"/>
                    </w:tabs>
                    <w:wordWrap w:val="0"/>
                    <w:adjustRightInd w:val="0"/>
                    <w:snapToGrid w:val="0"/>
                    <w:jc w:val="center"/>
                    <w:outlineLvl w:val="3"/>
                    <w:rPr>
                      <w:szCs w:val="21"/>
                    </w:rPr>
                  </w:pPr>
                  <w:r>
                    <w:rPr>
                      <w:szCs w:val="21"/>
                    </w:rPr>
                    <w:t>符合</w:t>
                  </w:r>
                </w:p>
              </w:tc>
            </w:tr>
            <w:tr w14:paraId="0A0D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Align w:val="center"/>
                </w:tcPr>
                <w:p w14:paraId="475CD077">
                  <w:pPr>
                    <w:tabs>
                      <w:tab w:val="left" w:pos="1044"/>
                    </w:tabs>
                    <w:wordWrap w:val="0"/>
                    <w:adjustRightInd w:val="0"/>
                    <w:snapToGrid w:val="0"/>
                    <w:jc w:val="center"/>
                    <w:outlineLvl w:val="3"/>
                    <w:rPr>
                      <w:szCs w:val="21"/>
                    </w:rPr>
                  </w:pPr>
                  <w:r>
                    <w:rPr>
                      <w:szCs w:val="21"/>
                    </w:rPr>
                    <w:t>资源利用上线</w:t>
                  </w:r>
                </w:p>
              </w:tc>
              <w:tc>
                <w:tcPr>
                  <w:tcW w:w="3813" w:type="pct"/>
                  <w:vAlign w:val="center"/>
                </w:tcPr>
                <w:p w14:paraId="0B00F9C7">
                  <w:pPr>
                    <w:tabs>
                      <w:tab w:val="left" w:pos="1044"/>
                    </w:tabs>
                    <w:wordWrap w:val="0"/>
                    <w:adjustRightInd w:val="0"/>
                    <w:snapToGrid w:val="0"/>
                    <w:jc w:val="center"/>
                    <w:outlineLvl w:val="3"/>
                    <w:rPr>
                      <w:szCs w:val="21"/>
                    </w:rPr>
                  </w:pPr>
                  <w:r>
                    <w:rPr>
                      <w:color w:val="000000" w:themeColor="text1"/>
                      <w:szCs w:val="21"/>
                      <w14:textFill>
                        <w14:solidFill>
                          <w14:schemeClr w14:val="tx1"/>
                        </w14:solidFill>
                      </w14:textFill>
                    </w:rPr>
                    <w:t>本项目不属于高耗能</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高污染的生产企业，项目总体耗能较小，且用水、电、燃气等资源不会突破区域的资源利用上线。</w:t>
                  </w:r>
                </w:p>
              </w:tc>
              <w:tc>
                <w:tcPr>
                  <w:tcW w:w="582" w:type="pct"/>
                  <w:vAlign w:val="center"/>
                </w:tcPr>
                <w:p w14:paraId="051F49AF">
                  <w:pPr>
                    <w:tabs>
                      <w:tab w:val="left" w:pos="1044"/>
                    </w:tabs>
                    <w:wordWrap w:val="0"/>
                    <w:adjustRightInd w:val="0"/>
                    <w:snapToGrid w:val="0"/>
                    <w:jc w:val="center"/>
                    <w:outlineLvl w:val="3"/>
                    <w:rPr>
                      <w:szCs w:val="21"/>
                    </w:rPr>
                  </w:pPr>
                  <w:r>
                    <w:rPr>
                      <w:szCs w:val="21"/>
                    </w:rPr>
                    <w:t>符合</w:t>
                  </w:r>
                </w:p>
              </w:tc>
            </w:tr>
            <w:tr w14:paraId="70C4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Align w:val="center"/>
                </w:tcPr>
                <w:p w14:paraId="153E1DD2">
                  <w:pPr>
                    <w:tabs>
                      <w:tab w:val="left" w:pos="1044"/>
                    </w:tabs>
                    <w:adjustRightInd w:val="0"/>
                    <w:snapToGrid w:val="0"/>
                    <w:jc w:val="center"/>
                    <w:outlineLvl w:val="3"/>
                    <w:rPr>
                      <w:szCs w:val="21"/>
                    </w:rPr>
                  </w:pPr>
                  <w:r>
                    <w:rPr>
                      <w:szCs w:val="21"/>
                    </w:rPr>
                    <w:t>环境准入负面清单</w:t>
                  </w:r>
                </w:p>
              </w:tc>
              <w:tc>
                <w:tcPr>
                  <w:tcW w:w="3813" w:type="pct"/>
                  <w:vAlign w:val="center"/>
                </w:tcPr>
                <w:p w14:paraId="1BB126E6">
                  <w:pPr>
                    <w:tabs>
                      <w:tab w:val="left" w:pos="1044"/>
                    </w:tabs>
                    <w:wordWrap w:val="0"/>
                    <w:adjustRightInd w:val="0"/>
                    <w:snapToGrid w:val="0"/>
                    <w:jc w:val="center"/>
                    <w:outlineLvl w:val="3"/>
                    <w:rPr>
                      <w:szCs w:val="21"/>
                    </w:rPr>
                  </w:pPr>
                  <w:r>
                    <w:rPr>
                      <w:szCs w:val="21"/>
                    </w:rPr>
                    <w:t>对照《市场准入负面清单（20</w:t>
                  </w:r>
                  <w:r>
                    <w:rPr>
                      <w:rFonts w:hint="eastAsia"/>
                      <w:szCs w:val="21"/>
                    </w:rPr>
                    <w:t>22</w:t>
                  </w:r>
                  <w:r>
                    <w:rPr>
                      <w:szCs w:val="21"/>
                    </w:rPr>
                    <w:t>版）》，本项目未列入市场准入负面清单。根据《陕西省限制投资类产业指导目录》（陕发改产业[2007]97号），本项目不属于限制类项目。</w:t>
                  </w:r>
                </w:p>
              </w:tc>
              <w:tc>
                <w:tcPr>
                  <w:tcW w:w="582" w:type="pct"/>
                  <w:vAlign w:val="center"/>
                </w:tcPr>
                <w:p w14:paraId="5E4EB3A7">
                  <w:pPr>
                    <w:tabs>
                      <w:tab w:val="left" w:pos="1044"/>
                    </w:tabs>
                    <w:wordWrap w:val="0"/>
                    <w:adjustRightInd w:val="0"/>
                    <w:snapToGrid w:val="0"/>
                    <w:jc w:val="center"/>
                    <w:outlineLvl w:val="3"/>
                    <w:rPr>
                      <w:szCs w:val="21"/>
                    </w:rPr>
                  </w:pPr>
                  <w:r>
                    <w:rPr>
                      <w:szCs w:val="21"/>
                    </w:rPr>
                    <w:t>符合</w:t>
                  </w:r>
                </w:p>
              </w:tc>
            </w:tr>
            <w:tr w14:paraId="08F5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vAlign w:val="center"/>
                </w:tcPr>
                <w:p w14:paraId="3361CC15">
                  <w:pPr>
                    <w:tabs>
                      <w:tab w:val="left" w:pos="1044"/>
                    </w:tabs>
                    <w:wordWrap w:val="0"/>
                    <w:adjustRightInd w:val="0"/>
                    <w:snapToGrid w:val="0"/>
                    <w:jc w:val="center"/>
                    <w:outlineLvl w:val="3"/>
                    <w:rPr>
                      <w:szCs w:val="21"/>
                    </w:rPr>
                  </w:pPr>
                  <w:r>
                    <w:rPr>
                      <w:rFonts w:hint="eastAsia"/>
                      <w:szCs w:val="21"/>
                    </w:rPr>
                    <w:t>《西安市人民政府关于印发“三线一单”生态环境分区管控方案的通知》（市政发[2021]22号）</w:t>
                  </w:r>
                </w:p>
              </w:tc>
            </w:tr>
            <w:tr w14:paraId="7BA8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Align w:val="center"/>
                </w:tcPr>
                <w:p w14:paraId="434D97D4">
                  <w:pPr>
                    <w:pStyle w:val="73"/>
                    <w:rPr>
                      <w:rFonts w:eastAsia="宋体" w:cs="Times New Roman"/>
                      <w:color w:val="000000" w:themeColor="text1"/>
                      <w:szCs w:val="21"/>
                      <w14:textFill>
                        <w14:solidFill>
                          <w14:schemeClr w14:val="tx1"/>
                        </w14:solidFill>
                      </w14:textFill>
                    </w:rPr>
                  </w:pPr>
                  <w:r>
                    <w:rPr>
                      <w:rFonts w:eastAsia="宋体" w:cs="Times New Roman"/>
                      <w:color w:val="000000" w:themeColor="text1"/>
                      <w:szCs w:val="21"/>
                      <w14:textFill>
                        <w14:solidFill>
                          <w14:schemeClr w14:val="tx1"/>
                        </w14:solidFill>
                      </w14:textFill>
                    </w:rPr>
                    <w:t>生态环境分区管控要求</w:t>
                  </w:r>
                </w:p>
              </w:tc>
              <w:tc>
                <w:tcPr>
                  <w:tcW w:w="3813" w:type="pct"/>
                  <w:vAlign w:val="center"/>
                </w:tcPr>
                <w:p w14:paraId="7C35164E">
                  <w:pPr>
                    <w:pStyle w:val="73"/>
                    <w:rPr>
                      <w:rFonts w:eastAsia="宋体" w:cs="Times New Roman"/>
                      <w:color w:val="000000" w:themeColor="text1"/>
                      <w:szCs w:val="21"/>
                      <w14:textFill>
                        <w14:solidFill>
                          <w14:schemeClr w14:val="tx1"/>
                        </w14:solidFill>
                      </w14:textFill>
                    </w:rPr>
                  </w:pPr>
                  <w:r>
                    <w:rPr>
                      <w:rFonts w:eastAsia="宋体" w:cs="Times New Roman"/>
                      <w:color w:val="000000" w:themeColor="text1"/>
                      <w:szCs w:val="21"/>
                      <w14:textFill>
                        <w14:solidFill>
                          <w14:schemeClr w14:val="tx1"/>
                        </w14:solidFill>
                      </w14:textFill>
                    </w:rPr>
                    <w:t>根据《西安市“三线一单”生态环境分区管控方案》</w:t>
                  </w:r>
                  <w:r>
                    <w:rPr>
                      <w:rFonts w:hint="eastAsia" w:eastAsia="宋体" w:cs="Times New Roman"/>
                      <w:color w:val="000000" w:themeColor="text1"/>
                      <w:szCs w:val="21"/>
                      <w14:textFill>
                        <w14:solidFill>
                          <w14:schemeClr w14:val="tx1"/>
                        </w14:solidFill>
                      </w14:textFill>
                    </w:rPr>
                    <w:t>、本项目与西安市生态环境管控单元分布图（见附图6）</w:t>
                  </w:r>
                  <w:r>
                    <w:rPr>
                      <w:rFonts w:eastAsia="宋体" w:cs="Times New Roman"/>
                      <w:color w:val="000000" w:themeColor="text1"/>
                      <w:szCs w:val="21"/>
                      <w14:textFill>
                        <w14:solidFill>
                          <w14:schemeClr w14:val="tx1"/>
                        </w14:solidFill>
                      </w14:textFill>
                    </w:rPr>
                    <w:t>可知，本项目位于重点管控单元。</w:t>
                  </w:r>
                  <w:r>
                    <w:rPr>
                      <w:rFonts w:hint="eastAsia" w:eastAsia="宋体" w:cs="Times New Roman"/>
                      <w:color w:val="000000" w:themeColor="text1"/>
                      <w:szCs w:val="21"/>
                      <w14:textFill>
                        <w14:solidFill>
                          <w14:schemeClr w14:val="tx1"/>
                        </w14:solidFill>
                      </w14:textFill>
                    </w:rPr>
                    <w:t>重点管控单元应优化空间布局和产业布局，结合生态环境质量达标情况以及经济社会发展水平等，按照差别化的生态环境入要求，加强污染物排放控制和环境风险防控，不断提升资源利用效率，稳步改善生态环境质量。</w:t>
                  </w:r>
                  <w:r>
                    <w:rPr>
                      <w:rFonts w:eastAsia="宋体" w:cs="Times New Roman"/>
                      <w:color w:val="000000" w:themeColor="text1"/>
                      <w:szCs w:val="21"/>
                      <w14:textFill>
                        <w14:solidFill>
                          <w14:schemeClr w14:val="tx1"/>
                        </w14:solidFill>
                      </w14:textFill>
                    </w:rPr>
                    <w:t>本项目产生的可回收利用的固体废物均外售处置，提高了资源利用率；产生的各项污染物均能得到合理的处理与处置，做到达标排放；项目环境风险物质仅为油类物质，不存在重大风险源，发生环境风险很小。综上，本项目符合生态环境分区管控的要求。</w:t>
                  </w:r>
                </w:p>
              </w:tc>
              <w:tc>
                <w:tcPr>
                  <w:tcW w:w="582" w:type="pct"/>
                  <w:vAlign w:val="center"/>
                </w:tcPr>
                <w:p w14:paraId="37702F2E">
                  <w:pPr>
                    <w:tabs>
                      <w:tab w:val="left" w:pos="1044"/>
                    </w:tabs>
                    <w:wordWrap w:val="0"/>
                    <w:adjustRightInd w:val="0"/>
                    <w:snapToGrid w:val="0"/>
                    <w:jc w:val="center"/>
                    <w:outlineLvl w:val="3"/>
                    <w:rPr>
                      <w:szCs w:val="21"/>
                    </w:rPr>
                  </w:pPr>
                  <w:r>
                    <w:rPr>
                      <w:rFonts w:hint="eastAsia"/>
                      <w:szCs w:val="21"/>
                    </w:rPr>
                    <w:t>符合</w:t>
                  </w:r>
                </w:p>
              </w:tc>
            </w:tr>
          </w:tbl>
          <w:p w14:paraId="3B1FC7FE">
            <w:pPr>
              <w:keepNext/>
              <w:keepLines/>
              <w:spacing w:line="360" w:lineRule="auto"/>
              <w:ind w:left="34" w:leftChars="16" w:firstLine="424" w:firstLineChars="177"/>
              <w:rPr>
                <w:sz w:val="24"/>
              </w:rPr>
            </w:pPr>
            <w:r>
              <w:rPr>
                <w:sz w:val="24"/>
              </w:rPr>
              <w:t>根据陕西省“三线一单”生态环境分区管控应用技术指南：环境影响评价（试行）》的通知陕政办发[2022〕76号，本项目范围涉及的生态环境管控单元准入清单情况见表2。</w:t>
            </w:r>
          </w:p>
          <w:p w14:paraId="36FB6316">
            <w:pPr>
              <w:widowControl/>
              <w:numPr>
                <w:ilvl w:val="0"/>
                <w:numId w:val="1"/>
              </w:numPr>
              <w:adjustRightInd w:val="0"/>
              <w:snapToGrid w:val="0"/>
              <w:ind w:left="0" w:firstLine="0"/>
              <w:jc w:val="center"/>
              <w:rPr>
                <w:b/>
                <w:szCs w:val="21"/>
              </w:rPr>
            </w:pPr>
            <w:r>
              <w:rPr>
                <w:rFonts w:hint="eastAsia"/>
                <w:b/>
                <w:bCs/>
                <w:szCs w:val="21"/>
              </w:rPr>
              <w:t xml:space="preserve">    陕西诚顺翔电器设备有限责任公司城市道路设施及建筑安全设施生产项目</w:t>
            </w:r>
            <w:r>
              <w:rPr>
                <w:b/>
                <w:bCs/>
                <w:szCs w:val="21"/>
              </w:rPr>
              <w:t>范围涉及的生态环境管控单元准入清单</w:t>
            </w:r>
          </w:p>
          <w:tbl>
            <w:tblPr>
              <w:tblStyle w:val="19"/>
              <w:tblW w:w="7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6"/>
              <w:gridCol w:w="635"/>
              <w:gridCol w:w="426"/>
              <w:gridCol w:w="426"/>
              <w:gridCol w:w="426"/>
              <w:gridCol w:w="426"/>
              <w:gridCol w:w="1637"/>
              <w:gridCol w:w="1371"/>
              <w:gridCol w:w="426"/>
            </w:tblGrid>
            <w:tr w14:paraId="465B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B8F7D0E">
                  <w:pPr>
                    <w:jc w:val="center"/>
                    <w:rPr>
                      <w:szCs w:val="21"/>
                    </w:rPr>
                  </w:pPr>
                  <w:r>
                    <w:rPr>
                      <w:szCs w:val="21"/>
                    </w:rPr>
                    <w:t>序号</w:t>
                  </w:r>
                </w:p>
              </w:tc>
              <w:tc>
                <w:tcPr>
                  <w:tcW w:w="846" w:type="dxa"/>
                  <w:vAlign w:val="center"/>
                </w:tcPr>
                <w:p w14:paraId="2E271C8C">
                  <w:pPr>
                    <w:jc w:val="center"/>
                    <w:rPr>
                      <w:szCs w:val="21"/>
                    </w:rPr>
                  </w:pPr>
                  <w:r>
                    <w:rPr>
                      <w:szCs w:val="21"/>
                    </w:rPr>
                    <w:t>市（区）</w:t>
                  </w:r>
                </w:p>
              </w:tc>
              <w:tc>
                <w:tcPr>
                  <w:tcW w:w="635" w:type="dxa"/>
                  <w:vAlign w:val="center"/>
                </w:tcPr>
                <w:p w14:paraId="7493E2A7">
                  <w:pPr>
                    <w:jc w:val="center"/>
                    <w:rPr>
                      <w:szCs w:val="21"/>
                    </w:rPr>
                  </w:pPr>
                  <w:r>
                    <w:rPr>
                      <w:szCs w:val="21"/>
                    </w:rPr>
                    <w:t>区县</w:t>
                  </w:r>
                </w:p>
              </w:tc>
              <w:tc>
                <w:tcPr>
                  <w:tcW w:w="426" w:type="dxa"/>
                  <w:vAlign w:val="center"/>
                </w:tcPr>
                <w:p w14:paraId="242FC3FE">
                  <w:pPr>
                    <w:jc w:val="center"/>
                    <w:rPr>
                      <w:szCs w:val="21"/>
                    </w:rPr>
                  </w:pPr>
                  <w:r>
                    <w:rPr>
                      <w:szCs w:val="21"/>
                    </w:rPr>
                    <w:t>环境管控单元名称</w:t>
                  </w:r>
                </w:p>
              </w:tc>
              <w:tc>
                <w:tcPr>
                  <w:tcW w:w="426" w:type="dxa"/>
                  <w:vAlign w:val="center"/>
                </w:tcPr>
                <w:p w14:paraId="48DE51BF">
                  <w:pPr>
                    <w:jc w:val="center"/>
                    <w:rPr>
                      <w:szCs w:val="21"/>
                    </w:rPr>
                  </w:pPr>
                  <w:r>
                    <w:rPr>
                      <w:szCs w:val="21"/>
                    </w:rPr>
                    <w:t>单元要素属性</w:t>
                  </w:r>
                </w:p>
              </w:tc>
              <w:tc>
                <w:tcPr>
                  <w:tcW w:w="426" w:type="dxa"/>
                  <w:vAlign w:val="center"/>
                </w:tcPr>
                <w:p w14:paraId="25EC8E5A">
                  <w:pPr>
                    <w:jc w:val="center"/>
                    <w:rPr>
                      <w:szCs w:val="21"/>
                    </w:rPr>
                  </w:pPr>
                  <w:r>
                    <w:rPr>
                      <w:szCs w:val="21"/>
                    </w:rPr>
                    <w:t>管控单元分类</w:t>
                  </w:r>
                </w:p>
              </w:tc>
              <w:tc>
                <w:tcPr>
                  <w:tcW w:w="2063" w:type="dxa"/>
                  <w:gridSpan w:val="2"/>
                  <w:vAlign w:val="center"/>
                </w:tcPr>
                <w:p w14:paraId="36866F01">
                  <w:pPr>
                    <w:jc w:val="center"/>
                    <w:rPr>
                      <w:szCs w:val="21"/>
                    </w:rPr>
                  </w:pPr>
                  <w:r>
                    <w:rPr>
                      <w:szCs w:val="21"/>
                    </w:rPr>
                    <w:t>管控要求</w:t>
                  </w:r>
                </w:p>
              </w:tc>
              <w:tc>
                <w:tcPr>
                  <w:tcW w:w="1371" w:type="dxa"/>
                  <w:vAlign w:val="center"/>
                </w:tcPr>
                <w:p w14:paraId="6167F2A8">
                  <w:pPr>
                    <w:jc w:val="center"/>
                    <w:rPr>
                      <w:szCs w:val="21"/>
                    </w:rPr>
                  </w:pPr>
                  <w:r>
                    <w:rPr>
                      <w:szCs w:val="21"/>
                    </w:rPr>
                    <w:t>建设项目符合性的分析</w:t>
                  </w:r>
                </w:p>
              </w:tc>
              <w:tc>
                <w:tcPr>
                  <w:tcW w:w="426" w:type="dxa"/>
                  <w:vAlign w:val="center"/>
                </w:tcPr>
                <w:p w14:paraId="6B22AB4A">
                  <w:pPr>
                    <w:jc w:val="center"/>
                    <w:rPr>
                      <w:szCs w:val="21"/>
                    </w:rPr>
                  </w:pPr>
                  <w:r>
                    <w:rPr>
                      <w:szCs w:val="21"/>
                    </w:rPr>
                    <w:t>是否符合</w:t>
                  </w:r>
                </w:p>
              </w:tc>
            </w:tr>
            <w:tr w14:paraId="67DA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426" w:type="dxa"/>
                  <w:vMerge w:val="restart"/>
                  <w:vAlign w:val="center"/>
                </w:tcPr>
                <w:p w14:paraId="01204871">
                  <w:pPr>
                    <w:jc w:val="center"/>
                    <w:rPr>
                      <w:szCs w:val="21"/>
                    </w:rPr>
                  </w:pPr>
                  <w:r>
                    <w:rPr>
                      <w:szCs w:val="21"/>
                    </w:rPr>
                    <w:t>1</w:t>
                  </w:r>
                </w:p>
              </w:tc>
              <w:tc>
                <w:tcPr>
                  <w:tcW w:w="846" w:type="dxa"/>
                  <w:vMerge w:val="restart"/>
                  <w:vAlign w:val="center"/>
                </w:tcPr>
                <w:p w14:paraId="38B77B33">
                  <w:pPr>
                    <w:wordWrap w:val="0"/>
                    <w:jc w:val="center"/>
                    <w:rPr>
                      <w:szCs w:val="21"/>
                    </w:rPr>
                  </w:pPr>
                  <w:r>
                    <w:rPr>
                      <w:rFonts w:hint="eastAsia"/>
                      <w:szCs w:val="21"/>
                    </w:rPr>
                    <w:t>西安</w:t>
                  </w:r>
                  <w:r>
                    <w:rPr>
                      <w:szCs w:val="21"/>
                    </w:rPr>
                    <w:t>市</w:t>
                  </w:r>
                </w:p>
              </w:tc>
              <w:tc>
                <w:tcPr>
                  <w:tcW w:w="635" w:type="dxa"/>
                  <w:vMerge w:val="restart"/>
                  <w:vAlign w:val="center"/>
                </w:tcPr>
                <w:p w14:paraId="14B3A105">
                  <w:pPr>
                    <w:wordWrap w:val="0"/>
                    <w:jc w:val="center"/>
                    <w:rPr>
                      <w:szCs w:val="21"/>
                    </w:rPr>
                  </w:pPr>
                  <w:r>
                    <w:rPr>
                      <w:rFonts w:hint="eastAsia"/>
                      <w:szCs w:val="21"/>
                    </w:rPr>
                    <w:t>鄠邑</w:t>
                  </w:r>
                  <w:r>
                    <w:rPr>
                      <w:szCs w:val="21"/>
                    </w:rPr>
                    <w:t>区</w:t>
                  </w:r>
                </w:p>
              </w:tc>
              <w:tc>
                <w:tcPr>
                  <w:tcW w:w="426" w:type="dxa"/>
                  <w:vMerge w:val="restart"/>
                  <w:vAlign w:val="center"/>
                </w:tcPr>
                <w:p w14:paraId="0E0EC2DE">
                  <w:pPr>
                    <w:wordWrap w:val="0"/>
                    <w:jc w:val="center"/>
                    <w:rPr>
                      <w:szCs w:val="21"/>
                    </w:rPr>
                  </w:pPr>
                  <w:r>
                    <w:rPr>
                      <w:rFonts w:hint="eastAsia"/>
                      <w:szCs w:val="21"/>
                    </w:rPr>
                    <w:t>西安</w:t>
                  </w:r>
                  <w:r>
                    <w:rPr>
                      <w:szCs w:val="21"/>
                    </w:rPr>
                    <w:t>市管控单元</w:t>
                  </w:r>
                </w:p>
              </w:tc>
              <w:tc>
                <w:tcPr>
                  <w:tcW w:w="426" w:type="dxa"/>
                  <w:vMerge w:val="restart"/>
                  <w:vAlign w:val="center"/>
                </w:tcPr>
                <w:p w14:paraId="50DDF3FF">
                  <w:pPr>
                    <w:wordWrap w:val="0"/>
                    <w:jc w:val="center"/>
                    <w:rPr>
                      <w:szCs w:val="21"/>
                    </w:rPr>
                  </w:pPr>
                  <w:r>
                    <w:rPr>
                      <w:rFonts w:hint="eastAsia"/>
                      <w:szCs w:val="21"/>
                    </w:rPr>
                    <w:t>西安市</w:t>
                  </w:r>
                  <w:r>
                    <w:rPr>
                      <w:szCs w:val="21"/>
                    </w:rPr>
                    <w:t>生态环境总体准入清单</w:t>
                  </w:r>
                </w:p>
              </w:tc>
              <w:tc>
                <w:tcPr>
                  <w:tcW w:w="426" w:type="dxa"/>
                  <w:vMerge w:val="restart"/>
                  <w:vAlign w:val="center"/>
                </w:tcPr>
                <w:p w14:paraId="7DC0516B">
                  <w:pPr>
                    <w:wordWrap w:val="0"/>
                    <w:jc w:val="center"/>
                    <w:rPr>
                      <w:szCs w:val="21"/>
                    </w:rPr>
                  </w:pPr>
                  <w:r>
                    <w:rPr>
                      <w:szCs w:val="21"/>
                    </w:rPr>
                    <w:t>重点管控单元</w:t>
                  </w:r>
                </w:p>
              </w:tc>
              <w:tc>
                <w:tcPr>
                  <w:tcW w:w="426" w:type="dxa"/>
                  <w:vAlign w:val="center"/>
                </w:tcPr>
                <w:p w14:paraId="358D85B4">
                  <w:pPr>
                    <w:wordWrap w:val="0"/>
                    <w:jc w:val="center"/>
                    <w:rPr>
                      <w:szCs w:val="21"/>
                    </w:rPr>
                  </w:pPr>
                  <w:r>
                    <w:rPr>
                      <w:szCs w:val="21"/>
                    </w:rPr>
                    <w:t>空间布局约束</w:t>
                  </w:r>
                </w:p>
              </w:tc>
              <w:tc>
                <w:tcPr>
                  <w:tcW w:w="1637" w:type="dxa"/>
                  <w:vAlign w:val="center"/>
                </w:tcPr>
                <w:p w14:paraId="2BC86685">
                  <w:pPr>
                    <w:wordWrap w:val="0"/>
                    <w:jc w:val="center"/>
                  </w:pPr>
                  <w:r>
                    <w:rPr>
                      <w:rFonts w:hint="eastAsia"/>
                    </w:rPr>
                    <w:t>严格落实能耗双耗、产能置换、污染物区域削减、煤炭减量替代等要求，不符合要求的“两高”项目要坚决整改。</w:t>
                  </w:r>
                </w:p>
              </w:tc>
              <w:tc>
                <w:tcPr>
                  <w:tcW w:w="1371" w:type="dxa"/>
                  <w:vAlign w:val="center"/>
                </w:tcPr>
                <w:p w14:paraId="00E167A2">
                  <w:pPr>
                    <w:jc w:val="center"/>
                  </w:pPr>
                  <w:r>
                    <w:rPr>
                      <w:rFonts w:hint="eastAsia"/>
                    </w:rPr>
                    <w:t>对照陕西省“两高”项目管理暂行目录（2022年版），本项目不属于“两高”行业。</w:t>
                  </w:r>
                </w:p>
              </w:tc>
              <w:tc>
                <w:tcPr>
                  <w:tcW w:w="426" w:type="dxa"/>
                  <w:vAlign w:val="center"/>
                </w:tcPr>
                <w:p w14:paraId="7F75B520">
                  <w:pPr>
                    <w:jc w:val="center"/>
                    <w:rPr>
                      <w:szCs w:val="21"/>
                    </w:rPr>
                  </w:pPr>
                  <w:r>
                    <w:rPr>
                      <w:szCs w:val="21"/>
                    </w:rPr>
                    <w:t>符合</w:t>
                  </w:r>
                </w:p>
              </w:tc>
            </w:tr>
            <w:tr w14:paraId="17C6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26" w:type="dxa"/>
                  <w:vMerge w:val="continue"/>
                  <w:vAlign w:val="center"/>
                </w:tcPr>
                <w:p w14:paraId="675C376F">
                  <w:pPr>
                    <w:wordWrap w:val="0"/>
                    <w:jc w:val="center"/>
                    <w:rPr>
                      <w:szCs w:val="21"/>
                    </w:rPr>
                  </w:pPr>
                </w:p>
              </w:tc>
              <w:tc>
                <w:tcPr>
                  <w:tcW w:w="846" w:type="dxa"/>
                  <w:vMerge w:val="continue"/>
                  <w:vAlign w:val="center"/>
                </w:tcPr>
                <w:p w14:paraId="1A1C9A5C">
                  <w:pPr>
                    <w:wordWrap w:val="0"/>
                    <w:jc w:val="center"/>
                    <w:rPr>
                      <w:szCs w:val="21"/>
                    </w:rPr>
                  </w:pPr>
                </w:p>
              </w:tc>
              <w:tc>
                <w:tcPr>
                  <w:tcW w:w="635" w:type="dxa"/>
                  <w:vMerge w:val="continue"/>
                  <w:vAlign w:val="center"/>
                </w:tcPr>
                <w:p w14:paraId="7022DDF3">
                  <w:pPr>
                    <w:wordWrap w:val="0"/>
                    <w:jc w:val="center"/>
                    <w:rPr>
                      <w:szCs w:val="21"/>
                    </w:rPr>
                  </w:pPr>
                </w:p>
              </w:tc>
              <w:tc>
                <w:tcPr>
                  <w:tcW w:w="426" w:type="dxa"/>
                  <w:vMerge w:val="continue"/>
                  <w:vAlign w:val="center"/>
                </w:tcPr>
                <w:p w14:paraId="7D9F10CF">
                  <w:pPr>
                    <w:wordWrap w:val="0"/>
                    <w:jc w:val="center"/>
                    <w:rPr>
                      <w:szCs w:val="21"/>
                    </w:rPr>
                  </w:pPr>
                </w:p>
              </w:tc>
              <w:tc>
                <w:tcPr>
                  <w:tcW w:w="426" w:type="dxa"/>
                  <w:vMerge w:val="continue"/>
                  <w:vAlign w:val="center"/>
                </w:tcPr>
                <w:p w14:paraId="3CD2C25A">
                  <w:pPr>
                    <w:wordWrap w:val="0"/>
                    <w:jc w:val="center"/>
                    <w:rPr>
                      <w:szCs w:val="21"/>
                    </w:rPr>
                  </w:pPr>
                </w:p>
              </w:tc>
              <w:tc>
                <w:tcPr>
                  <w:tcW w:w="426" w:type="dxa"/>
                  <w:vMerge w:val="continue"/>
                  <w:vAlign w:val="center"/>
                </w:tcPr>
                <w:p w14:paraId="695EBC4E">
                  <w:pPr>
                    <w:wordWrap w:val="0"/>
                    <w:jc w:val="center"/>
                    <w:rPr>
                      <w:szCs w:val="21"/>
                    </w:rPr>
                  </w:pPr>
                </w:p>
              </w:tc>
              <w:tc>
                <w:tcPr>
                  <w:tcW w:w="426" w:type="dxa"/>
                  <w:vAlign w:val="center"/>
                </w:tcPr>
                <w:p w14:paraId="6C797F64">
                  <w:pPr>
                    <w:wordWrap w:val="0"/>
                    <w:jc w:val="center"/>
                    <w:rPr>
                      <w:szCs w:val="21"/>
                    </w:rPr>
                  </w:pPr>
                  <w:r>
                    <w:rPr>
                      <w:szCs w:val="21"/>
                    </w:rPr>
                    <w:t>环境风险防控</w:t>
                  </w:r>
                </w:p>
              </w:tc>
              <w:tc>
                <w:tcPr>
                  <w:tcW w:w="1637" w:type="dxa"/>
                  <w:vAlign w:val="center"/>
                </w:tcPr>
                <w:p w14:paraId="0687FA76">
                  <w:pPr>
                    <w:wordWrap w:val="0"/>
                    <w:jc w:val="center"/>
                    <w:rPr>
                      <w:szCs w:val="21"/>
                    </w:rPr>
                  </w:pPr>
                  <w:r>
                    <w:rPr>
                      <w:rFonts w:hint="eastAsia"/>
                      <w:szCs w:val="21"/>
                    </w:rPr>
                    <w:t>将环境风险纳入常态化管理，推进固体废物、化学物质、重金属、核与辐射等重点领域环境风险防控，推动环境风险防控由应急管理向全过程管理转变。</w:t>
                  </w:r>
                </w:p>
              </w:tc>
              <w:tc>
                <w:tcPr>
                  <w:tcW w:w="1371" w:type="dxa"/>
                  <w:vAlign w:val="center"/>
                </w:tcPr>
                <w:p w14:paraId="25171158">
                  <w:pPr>
                    <w:wordWrap w:val="0"/>
                    <w:jc w:val="center"/>
                    <w:rPr>
                      <w:szCs w:val="21"/>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环境风险物质仅为油类物质，不存在重大风险源，</w:t>
                  </w:r>
                  <w:r>
                    <w:rPr>
                      <w:rFonts w:hint="eastAsia"/>
                      <w:color w:val="000000" w:themeColor="text1"/>
                      <w:szCs w:val="21"/>
                      <w14:textFill>
                        <w14:solidFill>
                          <w14:schemeClr w14:val="tx1"/>
                        </w14:solidFill>
                      </w14:textFill>
                    </w:rPr>
                    <w:t>且环境风险物质暂存于危废暂存间，危废暂存间地面采取防渗措施，</w:t>
                  </w:r>
                  <w:r>
                    <w:rPr>
                      <w:color w:val="000000" w:themeColor="text1"/>
                      <w:szCs w:val="21"/>
                      <w14:textFill>
                        <w14:solidFill>
                          <w14:schemeClr w14:val="tx1"/>
                        </w14:solidFill>
                      </w14:textFill>
                    </w:rPr>
                    <w:t>发生环境风险很小。</w:t>
                  </w:r>
                </w:p>
              </w:tc>
              <w:tc>
                <w:tcPr>
                  <w:tcW w:w="426" w:type="dxa"/>
                  <w:vAlign w:val="center"/>
                </w:tcPr>
                <w:p w14:paraId="4CABD50B">
                  <w:pPr>
                    <w:jc w:val="center"/>
                    <w:rPr>
                      <w:szCs w:val="21"/>
                    </w:rPr>
                  </w:pPr>
                  <w:r>
                    <w:rPr>
                      <w:szCs w:val="21"/>
                    </w:rPr>
                    <w:t>符合</w:t>
                  </w:r>
                </w:p>
              </w:tc>
            </w:tr>
            <w:tr w14:paraId="3527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426" w:type="dxa"/>
                  <w:vMerge w:val="continue"/>
                  <w:vAlign w:val="center"/>
                </w:tcPr>
                <w:p w14:paraId="5EBFB401">
                  <w:pPr>
                    <w:wordWrap w:val="0"/>
                    <w:jc w:val="center"/>
                    <w:rPr>
                      <w:szCs w:val="21"/>
                    </w:rPr>
                  </w:pPr>
                </w:p>
              </w:tc>
              <w:tc>
                <w:tcPr>
                  <w:tcW w:w="846" w:type="dxa"/>
                  <w:vMerge w:val="continue"/>
                  <w:vAlign w:val="center"/>
                </w:tcPr>
                <w:p w14:paraId="2D564521">
                  <w:pPr>
                    <w:wordWrap w:val="0"/>
                    <w:jc w:val="center"/>
                    <w:rPr>
                      <w:szCs w:val="21"/>
                    </w:rPr>
                  </w:pPr>
                </w:p>
              </w:tc>
              <w:tc>
                <w:tcPr>
                  <w:tcW w:w="635" w:type="dxa"/>
                  <w:vMerge w:val="continue"/>
                  <w:vAlign w:val="center"/>
                </w:tcPr>
                <w:p w14:paraId="22B06E11">
                  <w:pPr>
                    <w:wordWrap w:val="0"/>
                    <w:jc w:val="center"/>
                    <w:rPr>
                      <w:szCs w:val="21"/>
                    </w:rPr>
                  </w:pPr>
                </w:p>
              </w:tc>
              <w:tc>
                <w:tcPr>
                  <w:tcW w:w="426" w:type="dxa"/>
                  <w:vMerge w:val="continue"/>
                  <w:vAlign w:val="center"/>
                </w:tcPr>
                <w:p w14:paraId="28BF5A41">
                  <w:pPr>
                    <w:wordWrap w:val="0"/>
                    <w:jc w:val="center"/>
                    <w:rPr>
                      <w:szCs w:val="21"/>
                    </w:rPr>
                  </w:pPr>
                </w:p>
              </w:tc>
              <w:tc>
                <w:tcPr>
                  <w:tcW w:w="426" w:type="dxa"/>
                  <w:vMerge w:val="continue"/>
                  <w:vAlign w:val="center"/>
                </w:tcPr>
                <w:p w14:paraId="4E3D5D29">
                  <w:pPr>
                    <w:wordWrap w:val="0"/>
                    <w:jc w:val="center"/>
                    <w:rPr>
                      <w:szCs w:val="21"/>
                    </w:rPr>
                  </w:pPr>
                </w:p>
              </w:tc>
              <w:tc>
                <w:tcPr>
                  <w:tcW w:w="426" w:type="dxa"/>
                  <w:vMerge w:val="continue"/>
                  <w:vAlign w:val="center"/>
                </w:tcPr>
                <w:p w14:paraId="75EFB5EC">
                  <w:pPr>
                    <w:wordWrap w:val="0"/>
                    <w:jc w:val="center"/>
                    <w:rPr>
                      <w:szCs w:val="21"/>
                    </w:rPr>
                  </w:pPr>
                </w:p>
              </w:tc>
              <w:tc>
                <w:tcPr>
                  <w:tcW w:w="426" w:type="dxa"/>
                  <w:vAlign w:val="center"/>
                </w:tcPr>
                <w:p w14:paraId="7895245E">
                  <w:pPr>
                    <w:wordWrap w:val="0"/>
                    <w:jc w:val="center"/>
                    <w:rPr>
                      <w:szCs w:val="21"/>
                    </w:rPr>
                  </w:pPr>
                  <w:r>
                    <w:rPr>
                      <w:szCs w:val="21"/>
                    </w:rPr>
                    <w:t>资源</w:t>
                  </w:r>
                  <w:r>
                    <w:rPr>
                      <w:rFonts w:hint="eastAsia"/>
                      <w:szCs w:val="21"/>
                    </w:rPr>
                    <w:t>利用</w:t>
                  </w:r>
                  <w:r>
                    <w:rPr>
                      <w:szCs w:val="21"/>
                    </w:rPr>
                    <w:t>效率要求</w:t>
                  </w:r>
                </w:p>
              </w:tc>
              <w:tc>
                <w:tcPr>
                  <w:tcW w:w="1637" w:type="dxa"/>
                  <w:vAlign w:val="center"/>
                </w:tcPr>
                <w:p w14:paraId="6CF4F9F0">
                  <w:pPr>
                    <w:wordWrap w:val="0"/>
                    <w:jc w:val="center"/>
                    <w:rPr>
                      <w:szCs w:val="21"/>
                    </w:rPr>
                  </w:pPr>
                  <w:r>
                    <w:rPr>
                      <w:rFonts w:hint="eastAsia"/>
                      <w:szCs w:val="21"/>
                    </w:rPr>
                    <w:t>持续实施煤炭消费总量控制，大力推进以电代煤、以气代煤等清洁替代形式；稳步提高天然气消费比例；有序发展新能源。</w:t>
                  </w:r>
                </w:p>
              </w:tc>
              <w:tc>
                <w:tcPr>
                  <w:tcW w:w="1371" w:type="dxa"/>
                  <w:vAlign w:val="center"/>
                </w:tcPr>
                <w:p w14:paraId="30033E66">
                  <w:pPr>
                    <w:wordWrap w:val="0"/>
                    <w:jc w:val="center"/>
                    <w:rPr>
                      <w:szCs w:val="21"/>
                    </w:rPr>
                  </w:pPr>
                  <w:r>
                    <w:rPr>
                      <w:rFonts w:hint="eastAsia"/>
                      <w:szCs w:val="21"/>
                    </w:rPr>
                    <w:t>本项目使用的能源主要为水能、电能，项目前期使用燃料为液化石油气，待天然气管网接通后使用天然气，使用的燃料均为清洁能源，满足要求。</w:t>
                  </w:r>
                </w:p>
              </w:tc>
              <w:tc>
                <w:tcPr>
                  <w:tcW w:w="426" w:type="dxa"/>
                  <w:vAlign w:val="center"/>
                </w:tcPr>
                <w:p w14:paraId="28109018">
                  <w:pPr>
                    <w:jc w:val="center"/>
                    <w:rPr>
                      <w:szCs w:val="21"/>
                    </w:rPr>
                  </w:pPr>
                  <w:r>
                    <w:rPr>
                      <w:szCs w:val="21"/>
                    </w:rPr>
                    <w:t>符合</w:t>
                  </w:r>
                </w:p>
              </w:tc>
            </w:tr>
            <w:tr w14:paraId="5540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26" w:type="dxa"/>
                  <w:vMerge w:val="restart"/>
                  <w:vAlign w:val="center"/>
                </w:tcPr>
                <w:p w14:paraId="5B7A4506">
                  <w:pPr>
                    <w:jc w:val="center"/>
                    <w:rPr>
                      <w:szCs w:val="21"/>
                    </w:rPr>
                  </w:pPr>
                  <w:r>
                    <w:rPr>
                      <w:szCs w:val="21"/>
                    </w:rPr>
                    <w:t>2</w:t>
                  </w:r>
                </w:p>
              </w:tc>
              <w:tc>
                <w:tcPr>
                  <w:tcW w:w="846" w:type="dxa"/>
                  <w:vMerge w:val="restart"/>
                  <w:vAlign w:val="center"/>
                </w:tcPr>
                <w:p w14:paraId="1009AE38">
                  <w:pPr>
                    <w:wordWrap w:val="0"/>
                    <w:jc w:val="center"/>
                    <w:rPr>
                      <w:szCs w:val="21"/>
                    </w:rPr>
                  </w:pPr>
                  <w:r>
                    <w:rPr>
                      <w:rFonts w:hint="eastAsia"/>
                      <w:szCs w:val="21"/>
                    </w:rPr>
                    <w:t>西安</w:t>
                  </w:r>
                  <w:r>
                    <w:rPr>
                      <w:szCs w:val="21"/>
                    </w:rPr>
                    <w:t>市</w:t>
                  </w:r>
                </w:p>
              </w:tc>
              <w:tc>
                <w:tcPr>
                  <w:tcW w:w="635" w:type="dxa"/>
                  <w:vMerge w:val="restart"/>
                  <w:vAlign w:val="center"/>
                </w:tcPr>
                <w:p w14:paraId="123DD7E5">
                  <w:pPr>
                    <w:wordWrap w:val="0"/>
                    <w:jc w:val="center"/>
                    <w:rPr>
                      <w:szCs w:val="21"/>
                    </w:rPr>
                  </w:pPr>
                  <w:r>
                    <w:rPr>
                      <w:rFonts w:hint="eastAsia"/>
                      <w:szCs w:val="21"/>
                    </w:rPr>
                    <w:t>鄠邑</w:t>
                  </w:r>
                  <w:r>
                    <w:rPr>
                      <w:szCs w:val="21"/>
                    </w:rPr>
                    <w:t>区</w:t>
                  </w:r>
                </w:p>
              </w:tc>
              <w:tc>
                <w:tcPr>
                  <w:tcW w:w="426" w:type="dxa"/>
                  <w:vMerge w:val="restart"/>
                  <w:vAlign w:val="center"/>
                </w:tcPr>
                <w:p w14:paraId="4E453DAE">
                  <w:pPr>
                    <w:wordWrap w:val="0"/>
                    <w:jc w:val="center"/>
                    <w:rPr>
                      <w:szCs w:val="21"/>
                    </w:rPr>
                  </w:pPr>
                  <w:r>
                    <w:rPr>
                      <w:rFonts w:hint="eastAsia"/>
                      <w:szCs w:val="21"/>
                    </w:rPr>
                    <w:t>西安</w:t>
                  </w:r>
                  <w:r>
                    <w:rPr>
                      <w:szCs w:val="21"/>
                    </w:rPr>
                    <w:t>市管控单元</w:t>
                  </w:r>
                </w:p>
              </w:tc>
              <w:tc>
                <w:tcPr>
                  <w:tcW w:w="426" w:type="dxa"/>
                  <w:vMerge w:val="restart"/>
                  <w:vAlign w:val="center"/>
                </w:tcPr>
                <w:p w14:paraId="78B9E03C">
                  <w:pPr>
                    <w:wordWrap w:val="0"/>
                    <w:jc w:val="center"/>
                    <w:rPr>
                      <w:szCs w:val="21"/>
                    </w:rPr>
                  </w:pPr>
                  <w:r>
                    <w:rPr>
                      <w:szCs w:val="21"/>
                    </w:rPr>
                    <w:t>大气环境布局敏感重点管控区</w:t>
                  </w:r>
                </w:p>
              </w:tc>
              <w:tc>
                <w:tcPr>
                  <w:tcW w:w="426" w:type="dxa"/>
                  <w:vMerge w:val="restart"/>
                  <w:vAlign w:val="center"/>
                </w:tcPr>
                <w:p w14:paraId="1CE4C7E2">
                  <w:pPr>
                    <w:wordWrap w:val="0"/>
                    <w:jc w:val="center"/>
                    <w:rPr>
                      <w:szCs w:val="21"/>
                    </w:rPr>
                  </w:pPr>
                  <w:r>
                    <w:rPr>
                      <w:szCs w:val="21"/>
                    </w:rPr>
                    <w:t>重点管控单元</w:t>
                  </w:r>
                </w:p>
              </w:tc>
              <w:tc>
                <w:tcPr>
                  <w:tcW w:w="426" w:type="dxa"/>
                  <w:vAlign w:val="center"/>
                </w:tcPr>
                <w:p w14:paraId="78F728F6">
                  <w:pPr>
                    <w:wordWrap w:val="0"/>
                    <w:jc w:val="center"/>
                    <w:rPr>
                      <w:szCs w:val="21"/>
                    </w:rPr>
                  </w:pPr>
                  <w:r>
                    <w:rPr>
                      <w:szCs w:val="21"/>
                    </w:rPr>
                    <w:t>空间约束布局</w:t>
                  </w:r>
                </w:p>
              </w:tc>
              <w:tc>
                <w:tcPr>
                  <w:tcW w:w="1637" w:type="dxa"/>
                  <w:vAlign w:val="center"/>
                </w:tcPr>
                <w:p w14:paraId="56B4565E">
                  <w:pPr>
                    <w:wordWrap w:val="0"/>
                    <w:autoSpaceDE w:val="0"/>
                    <w:autoSpaceDN w:val="0"/>
                    <w:adjustRightInd w:val="0"/>
                    <w:jc w:val="center"/>
                    <w:rPr>
                      <w:szCs w:val="21"/>
                    </w:rPr>
                  </w:pPr>
                  <w:r>
                    <w:rPr>
                      <w:rFonts w:hint="eastAsia"/>
                      <w:szCs w:val="21"/>
                    </w:rPr>
                    <w:t>大气污染防治重点区域严禁新增钢铁、水泥熟料、平板玻璃、炼化产能。</w:t>
                  </w:r>
                </w:p>
              </w:tc>
              <w:tc>
                <w:tcPr>
                  <w:tcW w:w="1371" w:type="dxa"/>
                  <w:vAlign w:val="center"/>
                </w:tcPr>
                <w:p w14:paraId="199A7B55">
                  <w:pPr>
                    <w:wordWrap w:val="0"/>
                    <w:jc w:val="center"/>
                    <w:rPr>
                      <w:szCs w:val="21"/>
                    </w:rPr>
                  </w:pPr>
                  <w:r>
                    <w:rPr>
                      <w:rFonts w:hint="eastAsia"/>
                    </w:rPr>
                    <w:t>本项目属于金属结构制造行业，不属于大气污染防治重点区域严禁新增行业。</w:t>
                  </w:r>
                </w:p>
              </w:tc>
              <w:tc>
                <w:tcPr>
                  <w:tcW w:w="426" w:type="dxa"/>
                  <w:vAlign w:val="center"/>
                </w:tcPr>
                <w:p w14:paraId="28884311">
                  <w:pPr>
                    <w:jc w:val="center"/>
                    <w:rPr>
                      <w:szCs w:val="21"/>
                    </w:rPr>
                  </w:pPr>
                  <w:r>
                    <w:rPr>
                      <w:szCs w:val="21"/>
                    </w:rPr>
                    <w:t>符合</w:t>
                  </w:r>
                </w:p>
              </w:tc>
            </w:tr>
            <w:tr w14:paraId="2805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26" w:type="dxa"/>
                  <w:vMerge w:val="continue"/>
                  <w:vAlign w:val="center"/>
                </w:tcPr>
                <w:p w14:paraId="534D63B1">
                  <w:pPr>
                    <w:jc w:val="center"/>
                    <w:rPr>
                      <w:szCs w:val="21"/>
                    </w:rPr>
                  </w:pPr>
                </w:p>
              </w:tc>
              <w:tc>
                <w:tcPr>
                  <w:tcW w:w="846" w:type="dxa"/>
                  <w:vMerge w:val="continue"/>
                  <w:vAlign w:val="center"/>
                </w:tcPr>
                <w:p w14:paraId="6EBB1CE2">
                  <w:pPr>
                    <w:wordWrap w:val="0"/>
                    <w:jc w:val="center"/>
                    <w:rPr>
                      <w:szCs w:val="21"/>
                    </w:rPr>
                  </w:pPr>
                </w:p>
              </w:tc>
              <w:tc>
                <w:tcPr>
                  <w:tcW w:w="635" w:type="dxa"/>
                  <w:vMerge w:val="continue"/>
                  <w:vAlign w:val="center"/>
                </w:tcPr>
                <w:p w14:paraId="2FE69C9E">
                  <w:pPr>
                    <w:wordWrap w:val="0"/>
                    <w:jc w:val="center"/>
                    <w:rPr>
                      <w:szCs w:val="21"/>
                    </w:rPr>
                  </w:pPr>
                </w:p>
              </w:tc>
              <w:tc>
                <w:tcPr>
                  <w:tcW w:w="426" w:type="dxa"/>
                  <w:vMerge w:val="continue"/>
                  <w:vAlign w:val="center"/>
                </w:tcPr>
                <w:p w14:paraId="437DA14C">
                  <w:pPr>
                    <w:wordWrap w:val="0"/>
                    <w:jc w:val="center"/>
                    <w:rPr>
                      <w:szCs w:val="21"/>
                    </w:rPr>
                  </w:pPr>
                </w:p>
              </w:tc>
              <w:tc>
                <w:tcPr>
                  <w:tcW w:w="426" w:type="dxa"/>
                  <w:vMerge w:val="continue"/>
                  <w:vAlign w:val="center"/>
                </w:tcPr>
                <w:p w14:paraId="2F4D7F07">
                  <w:pPr>
                    <w:wordWrap w:val="0"/>
                    <w:jc w:val="center"/>
                    <w:rPr>
                      <w:szCs w:val="21"/>
                    </w:rPr>
                  </w:pPr>
                </w:p>
              </w:tc>
              <w:tc>
                <w:tcPr>
                  <w:tcW w:w="426" w:type="dxa"/>
                  <w:vMerge w:val="continue"/>
                  <w:vAlign w:val="center"/>
                </w:tcPr>
                <w:p w14:paraId="3DC2A590">
                  <w:pPr>
                    <w:wordWrap w:val="0"/>
                    <w:jc w:val="center"/>
                    <w:rPr>
                      <w:szCs w:val="21"/>
                    </w:rPr>
                  </w:pPr>
                </w:p>
              </w:tc>
              <w:tc>
                <w:tcPr>
                  <w:tcW w:w="426" w:type="dxa"/>
                  <w:vAlign w:val="center"/>
                </w:tcPr>
                <w:p w14:paraId="7A64620F">
                  <w:pPr>
                    <w:wordWrap w:val="0"/>
                    <w:jc w:val="center"/>
                    <w:rPr>
                      <w:szCs w:val="21"/>
                    </w:rPr>
                  </w:pPr>
                  <w:r>
                    <w:rPr>
                      <w:szCs w:val="21"/>
                    </w:rPr>
                    <w:t>污染物排放管控</w:t>
                  </w:r>
                </w:p>
              </w:tc>
              <w:tc>
                <w:tcPr>
                  <w:tcW w:w="1637" w:type="dxa"/>
                  <w:vAlign w:val="center"/>
                </w:tcPr>
                <w:p w14:paraId="3367E3D3">
                  <w:pPr>
                    <w:wordWrap w:val="0"/>
                    <w:autoSpaceDE w:val="0"/>
                    <w:autoSpaceDN w:val="0"/>
                    <w:adjustRightInd w:val="0"/>
                    <w:jc w:val="center"/>
                    <w:rPr>
                      <w:szCs w:val="21"/>
                    </w:rPr>
                  </w:pPr>
                  <w:r>
                    <w:rPr>
                      <w:rFonts w:hint="eastAsia"/>
                      <w:szCs w:val="21"/>
                    </w:rPr>
                    <w:t>区域内保留企业采用先进生产工艺、严格落实污染治理设施，污染物执行超低排放或特别排放限值。</w:t>
                  </w:r>
                </w:p>
              </w:tc>
              <w:tc>
                <w:tcPr>
                  <w:tcW w:w="1371" w:type="dxa"/>
                  <w:vAlign w:val="center"/>
                </w:tcPr>
                <w:p w14:paraId="6BBD6A34">
                  <w:pPr>
                    <w:wordWrap w:val="0"/>
                    <w:jc w:val="center"/>
                    <w:rPr>
                      <w:szCs w:val="21"/>
                    </w:rPr>
                  </w:pPr>
                  <w:r>
                    <w:rPr>
                      <w:szCs w:val="21"/>
                    </w:rPr>
                    <w:t>本项目采用先进生产工艺，本项</w:t>
                  </w:r>
                  <w:r>
                    <w:rPr>
                      <w:rFonts w:hint="eastAsia"/>
                      <w:szCs w:val="21"/>
                    </w:rPr>
                    <w:t>生产过程中废气均能得到很好地处置</w:t>
                  </w:r>
                  <w:r>
                    <w:rPr>
                      <w:szCs w:val="21"/>
                    </w:rPr>
                    <w:t>；项目</w:t>
                  </w:r>
                  <w:r>
                    <w:rPr>
                      <w:rFonts w:hint="eastAsia"/>
                      <w:szCs w:val="21"/>
                    </w:rPr>
                    <w:t>废水仅为生活污水，生活污水依托租赁厂区化粪池处理后进入市政管网</w:t>
                  </w:r>
                  <w:r>
                    <w:rPr>
                      <w:szCs w:val="21"/>
                    </w:rPr>
                    <w:t>；项目设备通过厂房隔声、基础减振等措施后，噪声可以满足相关标准；项目固废均能得到很好处理。</w:t>
                  </w:r>
                </w:p>
              </w:tc>
              <w:tc>
                <w:tcPr>
                  <w:tcW w:w="426" w:type="dxa"/>
                  <w:vAlign w:val="center"/>
                </w:tcPr>
                <w:p w14:paraId="56BEE42D">
                  <w:pPr>
                    <w:jc w:val="center"/>
                    <w:rPr>
                      <w:szCs w:val="21"/>
                    </w:rPr>
                  </w:pPr>
                  <w:r>
                    <w:rPr>
                      <w:szCs w:val="21"/>
                    </w:rPr>
                    <w:t>符合</w:t>
                  </w:r>
                </w:p>
              </w:tc>
            </w:tr>
          </w:tbl>
          <w:p w14:paraId="62652CAD">
            <w:pPr>
              <w:pStyle w:val="15"/>
              <w:spacing w:line="360" w:lineRule="auto"/>
              <w:ind w:left="0" w:leftChars="0" w:firstLine="480" w:firstLineChars="200"/>
              <w:rPr>
                <w:rFonts w:ascii="Times New Roman" w:hAnsi="Times New Roman" w:cs="Times New Roman"/>
              </w:rPr>
            </w:pPr>
            <w:r>
              <w:rPr>
                <w:rFonts w:ascii="Times New Roman" w:hAnsi="Times New Roman" w:cs="Times New Roman"/>
              </w:rPr>
              <w:t>（3）建设项目符合性说明</w:t>
            </w:r>
          </w:p>
          <w:p w14:paraId="5B92ABB3">
            <w:pPr>
              <w:pStyle w:val="15"/>
              <w:spacing w:line="360" w:lineRule="auto"/>
              <w:ind w:left="0" w:leftChars="0" w:firstLine="480" w:firstLineChars="200"/>
              <w:rPr>
                <w:rFonts w:ascii="Times New Roman" w:hAnsi="Times New Roman" w:cs="Times New Roman"/>
                <w:b/>
                <w:bCs/>
                <w:szCs w:val="21"/>
              </w:rPr>
            </w:pPr>
            <w:r>
              <w:rPr>
                <w:rFonts w:ascii="Times New Roman" w:hAnsi="Times New Roman" w:cs="Times New Roman"/>
              </w:rPr>
              <w:t>项目范围涉及的生态环境管控单元准入对照分析根据</w:t>
            </w:r>
            <w:r>
              <w:rPr>
                <w:rFonts w:ascii="Times New Roman" w:cs="Times New Roman"/>
                <w:color w:val="000000" w:themeColor="text1"/>
                <w14:textFill>
                  <w14:solidFill>
                    <w14:schemeClr w14:val="tx1"/>
                  </w14:solidFill>
                </w14:textFill>
              </w:rPr>
              <w:t>《西安市人民政府关于印发</w:t>
            </w:r>
            <w:r>
              <w:rPr>
                <w:rFonts w:ascii="Times New Roman" w:hAns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三线一单</w:t>
            </w:r>
            <w:r>
              <w:rPr>
                <w:rFonts w:ascii="Times New Roman" w:hAns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生态环境分区管控方案的通知》（市政发</w:t>
            </w:r>
            <w:r>
              <w:rPr>
                <w:rFonts w:ascii="Times New Roman" w:hAnsi="Times New Roman" w:cs="Times New Roman"/>
                <w:color w:val="000000" w:themeColor="text1"/>
                <w14:textFill>
                  <w14:solidFill>
                    <w14:schemeClr w14:val="tx1"/>
                  </w14:solidFill>
                </w14:textFill>
              </w:rPr>
              <w:t>[2021]22</w:t>
            </w:r>
            <w:r>
              <w:rPr>
                <w:rFonts w:ascii="Times New Roman" w:cs="Times New Roman"/>
                <w:color w:val="000000" w:themeColor="text1"/>
                <w14:textFill>
                  <w14:solidFill>
                    <w14:schemeClr w14:val="tx1"/>
                  </w14:solidFill>
                </w14:textFill>
              </w:rPr>
              <w:t>号）</w:t>
            </w:r>
            <w:r>
              <w:rPr>
                <w:rFonts w:ascii="Times New Roman" w:hAnsi="Times New Roman" w:cs="Times New Roman"/>
              </w:rPr>
              <w:t>及西安市环境管控单元图（附图6），项目位于</w:t>
            </w:r>
            <w:r>
              <w:rPr>
                <w:rFonts w:ascii="Times New Roman" w:hAnsi="宋体" w:cs="Times New Roman"/>
              </w:rPr>
              <w:t>陕西省西安市鄠邑区余下镇大唐二电厂南侧</w:t>
            </w:r>
            <w:r>
              <w:rPr>
                <w:rFonts w:ascii="Times New Roman" w:hAnsi="Times New Roman" w:cs="Times New Roman"/>
              </w:rPr>
              <w:t>，属于重点管控单元，陕西诚顺翔电器设备有限责任公司城市道路设施及建筑安全设施生产项目满足生态环境管控单元准入清单，且本项目建设完成后，污染物均采取有效措施，可有效防控其对环境产生的影响。</w:t>
            </w:r>
          </w:p>
          <w:p w14:paraId="71C6BF0E">
            <w:pPr>
              <w:pStyle w:val="5"/>
              <w:jc w:val="left"/>
              <w:rPr>
                <w:b/>
                <w:sz w:val="24"/>
              </w:rPr>
            </w:pPr>
            <w:r>
              <w:rPr>
                <w:b/>
                <w:sz w:val="24"/>
              </w:rPr>
              <w:t>4.与相关政策的相符性</w:t>
            </w:r>
          </w:p>
          <w:p w14:paraId="6F3619EC">
            <w:pPr>
              <w:pStyle w:val="5"/>
              <w:jc w:val="left"/>
              <w:rPr>
                <w:sz w:val="24"/>
              </w:rPr>
            </w:pPr>
            <w:r>
              <w:rPr>
                <w:sz w:val="24"/>
              </w:rPr>
              <w:t>本项目与相关政策的相符性分析见表3。</w:t>
            </w:r>
          </w:p>
          <w:p w14:paraId="39161D69">
            <w:pPr>
              <w:numPr>
                <w:ilvl w:val="0"/>
                <w:numId w:val="1"/>
              </w:numPr>
              <w:adjustRightInd w:val="0"/>
              <w:snapToGrid w:val="0"/>
              <w:jc w:val="center"/>
              <w:rPr>
                <w:b/>
                <w:szCs w:val="21"/>
              </w:rPr>
            </w:pPr>
            <w:r>
              <w:rPr>
                <w:rFonts w:hint="eastAsia"/>
                <w:b/>
                <w:szCs w:val="21"/>
              </w:rPr>
              <w:t xml:space="preserve">    本项目与相关政策的符合性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3093"/>
              <w:gridCol w:w="2175"/>
              <w:gridCol w:w="615"/>
            </w:tblGrid>
            <w:tr w14:paraId="3B9D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2" w:type="dxa"/>
                  <w:vAlign w:val="center"/>
                </w:tcPr>
                <w:p w14:paraId="637E38B3">
                  <w:pPr>
                    <w:pStyle w:val="55"/>
                    <w:spacing w:line="240" w:lineRule="auto"/>
                    <w:ind w:firstLine="0" w:firstLineChars="0"/>
                    <w:jc w:val="center"/>
                    <w:rPr>
                      <w:sz w:val="21"/>
                      <w:szCs w:val="21"/>
                    </w:rPr>
                  </w:pPr>
                  <w:r>
                    <w:rPr>
                      <w:rFonts w:hint="eastAsia"/>
                      <w:sz w:val="21"/>
                      <w:szCs w:val="21"/>
                    </w:rPr>
                    <w:t>内容</w:t>
                  </w:r>
                </w:p>
              </w:tc>
              <w:tc>
                <w:tcPr>
                  <w:tcW w:w="3093" w:type="dxa"/>
                  <w:vAlign w:val="center"/>
                </w:tcPr>
                <w:p w14:paraId="4B6143AD">
                  <w:pPr>
                    <w:pStyle w:val="55"/>
                    <w:spacing w:line="240" w:lineRule="auto"/>
                    <w:ind w:firstLine="0" w:firstLineChars="0"/>
                    <w:jc w:val="center"/>
                    <w:rPr>
                      <w:sz w:val="21"/>
                      <w:szCs w:val="21"/>
                    </w:rPr>
                  </w:pPr>
                  <w:r>
                    <w:rPr>
                      <w:rFonts w:hint="eastAsia"/>
                      <w:sz w:val="21"/>
                      <w:szCs w:val="21"/>
                    </w:rPr>
                    <w:t>要求</w:t>
                  </w:r>
                </w:p>
              </w:tc>
              <w:tc>
                <w:tcPr>
                  <w:tcW w:w="2175" w:type="dxa"/>
                  <w:vAlign w:val="center"/>
                </w:tcPr>
                <w:p w14:paraId="49690BF6">
                  <w:pPr>
                    <w:pStyle w:val="55"/>
                    <w:spacing w:line="240" w:lineRule="auto"/>
                    <w:ind w:firstLine="0" w:firstLineChars="0"/>
                    <w:jc w:val="center"/>
                    <w:rPr>
                      <w:sz w:val="21"/>
                      <w:szCs w:val="21"/>
                    </w:rPr>
                  </w:pPr>
                  <w:r>
                    <w:rPr>
                      <w:rFonts w:hint="eastAsia"/>
                      <w:sz w:val="21"/>
                      <w:szCs w:val="21"/>
                    </w:rPr>
                    <w:t>本项目情况</w:t>
                  </w:r>
                </w:p>
              </w:tc>
              <w:tc>
                <w:tcPr>
                  <w:tcW w:w="615" w:type="dxa"/>
                  <w:vAlign w:val="center"/>
                </w:tcPr>
                <w:p w14:paraId="13109AA6">
                  <w:pPr>
                    <w:pStyle w:val="55"/>
                    <w:spacing w:line="240" w:lineRule="auto"/>
                    <w:ind w:firstLine="0" w:firstLineChars="0"/>
                    <w:jc w:val="center"/>
                    <w:rPr>
                      <w:sz w:val="21"/>
                      <w:szCs w:val="21"/>
                    </w:rPr>
                  </w:pPr>
                  <w:r>
                    <w:rPr>
                      <w:rFonts w:hint="eastAsia"/>
                      <w:sz w:val="21"/>
                      <w:szCs w:val="21"/>
                    </w:rPr>
                    <w:t>符合性</w:t>
                  </w:r>
                </w:p>
              </w:tc>
            </w:tr>
            <w:tr w14:paraId="6CCC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162" w:type="dxa"/>
                  <w:vAlign w:val="center"/>
                </w:tcPr>
                <w:p w14:paraId="4921B76D">
                  <w:pPr>
                    <w:pStyle w:val="55"/>
                    <w:spacing w:line="240" w:lineRule="auto"/>
                    <w:ind w:firstLine="0" w:firstLineChars="0"/>
                    <w:jc w:val="center"/>
                    <w:rPr>
                      <w:sz w:val="21"/>
                      <w:szCs w:val="21"/>
                    </w:rPr>
                  </w:pPr>
                  <w:r>
                    <w:rPr>
                      <w:rFonts w:hint="eastAsia"/>
                      <w:sz w:val="21"/>
                      <w:szCs w:val="21"/>
                    </w:rPr>
                    <w:t>《国务院关于印发“十四五”节能减排综合工作方案的通知》国发〔2021〕33号</w:t>
                  </w:r>
                </w:p>
              </w:tc>
              <w:tc>
                <w:tcPr>
                  <w:tcW w:w="3093" w:type="dxa"/>
                  <w:vAlign w:val="center"/>
                </w:tcPr>
                <w:p w14:paraId="7E461991">
                  <w:pPr>
                    <w:pStyle w:val="55"/>
                    <w:spacing w:line="240" w:lineRule="auto"/>
                    <w:ind w:firstLine="0" w:firstLineChars="0"/>
                    <w:jc w:val="center"/>
                    <w:rPr>
                      <w:sz w:val="21"/>
                      <w:szCs w:val="21"/>
                    </w:rPr>
                  </w:pPr>
                  <w:r>
                    <w:rPr>
                      <w:rFonts w:hint="eastAsia"/>
                      <w:sz w:val="21"/>
                      <w:szCs w:val="21"/>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2175" w:type="dxa"/>
                  <w:vMerge w:val="restart"/>
                  <w:vAlign w:val="center"/>
                </w:tcPr>
                <w:p w14:paraId="27AEF9F8">
                  <w:pPr>
                    <w:pStyle w:val="55"/>
                    <w:spacing w:line="240" w:lineRule="auto"/>
                    <w:ind w:firstLine="0" w:firstLineChars="0"/>
                    <w:jc w:val="center"/>
                    <w:rPr>
                      <w:sz w:val="21"/>
                      <w:szCs w:val="21"/>
                    </w:rPr>
                  </w:pPr>
                  <w:r>
                    <w:rPr>
                      <w:rFonts w:hint="eastAsia"/>
                      <w:sz w:val="21"/>
                      <w:szCs w:val="21"/>
                    </w:rPr>
                    <w:t>本项目使用的塑粉及水性漆，均为低VOCs原料。项目喷涂烘干工序产生非甲烷总烃经烘箱前后两端集气罩进行收集，经两级活性炭处理后，处理后通过15m高排气进行排放。项目喷漆烘干工序产生非甲烷总烃玻璃纤维过滤棉+活性炭吸附装置处理，处理后通过15m高排气进行排放。燃料燃烧废气设置有低氮燃烧器，废气通过15m高排气筒排放。</w:t>
                  </w:r>
                </w:p>
              </w:tc>
              <w:tc>
                <w:tcPr>
                  <w:tcW w:w="615" w:type="dxa"/>
                  <w:vAlign w:val="center"/>
                </w:tcPr>
                <w:p w14:paraId="1967AC0B">
                  <w:pPr>
                    <w:pStyle w:val="55"/>
                    <w:spacing w:line="240" w:lineRule="auto"/>
                    <w:ind w:firstLine="0" w:firstLineChars="0"/>
                    <w:jc w:val="center"/>
                    <w:rPr>
                      <w:sz w:val="21"/>
                      <w:szCs w:val="21"/>
                    </w:rPr>
                  </w:pPr>
                  <w:r>
                    <w:rPr>
                      <w:rFonts w:hint="eastAsia"/>
                      <w:sz w:val="21"/>
                      <w:szCs w:val="21"/>
                    </w:rPr>
                    <w:t>符合</w:t>
                  </w:r>
                </w:p>
              </w:tc>
            </w:tr>
            <w:tr w14:paraId="076F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1162" w:type="dxa"/>
                  <w:vAlign w:val="center"/>
                </w:tcPr>
                <w:p w14:paraId="1AC4CADA">
                  <w:pPr>
                    <w:pStyle w:val="55"/>
                    <w:spacing w:line="240" w:lineRule="auto"/>
                    <w:ind w:firstLine="0" w:firstLineChars="0"/>
                    <w:jc w:val="center"/>
                    <w:rPr>
                      <w:sz w:val="21"/>
                      <w:szCs w:val="21"/>
                    </w:rPr>
                  </w:pPr>
                  <w:r>
                    <w:rPr>
                      <w:sz w:val="21"/>
                      <w:szCs w:val="21"/>
                    </w:rPr>
                    <w:t>《</w:t>
                  </w:r>
                  <w:r>
                    <w:rPr>
                      <w:rFonts w:hint="eastAsia"/>
                      <w:sz w:val="21"/>
                      <w:szCs w:val="21"/>
                    </w:rPr>
                    <w:t>陕西省十四五生态环境保护规划</w:t>
                  </w:r>
                  <w:r>
                    <w:rPr>
                      <w:sz w:val="21"/>
                      <w:szCs w:val="21"/>
                    </w:rPr>
                    <w:t>》</w:t>
                  </w:r>
                </w:p>
              </w:tc>
              <w:tc>
                <w:tcPr>
                  <w:tcW w:w="3093" w:type="dxa"/>
                  <w:vAlign w:val="center"/>
                </w:tcPr>
                <w:p w14:paraId="44C8DE66">
                  <w:pPr>
                    <w:pStyle w:val="55"/>
                    <w:spacing w:line="240" w:lineRule="auto"/>
                    <w:ind w:firstLine="0" w:firstLineChars="0"/>
                    <w:jc w:val="center"/>
                    <w:rPr>
                      <w:sz w:val="21"/>
                      <w:szCs w:val="21"/>
                    </w:rPr>
                  </w:pPr>
                  <w:r>
                    <w:rPr>
                      <w:rFonts w:hint="eastAsia"/>
                      <w:sz w:val="21"/>
                      <w:szCs w:val="21"/>
                    </w:rPr>
                    <w:t>推进重点行业挥发性有机物综合整治。建立石化、化工、工业涂装、包装印刷、家具、电子制造、工程机械制造等重点行业源头、过程和末端全过程控制体系，实施挥发性有机物总量控制。在工业涂装和包装印刷等行业全面推进源头替代，严格落实国家和地方产品挥发性有机物含量限值质量标准。将全面使用符合国家要求的低挥发性有机物含量原辅材料的企业纳入正面清单和政府绿色采购清单。全面落实《挥发性有机物无组织排放控制标准（GB37822-2019）》要求，持续开展无组织排放排查整治工作，加强含挥发性有机物物料全方位、全链条、全环节闭环管理。</w:t>
                  </w:r>
                </w:p>
              </w:tc>
              <w:tc>
                <w:tcPr>
                  <w:tcW w:w="2175" w:type="dxa"/>
                  <w:vMerge w:val="continue"/>
                  <w:vAlign w:val="center"/>
                </w:tcPr>
                <w:p w14:paraId="7E0BE525">
                  <w:pPr>
                    <w:pStyle w:val="55"/>
                    <w:ind w:firstLine="420"/>
                    <w:jc w:val="center"/>
                    <w:rPr>
                      <w:sz w:val="21"/>
                      <w:szCs w:val="21"/>
                    </w:rPr>
                  </w:pPr>
                </w:p>
              </w:tc>
              <w:tc>
                <w:tcPr>
                  <w:tcW w:w="615" w:type="dxa"/>
                  <w:vAlign w:val="center"/>
                </w:tcPr>
                <w:p w14:paraId="1B20DF0B">
                  <w:pPr>
                    <w:pStyle w:val="55"/>
                    <w:spacing w:line="240" w:lineRule="auto"/>
                    <w:ind w:firstLine="0" w:firstLineChars="0"/>
                    <w:jc w:val="center"/>
                    <w:rPr>
                      <w:sz w:val="21"/>
                      <w:szCs w:val="21"/>
                    </w:rPr>
                  </w:pPr>
                  <w:r>
                    <w:rPr>
                      <w:rFonts w:hint="eastAsia"/>
                      <w:sz w:val="21"/>
                      <w:szCs w:val="21"/>
                    </w:rPr>
                    <w:t>符合</w:t>
                  </w:r>
                </w:p>
              </w:tc>
            </w:tr>
            <w:tr w14:paraId="163F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162" w:type="dxa"/>
                  <w:vMerge w:val="restart"/>
                  <w:vAlign w:val="center"/>
                </w:tcPr>
                <w:p w14:paraId="57B7175F">
                  <w:pPr>
                    <w:pStyle w:val="55"/>
                    <w:spacing w:line="240" w:lineRule="auto"/>
                    <w:ind w:firstLine="0" w:firstLineChars="0"/>
                    <w:jc w:val="center"/>
                    <w:rPr>
                      <w:sz w:val="21"/>
                      <w:szCs w:val="21"/>
                    </w:rPr>
                  </w:pPr>
                  <w:r>
                    <w:rPr>
                      <w:rFonts w:hint="eastAsia"/>
                      <w:sz w:val="21"/>
                      <w:szCs w:val="21"/>
                    </w:rPr>
                    <w:t>《</w:t>
                  </w:r>
                  <w:r>
                    <w:rPr>
                      <w:sz w:val="21"/>
                      <w:szCs w:val="21"/>
                    </w:rPr>
                    <w:t>陕西省人民政府办公厅关于印发蓝天碧水净土保卫战2022年工作方案的通知</w:t>
                  </w:r>
                  <w:r>
                    <w:rPr>
                      <w:rFonts w:hint="eastAsia"/>
                      <w:sz w:val="21"/>
                      <w:szCs w:val="21"/>
                    </w:rPr>
                    <w:t>》</w:t>
                  </w:r>
                  <w:r>
                    <w:rPr>
                      <w:sz w:val="21"/>
                      <w:szCs w:val="21"/>
                    </w:rPr>
                    <w:t>陕政办发〔2022〕8号</w:t>
                  </w:r>
                </w:p>
              </w:tc>
              <w:tc>
                <w:tcPr>
                  <w:tcW w:w="3093" w:type="dxa"/>
                  <w:vAlign w:val="center"/>
                </w:tcPr>
                <w:p w14:paraId="2E7F70B6">
                  <w:pPr>
                    <w:pStyle w:val="55"/>
                    <w:spacing w:line="240" w:lineRule="auto"/>
                    <w:ind w:firstLine="0" w:firstLineChars="0"/>
                    <w:jc w:val="center"/>
                    <w:rPr>
                      <w:sz w:val="21"/>
                      <w:szCs w:val="21"/>
                    </w:rPr>
                  </w:pPr>
                  <w:r>
                    <w:rPr>
                      <w:sz w:val="21"/>
                      <w:szCs w:val="21"/>
                    </w:rPr>
                    <w:t>开展简易低效挥发性有机物治理设施清理整顿。各市（区）对照排查整治清单，全面梳理挥发性有机物治理设施台账，分析治理技术、处理能力与挥发性有机物废气排放特征、组分等匹配性，对采用单一低温等离子、光氧化、光催化以及非水溶性挥发性有机物废气采用单一喷淋吸收等治理技术且无法稳定达标的，加快推进升级改造，严把工程质量，确保稳定达标排放。</w:t>
                  </w:r>
                </w:p>
              </w:tc>
              <w:tc>
                <w:tcPr>
                  <w:tcW w:w="2175" w:type="dxa"/>
                  <w:vMerge w:val="continue"/>
                  <w:vAlign w:val="center"/>
                </w:tcPr>
                <w:p w14:paraId="01754786">
                  <w:pPr>
                    <w:pStyle w:val="55"/>
                    <w:spacing w:line="240" w:lineRule="auto"/>
                    <w:ind w:firstLine="0" w:firstLineChars="0"/>
                    <w:jc w:val="center"/>
                    <w:rPr>
                      <w:sz w:val="21"/>
                      <w:szCs w:val="21"/>
                    </w:rPr>
                  </w:pPr>
                </w:p>
              </w:tc>
              <w:tc>
                <w:tcPr>
                  <w:tcW w:w="615" w:type="dxa"/>
                  <w:vMerge w:val="restart"/>
                  <w:vAlign w:val="center"/>
                </w:tcPr>
                <w:p w14:paraId="3A17D591">
                  <w:pPr>
                    <w:pStyle w:val="55"/>
                    <w:spacing w:line="240" w:lineRule="auto"/>
                    <w:ind w:firstLine="0" w:firstLineChars="0"/>
                    <w:jc w:val="center"/>
                    <w:rPr>
                      <w:sz w:val="21"/>
                      <w:szCs w:val="21"/>
                    </w:rPr>
                  </w:pPr>
                  <w:r>
                    <w:rPr>
                      <w:rFonts w:hint="eastAsia"/>
                      <w:sz w:val="21"/>
                      <w:szCs w:val="21"/>
                    </w:rPr>
                    <w:t>符合</w:t>
                  </w:r>
                </w:p>
              </w:tc>
            </w:tr>
            <w:tr w14:paraId="6FF7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162" w:type="dxa"/>
                  <w:vMerge w:val="continue"/>
                  <w:vAlign w:val="center"/>
                </w:tcPr>
                <w:p w14:paraId="15E251A1">
                  <w:pPr>
                    <w:pStyle w:val="55"/>
                    <w:spacing w:line="240" w:lineRule="auto"/>
                    <w:ind w:firstLine="0" w:firstLineChars="0"/>
                    <w:jc w:val="center"/>
                    <w:rPr>
                      <w:sz w:val="21"/>
                      <w:szCs w:val="21"/>
                    </w:rPr>
                  </w:pPr>
                </w:p>
              </w:tc>
              <w:tc>
                <w:tcPr>
                  <w:tcW w:w="3093" w:type="dxa"/>
                  <w:vAlign w:val="center"/>
                </w:tcPr>
                <w:p w14:paraId="16638DB1">
                  <w:pPr>
                    <w:pStyle w:val="55"/>
                    <w:spacing w:line="240" w:lineRule="auto"/>
                    <w:ind w:firstLine="0" w:firstLineChars="0"/>
                    <w:jc w:val="center"/>
                    <w:rPr>
                      <w:sz w:val="21"/>
                      <w:szCs w:val="21"/>
                    </w:rPr>
                  </w:pPr>
                  <w:r>
                    <w:rPr>
                      <w:sz w:val="21"/>
                      <w:szCs w:val="21"/>
                    </w:rPr>
                    <w:t>强化挥发性有机物无组织排放整治。全面排查含挥发性有机物物料储存、转移和输送、设备与管线组件、敞开液面以及工艺过程等环节无组织排放情况</w:t>
                  </w:r>
                  <w:r>
                    <w:rPr>
                      <w:rFonts w:hint="eastAsia"/>
                      <w:sz w:val="21"/>
                      <w:szCs w:val="21"/>
                    </w:rPr>
                    <w:t>。</w:t>
                  </w:r>
                </w:p>
              </w:tc>
              <w:tc>
                <w:tcPr>
                  <w:tcW w:w="2175" w:type="dxa"/>
                  <w:vMerge w:val="continue"/>
                  <w:vAlign w:val="center"/>
                </w:tcPr>
                <w:p w14:paraId="0A8781C3">
                  <w:pPr>
                    <w:pStyle w:val="55"/>
                    <w:spacing w:line="240" w:lineRule="auto"/>
                    <w:ind w:firstLine="0" w:firstLineChars="0"/>
                    <w:jc w:val="center"/>
                    <w:rPr>
                      <w:sz w:val="21"/>
                      <w:szCs w:val="21"/>
                    </w:rPr>
                  </w:pPr>
                </w:p>
              </w:tc>
              <w:tc>
                <w:tcPr>
                  <w:tcW w:w="615" w:type="dxa"/>
                  <w:vMerge w:val="continue"/>
                  <w:vAlign w:val="center"/>
                </w:tcPr>
                <w:p w14:paraId="05894255">
                  <w:pPr>
                    <w:pStyle w:val="55"/>
                    <w:spacing w:line="240" w:lineRule="auto"/>
                    <w:ind w:firstLine="0" w:firstLineChars="0"/>
                    <w:jc w:val="center"/>
                    <w:rPr>
                      <w:sz w:val="21"/>
                      <w:szCs w:val="21"/>
                    </w:rPr>
                  </w:pPr>
                </w:p>
              </w:tc>
            </w:tr>
            <w:tr w14:paraId="655B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62" w:type="dxa"/>
                  <w:vAlign w:val="center"/>
                </w:tcPr>
                <w:p w14:paraId="55D45799">
                  <w:pPr>
                    <w:pStyle w:val="73"/>
                    <w:rPr>
                      <w:rFonts w:eastAsia="宋体" w:cs="Times New Roman"/>
                      <w:color w:val="000000" w:themeColor="text1"/>
                      <w:szCs w:val="21"/>
                      <w14:textFill>
                        <w14:solidFill>
                          <w14:schemeClr w14:val="tx1"/>
                        </w14:solidFill>
                      </w14:textFill>
                    </w:rPr>
                  </w:pPr>
                  <w:r>
                    <w:rPr>
                      <w:rFonts w:hint="eastAsia" w:eastAsia="宋体" w:cs="Times New Roman"/>
                      <w:color w:val="000000" w:themeColor="text1"/>
                      <w:szCs w:val="21"/>
                      <w14:textFill>
                        <w14:solidFill>
                          <w14:schemeClr w14:val="tx1"/>
                        </w14:solidFill>
                      </w14:textFill>
                    </w:rPr>
                    <w:t>《西安市人民政府关于印发“十四五”生态环境保护规划的通知》（市政发〔2021〕21 号）</w:t>
                  </w:r>
                </w:p>
              </w:tc>
              <w:tc>
                <w:tcPr>
                  <w:tcW w:w="3093" w:type="dxa"/>
                  <w:vAlign w:val="center"/>
                </w:tcPr>
                <w:p w14:paraId="4EDC7E37">
                  <w:pPr>
                    <w:pStyle w:val="73"/>
                    <w:rPr>
                      <w:rFonts w:eastAsia="宋体" w:cs="Times New Roman"/>
                      <w:color w:val="000000" w:themeColor="text1"/>
                      <w:szCs w:val="21"/>
                      <w14:textFill>
                        <w14:solidFill>
                          <w14:schemeClr w14:val="tx1"/>
                        </w14:solidFill>
                      </w14:textFill>
                    </w:rPr>
                  </w:pPr>
                  <w:r>
                    <w:rPr>
                      <w:rFonts w:eastAsia="宋体" w:cs="Times New Roman"/>
                      <w:color w:val="000000" w:themeColor="text1"/>
                      <w:szCs w:val="21"/>
                      <w14:textFill>
                        <w14:solidFill>
                          <w14:schemeClr w14:val="tx1"/>
                        </w14:solidFill>
                      </w14:textFill>
                    </w:rPr>
                    <w:t>严格落实产品强制标准中VOCs含量限值；全面落实《挥发性有机物无组织排放控制标准》要求，引导企业加强对含VOCs物料的存储、转移和输送等环节的全方位密闭管理，以及对设备与管线组件泄漏、敞开液面逸散以及工艺过程等方面的全过程精细化管控，实现VOCs 排放量明显下降。</w:t>
                  </w:r>
                </w:p>
              </w:tc>
              <w:tc>
                <w:tcPr>
                  <w:tcW w:w="2175" w:type="dxa"/>
                  <w:vAlign w:val="center"/>
                </w:tcPr>
                <w:p w14:paraId="0EDDC6BD">
                  <w:pPr>
                    <w:pStyle w:val="55"/>
                    <w:spacing w:line="240" w:lineRule="auto"/>
                    <w:ind w:firstLine="0" w:firstLineChars="0"/>
                    <w:jc w:val="center"/>
                    <w:rPr>
                      <w:sz w:val="21"/>
                      <w:szCs w:val="21"/>
                    </w:rPr>
                  </w:pPr>
                  <w:r>
                    <w:rPr>
                      <w:rFonts w:hint="eastAsia"/>
                      <w:sz w:val="21"/>
                      <w:szCs w:val="21"/>
                    </w:rPr>
                    <w:t>本项目使用的粉末涂料及水性漆属于低V</w:t>
                  </w:r>
                  <w:r>
                    <w:rPr>
                      <w:sz w:val="21"/>
                      <w:szCs w:val="21"/>
                    </w:rPr>
                    <w:t>OC</w:t>
                  </w:r>
                  <w:r>
                    <w:rPr>
                      <w:rFonts w:hint="eastAsia"/>
                      <w:sz w:val="21"/>
                      <w:szCs w:val="21"/>
                    </w:rPr>
                    <w:t>s原料。项目产生非甲烷总烃的工序均在通过废气处理设备进行处理后，通过排气筒进行排放。</w:t>
                  </w:r>
                </w:p>
              </w:tc>
              <w:tc>
                <w:tcPr>
                  <w:tcW w:w="615" w:type="dxa"/>
                  <w:vAlign w:val="center"/>
                </w:tcPr>
                <w:p w14:paraId="5D4302D2">
                  <w:pPr>
                    <w:pStyle w:val="55"/>
                    <w:spacing w:line="240" w:lineRule="auto"/>
                    <w:ind w:firstLine="0" w:firstLineChars="0"/>
                    <w:jc w:val="center"/>
                    <w:rPr>
                      <w:sz w:val="21"/>
                      <w:szCs w:val="21"/>
                    </w:rPr>
                  </w:pPr>
                  <w:r>
                    <w:rPr>
                      <w:rFonts w:hint="eastAsia"/>
                      <w:sz w:val="21"/>
                      <w:szCs w:val="21"/>
                    </w:rPr>
                    <w:t>符合</w:t>
                  </w:r>
                </w:p>
              </w:tc>
            </w:tr>
            <w:tr w14:paraId="314E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62" w:type="dxa"/>
                  <w:vMerge w:val="restart"/>
                  <w:vAlign w:val="center"/>
                </w:tcPr>
                <w:p w14:paraId="212102E0">
                  <w:pPr>
                    <w:pStyle w:val="55"/>
                    <w:spacing w:line="240" w:lineRule="auto"/>
                    <w:ind w:firstLine="0" w:firstLineChars="0"/>
                    <w:jc w:val="center"/>
                    <w:rPr>
                      <w:sz w:val="21"/>
                      <w:szCs w:val="21"/>
                    </w:rPr>
                  </w:pPr>
                  <w:r>
                    <w:rPr>
                      <w:sz w:val="21"/>
                      <w:szCs w:val="21"/>
                    </w:rPr>
                    <w:t>《挥发性有机物（</w:t>
                  </w:r>
                  <w:r>
                    <w:rPr>
                      <w:rFonts w:hint="eastAsia"/>
                      <w:sz w:val="21"/>
                      <w:szCs w:val="21"/>
                    </w:rPr>
                    <w:t>VOCs</w:t>
                  </w:r>
                  <w:r>
                    <w:rPr>
                      <w:sz w:val="21"/>
                      <w:szCs w:val="21"/>
                    </w:rPr>
                    <w:t>）污染防治技术政策》</w:t>
                  </w:r>
                </w:p>
              </w:tc>
              <w:tc>
                <w:tcPr>
                  <w:tcW w:w="3093" w:type="dxa"/>
                  <w:vAlign w:val="center"/>
                </w:tcPr>
                <w:p w14:paraId="43E137C4">
                  <w:pPr>
                    <w:pStyle w:val="55"/>
                    <w:spacing w:line="240" w:lineRule="auto"/>
                    <w:ind w:firstLine="0" w:firstLineChars="0"/>
                    <w:jc w:val="center"/>
                    <w:rPr>
                      <w:sz w:val="21"/>
                      <w:szCs w:val="21"/>
                    </w:rPr>
                  </w:pPr>
                  <w:r>
                    <w:rPr>
                      <w:sz w:val="21"/>
                      <w:szCs w:val="21"/>
                    </w:rPr>
                    <w:t>鼓励符合环境标志产品技术要求的水基型、无有机溶剂型、低有机溶剂型的塑粉、油墨和胶粘剂等的生产和销售。</w:t>
                  </w:r>
                </w:p>
              </w:tc>
              <w:tc>
                <w:tcPr>
                  <w:tcW w:w="2175" w:type="dxa"/>
                  <w:vAlign w:val="center"/>
                </w:tcPr>
                <w:p w14:paraId="37013C1E">
                  <w:pPr>
                    <w:pStyle w:val="55"/>
                    <w:spacing w:line="240" w:lineRule="auto"/>
                    <w:ind w:firstLine="0" w:firstLineChars="0"/>
                    <w:jc w:val="center"/>
                    <w:rPr>
                      <w:sz w:val="21"/>
                      <w:szCs w:val="21"/>
                    </w:rPr>
                  </w:pPr>
                  <w:r>
                    <w:rPr>
                      <w:rFonts w:hint="eastAsia"/>
                      <w:sz w:val="21"/>
                      <w:szCs w:val="21"/>
                    </w:rPr>
                    <w:t>本项目使用的塑粉及水性漆，为低VOCs原料。</w:t>
                  </w:r>
                </w:p>
              </w:tc>
              <w:tc>
                <w:tcPr>
                  <w:tcW w:w="615" w:type="dxa"/>
                  <w:vAlign w:val="center"/>
                </w:tcPr>
                <w:p w14:paraId="5EFA892C">
                  <w:pPr>
                    <w:pStyle w:val="55"/>
                    <w:spacing w:line="240" w:lineRule="auto"/>
                    <w:ind w:firstLine="0" w:firstLineChars="0"/>
                    <w:jc w:val="center"/>
                    <w:rPr>
                      <w:sz w:val="21"/>
                      <w:szCs w:val="21"/>
                    </w:rPr>
                  </w:pPr>
                  <w:r>
                    <w:rPr>
                      <w:rFonts w:hint="eastAsia"/>
                      <w:sz w:val="21"/>
                      <w:szCs w:val="21"/>
                    </w:rPr>
                    <w:t>符合</w:t>
                  </w:r>
                </w:p>
              </w:tc>
            </w:tr>
            <w:tr w14:paraId="50FF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162" w:type="dxa"/>
                  <w:vMerge w:val="continue"/>
                  <w:vAlign w:val="center"/>
                </w:tcPr>
                <w:p w14:paraId="4829B659">
                  <w:pPr>
                    <w:pStyle w:val="55"/>
                    <w:spacing w:line="240" w:lineRule="auto"/>
                    <w:ind w:firstLine="0" w:firstLineChars="0"/>
                    <w:jc w:val="center"/>
                    <w:rPr>
                      <w:sz w:val="21"/>
                      <w:szCs w:val="21"/>
                    </w:rPr>
                  </w:pPr>
                </w:p>
              </w:tc>
              <w:tc>
                <w:tcPr>
                  <w:tcW w:w="3093" w:type="dxa"/>
                  <w:vAlign w:val="center"/>
                </w:tcPr>
                <w:p w14:paraId="1C3B0AFB">
                  <w:pPr>
                    <w:pStyle w:val="55"/>
                    <w:spacing w:line="240" w:lineRule="auto"/>
                    <w:ind w:firstLine="0" w:firstLineChars="0"/>
                    <w:jc w:val="center"/>
                    <w:rPr>
                      <w:sz w:val="21"/>
                      <w:szCs w:val="21"/>
                    </w:rPr>
                  </w:pPr>
                  <w:r>
                    <w:rPr>
                      <w:sz w:val="21"/>
                      <w:szCs w:val="21"/>
                    </w:rPr>
                    <w:t>含</w:t>
                  </w:r>
                  <w:r>
                    <w:rPr>
                      <w:rFonts w:hint="eastAsia"/>
                      <w:sz w:val="21"/>
                      <w:szCs w:val="21"/>
                    </w:rPr>
                    <w:t>VOCs</w:t>
                  </w:r>
                  <w:r>
                    <w:rPr>
                      <w:sz w:val="21"/>
                      <w:szCs w:val="21"/>
                    </w:rPr>
                    <w:t>产品的使用过程中，应采取废气收集措施，提高废气收集效率，减少废气的无组织排放与逸散，并对收集后的废气进行回收或处理后达标排放。</w:t>
                  </w:r>
                </w:p>
              </w:tc>
              <w:tc>
                <w:tcPr>
                  <w:tcW w:w="2175" w:type="dxa"/>
                  <w:vAlign w:val="center"/>
                </w:tcPr>
                <w:p w14:paraId="67A09806">
                  <w:pPr>
                    <w:pStyle w:val="55"/>
                    <w:spacing w:line="240" w:lineRule="auto"/>
                    <w:ind w:firstLine="0" w:firstLineChars="0"/>
                    <w:jc w:val="center"/>
                    <w:rPr>
                      <w:sz w:val="21"/>
                      <w:szCs w:val="21"/>
                    </w:rPr>
                  </w:pPr>
                  <w:r>
                    <w:rPr>
                      <w:rFonts w:hint="eastAsia"/>
                      <w:sz w:val="21"/>
                      <w:szCs w:val="21"/>
                    </w:rPr>
                    <w:t>项目产生非甲烷总烃的工序均在通过废气处理设备进行处理后，通过排气筒进行排放。</w:t>
                  </w:r>
                </w:p>
              </w:tc>
              <w:tc>
                <w:tcPr>
                  <w:tcW w:w="615" w:type="dxa"/>
                  <w:vAlign w:val="center"/>
                </w:tcPr>
                <w:p w14:paraId="7EBFA232">
                  <w:pPr>
                    <w:pStyle w:val="55"/>
                    <w:spacing w:line="240" w:lineRule="auto"/>
                    <w:ind w:firstLine="0" w:firstLineChars="0"/>
                    <w:jc w:val="center"/>
                    <w:rPr>
                      <w:sz w:val="21"/>
                      <w:szCs w:val="21"/>
                    </w:rPr>
                  </w:pPr>
                  <w:r>
                    <w:rPr>
                      <w:rFonts w:hint="eastAsia"/>
                      <w:sz w:val="21"/>
                      <w:szCs w:val="21"/>
                    </w:rPr>
                    <w:t>符合</w:t>
                  </w:r>
                </w:p>
              </w:tc>
            </w:tr>
            <w:tr w14:paraId="5491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162" w:type="dxa"/>
                  <w:vMerge w:val="continue"/>
                  <w:vAlign w:val="center"/>
                </w:tcPr>
                <w:p w14:paraId="66A6AD41">
                  <w:pPr>
                    <w:pStyle w:val="55"/>
                    <w:spacing w:line="240" w:lineRule="auto"/>
                    <w:ind w:firstLine="0" w:firstLineChars="0"/>
                    <w:jc w:val="center"/>
                    <w:rPr>
                      <w:sz w:val="21"/>
                      <w:szCs w:val="21"/>
                    </w:rPr>
                  </w:pPr>
                </w:p>
              </w:tc>
              <w:tc>
                <w:tcPr>
                  <w:tcW w:w="3093" w:type="dxa"/>
                  <w:vAlign w:val="center"/>
                </w:tcPr>
                <w:p w14:paraId="4504D632">
                  <w:pPr>
                    <w:pStyle w:val="55"/>
                    <w:spacing w:line="240" w:lineRule="auto"/>
                    <w:ind w:firstLine="0" w:firstLineChars="0"/>
                    <w:jc w:val="center"/>
                    <w:rPr>
                      <w:sz w:val="21"/>
                      <w:szCs w:val="21"/>
                    </w:rPr>
                  </w:pPr>
                  <w:r>
                    <w:rPr>
                      <w:sz w:val="21"/>
                      <w:szCs w:val="21"/>
                    </w:rPr>
                    <w:t>对于不能再生的过滤材料、吸附剂及催化剂等净化材料，应按照国家固体废物管理的相关规定处理处置。</w:t>
                  </w:r>
                </w:p>
              </w:tc>
              <w:tc>
                <w:tcPr>
                  <w:tcW w:w="2175" w:type="dxa"/>
                  <w:vAlign w:val="center"/>
                </w:tcPr>
                <w:p w14:paraId="4EA3BF50">
                  <w:pPr>
                    <w:pStyle w:val="55"/>
                    <w:spacing w:line="240" w:lineRule="auto"/>
                    <w:ind w:firstLine="0" w:firstLineChars="0"/>
                    <w:jc w:val="center"/>
                    <w:rPr>
                      <w:sz w:val="21"/>
                      <w:szCs w:val="21"/>
                    </w:rPr>
                  </w:pPr>
                  <w:r>
                    <w:rPr>
                      <w:sz w:val="21"/>
                      <w:szCs w:val="21"/>
                    </w:rPr>
                    <w:t>本项目产生的废活性炭等危险废物，交由有资质单位处置。</w:t>
                  </w:r>
                </w:p>
              </w:tc>
              <w:tc>
                <w:tcPr>
                  <w:tcW w:w="615" w:type="dxa"/>
                  <w:vAlign w:val="center"/>
                </w:tcPr>
                <w:p w14:paraId="0A384194">
                  <w:pPr>
                    <w:pStyle w:val="55"/>
                    <w:spacing w:line="240" w:lineRule="auto"/>
                    <w:ind w:firstLine="0" w:firstLineChars="0"/>
                    <w:jc w:val="center"/>
                    <w:rPr>
                      <w:sz w:val="21"/>
                      <w:szCs w:val="21"/>
                    </w:rPr>
                  </w:pPr>
                  <w:r>
                    <w:rPr>
                      <w:rFonts w:hint="eastAsia"/>
                      <w:sz w:val="21"/>
                      <w:szCs w:val="21"/>
                    </w:rPr>
                    <w:t>符合</w:t>
                  </w:r>
                </w:p>
              </w:tc>
            </w:tr>
            <w:tr w14:paraId="4EE0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4CD215E2">
                  <w:pPr>
                    <w:pStyle w:val="73"/>
                    <w:jc w:val="left"/>
                  </w:pPr>
                  <w:r>
                    <w:rPr>
                      <w:rFonts w:hint="eastAsia"/>
                    </w:rPr>
                    <w:t>《</w:t>
                  </w:r>
                  <w:r>
                    <w:t>西安市大气污染防治条例</w:t>
                  </w:r>
                  <w:r>
                    <w:rPr>
                      <w:rFonts w:hint="eastAsia"/>
                    </w:rPr>
                    <w:t>》(修正版)</w:t>
                  </w:r>
                </w:p>
              </w:tc>
              <w:tc>
                <w:tcPr>
                  <w:tcW w:w="3093" w:type="dxa"/>
                  <w:vAlign w:val="center"/>
                </w:tcPr>
                <w:p w14:paraId="7329920A">
                  <w:pPr>
                    <w:pStyle w:val="73"/>
                  </w:pPr>
                  <w:r>
                    <w:rPr>
                      <w:rFonts w:hint="eastAsia"/>
                    </w:rPr>
                    <w:t>向大气排放污染物的企业事业单位和其他生产经营者应当安装大气污染防治设施并确保正常使用。</w:t>
                  </w:r>
                </w:p>
              </w:tc>
              <w:tc>
                <w:tcPr>
                  <w:tcW w:w="2175" w:type="dxa"/>
                  <w:vAlign w:val="center"/>
                </w:tcPr>
                <w:p w14:paraId="455F69EB">
                  <w:pPr>
                    <w:pStyle w:val="55"/>
                    <w:spacing w:line="240" w:lineRule="auto"/>
                    <w:ind w:firstLine="0" w:firstLineChars="0"/>
                    <w:jc w:val="center"/>
                    <w:rPr>
                      <w:sz w:val="21"/>
                      <w:szCs w:val="21"/>
                    </w:rPr>
                  </w:pPr>
                  <w:r>
                    <w:rPr>
                      <w:rFonts w:hint="eastAsia"/>
                      <w:sz w:val="21"/>
                      <w:szCs w:val="21"/>
                    </w:rPr>
                    <w:t>项目</w:t>
                  </w:r>
                  <w:r>
                    <w:rPr>
                      <w:sz w:val="21"/>
                      <w:szCs w:val="21"/>
                    </w:rPr>
                    <w:t>生产过程</w:t>
                  </w:r>
                  <w:r>
                    <w:rPr>
                      <w:rFonts w:hint="eastAsia"/>
                      <w:sz w:val="21"/>
                      <w:szCs w:val="21"/>
                    </w:rPr>
                    <w:t>所用的原料均为低VOCs原料</w:t>
                  </w:r>
                  <w:r>
                    <w:rPr>
                      <w:sz w:val="21"/>
                      <w:szCs w:val="21"/>
                    </w:rPr>
                    <w:t>；</w:t>
                  </w:r>
                  <w:r>
                    <w:rPr>
                      <w:rFonts w:hint="eastAsia"/>
                      <w:sz w:val="21"/>
                      <w:szCs w:val="21"/>
                    </w:rPr>
                    <w:t>项目切割、焊接、打磨粉尘分别经各自废气治理设施处理后无组织排放；抛丸、喷粉、喷漆粉尘分别经配套废气治理设备有效处理后，经17m高排气筒进行排放；烘干、喷漆有机废气、燃料燃烧废气分别经配套废气治理设备有效处理后，经15m高排气筒进行排放；生活污水排入陕西敏瑞建筑科技有限公司鄠邑区分公司厂区东北角化粪池（18m</w:t>
                  </w:r>
                  <w:r>
                    <w:rPr>
                      <w:rFonts w:hint="eastAsia"/>
                      <w:sz w:val="21"/>
                      <w:szCs w:val="21"/>
                      <w:vertAlign w:val="superscript"/>
                    </w:rPr>
                    <w:t>3</w:t>
                  </w:r>
                  <w:r>
                    <w:rPr>
                      <w:rFonts w:hint="eastAsia"/>
                      <w:sz w:val="21"/>
                      <w:szCs w:val="21"/>
                    </w:rPr>
                    <w:t>）后进入惠民路市政污水管网最终进入鄠邑区第三污水处理厂。</w:t>
                  </w:r>
                  <w:r>
                    <w:rPr>
                      <w:sz w:val="21"/>
                      <w:szCs w:val="21"/>
                    </w:rPr>
                    <w:t>生产过程产生</w:t>
                  </w:r>
                  <w:r>
                    <w:rPr>
                      <w:rFonts w:hint="eastAsia"/>
                      <w:sz w:val="21"/>
                      <w:szCs w:val="21"/>
                    </w:rPr>
                    <w:t>的固废等均能得到妥善处置。</w:t>
                  </w:r>
                </w:p>
              </w:tc>
              <w:tc>
                <w:tcPr>
                  <w:tcW w:w="615" w:type="dxa"/>
                  <w:vAlign w:val="center"/>
                </w:tcPr>
                <w:p w14:paraId="3CE49F76">
                  <w:pPr>
                    <w:pStyle w:val="55"/>
                    <w:spacing w:line="240" w:lineRule="auto"/>
                    <w:ind w:firstLine="0" w:firstLineChars="0"/>
                    <w:jc w:val="center"/>
                    <w:rPr>
                      <w:sz w:val="21"/>
                      <w:szCs w:val="21"/>
                    </w:rPr>
                  </w:pPr>
                  <w:r>
                    <w:rPr>
                      <w:rFonts w:hint="eastAsia"/>
                      <w:sz w:val="21"/>
                      <w:szCs w:val="21"/>
                    </w:rPr>
                    <w:t>符合</w:t>
                  </w:r>
                </w:p>
              </w:tc>
            </w:tr>
          </w:tbl>
          <w:p w14:paraId="4E7425CE">
            <w:pPr>
              <w:pStyle w:val="5"/>
              <w:jc w:val="left"/>
              <w:rPr>
                <w:b/>
                <w:sz w:val="24"/>
              </w:rPr>
            </w:pPr>
            <w:r>
              <w:rPr>
                <w:rFonts w:hint="eastAsia"/>
                <w:b/>
                <w:sz w:val="24"/>
              </w:rPr>
              <w:t>5、选址合理性分析</w:t>
            </w:r>
          </w:p>
          <w:p w14:paraId="58BA9694">
            <w:pPr>
              <w:spacing w:line="360" w:lineRule="auto"/>
              <w:ind w:firstLine="480" w:firstLineChars="200"/>
              <w:rPr>
                <w:kern w:val="0"/>
                <w:sz w:val="24"/>
              </w:rPr>
            </w:pPr>
            <w:r>
              <w:rPr>
                <w:rFonts w:hint="eastAsia" w:ascii="宋体" w:hAnsi="宋体" w:cs="宋体"/>
                <w:sz w:val="24"/>
              </w:rPr>
              <w:t>陕西诚顺翔电器设备有限责任公司</w:t>
            </w:r>
            <w:r>
              <w:rPr>
                <w:rFonts w:hint="eastAsia"/>
                <w:sz w:val="24"/>
              </w:rPr>
              <w:t>租赁</w:t>
            </w:r>
            <w:r>
              <w:rPr>
                <w:rFonts w:hint="eastAsia"/>
                <w:kern w:val="0"/>
                <w:sz w:val="24"/>
              </w:rPr>
              <w:t>陕西敏瑞建筑科技有限公司</w:t>
            </w:r>
            <w:r>
              <w:rPr>
                <w:sz w:val="24"/>
              </w:rPr>
              <w:t>鄠邑区</w:t>
            </w:r>
            <w:r>
              <w:rPr>
                <w:rFonts w:hint="eastAsia"/>
                <w:sz w:val="24"/>
              </w:rPr>
              <w:t>分公司</w:t>
            </w:r>
            <w:r>
              <w:rPr>
                <w:rFonts w:hint="eastAsia"/>
                <w:kern w:val="0"/>
                <w:sz w:val="24"/>
              </w:rPr>
              <w:t>已建成9#标准化厂房</w:t>
            </w:r>
            <w:r>
              <w:rPr>
                <w:rFonts w:hint="eastAsia"/>
                <w:sz w:val="24"/>
              </w:rPr>
              <w:t>。</w:t>
            </w:r>
            <w:r>
              <w:rPr>
                <w:rFonts w:hint="eastAsia"/>
                <w:kern w:val="0"/>
                <w:sz w:val="24"/>
              </w:rPr>
              <w:t>陕西敏瑞建筑科技有限公司鄠邑区分公司已履行相关手续，目前陕西敏瑞建筑科技有限公司鄠邑区分公司仅使用11#厂房，本项目租赁9#厂房时为空置厂房，地面均已硬化，无原有污染情况。</w:t>
            </w:r>
          </w:p>
          <w:p w14:paraId="6D0F2C82">
            <w:pPr>
              <w:spacing w:line="360" w:lineRule="auto"/>
              <w:ind w:firstLine="480" w:firstLineChars="200"/>
              <w:rPr>
                <w:sz w:val="24"/>
              </w:rPr>
            </w:pPr>
            <w:r>
              <w:rPr>
                <w:color w:val="000000" w:themeColor="text1"/>
                <w:kern w:val="0"/>
                <w:sz w:val="24"/>
                <w14:textFill>
                  <w14:solidFill>
                    <w14:schemeClr w14:val="tx1"/>
                  </w14:solidFill>
                </w14:textFill>
              </w:rPr>
              <w:t>项目周边无自然保护区、风景名胜区等限制性敏感目标。</w:t>
            </w:r>
            <w:r>
              <w:rPr>
                <w:rFonts w:hint="eastAsia"/>
                <w:kern w:val="0"/>
                <w:sz w:val="24"/>
              </w:rPr>
              <w:t>距离本项目最近的阳光华庭，位于项目东南侧234m处，</w:t>
            </w:r>
            <w:r>
              <w:rPr>
                <w:rFonts w:hint="eastAsia" w:hAnsi="宋体"/>
                <w:snapToGrid w:val="0"/>
                <w:sz w:val="24"/>
              </w:rPr>
              <w:t>项目生产车间的产污设备距敏感点较远，在采取相应的污染物防治措施后，项目运行期间各类污染物均能达标排放，对环境的影响可以接受。</w:t>
            </w:r>
            <w:r>
              <w:rPr>
                <w:color w:val="000000" w:themeColor="text1"/>
                <w:kern w:val="0"/>
                <w:sz w:val="24"/>
                <w14:textFill>
                  <w14:solidFill>
                    <w14:schemeClr w14:val="tx1"/>
                  </w14:solidFill>
                </w14:textFill>
              </w:rPr>
              <w:t>本项目拟建于闲置的工业厂房内（租赁协议见附件</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），根据</w:t>
            </w:r>
            <w:r>
              <w:rPr>
                <w:rFonts w:hint="eastAsia"/>
                <w:color w:val="000000" w:themeColor="text1"/>
                <w:kern w:val="0"/>
                <w:sz w:val="24"/>
                <w14:textFill>
                  <w14:solidFill>
                    <w14:schemeClr w14:val="tx1"/>
                  </w14:solidFill>
                </w14:textFill>
              </w:rPr>
              <w:t>余下镇国土所出具</w:t>
            </w:r>
            <w:r>
              <w:rPr>
                <w:color w:val="000000" w:themeColor="text1"/>
                <w:kern w:val="0"/>
                <w:sz w:val="24"/>
                <w14:textFill>
                  <w14:solidFill>
                    <w14:schemeClr w14:val="tx1"/>
                  </w14:solidFill>
                </w14:textFill>
              </w:rPr>
              <w:t>的《土地性质证明》（附件</w:t>
            </w: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），本项目用地形式属于建设用地，且不新增占地。</w:t>
            </w:r>
            <w:r>
              <w:rPr>
                <w:rFonts w:hint="eastAsia"/>
                <w:sz w:val="24"/>
              </w:rPr>
              <w:t>项目的主要环境影响为运营期产生的废气、废水、噪声、固体废物等对区域环境的影响，根据环境影响评价结果，在采取相应的环保措施后，项目运行时产生的各类污染物符合达标排放要求，项目的建设不会对区域环境功能造成显著影响。</w:t>
            </w:r>
            <w:r>
              <w:rPr>
                <w:sz w:val="24"/>
              </w:rPr>
              <w:t>因此，从</w:t>
            </w:r>
            <w:r>
              <w:rPr>
                <w:rFonts w:hint="eastAsia"/>
                <w:sz w:val="24"/>
              </w:rPr>
              <w:t>环境保护角度</w:t>
            </w:r>
            <w:r>
              <w:rPr>
                <w:sz w:val="24"/>
              </w:rPr>
              <w:t>要求分析，项目选址可行。</w:t>
            </w:r>
          </w:p>
          <w:p w14:paraId="1B62795A">
            <w:pPr>
              <w:pStyle w:val="2"/>
            </w:pPr>
          </w:p>
          <w:p w14:paraId="591B4200"/>
          <w:p w14:paraId="6CE66F05">
            <w:pPr>
              <w:pStyle w:val="2"/>
            </w:pPr>
          </w:p>
          <w:p w14:paraId="76596342"/>
          <w:p w14:paraId="3CB76ACF">
            <w:pPr>
              <w:pStyle w:val="2"/>
            </w:pPr>
          </w:p>
          <w:p w14:paraId="62EF9B09"/>
          <w:p w14:paraId="35AC5575">
            <w:pPr>
              <w:pStyle w:val="2"/>
            </w:pPr>
          </w:p>
          <w:p w14:paraId="5F33FC97"/>
          <w:p w14:paraId="71559CEC">
            <w:pPr>
              <w:pStyle w:val="2"/>
            </w:pPr>
          </w:p>
          <w:p w14:paraId="747A705A"/>
          <w:p w14:paraId="1E5B9679">
            <w:pPr>
              <w:pStyle w:val="2"/>
            </w:pPr>
          </w:p>
          <w:p w14:paraId="34003B3A"/>
          <w:p w14:paraId="78CF9810">
            <w:pPr>
              <w:pStyle w:val="2"/>
            </w:pPr>
          </w:p>
          <w:p w14:paraId="3C675680"/>
          <w:p w14:paraId="5B04CF0C">
            <w:pPr>
              <w:pStyle w:val="2"/>
            </w:pPr>
          </w:p>
          <w:p w14:paraId="1652AE2C"/>
          <w:p w14:paraId="23882620">
            <w:pPr>
              <w:pStyle w:val="2"/>
            </w:pPr>
          </w:p>
          <w:p w14:paraId="75539C1B"/>
          <w:p w14:paraId="441987F8">
            <w:pPr>
              <w:pStyle w:val="2"/>
            </w:pPr>
          </w:p>
          <w:p w14:paraId="4724A22F"/>
          <w:p w14:paraId="555284B1">
            <w:pPr>
              <w:pStyle w:val="2"/>
            </w:pPr>
          </w:p>
          <w:p w14:paraId="375EDCF5"/>
          <w:p w14:paraId="61CF3811">
            <w:pPr>
              <w:pStyle w:val="2"/>
            </w:pPr>
          </w:p>
          <w:p w14:paraId="2D104774"/>
          <w:p w14:paraId="5088C826">
            <w:pPr>
              <w:pStyle w:val="2"/>
            </w:pPr>
          </w:p>
        </w:tc>
      </w:tr>
    </w:tbl>
    <w:p w14:paraId="0F807FE8">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056A7E5C">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8601"/>
      </w:tblGrid>
      <w:tr w14:paraId="4A75F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23" w:type="dxa"/>
            <w:vAlign w:val="center"/>
          </w:tcPr>
          <w:p w14:paraId="1F4F0589">
            <w:pPr>
              <w:pStyle w:val="17"/>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161" w:type="dxa"/>
          </w:tcPr>
          <w:p w14:paraId="29A1A7B4">
            <w:pPr>
              <w:spacing w:line="360" w:lineRule="auto"/>
              <w:jc w:val="left"/>
              <w:rPr>
                <w:b/>
                <w:sz w:val="24"/>
              </w:rPr>
            </w:pPr>
            <w:r>
              <w:rPr>
                <w:rFonts w:hint="eastAsia"/>
                <w:b/>
                <w:sz w:val="24"/>
              </w:rPr>
              <w:t>建设项目工程分析</w:t>
            </w:r>
          </w:p>
          <w:p w14:paraId="1F71E3A0">
            <w:pPr>
              <w:spacing w:line="360" w:lineRule="auto"/>
              <w:jc w:val="left"/>
              <w:rPr>
                <w:b/>
                <w:sz w:val="24"/>
              </w:rPr>
            </w:pPr>
            <w:r>
              <w:rPr>
                <w:rFonts w:hint="eastAsia"/>
                <w:b/>
                <w:sz w:val="24"/>
              </w:rPr>
              <w:t>2.1项目建设内容</w:t>
            </w:r>
          </w:p>
          <w:p w14:paraId="4B4A3946">
            <w:pPr>
              <w:spacing w:line="360" w:lineRule="auto"/>
              <w:ind w:firstLine="482" w:firstLineChars="200"/>
              <w:jc w:val="left"/>
              <w:rPr>
                <w:b/>
                <w:sz w:val="24"/>
              </w:rPr>
            </w:pPr>
            <w:r>
              <w:rPr>
                <w:rFonts w:hint="eastAsia"/>
                <w:b/>
                <w:sz w:val="24"/>
              </w:rPr>
              <w:t>2.1.</w:t>
            </w:r>
            <w:r>
              <w:rPr>
                <w:b/>
                <w:sz w:val="24"/>
              </w:rPr>
              <w:t>1项目基本概况</w:t>
            </w:r>
          </w:p>
          <w:p w14:paraId="19E78740">
            <w:pPr>
              <w:spacing w:line="360" w:lineRule="auto"/>
              <w:ind w:firstLine="480" w:firstLineChars="200"/>
              <w:rPr>
                <w:rFonts w:ascii="宋体" w:hAnsi="宋体" w:cs="宋体"/>
                <w:sz w:val="24"/>
              </w:rPr>
            </w:pPr>
            <w:r>
              <w:rPr>
                <w:sz w:val="24"/>
              </w:rPr>
              <w:t>（1）项目名称：</w:t>
            </w:r>
            <w:r>
              <w:rPr>
                <w:rFonts w:hint="eastAsia" w:ascii="宋体" w:hAnsi="宋体" w:cs="宋体"/>
                <w:sz w:val="24"/>
              </w:rPr>
              <w:t>城市道路设施及建筑安全设施生产项目</w:t>
            </w:r>
          </w:p>
          <w:p w14:paraId="083D7DFE">
            <w:pPr>
              <w:spacing w:line="360" w:lineRule="auto"/>
              <w:ind w:firstLine="480" w:firstLineChars="200"/>
              <w:rPr>
                <w:rFonts w:ascii="宋体" w:hAnsi="宋体" w:cs="宋体"/>
                <w:sz w:val="24"/>
              </w:rPr>
            </w:pPr>
            <w:r>
              <w:rPr>
                <w:sz w:val="24"/>
              </w:rPr>
              <w:t>（2）建设单位：</w:t>
            </w:r>
            <w:r>
              <w:rPr>
                <w:rFonts w:hint="eastAsia" w:ascii="宋体" w:hAnsi="宋体" w:cs="宋体"/>
                <w:sz w:val="24"/>
              </w:rPr>
              <w:t>陕西诚顺翔电器设备有限责任公司</w:t>
            </w:r>
          </w:p>
          <w:p w14:paraId="4BF2956D">
            <w:pPr>
              <w:spacing w:line="360" w:lineRule="auto"/>
              <w:ind w:firstLine="480" w:firstLineChars="200"/>
              <w:rPr>
                <w:sz w:val="24"/>
              </w:rPr>
            </w:pPr>
            <w:r>
              <w:rPr>
                <w:sz w:val="24"/>
              </w:rPr>
              <w:t>（3）建设性质：新建</w:t>
            </w:r>
          </w:p>
          <w:p w14:paraId="4F30D7EA">
            <w:pPr>
              <w:spacing w:line="360" w:lineRule="auto"/>
              <w:ind w:firstLine="480" w:firstLineChars="200"/>
              <w:rPr>
                <w:sz w:val="24"/>
              </w:rPr>
            </w:pPr>
            <w:r>
              <w:rPr>
                <w:sz w:val="24"/>
              </w:rPr>
              <w:t>（4）项目投资：</w:t>
            </w:r>
            <w:r>
              <w:rPr>
                <w:rFonts w:hint="eastAsia"/>
                <w:sz w:val="24"/>
              </w:rPr>
              <w:t>3</w:t>
            </w:r>
            <w:r>
              <w:rPr>
                <w:sz w:val="24"/>
              </w:rPr>
              <w:t>000万元</w:t>
            </w:r>
          </w:p>
          <w:p w14:paraId="7B3C9B7D">
            <w:pPr>
              <w:adjustRightInd w:val="0"/>
              <w:snapToGrid w:val="0"/>
              <w:spacing w:line="360" w:lineRule="auto"/>
              <w:ind w:firstLine="482" w:firstLineChars="200"/>
              <w:rPr>
                <w:b/>
                <w:sz w:val="24"/>
              </w:rPr>
            </w:pPr>
            <w:r>
              <w:rPr>
                <w:b/>
                <w:sz w:val="24"/>
              </w:rPr>
              <w:t>2.1.2地理位置与四邻关系</w:t>
            </w:r>
          </w:p>
          <w:p w14:paraId="6D6A113F">
            <w:pPr>
              <w:spacing w:line="360" w:lineRule="auto"/>
              <w:ind w:firstLine="480" w:firstLineChars="200"/>
              <w:rPr>
                <w:sz w:val="24"/>
              </w:rPr>
            </w:pPr>
            <w:r>
              <w:rPr>
                <w:rFonts w:hint="eastAsia"/>
                <w:sz w:val="24"/>
              </w:rPr>
              <w:t>项目位于</w:t>
            </w:r>
            <w:r>
              <w:rPr>
                <w:rFonts w:hint="eastAsia" w:ascii="宋体" w:hAnsi="宋体" w:cs="宋体"/>
                <w:sz w:val="24"/>
              </w:rPr>
              <w:t>西安市鄠邑区大唐二电厂南侧</w:t>
            </w:r>
            <w:r>
              <w:rPr>
                <w:rFonts w:hint="eastAsia"/>
                <w:sz w:val="24"/>
              </w:rPr>
              <w:t>，项目北侧隔路为陕西华益乾铝业股份有限公司，</w:t>
            </w:r>
            <w:r>
              <w:rPr>
                <w:rFonts w:hint="eastAsia"/>
                <w:bCs/>
                <w:sz w:val="24"/>
              </w:rPr>
              <w:t>西侧隔</w:t>
            </w:r>
            <w:r>
              <w:rPr>
                <w:rFonts w:hint="eastAsia"/>
                <w:sz w:val="24"/>
              </w:rPr>
              <w:t>厂区道路为大唐二电厂</w:t>
            </w:r>
            <w:r>
              <w:rPr>
                <w:rFonts w:hint="eastAsia"/>
                <w:bCs/>
                <w:sz w:val="24"/>
              </w:rPr>
              <w:t>，南侧</w:t>
            </w:r>
            <w:r>
              <w:rPr>
                <w:rFonts w:hint="eastAsia"/>
                <w:sz w:val="24"/>
              </w:rPr>
              <w:t>为空地，东</w:t>
            </w:r>
            <w:r>
              <w:rPr>
                <w:sz w:val="24"/>
              </w:rPr>
              <w:t>侧</w:t>
            </w:r>
            <w:r>
              <w:rPr>
                <w:rFonts w:hint="eastAsia"/>
                <w:sz w:val="24"/>
              </w:rPr>
              <w:t>为西安太阳神餐具清洁消毒有限公司；</w:t>
            </w:r>
            <w:r>
              <w:rPr>
                <w:sz w:val="24"/>
              </w:rPr>
              <w:t>项目地理位置见附图1、四邻关系图见附图3。</w:t>
            </w:r>
          </w:p>
          <w:p w14:paraId="637B6445">
            <w:pPr>
              <w:adjustRightInd w:val="0"/>
              <w:snapToGrid w:val="0"/>
              <w:spacing w:line="360" w:lineRule="auto"/>
              <w:ind w:firstLine="482" w:firstLineChars="200"/>
              <w:rPr>
                <w:b/>
                <w:sz w:val="24"/>
              </w:rPr>
            </w:pPr>
            <w:r>
              <w:rPr>
                <w:rFonts w:hint="eastAsia"/>
                <w:b/>
                <w:sz w:val="24"/>
              </w:rPr>
              <w:t>2.1.3</w:t>
            </w:r>
            <w:r>
              <w:rPr>
                <w:b/>
                <w:sz w:val="24"/>
              </w:rPr>
              <w:t>项目建设内容及规模</w:t>
            </w:r>
          </w:p>
          <w:p w14:paraId="3EB3ED9F">
            <w:pPr>
              <w:adjustRightInd w:val="0"/>
              <w:snapToGrid w:val="0"/>
              <w:spacing w:line="360" w:lineRule="auto"/>
              <w:ind w:firstLine="480" w:firstLineChars="200"/>
              <w:rPr>
                <w:color w:val="FF0000"/>
                <w:sz w:val="24"/>
              </w:rPr>
            </w:pPr>
            <w:r>
              <w:rPr>
                <w:rFonts w:hint="eastAsia"/>
                <w:sz w:val="24"/>
              </w:rPr>
              <w:t>项目总占地面积为2400m</w:t>
            </w:r>
            <w:r>
              <w:rPr>
                <w:rFonts w:hint="eastAsia"/>
                <w:sz w:val="24"/>
                <w:vertAlign w:val="superscript"/>
              </w:rPr>
              <w:t>2</w:t>
            </w:r>
            <w:r>
              <w:rPr>
                <w:rFonts w:hint="eastAsia"/>
                <w:sz w:val="24"/>
              </w:rPr>
              <w:t>，主要建设生产车间2000m</w:t>
            </w:r>
            <w:r>
              <w:rPr>
                <w:rFonts w:hint="eastAsia"/>
                <w:sz w:val="24"/>
                <w:vertAlign w:val="superscript"/>
              </w:rPr>
              <w:t>2</w:t>
            </w:r>
            <w:r>
              <w:rPr>
                <w:rFonts w:hint="eastAsia"/>
                <w:sz w:val="24"/>
              </w:rPr>
              <w:t>，办公区600m</w:t>
            </w:r>
            <w:r>
              <w:rPr>
                <w:rFonts w:hint="eastAsia"/>
                <w:sz w:val="24"/>
                <w:vertAlign w:val="superscript"/>
              </w:rPr>
              <w:t>2</w:t>
            </w:r>
            <w:r>
              <w:rPr>
                <w:rFonts w:hint="eastAsia"/>
                <w:sz w:val="24"/>
              </w:rPr>
              <w:t>，项目建成后预计年产城市道路设施和建筑安全设施60万m</w:t>
            </w:r>
            <w:r>
              <w:rPr>
                <w:rFonts w:hint="eastAsia"/>
                <w:sz w:val="24"/>
                <w:vertAlign w:val="superscript"/>
              </w:rPr>
              <w:t>2</w:t>
            </w:r>
            <w:r>
              <w:rPr>
                <w:rFonts w:hint="eastAsia"/>
                <w:sz w:val="24"/>
              </w:rPr>
              <w:t>。项目建设内容一览表见表4。</w:t>
            </w:r>
          </w:p>
          <w:p w14:paraId="53BC3EB6">
            <w:pPr>
              <w:numPr>
                <w:ilvl w:val="0"/>
                <w:numId w:val="1"/>
              </w:numPr>
              <w:adjustRightInd w:val="0"/>
              <w:snapToGrid w:val="0"/>
              <w:jc w:val="center"/>
              <w:rPr>
                <w:b/>
                <w:szCs w:val="21"/>
              </w:rPr>
            </w:pPr>
            <w:r>
              <w:rPr>
                <w:rFonts w:hint="eastAsia"/>
                <w:b/>
                <w:szCs w:val="21"/>
              </w:rPr>
              <w:t xml:space="preserve">    </w:t>
            </w:r>
            <w:r>
              <w:rPr>
                <w:b/>
                <w:szCs w:val="21"/>
              </w:rPr>
              <w:t>项目建设内容一览表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2"/>
              <w:gridCol w:w="1352"/>
              <w:gridCol w:w="1149"/>
              <w:gridCol w:w="3742"/>
              <w:gridCol w:w="1210"/>
            </w:tblGrid>
            <w:tr w14:paraId="3C24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trPr>
              <w:tc>
                <w:tcPr>
                  <w:tcW w:w="550" w:type="pct"/>
                  <w:tcBorders>
                    <w:top w:val="single" w:color="auto" w:sz="4" w:space="0"/>
                    <w:left w:val="single" w:color="auto" w:sz="4" w:space="0"/>
                  </w:tcBorders>
                  <w:vAlign w:val="center"/>
                </w:tcPr>
                <w:p w14:paraId="41CB6E91">
                  <w:pPr>
                    <w:jc w:val="center"/>
                    <w:rPr>
                      <w:szCs w:val="21"/>
                    </w:rPr>
                  </w:pPr>
                  <w:r>
                    <w:rPr>
                      <w:szCs w:val="21"/>
                    </w:rPr>
                    <w:t>工程类别</w:t>
                  </w:r>
                </w:p>
              </w:tc>
              <w:tc>
                <w:tcPr>
                  <w:tcW w:w="807" w:type="pct"/>
                  <w:tcBorders>
                    <w:top w:val="single" w:color="auto" w:sz="4" w:space="0"/>
                  </w:tcBorders>
                  <w:vAlign w:val="center"/>
                </w:tcPr>
                <w:p w14:paraId="02647BD5">
                  <w:pPr>
                    <w:jc w:val="center"/>
                    <w:rPr>
                      <w:szCs w:val="21"/>
                    </w:rPr>
                  </w:pPr>
                  <w:r>
                    <w:rPr>
                      <w:rFonts w:hint="eastAsia"/>
                      <w:szCs w:val="21"/>
                    </w:rPr>
                    <w:t>工程名称</w:t>
                  </w:r>
                </w:p>
              </w:tc>
              <w:tc>
                <w:tcPr>
                  <w:tcW w:w="2919" w:type="pct"/>
                  <w:gridSpan w:val="2"/>
                  <w:tcBorders>
                    <w:top w:val="single" w:color="auto" w:sz="4" w:space="0"/>
                  </w:tcBorders>
                  <w:vAlign w:val="center"/>
                </w:tcPr>
                <w:p w14:paraId="448D92C2">
                  <w:pPr>
                    <w:jc w:val="center"/>
                    <w:rPr>
                      <w:szCs w:val="21"/>
                    </w:rPr>
                  </w:pPr>
                  <w:r>
                    <w:rPr>
                      <w:rFonts w:hint="eastAsia"/>
                      <w:szCs w:val="21"/>
                    </w:rPr>
                    <w:t>建设内容及规模</w:t>
                  </w:r>
                </w:p>
              </w:tc>
              <w:tc>
                <w:tcPr>
                  <w:tcW w:w="722" w:type="pct"/>
                  <w:tcBorders>
                    <w:top w:val="single" w:color="auto" w:sz="4" w:space="0"/>
                    <w:right w:val="single" w:color="auto" w:sz="4" w:space="0"/>
                  </w:tcBorders>
                  <w:vAlign w:val="center"/>
                </w:tcPr>
                <w:p w14:paraId="7718A15A">
                  <w:pPr>
                    <w:jc w:val="center"/>
                    <w:rPr>
                      <w:szCs w:val="21"/>
                    </w:rPr>
                  </w:pPr>
                  <w:r>
                    <w:rPr>
                      <w:rFonts w:hint="eastAsia"/>
                      <w:szCs w:val="21"/>
                    </w:rPr>
                    <w:t>备注</w:t>
                  </w:r>
                </w:p>
              </w:tc>
            </w:tr>
            <w:tr w14:paraId="4751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trPr>
              <w:tc>
                <w:tcPr>
                  <w:tcW w:w="550" w:type="pct"/>
                  <w:tcBorders>
                    <w:left w:val="single" w:color="auto" w:sz="4" w:space="0"/>
                  </w:tcBorders>
                  <w:vAlign w:val="center"/>
                </w:tcPr>
                <w:p w14:paraId="0635543B">
                  <w:pPr>
                    <w:snapToGrid w:val="0"/>
                    <w:jc w:val="center"/>
                    <w:rPr>
                      <w:szCs w:val="21"/>
                    </w:rPr>
                  </w:pPr>
                  <w:r>
                    <w:rPr>
                      <w:szCs w:val="21"/>
                    </w:rPr>
                    <w:t>主体</w:t>
                  </w:r>
                </w:p>
                <w:p w14:paraId="7996D9F8">
                  <w:pPr>
                    <w:snapToGrid w:val="0"/>
                    <w:jc w:val="center"/>
                    <w:rPr>
                      <w:szCs w:val="21"/>
                    </w:rPr>
                  </w:pPr>
                  <w:r>
                    <w:rPr>
                      <w:szCs w:val="21"/>
                    </w:rPr>
                    <w:t>工程</w:t>
                  </w:r>
                </w:p>
              </w:tc>
              <w:tc>
                <w:tcPr>
                  <w:tcW w:w="807" w:type="pct"/>
                  <w:vAlign w:val="center"/>
                </w:tcPr>
                <w:p w14:paraId="0390D1D1">
                  <w:pPr>
                    <w:snapToGrid w:val="0"/>
                    <w:jc w:val="center"/>
                    <w:rPr>
                      <w:szCs w:val="21"/>
                    </w:rPr>
                  </w:pPr>
                  <w:r>
                    <w:rPr>
                      <w:rFonts w:hint="eastAsia"/>
                      <w:szCs w:val="21"/>
                    </w:rPr>
                    <w:t>生产车间</w:t>
                  </w:r>
                </w:p>
              </w:tc>
              <w:tc>
                <w:tcPr>
                  <w:tcW w:w="2919" w:type="pct"/>
                  <w:gridSpan w:val="2"/>
                  <w:vAlign w:val="center"/>
                </w:tcPr>
                <w:p w14:paraId="7219FD1F">
                  <w:pPr>
                    <w:snapToGrid w:val="0"/>
                    <w:jc w:val="center"/>
                    <w:rPr>
                      <w:szCs w:val="21"/>
                    </w:rPr>
                  </w:pPr>
                  <w:r>
                    <w:rPr>
                      <w:rFonts w:hint="eastAsia"/>
                      <w:szCs w:val="21"/>
                    </w:rPr>
                    <w:t>建筑面积2000m</w:t>
                  </w:r>
                  <w:r>
                    <w:rPr>
                      <w:rFonts w:hint="eastAsia"/>
                      <w:szCs w:val="21"/>
                      <w:vertAlign w:val="superscript"/>
                    </w:rPr>
                    <w:t>2</w:t>
                  </w:r>
                  <w:r>
                    <w:rPr>
                      <w:rFonts w:hint="eastAsia"/>
                      <w:szCs w:val="21"/>
                    </w:rPr>
                    <w:t>，建设有1条全自动喷涂流水线（该工序设置有3个喷粉工位、1个喷漆房及1个烘箱），1条半自动箱式喷涂流水线（该工序设置有2个喷粉房、1个喷漆房及1个烘箱）及其配套的焊接区、切割区、打磨、抛丸区等，主要用于城市道路设施和建筑安全设施的生产。</w:t>
                  </w:r>
                </w:p>
              </w:tc>
              <w:tc>
                <w:tcPr>
                  <w:tcW w:w="722" w:type="pct"/>
                  <w:tcBorders>
                    <w:right w:val="single" w:color="auto" w:sz="4" w:space="0"/>
                  </w:tcBorders>
                  <w:vAlign w:val="center"/>
                </w:tcPr>
                <w:p w14:paraId="5344AFC9">
                  <w:pPr>
                    <w:snapToGrid w:val="0"/>
                    <w:jc w:val="center"/>
                    <w:rPr>
                      <w:szCs w:val="21"/>
                    </w:rPr>
                  </w:pPr>
                  <w:r>
                    <w:rPr>
                      <w:rFonts w:hint="eastAsia"/>
                      <w:szCs w:val="21"/>
                    </w:rPr>
                    <w:t>租赁已建成厂房</w:t>
                  </w:r>
                </w:p>
              </w:tc>
            </w:tr>
            <w:tr w14:paraId="1B8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550" w:type="pct"/>
                  <w:tcBorders>
                    <w:left w:val="single" w:color="auto" w:sz="4" w:space="0"/>
                  </w:tcBorders>
                  <w:vAlign w:val="center"/>
                </w:tcPr>
                <w:p w14:paraId="7D75597B">
                  <w:pPr>
                    <w:snapToGrid w:val="0"/>
                    <w:jc w:val="center"/>
                    <w:rPr>
                      <w:szCs w:val="21"/>
                    </w:rPr>
                  </w:pPr>
                  <w:r>
                    <w:rPr>
                      <w:rFonts w:hint="eastAsia"/>
                      <w:szCs w:val="21"/>
                    </w:rPr>
                    <w:t>辅助工程</w:t>
                  </w:r>
                </w:p>
              </w:tc>
              <w:tc>
                <w:tcPr>
                  <w:tcW w:w="807" w:type="pct"/>
                  <w:vAlign w:val="center"/>
                </w:tcPr>
                <w:p w14:paraId="5A6505B6">
                  <w:pPr>
                    <w:snapToGrid w:val="0"/>
                    <w:jc w:val="center"/>
                    <w:rPr>
                      <w:szCs w:val="21"/>
                    </w:rPr>
                  </w:pPr>
                  <w:r>
                    <w:rPr>
                      <w:rFonts w:hint="eastAsia"/>
                      <w:szCs w:val="21"/>
                    </w:rPr>
                    <w:t>办公、住宿区</w:t>
                  </w:r>
                </w:p>
              </w:tc>
              <w:tc>
                <w:tcPr>
                  <w:tcW w:w="2919" w:type="pct"/>
                  <w:gridSpan w:val="2"/>
                  <w:vAlign w:val="center"/>
                </w:tcPr>
                <w:p w14:paraId="0271737E">
                  <w:pPr>
                    <w:snapToGrid w:val="0"/>
                    <w:jc w:val="center"/>
                    <w:rPr>
                      <w:szCs w:val="21"/>
                    </w:rPr>
                  </w:pPr>
                  <w:r>
                    <w:rPr>
                      <w:rFonts w:hint="eastAsia"/>
                      <w:szCs w:val="21"/>
                    </w:rPr>
                    <w:t>3F，建筑面积600m</w:t>
                  </w:r>
                  <w:r>
                    <w:rPr>
                      <w:rFonts w:hint="eastAsia"/>
                      <w:szCs w:val="21"/>
                      <w:vertAlign w:val="superscript"/>
                    </w:rPr>
                    <w:t>2</w:t>
                  </w:r>
                  <w:r>
                    <w:rPr>
                      <w:rFonts w:hint="eastAsia"/>
                      <w:szCs w:val="21"/>
                    </w:rPr>
                    <w:t>，主要用于员工日常的办公。</w:t>
                  </w:r>
                </w:p>
              </w:tc>
              <w:tc>
                <w:tcPr>
                  <w:tcW w:w="722" w:type="pct"/>
                  <w:tcBorders>
                    <w:right w:val="single" w:color="auto" w:sz="4" w:space="0"/>
                  </w:tcBorders>
                  <w:vAlign w:val="center"/>
                </w:tcPr>
                <w:p w14:paraId="64DDEB4D">
                  <w:pPr>
                    <w:snapToGrid w:val="0"/>
                    <w:jc w:val="center"/>
                    <w:rPr>
                      <w:szCs w:val="21"/>
                    </w:rPr>
                  </w:pPr>
                  <w:r>
                    <w:rPr>
                      <w:rFonts w:hint="eastAsia"/>
                      <w:szCs w:val="21"/>
                    </w:rPr>
                    <w:t>租赁已建成办公区</w:t>
                  </w:r>
                </w:p>
              </w:tc>
            </w:tr>
            <w:tr w14:paraId="32A9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trPr>
              <w:tc>
                <w:tcPr>
                  <w:tcW w:w="550" w:type="pct"/>
                  <w:vMerge w:val="restart"/>
                  <w:tcBorders>
                    <w:left w:val="single" w:color="auto" w:sz="4" w:space="0"/>
                  </w:tcBorders>
                  <w:vAlign w:val="center"/>
                </w:tcPr>
                <w:p w14:paraId="17A7B5D9">
                  <w:pPr>
                    <w:snapToGrid w:val="0"/>
                    <w:jc w:val="center"/>
                    <w:rPr>
                      <w:szCs w:val="21"/>
                    </w:rPr>
                  </w:pPr>
                  <w:r>
                    <w:rPr>
                      <w:szCs w:val="21"/>
                    </w:rPr>
                    <w:t>公用</w:t>
                  </w:r>
                </w:p>
                <w:p w14:paraId="507CE1AA">
                  <w:pPr>
                    <w:snapToGrid w:val="0"/>
                    <w:jc w:val="center"/>
                    <w:rPr>
                      <w:szCs w:val="21"/>
                    </w:rPr>
                  </w:pPr>
                  <w:r>
                    <w:rPr>
                      <w:szCs w:val="21"/>
                    </w:rPr>
                    <w:t>工程</w:t>
                  </w:r>
                </w:p>
              </w:tc>
              <w:tc>
                <w:tcPr>
                  <w:tcW w:w="807" w:type="pct"/>
                  <w:vAlign w:val="center"/>
                </w:tcPr>
                <w:p w14:paraId="0E0933FE">
                  <w:pPr>
                    <w:snapToGrid w:val="0"/>
                    <w:jc w:val="center"/>
                    <w:rPr>
                      <w:szCs w:val="21"/>
                    </w:rPr>
                  </w:pPr>
                  <w:r>
                    <w:rPr>
                      <w:szCs w:val="21"/>
                    </w:rPr>
                    <w:t>供电系统</w:t>
                  </w:r>
                </w:p>
              </w:tc>
              <w:tc>
                <w:tcPr>
                  <w:tcW w:w="2919" w:type="pct"/>
                  <w:gridSpan w:val="2"/>
                  <w:vAlign w:val="center"/>
                </w:tcPr>
                <w:p w14:paraId="6C166906">
                  <w:pPr>
                    <w:snapToGrid w:val="0"/>
                    <w:jc w:val="center"/>
                    <w:rPr>
                      <w:szCs w:val="21"/>
                    </w:rPr>
                  </w:pPr>
                  <w:r>
                    <w:rPr>
                      <w:rFonts w:hint="eastAsia"/>
                      <w:szCs w:val="21"/>
                    </w:rPr>
                    <w:t>为</w:t>
                  </w:r>
                  <w:r>
                    <w:rPr>
                      <w:szCs w:val="21"/>
                    </w:rPr>
                    <w:t>市政</w:t>
                  </w:r>
                  <w:r>
                    <w:rPr>
                      <w:rFonts w:hint="eastAsia"/>
                      <w:szCs w:val="21"/>
                    </w:rPr>
                    <w:t>电网供电</w:t>
                  </w:r>
                </w:p>
              </w:tc>
              <w:tc>
                <w:tcPr>
                  <w:tcW w:w="722" w:type="pct"/>
                  <w:tcBorders>
                    <w:right w:val="single" w:color="auto" w:sz="4" w:space="0"/>
                  </w:tcBorders>
                  <w:vAlign w:val="center"/>
                </w:tcPr>
                <w:p w14:paraId="35E16D69">
                  <w:pPr>
                    <w:jc w:val="center"/>
                    <w:rPr>
                      <w:szCs w:val="21"/>
                    </w:rPr>
                  </w:pPr>
                  <w:r>
                    <w:rPr>
                      <w:rFonts w:hint="eastAsia"/>
                      <w:szCs w:val="21"/>
                    </w:rPr>
                    <w:t>/</w:t>
                  </w:r>
                </w:p>
              </w:tc>
            </w:tr>
            <w:tr w14:paraId="7CC1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trPr>
              <w:tc>
                <w:tcPr>
                  <w:tcW w:w="550" w:type="pct"/>
                  <w:vMerge w:val="continue"/>
                  <w:tcBorders>
                    <w:left w:val="single" w:color="auto" w:sz="4" w:space="0"/>
                  </w:tcBorders>
                  <w:vAlign w:val="center"/>
                </w:tcPr>
                <w:p w14:paraId="6A7B0063">
                  <w:pPr>
                    <w:snapToGrid w:val="0"/>
                    <w:jc w:val="center"/>
                    <w:rPr>
                      <w:szCs w:val="21"/>
                    </w:rPr>
                  </w:pPr>
                </w:p>
              </w:tc>
              <w:tc>
                <w:tcPr>
                  <w:tcW w:w="807" w:type="pct"/>
                  <w:vAlign w:val="center"/>
                </w:tcPr>
                <w:p w14:paraId="20A6AFE6">
                  <w:pPr>
                    <w:snapToGrid w:val="0"/>
                    <w:jc w:val="center"/>
                    <w:rPr>
                      <w:szCs w:val="21"/>
                    </w:rPr>
                  </w:pPr>
                  <w:r>
                    <w:rPr>
                      <w:szCs w:val="21"/>
                    </w:rPr>
                    <w:t>供水系统</w:t>
                  </w:r>
                </w:p>
              </w:tc>
              <w:tc>
                <w:tcPr>
                  <w:tcW w:w="2919" w:type="pct"/>
                  <w:gridSpan w:val="2"/>
                  <w:vAlign w:val="center"/>
                </w:tcPr>
                <w:p w14:paraId="71AB3E45">
                  <w:pPr>
                    <w:snapToGrid w:val="0"/>
                    <w:jc w:val="center"/>
                    <w:rPr>
                      <w:szCs w:val="21"/>
                    </w:rPr>
                  </w:pPr>
                  <w:r>
                    <w:rPr>
                      <w:rFonts w:hint="eastAsia"/>
                      <w:snapToGrid w:val="0"/>
                      <w:szCs w:val="21"/>
                    </w:rPr>
                    <w:t>市政管网</w:t>
                  </w:r>
                </w:p>
              </w:tc>
              <w:tc>
                <w:tcPr>
                  <w:tcW w:w="722" w:type="pct"/>
                  <w:tcBorders>
                    <w:right w:val="single" w:color="auto" w:sz="4" w:space="0"/>
                  </w:tcBorders>
                  <w:vAlign w:val="center"/>
                </w:tcPr>
                <w:p w14:paraId="6C19F917">
                  <w:pPr>
                    <w:jc w:val="center"/>
                    <w:rPr>
                      <w:szCs w:val="21"/>
                    </w:rPr>
                  </w:pPr>
                  <w:r>
                    <w:rPr>
                      <w:rFonts w:hint="eastAsia"/>
                      <w:szCs w:val="21"/>
                    </w:rPr>
                    <w:t>/</w:t>
                  </w:r>
                </w:p>
              </w:tc>
            </w:tr>
            <w:tr w14:paraId="714A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 w:hRule="atLeast"/>
              </w:trPr>
              <w:tc>
                <w:tcPr>
                  <w:tcW w:w="550" w:type="pct"/>
                  <w:vMerge w:val="continue"/>
                  <w:tcBorders>
                    <w:left w:val="single" w:color="auto" w:sz="4" w:space="0"/>
                  </w:tcBorders>
                  <w:vAlign w:val="center"/>
                </w:tcPr>
                <w:p w14:paraId="539C3DE4">
                  <w:pPr>
                    <w:snapToGrid w:val="0"/>
                    <w:jc w:val="center"/>
                    <w:rPr>
                      <w:szCs w:val="21"/>
                    </w:rPr>
                  </w:pPr>
                </w:p>
              </w:tc>
              <w:tc>
                <w:tcPr>
                  <w:tcW w:w="807" w:type="pct"/>
                  <w:vAlign w:val="center"/>
                </w:tcPr>
                <w:p w14:paraId="79E88ABF">
                  <w:pPr>
                    <w:snapToGrid w:val="0"/>
                    <w:jc w:val="center"/>
                    <w:rPr>
                      <w:szCs w:val="21"/>
                    </w:rPr>
                  </w:pPr>
                  <w:r>
                    <w:rPr>
                      <w:szCs w:val="21"/>
                    </w:rPr>
                    <w:t>排水系统</w:t>
                  </w:r>
                </w:p>
              </w:tc>
              <w:tc>
                <w:tcPr>
                  <w:tcW w:w="2919" w:type="pct"/>
                  <w:gridSpan w:val="2"/>
                  <w:vAlign w:val="center"/>
                </w:tcPr>
                <w:p w14:paraId="5112465C">
                  <w:pPr>
                    <w:jc w:val="center"/>
                    <w:rPr>
                      <w:szCs w:val="21"/>
                      <w:lang w:val="zh-CN" w:bidi="zh-CN"/>
                    </w:rPr>
                  </w:pPr>
                  <w:r>
                    <w:rPr>
                      <w:rFonts w:hint="eastAsia"/>
                      <w:szCs w:val="21"/>
                      <w:lang w:val="zh-CN" w:bidi="zh-CN"/>
                    </w:rPr>
                    <w:t>雨污分流，项目生活污水排入陕西敏瑞建筑科技有限公司鄠邑区分公司厂区东北角化粪池（18m</w:t>
                  </w:r>
                  <w:r>
                    <w:rPr>
                      <w:rFonts w:hint="eastAsia"/>
                      <w:szCs w:val="21"/>
                      <w:vertAlign w:val="superscript"/>
                      <w:lang w:val="zh-CN" w:bidi="zh-CN"/>
                    </w:rPr>
                    <w:t>3</w:t>
                  </w:r>
                  <w:r>
                    <w:rPr>
                      <w:rFonts w:hint="eastAsia"/>
                      <w:szCs w:val="21"/>
                      <w:lang w:val="zh-CN" w:bidi="zh-CN"/>
                    </w:rPr>
                    <w:t>）后进入惠民路市政污水管网最终进入鄠邑区第三污水处理厂。</w:t>
                  </w:r>
                </w:p>
              </w:tc>
              <w:tc>
                <w:tcPr>
                  <w:tcW w:w="722" w:type="pct"/>
                  <w:tcBorders>
                    <w:right w:val="single" w:color="auto" w:sz="4" w:space="0"/>
                  </w:tcBorders>
                  <w:vAlign w:val="center"/>
                </w:tcPr>
                <w:p w14:paraId="2C2CEFB4">
                  <w:pPr>
                    <w:jc w:val="center"/>
                    <w:rPr>
                      <w:szCs w:val="21"/>
                    </w:rPr>
                  </w:pPr>
                  <w:r>
                    <w:rPr>
                      <w:rFonts w:hint="eastAsia"/>
                      <w:szCs w:val="21"/>
                    </w:rPr>
                    <w:t>新建</w:t>
                  </w:r>
                </w:p>
              </w:tc>
            </w:tr>
            <w:tr w14:paraId="179D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 w:hRule="atLeast"/>
              </w:trPr>
              <w:tc>
                <w:tcPr>
                  <w:tcW w:w="550" w:type="pct"/>
                  <w:vMerge w:val="continue"/>
                  <w:tcBorders>
                    <w:left w:val="single" w:color="auto" w:sz="4" w:space="0"/>
                  </w:tcBorders>
                  <w:vAlign w:val="center"/>
                </w:tcPr>
                <w:p w14:paraId="13CE8343">
                  <w:pPr>
                    <w:snapToGrid w:val="0"/>
                    <w:jc w:val="center"/>
                    <w:rPr>
                      <w:szCs w:val="21"/>
                    </w:rPr>
                  </w:pPr>
                </w:p>
              </w:tc>
              <w:tc>
                <w:tcPr>
                  <w:tcW w:w="807" w:type="pct"/>
                  <w:vAlign w:val="center"/>
                </w:tcPr>
                <w:p w14:paraId="59884836">
                  <w:pPr>
                    <w:snapToGrid w:val="0"/>
                    <w:jc w:val="center"/>
                    <w:rPr>
                      <w:szCs w:val="21"/>
                    </w:rPr>
                  </w:pPr>
                  <w:r>
                    <w:rPr>
                      <w:szCs w:val="21"/>
                    </w:rPr>
                    <w:t>供暖、制冷</w:t>
                  </w:r>
                </w:p>
              </w:tc>
              <w:tc>
                <w:tcPr>
                  <w:tcW w:w="2919" w:type="pct"/>
                  <w:gridSpan w:val="2"/>
                  <w:vAlign w:val="center"/>
                </w:tcPr>
                <w:p w14:paraId="3F9CB1E7">
                  <w:pPr>
                    <w:snapToGrid w:val="0"/>
                    <w:jc w:val="center"/>
                    <w:rPr>
                      <w:bCs/>
                      <w:szCs w:val="21"/>
                    </w:rPr>
                  </w:pPr>
                  <w:r>
                    <w:rPr>
                      <w:bCs/>
                      <w:szCs w:val="21"/>
                    </w:rPr>
                    <w:t>办公室</w:t>
                  </w:r>
                  <w:r>
                    <w:rPr>
                      <w:rFonts w:hint="eastAsia"/>
                      <w:bCs/>
                      <w:szCs w:val="21"/>
                    </w:rPr>
                    <w:t>采用分体式空调制冷、制热。</w:t>
                  </w:r>
                </w:p>
              </w:tc>
              <w:tc>
                <w:tcPr>
                  <w:tcW w:w="722" w:type="pct"/>
                  <w:tcBorders>
                    <w:right w:val="single" w:color="auto" w:sz="4" w:space="0"/>
                  </w:tcBorders>
                  <w:vAlign w:val="center"/>
                </w:tcPr>
                <w:p w14:paraId="4D111F7A">
                  <w:pPr>
                    <w:jc w:val="center"/>
                    <w:rPr>
                      <w:szCs w:val="21"/>
                    </w:rPr>
                  </w:pPr>
                  <w:r>
                    <w:rPr>
                      <w:rFonts w:hint="eastAsia"/>
                      <w:szCs w:val="21"/>
                    </w:rPr>
                    <w:t>新建</w:t>
                  </w:r>
                </w:p>
              </w:tc>
            </w:tr>
            <w:tr w14:paraId="11D4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restart"/>
                  <w:tcBorders>
                    <w:left w:val="single" w:color="auto" w:sz="4" w:space="0"/>
                  </w:tcBorders>
                  <w:vAlign w:val="center"/>
                </w:tcPr>
                <w:p w14:paraId="1B0951C1">
                  <w:pPr>
                    <w:snapToGrid w:val="0"/>
                    <w:jc w:val="center"/>
                    <w:rPr>
                      <w:szCs w:val="21"/>
                    </w:rPr>
                  </w:pPr>
                  <w:r>
                    <w:rPr>
                      <w:rFonts w:hint="eastAsia"/>
                      <w:szCs w:val="21"/>
                    </w:rPr>
                    <w:t>环保工程</w:t>
                  </w:r>
                </w:p>
              </w:tc>
              <w:tc>
                <w:tcPr>
                  <w:tcW w:w="807" w:type="pct"/>
                  <w:vMerge w:val="restart"/>
                  <w:vAlign w:val="center"/>
                </w:tcPr>
                <w:p w14:paraId="12576773">
                  <w:pPr>
                    <w:jc w:val="center"/>
                    <w:rPr>
                      <w:szCs w:val="21"/>
                    </w:rPr>
                  </w:pPr>
                  <w:r>
                    <w:rPr>
                      <w:szCs w:val="21"/>
                    </w:rPr>
                    <w:t>废气</w:t>
                  </w:r>
                </w:p>
              </w:tc>
              <w:tc>
                <w:tcPr>
                  <w:tcW w:w="686" w:type="pct"/>
                  <w:vAlign w:val="center"/>
                </w:tcPr>
                <w:p w14:paraId="4A7FA244">
                  <w:pPr>
                    <w:jc w:val="center"/>
                    <w:rPr>
                      <w:szCs w:val="21"/>
                    </w:rPr>
                  </w:pPr>
                  <w:r>
                    <w:rPr>
                      <w:rFonts w:hint="eastAsia"/>
                      <w:szCs w:val="21"/>
                    </w:rPr>
                    <w:t>切割粉尘</w:t>
                  </w:r>
                </w:p>
              </w:tc>
              <w:tc>
                <w:tcPr>
                  <w:tcW w:w="2233" w:type="pct"/>
                  <w:vAlign w:val="center"/>
                </w:tcPr>
                <w:p w14:paraId="6A65C0D3">
                  <w:pPr>
                    <w:jc w:val="center"/>
                    <w:rPr>
                      <w:szCs w:val="21"/>
                    </w:rPr>
                  </w:pPr>
                  <w:r>
                    <w:rPr>
                      <w:rFonts w:hint="eastAsia"/>
                      <w:szCs w:val="21"/>
                    </w:rPr>
                    <w:t>项目共计两个切割机，粉尘通过管道连接，分别经自带布袋除尘器（TA001、TA002）处理后无组织排放；</w:t>
                  </w:r>
                </w:p>
              </w:tc>
              <w:tc>
                <w:tcPr>
                  <w:tcW w:w="722" w:type="pct"/>
                  <w:vMerge w:val="restart"/>
                  <w:tcBorders>
                    <w:right w:val="single" w:color="auto" w:sz="4" w:space="0"/>
                  </w:tcBorders>
                  <w:vAlign w:val="center"/>
                </w:tcPr>
                <w:p w14:paraId="00140219">
                  <w:pPr>
                    <w:jc w:val="center"/>
                    <w:rPr>
                      <w:szCs w:val="21"/>
                    </w:rPr>
                  </w:pPr>
                  <w:r>
                    <w:rPr>
                      <w:rFonts w:hint="eastAsia"/>
                      <w:szCs w:val="21"/>
                    </w:rPr>
                    <w:t>新建</w:t>
                  </w:r>
                </w:p>
              </w:tc>
            </w:tr>
            <w:tr w14:paraId="2ACB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57050C45">
                  <w:pPr>
                    <w:snapToGrid w:val="0"/>
                    <w:jc w:val="center"/>
                    <w:rPr>
                      <w:szCs w:val="21"/>
                    </w:rPr>
                  </w:pPr>
                </w:p>
              </w:tc>
              <w:tc>
                <w:tcPr>
                  <w:tcW w:w="807" w:type="pct"/>
                  <w:vMerge w:val="continue"/>
                  <w:vAlign w:val="center"/>
                </w:tcPr>
                <w:p w14:paraId="7B5ED00B">
                  <w:pPr>
                    <w:jc w:val="center"/>
                    <w:rPr>
                      <w:szCs w:val="21"/>
                    </w:rPr>
                  </w:pPr>
                </w:p>
              </w:tc>
              <w:tc>
                <w:tcPr>
                  <w:tcW w:w="686" w:type="pct"/>
                  <w:vAlign w:val="center"/>
                </w:tcPr>
                <w:p w14:paraId="5EFCE517">
                  <w:pPr>
                    <w:jc w:val="center"/>
                    <w:rPr>
                      <w:szCs w:val="21"/>
                    </w:rPr>
                  </w:pPr>
                  <w:r>
                    <w:rPr>
                      <w:rFonts w:hint="eastAsia"/>
                      <w:szCs w:val="21"/>
                    </w:rPr>
                    <w:t>焊接烟尘</w:t>
                  </w:r>
                </w:p>
              </w:tc>
              <w:tc>
                <w:tcPr>
                  <w:tcW w:w="2233" w:type="pct"/>
                  <w:vAlign w:val="center"/>
                </w:tcPr>
                <w:p w14:paraId="0443B1FF">
                  <w:pPr>
                    <w:jc w:val="center"/>
                    <w:rPr>
                      <w:szCs w:val="21"/>
                    </w:rPr>
                  </w:pPr>
                  <w:r>
                    <w:rPr>
                      <w:rFonts w:hint="eastAsia"/>
                      <w:szCs w:val="21"/>
                    </w:rPr>
                    <w:t>经4台移动式焊接烟尘净化器（TA003）处理后无组织排放；</w:t>
                  </w:r>
                </w:p>
              </w:tc>
              <w:tc>
                <w:tcPr>
                  <w:tcW w:w="722" w:type="pct"/>
                  <w:vMerge w:val="continue"/>
                  <w:tcBorders>
                    <w:right w:val="single" w:color="auto" w:sz="4" w:space="0"/>
                  </w:tcBorders>
                  <w:vAlign w:val="center"/>
                </w:tcPr>
                <w:p w14:paraId="562D0364">
                  <w:pPr>
                    <w:jc w:val="center"/>
                    <w:rPr>
                      <w:szCs w:val="21"/>
                    </w:rPr>
                  </w:pPr>
                </w:p>
              </w:tc>
            </w:tr>
            <w:tr w14:paraId="1B41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7F2FB9E6">
                  <w:pPr>
                    <w:snapToGrid w:val="0"/>
                    <w:jc w:val="center"/>
                    <w:rPr>
                      <w:szCs w:val="21"/>
                    </w:rPr>
                  </w:pPr>
                </w:p>
              </w:tc>
              <w:tc>
                <w:tcPr>
                  <w:tcW w:w="807" w:type="pct"/>
                  <w:vMerge w:val="continue"/>
                  <w:vAlign w:val="center"/>
                </w:tcPr>
                <w:p w14:paraId="2393BCEB">
                  <w:pPr>
                    <w:jc w:val="center"/>
                    <w:rPr>
                      <w:szCs w:val="21"/>
                    </w:rPr>
                  </w:pPr>
                </w:p>
              </w:tc>
              <w:tc>
                <w:tcPr>
                  <w:tcW w:w="686" w:type="pct"/>
                  <w:vAlign w:val="center"/>
                </w:tcPr>
                <w:p w14:paraId="66BF6446">
                  <w:pPr>
                    <w:autoSpaceDE w:val="0"/>
                    <w:autoSpaceDN w:val="0"/>
                    <w:adjustRightInd w:val="0"/>
                    <w:jc w:val="center"/>
                  </w:pPr>
                  <w:r>
                    <w:rPr>
                      <w:rFonts w:hint="eastAsia"/>
                    </w:rPr>
                    <w:t>打磨粉尘</w:t>
                  </w:r>
                </w:p>
              </w:tc>
              <w:tc>
                <w:tcPr>
                  <w:tcW w:w="2233" w:type="pct"/>
                  <w:vAlign w:val="center"/>
                </w:tcPr>
                <w:p w14:paraId="47DD7C9E">
                  <w:pPr>
                    <w:autoSpaceDE w:val="0"/>
                    <w:autoSpaceDN w:val="0"/>
                    <w:adjustRightInd w:val="0"/>
                    <w:jc w:val="center"/>
                  </w:pPr>
                  <w:r>
                    <w:rPr>
                      <w:rFonts w:hint="eastAsia"/>
                      <w:szCs w:val="21"/>
                    </w:rPr>
                    <w:t>项目共计2个打磨房，每个打磨房粉尘分别经两级纳米覆膜滤筒除尘器TA004、TA005处理后无组织排放；</w:t>
                  </w:r>
                </w:p>
              </w:tc>
              <w:tc>
                <w:tcPr>
                  <w:tcW w:w="722" w:type="pct"/>
                  <w:vMerge w:val="continue"/>
                  <w:tcBorders>
                    <w:right w:val="single" w:color="auto" w:sz="4" w:space="0"/>
                  </w:tcBorders>
                  <w:vAlign w:val="center"/>
                </w:tcPr>
                <w:p w14:paraId="32DD4BD2">
                  <w:pPr>
                    <w:jc w:val="center"/>
                    <w:rPr>
                      <w:szCs w:val="21"/>
                    </w:rPr>
                  </w:pPr>
                </w:p>
              </w:tc>
            </w:tr>
            <w:tr w14:paraId="71F9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01698EE3">
                  <w:pPr>
                    <w:snapToGrid w:val="0"/>
                    <w:jc w:val="center"/>
                    <w:rPr>
                      <w:szCs w:val="21"/>
                    </w:rPr>
                  </w:pPr>
                </w:p>
              </w:tc>
              <w:tc>
                <w:tcPr>
                  <w:tcW w:w="807" w:type="pct"/>
                  <w:vMerge w:val="continue"/>
                  <w:vAlign w:val="center"/>
                </w:tcPr>
                <w:p w14:paraId="2F614183">
                  <w:pPr>
                    <w:jc w:val="center"/>
                    <w:rPr>
                      <w:szCs w:val="21"/>
                    </w:rPr>
                  </w:pPr>
                </w:p>
              </w:tc>
              <w:tc>
                <w:tcPr>
                  <w:tcW w:w="686" w:type="pct"/>
                  <w:vAlign w:val="center"/>
                </w:tcPr>
                <w:p w14:paraId="70B9C27E">
                  <w:pPr>
                    <w:autoSpaceDE w:val="0"/>
                    <w:autoSpaceDN w:val="0"/>
                    <w:adjustRightInd w:val="0"/>
                    <w:jc w:val="center"/>
                  </w:pPr>
                  <w:r>
                    <w:rPr>
                      <w:rFonts w:hint="eastAsia"/>
                    </w:rPr>
                    <w:t>抛丸粉尘</w:t>
                  </w:r>
                </w:p>
              </w:tc>
              <w:tc>
                <w:tcPr>
                  <w:tcW w:w="2233" w:type="pct"/>
                  <w:vAlign w:val="center"/>
                </w:tcPr>
                <w:p w14:paraId="472A349E">
                  <w:pPr>
                    <w:autoSpaceDE w:val="0"/>
                    <w:autoSpaceDN w:val="0"/>
                    <w:adjustRightInd w:val="0"/>
                    <w:jc w:val="center"/>
                  </w:pPr>
                  <w:r>
                    <w:rPr>
                      <w:rFonts w:hint="eastAsia"/>
                    </w:rPr>
                    <w:t>粉尘经管道连接后经自带布袋除尘器（TA006）处理后通过17m高排气筒DA001进行排放；</w:t>
                  </w:r>
                </w:p>
              </w:tc>
              <w:tc>
                <w:tcPr>
                  <w:tcW w:w="722" w:type="pct"/>
                  <w:vMerge w:val="continue"/>
                  <w:tcBorders>
                    <w:right w:val="single" w:color="auto" w:sz="4" w:space="0"/>
                  </w:tcBorders>
                  <w:vAlign w:val="center"/>
                </w:tcPr>
                <w:p w14:paraId="266BDD14">
                  <w:pPr>
                    <w:jc w:val="center"/>
                    <w:rPr>
                      <w:szCs w:val="21"/>
                    </w:rPr>
                  </w:pPr>
                </w:p>
              </w:tc>
            </w:tr>
            <w:tr w14:paraId="0B05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48CE5BC5">
                  <w:pPr>
                    <w:snapToGrid w:val="0"/>
                    <w:jc w:val="center"/>
                    <w:rPr>
                      <w:szCs w:val="21"/>
                    </w:rPr>
                  </w:pPr>
                </w:p>
              </w:tc>
              <w:tc>
                <w:tcPr>
                  <w:tcW w:w="807" w:type="pct"/>
                  <w:vMerge w:val="continue"/>
                  <w:vAlign w:val="center"/>
                </w:tcPr>
                <w:p w14:paraId="63931C01">
                  <w:pPr>
                    <w:jc w:val="center"/>
                    <w:rPr>
                      <w:szCs w:val="21"/>
                    </w:rPr>
                  </w:pPr>
                </w:p>
              </w:tc>
              <w:tc>
                <w:tcPr>
                  <w:tcW w:w="686" w:type="pct"/>
                  <w:vMerge w:val="restart"/>
                  <w:vAlign w:val="center"/>
                </w:tcPr>
                <w:p w14:paraId="4FF85A88">
                  <w:pPr>
                    <w:autoSpaceDE w:val="0"/>
                    <w:autoSpaceDN w:val="0"/>
                    <w:adjustRightInd w:val="0"/>
                    <w:jc w:val="center"/>
                    <w:rPr>
                      <w:szCs w:val="21"/>
                    </w:rPr>
                  </w:pPr>
                  <w:r>
                    <w:rPr>
                      <w:rFonts w:hint="eastAsia"/>
                    </w:rPr>
                    <w:t>全自动喷涂流水线</w:t>
                  </w:r>
                </w:p>
              </w:tc>
              <w:tc>
                <w:tcPr>
                  <w:tcW w:w="2233" w:type="pct"/>
                  <w:vAlign w:val="center"/>
                </w:tcPr>
                <w:p w14:paraId="71ACAC49">
                  <w:pPr>
                    <w:autoSpaceDE w:val="0"/>
                    <w:autoSpaceDN w:val="0"/>
                    <w:adjustRightInd w:val="0"/>
                    <w:jc w:val="center"/>
                    <w:rPr>
                      <w:szCs w:val="21"/>
                    </w:rPr>
                  </w:pPr>
                  <w:r>
                    <w:rPr>
                      <w:rFonts w:hint="eastAsia"/>
                      <w:szCs w:val="21"/>
                    </w:rPr>
                    <w:t>手动喷粉工位1粉尘经自带滤筒除尘器和纳米覆膜滤筒除尘器TA007处理后通过17m高排气筒DA002进行排放；</w:t>
                  </w:r>
                </w:p>
              </w:tc>
              <w:tc>
                <w:tcPr>
                  <w:tcW w:w="722" w:type="pct"/>
                  <w:vMerge w:val="continue"/>
                  <w:tcBorders>
                    <w:right w:val="single" w:color="auto" w:sz="4" w:space="0"/>
                  </w:tcBorders>
                  <w:vAlign w:val="center"/>
                </w:tcPr>
                <w:p w14:paraId="6D0AAD11">
                  <w:pPr>
                    <w:jc w:val="center"/>
                    <w:rPr>
                      <w:szCs w:val="21"/>
                    </w:rPr>
                  </w:pPr>
                </w:p>
              </w:tc>
            </w:tr>
            <w:tr w14:paraId="2D47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543B7600">
                  <w:pPr>
                    <w:snapToGrid w:val="0"/>
                    <w:jc w:val="center"/>
                    <w:rPr>
                      <w:szCs w:val="21"/>
                    </w:rPr>
                  </w:pPr>
                </w:p>
              </w:tc>
              <w:tc>
                <w:tcPr>
                  <w:tcW w:w="807" w:type="pct"/>
                  <w:vMerge w:val="continue"/>
                  <w:vAlign w:val="center"/>
                </w:tcPr>
                <w:p w14:paraId="00F7A214">
                  <w:pPr>
                    <w:jc w:val="center"/>
                    <w:rPr>
                      <w:szCs w:val="21"/>
                    </w:rPr>
                  </w:pPr>
                </w:p>
              </w:tc>
              <w:tc>
                <w:tcPr>
                  <w:tcW w:w="686" w:type="pct"/>
                  <w:vMerge w:val="continue"/>
                  <w:vAlign w:val="center"/>
                </w:tcPr>
                <w:p w14:paraId="72F99C6D">
                  <w:pPr>
                    <w:autoSpaceDE w:val="0"/>
                    <w:autoSpaceDN w:val="0"/>
                    <w:adjustRightInd w:val="0"/>
                    <w:jc w:val="center"/>
                    <w:rPr>
                      <w:szCs w:val="21"/>
                    </w:rPr>
                  </w:pPr>
                </w:p>
              </w:tc>
              <w:tc>
                <w:tcPr>
                  <w:tcW w:w="2233" w:type="pct"/>
                  <w:vAlign w:val="center"/>
                </w:tcPr>
                <w:p w14:paraId="12F9C1C4">
                  <w:pPr>
                    <w:autoSpaceDE w:val="0"/>
                    <w:autoSpaceDN w:val="0"/>
                    <w:adjustRightInd w:val="0"/>
                    <w:jc w:val="center"/>
                    <w:rPr>
                      <w:szCs w:val="21"/>
                    </w:rPr>
                  </w:pPr>
                  <w:r>
                    <w:rPr>
                      <w:rFonts w:hint="eastAsia"/>
                      <w:szCs w:val="21"/>
                    </w:rPr>
                    <w:t>手动+自动喷粉工位2粉尘经自带滤筒除尘和纳米覆膜滤筒除尘器TA008处理后通过17m高排气筒DA002进行排放；</w:t>
                  </w:r>
                </w:p>
              </w:tc>
              <w:tc>
                <w:tcPr>
                  <w:tcW w:w="722" w:type="pct"/>
                  <w:vMerge w:val="continue"/>
                  <w:tcBorders>
                    <w:right w:val="single" w:color="auto" w:sz="4" w:space="0"/>
                  </w:tcBorders>
                  <w:vAlign w:val="center"/>
                </w:tcPr>
                <w:p w14:paraId="79ED5AAA">
                  <w:pPr>
                    <w:jc w:val="center"/>
                    <w:rPr>
                      <w:szCs w:val="21"/>
                    </w:rPr>
                  </w:pPr>
                </w:p>
              </w:tc>
            </w:tr>
            <w:tr w14:paraId="7823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05EF2797">
                  <w:pPr>
                    <w:snapToGrid w:val="0"/>
                    <w:jc w:val="center"/>
                    <w:rPr>
                      <w:szCs w:val="21"/>
                    </w:rPr>
                  </w:pPr>
                </w:p>
              </w:tc>
              <w:tc>
                <w:tcPr>
                  <w:tcW w:w="807" w:type="pct"/>
                  <w:vMerge w:val="continue"/>
                  <w:vAlign w:val="center"/>
                </w:tcPr>
                <w:p w14:paraId="2282F069">
                  <w:pPr>
                    <w:jc w:val="center"/>
                    <w:rPr>
                      <w:szCs w:val="21"/>
                    </w:rPr>
                  </w:pPr>
                </w:p>
              </w:tc>
              <w:tc>
                <w:tcPr>
                  <w:tcW w:w="686" w:type="pct"/>
                  <w:vMerge w:val="continue"/>
                  <w:vAlign w:val="center"/>
                </w:tcPr>
                <w:p w14:paraId="62D61170">
                  <w:pPr>
                    <w:autoSpaceDE w:val="0"/>
                    <w:autoSpaceDN w:val="0"/>
                    <w:adjustRightInd w:val="0"/>
                    <w:jc w:val="center"/>
                    <w:rPr>
                      <w:szCs w:val="21"/>
                    </w:rPr>
                  </w:pPr>
                </w:p>
              </w:tc>
              <w:tc>
                <w:tcPr>
                  <w:tcW w:w="2233" w:type="pct"/>
                  <w:vAlign w:val="center"/>
                </w:tcPr>
                <w:p w14:paraId="3ECCC107">
                  <w:pPr>
                    <w:autoSpaceDE w:val="0"/>
                    <w:autoSpaceDN w:val="0"/>
                    <w:adjustRightInd w:val="0"/>
                    <w:jc w:val="center"/>
                    <w:rPr>
                      <w:szCs w:val="21"/>
                    </w:rPr>
                  </w:pPr>
                  <w:r>
                    <w:rPr>
                      <w:rFonts w:hint="eastAsia"/>
                      <w:szCs w:val="21"/>
                    </w:rPr>
                    <w:t>手动+自动喷粉工位3粉尘经自带旋风+纳米覆膜滤筒除尘器TA009处理后通过17m高排气筒DA003进行排放；</w:t>
                  </w:r>
                </w:p>
              </w:tc>
              <w:tc>
                <w:tcPr>
                  <w:tcW w:w="722" w:type="pct"/>
                  <w:vMerge w:val="continue"/>
                  <w:tcBorders>
                    <w:right w:val="single" w:color="auto" w:sz="4" w:space="0"/>
                  </w:tcBorders>
                  <w:vAlign w:val="center"/>
                </w:tcPr>
                <w:p w14:paraId="78DA92A6">
                  <w:pPr>
                    <w:jc w:val="center"/>
                    <w:rPr>
                      <w:szCs w:val="21"/>
                    </w:rPr>
                  </w:pPr>
                </w:p>
              </w:tc>
            </w:tr>
            <w:tr w14:paraId="6E1B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6C0E769C">
                  <w:pPr>
                    <w:snapToGrid w:val="0"/>
                    <w:jc w:val="center"/>
                    <w:rPr>
                      <w:szCs w:val="21"/>
                    </w:rPr>
                  </w:pPr>
                </w:p>
              </w:tc>
              <w:tc>
                <w:tcPr>
                  <w:tcW w:w="807" w:type="pct"/>
                  <w:vMerge w:val="continue"/>
                  <w:vAlign w:val="center"/>
                </w:tcPr>
                <w:p w14:paraId="095F477A">
                  <w:pPr>
                    <w:jc w:val="center"/>
                    <w:rPr>
                      <w:szCs w:val="21"/>
                    </w:rPr>
                  </w:pPr>
                </w:p>
              </w:tc>
              <w:tc>
                <w:tcPr>
                  <w:tcW w:w="686" w:type="pct"/>
                  <w:vMerge w:val="continue"/>
                  <w:vAlign w:val="center"/>
                </w:tcPr>
                <w:p w14:paraId="7B3EE647">
                  <w:pPr>
                    <w:autoSpaceDE w:val="0"/>
                    <w:autoSpaceDN w:val="0"/>
                    <w:adjustRightInd w:val="0"/>
                    <w:jc w:val="center"/>
                    <w:rPr>
                      <w:szCs w:val="21"/>
                    </w:rPr>
                  </w:pPr>
                </w:p>
              </w:tc>
              <w:tc>
                <w:tcPr>
                  <w:tcW w:w="2233" w:type="pct"/>
                  <w:vAlign w:val="center"/>
                </w:tcPr>
                <w:p w14:paraId="149F08A2">
                  <w:pPr>
                    <w:autoSpaceDE w:val="0"/>
                    <w:autoSpaceDN w:val="0"/>
                    <w:adjustRightInd w:val="0"/>
                    <w:jc w:val="center"/>
                    <w:rPr>
                      <w:szCs w:val="21"/>
                    </w:rPr>
                  </w:pPr>
                  <w:r>
                    <w:rPr>
                      <w:rFonts w:hint="eastAsia"/>
                      <w:szCs w:val="21"/>
                    </w:rPr>
                    <w:t>喷漆房1废气经玻璃纤维过滤棉+活性炭吸附装置TA010处理后通过17m高排气筒DA002进行排放；</w:t>
                  </w:r>
                </w:p>
              </w:tc>
              <w:tc>
                <w:tcPr>
                  <w:tcW w:w="722" w:type="pct"/>
                  <w:vMerge w:val="continue"/>
                  <w:tcBorders>
                    <w:right w:val="single" w:color="auto" w:sz="4" w:space="0"/>
                  </w:tcBorders>
                  <w:vAlign w:val="center"/>
                </w:tcPr>
                <w:p w14:paraId="210DF67D">
                  <w:pPr>
                    <w:jc w:val="center"/>
                    <w:rPr>
                      <w:szCs w:val="21"/>
                    </w:rPr>
                  </w:pPr>
                </w:p>
              </w:tc>
            </w:tr>
            <w:tr w14:paraId="0987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564DCA8B">
                  <w:pPr>
                    <w:snapToGrid w:val="0"/>
                    <w:jc w:val="center"/>
                    <w:rPr>
                      <w:szCs w:val="21"/>
                    </w:rPr>
                  </w:pPr>
                </w:p>
              </w:tc>
              <w:tc>
                <w:tcPr>
                  <w:tcW w:w="807" w:type="pct"/>
                  <w:vMerge w:val="continue"/>
                  <w:vAlign w:val="center"/>
                </w:tcPr>
                <w:p w14:paraId="4AFA33CD">
                  <w:pPr>
                    <w:jc w:val="center"/>
                    <w:rPr>
                      <w:szCs w:val="21"/>
                    </w:rPr>
                  </w:pPr>
                </w:p>
              </w:tc>
              <w:tc>
                <w:tcPr>
                  <w:tcW w:w="686" w:type="pct"/>
                  <w:vMerge w:val="continue"/>
                  <w:vAlign w:val="center"/>
                </w:tcPr>
                <w:p w14:paraId="6ED6858C">
                  <w:pPr>
                    <w:autoSpaceDE w:val="0"/>
                    <w:autoSpaceDN w:val="0"/>
                    <w:adjustRightInd w:val="0"/>
                    <w:jc w:val="center"/>
                    <w:rPr>
                      <w:szCs w:val="21"/>
                    </w:rPr>
                  </w:pPr>
                </w:p>
              </w:tc>
              <w:tc>
                <w:tcPr>
                  <w:tcW w:w="2233" w:type="pct"/>
                  <w:vAlign w:val="center"/>
                </w:tcPr>
                <w:p w14:paraId="150F529B">
                  <w:pPr>
                    <w:autoSpaceDE w:val="0"/>
                    <w:autoSpaceDN w:val="0"/>
                    <w:adjustRightInd w:val="0"/>
                    <w:jc w:val="center"/>
                    <w:rPr>
                      <w:szCs w:val="21"/>
                    </w:rPr>
                  </w:pPr>
                  <w:r>
                    <w:rPr>
                      <w:rFonts w:hint="eastAsia"/>
                      <w:szCs w:val="21"/>
                    </w:rPr>
                    <w:t>烘箱1有机废气经两级活性炭吸附装置TA011处理后通过15m高排气筒DA004进行排放；</w:t>
                  </w:r>
                </w:p>
              </w:tc>
              <w:tc>
                <w:tcPr>
                  <w:tcW w:w="722" w:type="pct"/>
                  <w:vMerge w:val="continue"/>
                  <w:tcBorders>
                    <w:right w:val="single" w:color="auto" w:sz="4" w:space="0"/>
                  </w:tcBorders>
                  <w:vAlign w:val="center"/>
                </w:tcPr>
                <w:p w14:paraId="5D7C7BAB">
                  <w:pPr>
                    <w:jc w:val="center"/>
                    <w:rPr>
                      <w:szCs w:val="21"/>
                    </w:rPr>
                  </w:pPr>
                </w:p>
              </w:tc>
            </w:tr>
            <w:tr w14:paraId="520B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50782C63">
                  <w:pPr>
                    <w:snapToGrid w:val="0"/>
                    <w:jc w:val="center"/>
                    <w:rPr>
                      <w:szCs w:val="21"/>
                    </w:rPr>
                  </w:pPr>
                </w:p>
              </w:tc>
              <w:tc>
                <w:tcPr>
                  <w:tcW w:w="807" w:type="pct"/>
                  <w:vMerge w:val="continue"/>
                  <w:vAlign w:val="center"/>
                </w:tcPr>
                <w:p w14:paraId="1F5AC176">
                  <w:pPr>
                    <w:jc w:val="center"/>
                    <w:rPr>
                      <w:szCs w:val="21"/>
                    </w:rPr>
                  </w:pPr>
                </w:p>
              </w:tc>
              <w:tc>
                <w:tcPr>
                  <w:tcW w:w="686" w:type="pct"/>
                  <w:vMerge w:val="continue"/>
                  <w:vAlign w:val="center"/>
                </w:tcPr>
                <w:p w14:paraId="308FACB7">
                  <w:pPr>
                    <w:autoSpaceDE w:val="0"/>
                    <w:autoSpaceDN w:val="0"/>
                    <w:adjustRightInd w:val="0"/>
                    <w:jc w:val="center"/>
                    <w:rPr>
                      <w:szCs w:val="21"/>
                    </w:rPr>
                  </w:pPr>
                </w:p>
              </w:tc>
              <w:tc>
                <w:tcPr>
                  <w:tcW w:w="2233" w:type="pct"/>
                  <w:vAlign w:val="center"/>
                </w:tcPr>
                <w:p w14:paraId="087E2ABF">
                  <w:pPr>
                    <w:autoSpaceDE w:val="0"/>
                    <w:autoSpaceDN w:val="0"/>
                    <w:adjustRightInd w:val="0"/>
                    <w:jc w:val="center"/>
                    <w:rPr>
                      <w:szCs w:val="21"/>
                    </w:rPr>
                  </w:pPr>
                  <w:r>
                    <w:rPr>
                      <w:rFonts w:hint="eastAsia"/>
                      <w:szCs w:val="21"/>
                    </w:rPr>
                    <w:t>烘箱1燃料燃烧废气采取“低氮燃烧器TA012”技术，通过15m高排气筒DA005进行排放；</w:t>
                  </w:r>
                </w:p>
              </w:tc>
              <w:tc>
                <w:tcPr>
                  <w:tcW w:w="722" w:type="pct"/>
                  <w:vMerge w:val="continue"/>
                  <w:tcBorders>
                    <w:right w:val="single" w:color="auto" w:sz="4" w:space="0"/>
                  </w:tcBorders>
                  <w:vAlign w:val="center"/>
                </w:tcPr>
                <w:p w14:paraId="6F0536D5">
                  <w:pPr>
                    <w:jc w:val="center"/>
                    <w:rPr>
                      <w:szCs w:val="21"/>
                    </w:rPr>
                  </w:pPr>
                </w:p>
              </w:tc>
            </w:tr>
            <w:tr w14:paraId="30AA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557BF875">
                  <w:pPr>
                    <w:snapToGrid w:val="0"/>
                    <w:jc w:val="center"/>
                    <w:rPr>
                      <w:szCs w:val="21"/>
                    </w:rPr>
                  </w:pPr>
                </w:p>
              </w:tc>
              <w:tc>
                <w:tcPr>
                  <w:tcW w:w="807" w:type="pct"/>
                  <w:vMerge w:val="continue"/>
                  <w:vAlign w:val="center"/>
                </w:tcPr>
                <w:p w14:paraId="7400FFF8">
                  <w:pPr>
                    <w:jc w:val="center"/>
                    <w:rPr>
                      <w:szCs w:val="21"/>
                    </w:rPr>
                  </w:pPr>
                </w:p>
              </w:tc>
              <w:tc>
                <w:tcPr>
                  <w:tcW w:w="686" w:type="pct"/>
                  <w:vMerge w:val="restart"/>
                  <w:vAlign w:val="center"/>
                </w:tcPr>
                <w:p w14:paraId="3C37B34B">
                  <w:pPr>
                    <w:autoSpaceDE w:val="0"/>
                    <w:autoSpaceDN w:val="0"/>
                    <w:adjustRightInd w:val="0"/>
                    <w:jc w:val="center"/>
                    <w:rPr>
                      <w:szCs w:val="21"/>
                    </w:rPr>
                  </w:pPr>
                  <w:r>
                    <w:rPr>
                      <w:rFonts w:hint="eastAsia"/>
                    </w:rPr>
                    <w:t>半自动箱式喷涂流水线</w:t>
                  </w:r>
                </w:p>
              </w:tc>
              <w:tc>
                <w:tcPr>
                  <w:tcW w:w="2233" w:type="pct"/>
                  <w:vAlign w:val="center"/>
                </w:tcPr>
                <w:p w14:paraId="34B98355">
                  <w:pPr>
                    <w:autoSpaceDE w:val="0"/>
                    <w:autoSpaceDN w:val="0"/>
                    <w:adjustRightInd w:val="0"/>
                    <w:jc w:val="center"/>
                    <w:rPr>
                      <w:szCs w:val="21"/>
                    </w:rPr>
                  </w:pPr>
                  <w:r>
                    <w:rPr>
                      <w:rFonts w:hint="eastAsia"/>
                    </w:rPr>
                    <w:t>喷粉房4废气经滤筒除尘器和纳米覆膜除尘器TA013处理后通过17m高排气筒DA003进行排放；</w:t>
                  </w:r>
                </w:p>
              </w:tc>
              <w:tc>
                <w:tcPr>
                  <w:tcW w:w="722" w:type="pct"/>
                  <w:vMerge w:val="continue"/>
                  <w:tcBorders>
                    <w:right w:val="single" w:color="auto" w:sz="4" w:space="0"/>
                  </w:tcBorders>
                  <w:vAlign w:val="center"/>
                </w:tcPr>
                <w:p w14:paraId="5E3F603F">
                  <w:pPr>
                    <w:jc w:val="center"/>
                    <w:rPr>
                      <w:szCs w:val="21"/>
                    </w:rPr>
                  </w:pPr>
                </w:p>
              </w:tc>
            </w:tr>
            <w:tr w14:paraId="6A8D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1DA53810">
                  <w:pPr>
                    <w:snapToGrid w:val="0"/>
                    <w:jc w:val="center"/>
                    <w:rPr>
                      <w:szCs w:val="21"/>
                    </w:rPr>
                  </w:pPr>
                </w:p>
              </w:tc>
              <w:tc>
                <w:tcPr>
                  <w:tcW w:w="807" w:type="pct"/>
                  <w:vMerge w:val="continue"/>
                  <w:vAlign w:val="center"/>
                </w:tcPr>
                <w:p w14:paraId="47FBE669">
                  <w:pPr>
                    <w:jc w:val="center"/>
                    <w:rPr>
                      <w:szCs w:val="21"/>
                    </w:rPr>
                  </w:pPr>
                </w:p>
              </w:tc>
              <w:tc>
                <w:tcPr>
                  <w:tcW w:w="686" w:type="pct"/>
                  <w:vMerge w:val="continue"/>
                  <w:vAlign w:val="center"/>
                </w:tcPr>
                <w:p w14:paraId="261B0F82">
                  <w:pPr>
                    <w:autoSpaceDE w:val="0"/>
                    <w:autoSpaceDN w:val="0"/>
                    <w:adjustRightInd w:val="0"/>
                    <w:jc w:val="center"/>
                    <w:rPr>
                      <w:szCs w:val="21"/>
                    </w:rPr>
                  </w:pPr>
                </w:p>
              </w:tc>
              <w:tc>
                <w:tcPr>
                  <w:tcW w:w="2233" w:type="pct"/>
                  <w:vAlign w:val="center"/>
                </w:tcPr>
                <w:p w14:paraId="6F381BD2">
                  <w:pPr>
                    <w:autoSpaceDE w:val="0"/>
                    <w:autoSpaceDN w:val="0"/>
                    <w:adjustRightInd w:val="0"/>
                    <w:jc w:val="center"/>
                    <w:rPr>
                      <w:szCs w:val="21"/>
                    </w:rPr>
                  </w:pPr>
                  <w:r>
                    <w:rPr>
                      <w:rFonts w:hint="eastAsia"/>
                      <w:szCs w:val="21"/>
                    </w:rPr>
                    <w:t>烘箱2有机废气经两级活性炭吸附装置TA014处理后通过15m高排气筒DA004进行排放；</w:t>
                  </w:r>
                </w:p>
              </w:tc>
              <w:tc>
                <w:tcPr>
                  <w:tcW w:w="722" w:type="pct"/>
                  <w:vMerge w:val="continue"/>
                  <w:tcBorders>
                    <w:right w:val="single" w:color="auto" w:sz="4" w:space="0"/>
                  </w:tcBorders>
                  <w:vAlign w:val="center"/>
                </w:tcPr>
                <w:p w14:paraId="71D81D4D">
                  <w:pPr>
                    <w:jc w:val="center"/>
                    <w:rPr>
                      <w:szCs w:val="21"/>
                    </w:rPr>
                  </w:pPr>
                </w:p>
              </w:tc>
            </w:tr>
            <w:tr w14:paraId="6F06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1F1E34EF">
                  <w:pPr>
                    <w:snapToGrid w:val="0"/>
                    <w:jc w:val="center"/>
                    <w:rPr>
                      <w:szCs w:val="21"/>
                    </w:rPr>
                  </w:pPr>
                </w:p>
              </w:tc>
              <w:tc>
                <w:tcPr>
                  <w:tcW w:w="807" w:type="pct"/>
                  <w:vMerge w:val="continue"/>
                  <w:vAlign w:val="center"/>
                </w:tcPr>
                <w:p w14:paraId="1C7C5EB3">
                  <w:pPr>
                    <w:jc w:val="center"/>
                    <w:rPr>
                      <w:szCs w:val="21"/>
                    </w:rPr>
                  </w:pPr>
                </w:p>
              </w:tc>
              <w:tc>
                <w:tcPr>
                  <w:tcW w:w="686" w:type="pct"/>
                  <w:vMerge w:val="continue"/>
                  <w:vAlign w:val="center"/>
                </w:tcPr>
                <w:p w14:paraId="2F86AF3D">
                  <w:pPr>
                    <w:autoSpaceDE w:val="0"/>
                    <w:autoSpaceDN w:val="0"/>
                    <w:adjustRightInd w:val="0"/>
                    <w:jc w:val="center"/>
                    <w:rPr>
                      <w:szCs w:val="21"/>
                    </w:rPr>
                  </w:pPr>
                </w:p>
              </w:tc>
              <w:tc>
                <w:tcPr>
                  <w:tcW w:w="2233" w:type="pct"/>
                  <w:vAlign w:val="center"/>
                </w:tcPr>
                <w:p w14:paraId="2BCC8CFA">
                  <w:pPr>
                    <w:autoSpaceDE w:val="0"/>
                    <w:autoSpaceDN w:val="0"/>
                    <w:adjustRightInd w:val="0"/>
                    <w:jc w:val="center"/>
                    <w:rPr>
                      <w:szCs w:val="21"/>
                    </w:rPr>
                  </w:pPr>
                  <w:r>
                    <w:rPr>
                      <w:rFonts w:hint="eastAsia"/>
                      <w:szCs w:val="21"/>
                    </w:rPr>
                    <w:t>烘箱2燃料燃烧废气采“取低氮燃烧器TA015”技术，通过15m高排气筒DA005进行排放；</w:t>
                  </w:r>
                </w:p>
              </w:tc>
              <w:tc>
                <w:tcPr>
                  <w:tcW w:w="722" w:type="pct"/>
                  <w:vMerge w:val="continue"/>
                  <w:tcBorders>
                    <w:right w:val="single" w:color="auto" w:sz="4" w:space="0"/>
                  </w:tcBorders>
                  <w:vAlign w:val="center"/>
                </w:tcPr>
                <w:p w14:paraId="623CB550">
                  <w:pPr>
                    <w:jc w:val="center"/>
                    <w:rPr>
                      <w:szCs w:val="21"/>
                    </w:rPr>
                  </w:pPr>
                </w:p>
              </w:tc>
            </w:tr>
            <w:tr w14:paraId="7DA3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45DD69D2">
                  <w:pPr>
                    <w:snapToGrid w:val="0"/>
                    <w:jc w:val="center"/>
                    <w:rPr>
                      <w:szCs w:val="21"/>
                    </w:rPr>
                  </w:pPr>
                </w:p>
              </w:tc>
              <w:tc>
                <w:tcPr>
                  <w:tcW w:w="807" w:type="pct"/>
                  <w:vMerge w:val="continue"/>
                  <w:vAlign w:val="center"/>
                </w:tcPr>
                <w:p w14:paraId="2C1FD615">
                  <w:pPr>
                    <w:jc w:val="center"/>
                    <w:rPr>
                      <w:szCs w:val="21"/>
                    </w:rPr>
                  </w:pPr>
                </w:p>
              </w:tc>
              <w:tc>
                <w:tcPr>
                  <w:tcW w:w="686" w:type="pct"/>
                  <w:vMerge w:val="continue"/>
                  <w:vAlign w:val="center"/>
                </w:tcPr>
                <w:p w14:paraId="67F5C751">
                  <w:pPr>
                    <w:autoSpaceDE w:val="0"/>
                    <w:autoSpaceDN w:val="0"/>
                    <w:adjustRightInd w:val="0"/>
                    <w:jc w:val="center"/>
                    <w:rPr>
                      <w:szCs w:val="21"/>
                    </w:rPr>
                  </w:pPr>
                </w:p>
              </w:tc>
              <w:tc>
                <w:tcPr>
                  <w:tcW w:w="2233" w:type="pct"/>
                  <w:vAlign w:val="center"/>
                </w:tcPr>
                <w:p w14:paraId="4D330153">
                  <w:pPr>
                    <w:autoSpaceDE w:val="0"/>
                    <w:autoSpaceDN w:val="0"/>
                    <w:adjustRightInd w:val="0"/>
                    <w:jc w:val="center"/>
                    <w:rPr>
                      <w:szCs w:val="21"/>
                    </w:rPr>
                  </w:pPr>
                  <w:r>
                    <w:rPr>
                      <w:rFonts w:hint="eastAsia"/>
                    </w:rPr>
                    <w:t>喷粉房5粉尘经滤筒除尘器和纳米滤筒覆膜除尘器TA016处理后17m高排气筒DA006进行排放；</w:t>
                  </w:r>
                </w:p>
              </w:tc>
              <w:tc>
                <w:tcPr>
                  <w:tcW w:w="722" w:type="pct"/>
                  <w:vMerge w:val="continue"/>
                  <w:tcBorders>
                    <w:right w:val="single" w:color="auto" w:sz="4" w:space="0"/>
                  </w:tcBorders>
                  <w:vAlign w:val="center"/>
                </w:tcPr>
                <w:p w14:paraId="48DCBDDF">
                  <w:pPr>
                    <w:jc w:val="center"/>
                    <w:rPr>
                      <w:szCs w:val="21"/>
                    </w:rPr>
                  </w:pPr>
                </w:p>
              </w:tc>
            </w:tr>
            <w:tr w14:paraId="7E13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75DF31A5">
                  <w:pPr>
                    <w:snapToGrid w:val="0"/>
                    <w:jc w:val="center"/>
                    <w:rPr>
                      <w:szCs w:val="21"/>
                    </w:rPr>
                  </w:pPr>
                </w:p>
              </w:tc>
              <w:tc>
                <w:tcPr>
                  <w:tcW w:w="807" w:type="pct"/>
                  <w:vMerge w:val="continue"/>
                  <w:vAlign w:val="center"/>
                </w:tcPr>
                <w:p w14:paraId="181DCD0F">
                  <w:pPr>
                    <w:jc w:val="center"/>
                    <w:rPr>
                      <w:szCs w:val="21"/>
                    </w:rPr>
                  </w:pPr>
                </w:p>
              </w:tc>
              <w:tc>
                <w:tcPr>
                  <w:tcW w:w="686" w:type="pct"/>
                  <w:vMerge w:val="continue"/>
                  <w:vAlign w:val="center"/>
                </w:tcPr>
                <w:p w14:paraId="42F8D237">
                  <w:pPr>
                    <w:autoSpaceDE w:val="0"/>
                    <w:autoSpaceDN w:val="0"/>
                    <w:adjustRightInd w:val="0"/>
                    <w:jc w:val="center"/>
                    <w:rPr>
                      <w:szCs w:val="21"/>
                    </w:rPr>
                  </w:pPr>
                </w:p>
              </w:tc>
              <w:tc>
                <w:tcPr>
                  <w:tcW w:w="2233" w:type="pct"/>
                  <w:vAlign w:val="center"/>
                </w:tcPr>
                <w:p w14:paraId="07D5156D">
                  <w:pPr>
                    <w:autoSpaceDE w:val="0"/>
                    <w:autoSpaceDN w:val="0"/>
                    <w:adjustRightInd w:val="0"/>
                    <w:jc w:val="center"/>
                  </w:pPr>
                  <w:r>
                    <w:rPr>
                      <w:rFonts w:hint="eastAsia"/>
                      <w:szCs w:val="21"/>
                    </w:rPr>
                    <w:t>喷漆房2废气经玻璃纤维过滤棉+活性炭吸附装置TA017进行处理后通过17m高排气筒DA007进行排放；</w:t>
                  </w:r>
                </w:p>
              </w:tc>
              <w:tc>
                <w:tcPr>
                  <w:tcW w:w="722" w:type="pct"/>
                  <w:vMerge w:val="continue"/>
                  <w:tcBorders>
                    <w:right w:val="single" w:color="auto" w:sz="4" w:space="0"/>
                  </w:tcBorders>
                  <w:vAlign w:val="center"/>
                </w:tcPr>
                <w:p w14:paraId="7922BA78">
                  <w:pPr>
                    <w:jc w:val="center"/>
                    <w:rPr>
                      <w:szCs w:val="21"/>
                    </w:rPr>
                  </w:pPr>
                </w:p>
              </w:tc>
            </w:tr>
            <w:tr w14:paraId="6D96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trPr>
              <w:tc>
                <w:tcPr>
                  <w:tcW w:w="550" w:type="pct"/>
                  <w:vMerge w:val="continue"/>
                  <w:tcBorders>
                    <w:left w:val="single" w:color="auto" w:sz="4" w:space="0"/>
                  </w:tcBorders>
                  <w:vAlign w:val="center"/>
                </w:tcPr>
                <w:p w14:paraId="34334BAC">
                  <w:pPr>
                    <w:snapToGrid w:val="0"/>
                    <w:jc w:val="center"/>
                    <w:rPr>
                      <w:szCs w:val="21"/>
                    </w:rPr>
                  </w:pPr>
                </w:p>
              </w:tc>
              <w:tc>
                <w:tcPr>
                  <w:tcW w:w="807" w:type="pct"/>
                  <w:vAlign w:val="center"/>
                </w:tcPr>
                <w:p w14:paraId="2BFF8D24">
                  <w:pPr>
                    <w:jc w:val="center"/>
                    <w:rPr>
                      <w:szCs w:val="21"/>
                    </w:rPr>
                  </w:pPr>
                  <w:r>
                    <w:rPr>
                      <w:szCs w:val="21"/>
                    </w:rPr>
                    <w:t>废水</w:t>
                  </w:r>
                </w:p>
              </w:tc>
              <w:tc>
                <w:tcPr>
                  <w:tcW w:w="2919" w:type="pct"/>
                  <w:gridSpan w:val="2"/>
                  <w:vAlign w:val="center"/>
                </w:tcPr>
                <w:p w14:paraId="6B2B042E">
                  <w:pPr>
                    <w:jc w:val="center"/>
                    <w:rPr>
                      <w:szCs w:val="21"/>
                    </w:rPr>
                  </w:pPr>
                  <w:r>
                    <w:rPr>
                      <w:rFonts w:hint="eastAsia"/>
                      <w:szCs w:val="21"/>
                    </w:rPr>
                    <w:t>雨污分流，生活污水排入陕西敏瑞建筑科技有限公司鄠邑区分公司厂区东北角化粪池（18m</w:t>
                  </w:r>
                  <w:r>
                    <w:rPr>
                      <w:rFonts w:hint="eastAsia"/>
                      <w:szCs w:val="21"/>
                      <w:vertAlign w:val="superscript"/>
                    </w:rPr>
                    <w:t>3</w:t>
                  </w:r>
                  <w:r>
                    <w:rPr>
                      <w:rFonts w:hint="eastAsia"/>
                      <w:szCs w:val="21"/>
                    </w:rPr>
                    <w:t>）后进入惠民路市政污水管网最终进入鄠邑区第三污水处理厂。</w:t>
                  </w:r>
                </w:p>
              </w:tc>
              <w:tc>
                <w:tcPr>
                  <w:tcW w:w="722" w:type="pct"/>
                  <w:vMerge w:val="continue"/>
                  <w:tcBorders>
                    <w:right w:val="single" w:color="auto" w:sz="4" w:space="0"/>
                  </w:tcBorders>
                  <w:vAlign w:val="center"/>
                </w:tcPr>
                <w:p w14:paraId="1FE4B04B">
                  <w:pPr>
                    <w:jc w:val="center"/>
                    <w:rPr>
                      <w:szCs w:val="21"/>
                    </w:rPr>
                  </w:pPr>
                </w:p>
              </w:tc>
            </w:tr>
            <w:tr w14:paraId="09B8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rPr>
              <w:tc>
                <w:tcPr>
                  <w:tcW w:w="550" w:type="pct"/>
                  <w:vMerge w:val="continue"/>
                  <w:tcBorders>
                    <w:left w:val="single" w:color="auto" w:sz="4" w:space="0"/>
                  </w:tcBorders>
                  <w:vAlign w:val="center"/>
                </w:tcPr>
                <w:p w14:paraId="6D3AF090">
                  <w:pPr>
                    <w:snapToGrid w:val="0"/>
                    <w:jc w:val="center"/>
                    <w:rPr>
                      <w:color w:val="FF0000"/>
                      <w:szCs w:val="21"/>
                    </w:rPr>
                  </w:pPr>
                </w:p>
              </w:tc>
              <w:tc>
                <w:tcPr>
                  <w:tcW w:w="807" w:type="pct"/>
                  <w:vAlign w:val="center"/>
                </w:tcPr>
                <w:p w14:paraId="7E39E532">
                  <w:pPr>
                    <w:jc w:val="center"/>
                    <w:rPr>
                      <w:szCs w:val="21"/>
                    </w:rPr>
                  </w:pPr>
                  <w:r>
                    <w:rPr>
                      <w:szCs w:val="21"/>
                    </w:rPr>
                    <w:t>噪声</w:t>
                  </w:r>
                </w:p>
              </w:tc>
              <w:tc>
                <w:tcPr>
                  <w:tcW w:w="2919" w:type="pct"/>
                  <w:gridSpan w:val="2"/>
                  <w:vAlign w:val="center"/>
                </w:tcPr>
                <w:p w14:paraId="7C78DC67">
                  <w:pPr>
                    <w:jc w:val="center"/>
                    <w:rPr>
                      <w:szCs w:val="21"/>
                    </w:rPr>
                  </w:pPr>
                  <w:r>
                    <w:rPr>
                      <w:rFonts w:hint="eastAsia"/>
                      <w:szCs w:val="21"/>
                    </w:rPr>
                    <w:t>选用低设备噪声，基础减震。</w:t>
                  </w:r>
                </w:p>
              </w:tc>
              <w:tc>
                <w:tcPr>
                  <w:tcW w:w="722" w:type="pct"/>
                  <w:tcBorders>
                    <w:right w:val="single" w:color="auto" w:sz="4" w:space="0"/>
                  </w:tcBorders>
                  <w:vAlign w:val="center"/>
                </w:tcPr>
                <w:p w14:paraId="2EAAD77C">
                  <w:pPr>
                    <w:jc w:val="center"/>
                    <w:rPr>
                      <w:szCs w:val="21"/>
                    </w:rPr>
                  </w:pPr>
                  <w:r>
                    <w:rPr>
                      <w:rFonts w:hint="eastAsia"/>
                      <w:szCs w:val="21"/>
                    </w:rPr>
                    <w:t>新建</w:t>
                  </w:r>
                </w:p>
              </w:tc>
            </w:tr>
            <w:tr w14:paraId="6569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trPr>
              <w:tc>
                <w:tcPr>
                  <w:tcW w:w="550" w:type="pct"/>
                  <w:vMerge w:val="continue"/>
                  <w:tcBorders>
                    <w:left w:val="single" w:color="auto" w:sz="4" w:space="0"/>
                  </w:tcBorders>
                  <w:vAlign w:val="center"/>
                </w:tcPr>
                <w:p w14:paraId="6A1CAFC4">
                  <w:pPr>
                    <w:snapToGrid w:val="0"/>
                    <w:jc w:val="center"/>
                    <w:rPr>
                      <w:color w:val="FF0000"/>
                      <w:szCs w:val="21"/>
                    </w:rPr>
                  </w:pPr>
                </w:p>
              </w:tc>
              <w:tc>
                <w:tcPr>
                  <w:tcW w:w="807" w:type="pct"/>
                  <w:vAlign w:val="center"/>
                </w:tcPr>
                <w:p w14:paraId="49C7C835">
                  <w:pPr>
                    <w:jc w:val="center"/>
                    <w:rPr>
                      <w:szCs w:val="21"/>
                    </w:rPr>
                  </w:pPr>
                  <w:r>
                    <w:rPr>
                      <w:szCs w:val="21"/>
                    </w:rPr>
                    <w:t>固废</w:t>
                  </w:r>
                </w:p>
              </w:tc>
              <w:tc>
                <w:tcPr>
                  <w:tcW w:w="2919" w:type="pct"/>
                  <w:gridSpan w:val="2"/>
                  <w:vAlign w:val="center"/>
                </w:tcPr>
                <w:p w14:paraId="49EFD126">
                  <w:pPr>
                    <w:jc w:val="center"/>
                    <w:rPr>
                      <w:szCs w:val="21"/>
                    </w:rPr>
                  </w:pPr>
                  <w:r>
                    <w:rPr>
                      <w:szCs w:val="21"/>
                    </w:rPr>
                    <w:t>项目营运期产生的</w:t>
                  </w:r>
                  <w:r>
                    <w:rPr>
                      <w:rFonts w:hint="eastAsia"/>
                      <w:szCs w:val="21"/>
                    </w:rPr>
                    <w:t>固体废物</w:t>
                  </w:r>
                  <w:r>
                    <w:rPr>
                      <w:szCs w:val="21"/>
                    </w:rPr>
                    <w:t>主要为</w:t>
                  </w:r>
                  <w:r>
                    <w:rPr>
                      <w:rFonts w:hint="eastAsia"/>
                      <w:szCs w:val="21"/>
                    </w:rPr>
                    <w:t>：生活垃圾、一般工业固体废物和危险废物。生活垃圾分类收集于垃圾桶，交由环卫部门统一清运；项目产生的一般固废有废金属边角料、废焊渣、喷塑过程收集的粉尘、废包装材料、废水性漆桶、废水性漆渣；废金属边角料、废焊渣、废包装材料外售给废品回收站处置；喷塑过程收集的粉末回收利用；废水性漆桶、废水性漆渣、过滤棉交由有一般固废处置资质的单位进行处置。项目产生废机油、含油手套和油抹布、废活性炭、废过滤棉、废油桶分类收集，暂存于危废暂存间，定期交由有资质的单位进行处理。</w:t>
                  </w:r>
                </w:p>
              </w:tc>
              <w:tc>
                <w:tcPr>
                  <w:tcW w:w="722" w:type="pct"/>
                  <w:tcBorders>
                    <w:right w:val="single" w:color="auto" w:sz="4" w:space="0"/>
                  </w:tcBorders>
                  <w:vAlign w:val="center"/>
                </w:tcPr>
                <w:p w14:paraId="3AB0CA1C">
                  <w:pPr>
                    <w:jc w:val="center"/>
                    <w:rPr>
                      <w:szCs w:val="21"/>
                    </w:rPr>
                  </w:pPr>
                  <w:r>
                    <w:rPr>
                      <w:rFonts w:hint="eastAsia"/>
                      <w:szCs w:val="21"/>
                    </w:rPr>
                    <w:t>新建</w:t>
                  </w:r>
                </w:p>
              </w:tc>
            </w:tr>
          </w:tbl>
          <w:p w14:paraId="4F0D0DEB">
            <w:pPr>
              <w:adjustRightInd w:val="0"/>
              <w:snapToGrid w:val="0"/>
              <w:spacing w:line="360" w:lineRule="auto"/>
              <w:ind w:firstLine="482" w:firstLineChars="200"/>
              <w:rPr>
                <w:b/>
                <w:sz w:val="24"/>
              </w:rPr>
            </w:pPr>
            <w:bookmarkStart w:id="2" w:name="_Hlk40871816"/>
            <w:r>
              <w:rPr>
                <w:rFonts w:hint="eastAsia"/>
                <w:b/>
                <w:sz w:val="24"/>
              </w:rPr>
              <w:t>2.1.</w:t>
            </w:r>
            <w:r>
              <w:rPr>
                <w:b/>
                <w:sz w:val="24"/>
              </w:rPr>
              <w:t>4项目主要设备</w:t>
            </w:r>
          </w:p>
          <w:p w14:paraId="3507338D">
            <w:pPr>
              <w:adjustRightInd w:val="0"/>
              <w:snapToGrid w:val="0"/>
              <w:spacing w:line="360" w:lineRule="auto"/>
              <w:ind w:firstLine="480" w:firstLineChars="200"/>
              <w:rPr>
                <w:sz w:val="24"/>
              </w:rPr>
            </w:pPr>
            <w:r>
              <w:rPr>
                <w:sz w:val="24"/>
              </w:rPr>
              <w:t>本项目主要</w:t>
            </w:r>
            <w:r>
              <w:rPr>
                <w:rFonts w:hint="eastAsia"/>
                <w:sz w:val="24"/>
              </w:rPr>
              <w:t>生产</w:t>
            </w:r>
            <w:r>
              <w:rPr>
                <w:sz w:val="24"/>
              </w:rPr>
              <w:t>设备及选型见表</w:t>
            </w:r>
            <w:r>
              <w:rPr>
                <w:rFonts w:hint="eastAsia"/>
                <w:sz w:val="24"/>
              </w:rPr>
              <w:t>5</w:t>
            </w:r>
            <w:r>
              <w:rPr>
                <w:sz w:val="24"/>
              </w:rPr>
              <w:t>。</w:t>
            </w:r>
          </w:p>
          <w:p w14:paraId="13930D76">
            <w:pPr>
              <w:numPr>
                <w:ilvl w:val="0"/>
                <w:numId w:val="1"/>
              </w:numPr>
              <w:adjustRightInd w:val="0"/>
              <w:snapToGrid w:val="0"/>
              <w:jc w:val="center"/>
              <w:rPr>
                <w:b/>
                <w:szCs w:val="21"/>
              </w:rPr>
            </w:pPr>
            <w:r>
              <w:rPr>
                <w:rFonts w:hint="eastAsia"/>
                <w:b/>
                <w:szCs w:val="21"/>
              </w:rPr>
              <w:t xml:space="preserve">    项目主要</w:t>
            </w:r>
            <w:r>
              <w:rPr>
                <w:b/>
                <w:szCs w:val="21"/>
              </w:rPr>
              <w:t>设备清单</w:t>
            </w:r>
          </w:p>
          <w:tbl>
            <w:tblPr>
              <w:tblStyle w:val="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9"/>
              <w:gridCol w:w="2000"/>
              <w:gridCol w:w="1591"/>
              <w:gridCol w:w="1146"/>
              <w:gridCol w:w="935"/>
              <w:gridCol w:w="2124"/>
            </w:tblGrid>
            <w:tr w14:paraId="21C8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346" w:type="pct"/>
                  <w:vAlign w:val="center"/>
                </w:tcPr>
                <w:p w14:paraId="304C0FA7">
                  <w:pPr>
                    <w:jc w:val="center"/>
                    <w:rPr>
                      <w:szCs w:val="21"/>
                    </w:rPr>
                  </w:pPr>
                  <w:r>
                    <w:rPr>
                      <w:szCs w:val="21"/>
                    </w:rPr>
                    <w:t>序号</w:t>
                  </w:r>
                </w:p>
              </w:tc>
              <w:tc>
                <w:tcPr>
                  <w:tcW w:w="1194" w:type="pct"/>
                  <w:vAlign w:val="center"/>
                </w:tcPr>
                <w:p w14:paraId="580AC0D2">
                  <w:pPr>
                    <w:jc w:val="center"/>
                    <w:rPr>
                      <w:szCs w:val="21"/>
                    </w:rPr>
                  </w:pPr>
                  <w:r>
                    <w:rPr>
                      <w:szCs w:val="21"/>
                    </w:rPr>
                    <w:t>设备名称</w:t>
                  </w:r>
                </w:p>
              </w:tc>
              <w:tc>
                <w:tcPr>
                  <w:tcW w:w="950" w:type="pct"/>
                  <w:vAlign w:val="center"/>
                </w:tcPr>
                <w:p w14:paraId="43C58DB9">
                  <w:pPr>
                    <w:jc w:val="center"/>
                    <w:rPr>
                      <w:szCs w:val="21"/>
                    </w:rPr>
                  </w:pPr>
                  <w:r>
                    <w:rPr>
                      <w:szCs w:val="21"/>
                    </w:rPr>
                    <w:t>规格</w:t>
                  </w:r>
                </w:p>
              </w:tc>
              <w:tc>
                <w:tcPr>
                  <w:tcW w:w="684" w:type="pct"/>
                  <w:vAlign w:val="center"/>
                </w:tcPr>
                <w:p w14:paraId="42994001">
                  <w:pPr>
                    <w:jc w:val="center"/>
                    <w:rPr>
                      <w:szCs w:val="21"/>
                    </w:rPr>
                  </w:pPr>
                  <w:r>
                    <w:rPr>
                      <w:szCs w:val="21"/>
                    </w:rPr>
                    <w:t>单位</w:t>
                  </w:r>
                </w:p>
              </w:tc>
              <w:tc>
                <w:tcPr>
                  <w:tcW w:w="558" w:type="pct"/>
                  <w:vAlign w:val="center"/>
                </w:tcPr>
                <w:p w14:paraId="2C53D671">
                  <w:pPr>
                    <w:jc w:val="center"/>
                    <w:rPr>
                      <w:szCs w:val="21"/>
                    </w:rPr>
                  </w:pPr>
                  <w:r>
                    <w:rPr>
                      <w:szCs w:val="21"/>
                    </w:rPr>
                    <w:t>数量</w:t>
                  </w:r>
                </w:p>
              </w:tc>
              <w:tc>
                <w:tcPr>
                  <w:tcW w:w="1268" w:type="pct"/>
                </w:tcPr>
                <w:p w14:paraId="46350624">
                  <w:pPr>
                    <w:jc w:val="center"/>
                    <w:rPr>
                      <w:szCs w:val="21"/>
                    </w:rPr>
                  </w:pPr>
                  <w:r>
                    <w:rPr>
                      <w:rFonts w:hint="eastAsia"/>
                      <w:szCs w:val="21"/>
                    </w:rPr>
                    <w:t>备注</w:t>
                  </w:r>
                </w:p>
              </w:tc>
            </w:tr>
            <w:tr w14:paraId="67126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346" w:type="pct"/>
                  <w:vAlign w:val="center"/>
                </w:tcPr>
                <w:p w14:paraId="6E7CD7A2">
                  <w:pPr>
                    <w:jc w:val="center"/>
                    <w:rPr>
                      <w:szCs w:val="21"/>
                    </w:rPr>
                  </w:pPr>
                  <w:r>
                    <w:rPr>
                      <w:szCs w:val="21"/>
                    </w:rPr>
                    <w:t>1</w:t>
                  </w:r>
                </w:p>
              </w:tc>
              <w:tc>
                <w:tcPr>
                  <w:tcW w:w="1194" w:type="pct"/>
                  <w:vAlign w:val="center"/>
                </w:tcPr>
                <w:p w14:paraId="1F6F738A">
                  <w:pPr>
                    <w:pStyle w:val="75"/>
                    <w:tabs>
                      <w:tab w:val="left" w:pos="324"/>
                    </w:tabs>
                    <w:rPr>
                      <w:rFonts w:eastAsiaTheme="minorEastAsia"/>
                      <w:color w:val="auto"/>
                      <w:szCs w:val="21"/>
                    </w:rPr>
                  </w:pPr>
                  <w:r>
                    <w:rPr>
                      <w:rStyle w:val="63"/>
                      <w:rFonts w:hAnsi="宋体"/>
                      <w:color w:val="auto"/>
                      <w:szCs w:val="21"/>
                    </w:rPr>
                    <w:t>自动喷涂</w:t>
                  </w:r>
                  <w:r>
                    <w:rPr>
                      <w:rStyle w:val="63"/>
                      <w:color w:val="auto"/>
                      <w:szCs w:val="21"/>
                    </w:rPr>
                    <w:t>/</w:t>
                  </w:r>
                  <w:r>
                    <w:rPr>
                      <w:rStyle w:val="63"/>
                      <w:rFonts w:hAnsi="宋体"/>
                      <w:color w:val="auto"/>
                      <w:szCs w:val="21"/>
                    </w:rPr>
                    <w:t>喷漆</w:t>
                  </w:r>
                  <w:r>
                    <w:rPr>
                      <w:rStyle w:val="63"/>
                      <w:color w:val="auto"/>
                      <w:szCs w:val="21"/>
                    </w:rPr>
                    <w:t>/</w:t>
                  </w:r>
                  <w:r>
                    <w:rPr>
                      <w:rStyle w:val="63"/>
                      <w:rFonts w:hAnsi="宋体"/>
                      <w:color w:val="auto"/>
                      <w:szCs w:val="21"/>
                    </w:rPr>
                    <w:t>流水线</w:t>
                  </w:r>
                </w:p>
              </w:tc>
              <w:tc>
                <w:tcPr>
                  <w:tcW w:w="950" w:type="pct"/>
                  <w:vMerge w:val="restart"/>
                  <w:vAlign w:val="center"/>
                </w:tcPr>
                <w:p w14:paraId="0EB2E2D8">
                  <w:pPr>
                    <w:jc w:val="center"/>
                    <w:rPr>
                      <w:szCs w:val="21"/>
                    </w:rPr>
                  </w:pPr>
                  <w:r>
                    <w:rPr>
                      <w:rFonts w:hint="eastAsia"/>
                      <w:szCs w:val="21"/>
                    </w:rPr>
                    <w:t>/</w:t>
                  </w:r>
                </w:p>
              </w:tc>
              <w:tc>
                <w:tcPr>
                  <w:tcW w:w="684" w:type="pct"/>
                  <w:tcBorders>
                    <w:bottom w:val="single" w:color="auto" w:sz="4" w:space="0"/>
                  </w:tcBorders>
                  <w:vAlign w:val="center"/>
                </w:tcPr>
                <w:p w14:paraId="29E1B9D7">
                  <w:pPr>
                    <w:pStyle w:val="75"/>
                    <w:rPr>
                      <w:rFonts w:eastAsiaTheme="minorEastAsia"/>
                      <w:color w:val="auto"/>
                      <w:szCs w:val="21"/>
                    </w:rPr>
                  </w:pPr>
                  <w:r>
                    <w:rPr>
                      <w:rFonts w:hAnsiTheme="minorEastAsia" w:eastAsiaTheme="minorEastAsia"/>
                      <w:color w:val="auto"/>
                      <w:szCs w:val="21"/>
                    </w:rPr>
                    <w:t>条</w:t>
                  </w:r>
                </w:p>
              </w:tc>
              <w:tc>
                <w:tcPr>
                  <w:tcW w:w="558" w:type="pct"/>
                  <w:tcBorders>
                    <w:bottom w:val="single" w:color="auto" w:sz="4" w:space="0"/>
                  </w:tcBorders>
                  <w:vAlign w:val="center"/>
                </w:tcPr>
                <w:p w14:paraId="6FC581FC">
                  <w:pPr>
                    <w:pStyle w:val="75"/>
                    <w:rPr>
                      <w:rFonts w:eastAsiaTheme="minorEastAsia"/>
                      <w:color w:val="auto"/>
                      <w:szCs w:val="21"/>
                    </w:rPr>
                  </w:pPr>
                  <w:r>
                    <w:rPr>
                      <w:rFonts w:eastAsiaTheme="minorEastAsia"/>
                      <w:color w:val="auto"/>
                      <w:szCs w:val="21"/>
                    </w:rPr>
                    <w:t>1</w:t>
                  </w:r>
                </w:p>
              </w:tc>
              <w:tc>
                <w:tcPr>
                  <w:tcW w:w="1268" w:type="pct"/>
                  <w:tcBorders>
                    <w:bottom w:val="single" w:color="auto" w:sz="4" w:space="0"/>
                  </w:tcBorders>
                  <w:vAlign w:val="center"/>
                </w:tcPr>
                <w:p w14:paraId="0CABD053">
                  <w:pPr>
                    <w:pStyle w:val="75"/>
                    <w:rPr>
                      <w:rFonts w:eastAsiaTheme="minorEastAsia"/>
                      <w:color w:val="auto"/>
                      <w:szCs w:val="21"/>
                    </w:rPr>
                  </w:pPr>
                  <w:r>
                    <w:rPr>
                      <w:rFonts w:hint="eastAsia" w:eastAsiaTheme="minorEastAsia"/>
                      <w:color w:val="auto"/>
                      <w:szCs w:val="21"/>
                    </w:rPr>
                    <w:t>该流水线包含两台烘箱，3个喷粉工位，1个喷漆房，1个烘箱。</w:t>
                  </w:r>
                </w:p>
              </w:tc>
            </w:tr>
            <w:tr w14:paraId="349DC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42AE7B6F">
                  <w:pPr>
                    <w:jc w:val="center"/>
                    <w:rPr>
                      <w:szCs w:val="21"/>
                    </w:rPr>
                  </w:pPr>
                  <w:r>
                    <w:rPr>
                      <w:szCs w:val="21"/>
                    </w:rPr>
                    <w:t>2</w:t>
                  </w:r>
                </w:p>
              </w:tc>
              <w:tc>
                <w:tcPr>
                  <w:tcW w:w="1194" w:type="pct"/>
                  <w:tcBorders>
                    <w:bottom w:val="single" w:color="auto" w:sz="4" w:space="0"/>
                  </w:tcBorders>
                  <w:vAlign w:val="center"/>
                </w:tcPr>
                <w:p w14:paraId="63233006">
                  <w:pPr>
                    <w:pStyle w:val="75"/>
                    <w:rPr>
                      <w:rFonts w:eastAsiaTheme="minorEastAsia"/>
                      <w:color w:val="auto"/>
                      <w:szCs w:val="21"/>
                    </w:rPr>
                  </w:pPr>
                  <w:r>
                    <w:rPr>
                      <w:rStyle w:val="63"/>
                      <w:rFonts w:hAnsi="宋体"/>
                      <w:color w:val="auto"/>
                      <w:szCs w:val="21"/>
                    </w:rPr>
                    <w:t>箱式喷涂房</w:t>
                  </w:r>
                </w:p>
              </w:tc>
              <w:tc>
                <w:tcPr>
                  <w:tcW w:w="950" w:type="pct"/>
                  <w:vMerge w:val="continue"/>
                  <w:vAlign w:val="center"/>
                </w:tcPr>
                <w:p w14:paraId="7D58625C">
                  <w:pPr>
                    <w:jc w:val="center"/>
                    <w:rPr>
                      <w:szCs w:val="21"/>
                    </w:rPr>
                  </w:pPr>
                </w:p>
              </w:tc>
              <w:tc>
                <w:tcPr>
                  <w:tcW w:w="684" w:type="pct"/>
                  <w:tcBorders>
                    <w:top w:val="single" w:color="auto" w:sz="4" w:space="0"/>
                    <w:bottom w:val="single" w:color="auto" w:sz="4" w:space="0"/>
                  </w:tcBorders>
                  <w:vAlign w:val="center"/>
                </w:tcPr>
                <w:p w14:paraId="041D57EF">
                  <w:pPr>
                    <w:pStyle w:val="75"/>
                    <w:rPr>
                      <w:rFonts w:eastAsiaTheme="minorEastAsia"/>
                      <w:color w:val="auto"/>
                      <w:szCs w:val="21"/>
                    </w:rPr>
                  </w:pPr>
                  <w:r>
                    <w:rPr>
                      <w:rFonts w:hAnsiTheme="minorEastAsia" w:eastAsiaTheme="minorEastAsia"/>
                      <w:color w:val="auto"/>
                      <w:szCs w:val="21"/>
                    </w:rPr>
                    <w:t>套</w:t>
                  </w:r>
                </w:p>
              </w:tc>
              <w:tc>
                <w:tcPr>
                  <w:tcW w:w="558" w:type="pct"/>
                  <w:tcBorders>
                    <w:top w:val="single" w:color="auto" w:sz="4" w:space="0"/>
                    <w:bottom w:val="single" w:color="auto" w:sz="4" w:space="0"/>
                  </w:tcBorders>
                  <w:vAlign w:val="center"/>
                </w:tcPr>
                <w:p w14:paraId="4B56AE88">
                  <w:pPr>
                    <w:pStyle w:val="75"/>
                    <w:rPr>
                      <w:rFonts w:eastAsiaTheme="minorEastAsia"/>
                      <w:color w:val="auto"/>
                      <w:szCs w:val="21"/>
                    </w:rPr>
                  </w:pPr>
                  <w:r>
                    <w:rPr>
                      <w:rFonts w:eastAsiaTheme="minorEastAsia"/>
                      <w:color w:val="auto"/>
                      <w:szCs w:val="21"/>
                    </w:rPr>
                    <w:t>2</w:t>
                  </w:r>
                </w:p>
              </w:tc>
              <w:tc>
                <w:tcPr>
                  <w:tcW w:w="1268" w:type="pct"/>
                  <w:vMerge w:val="restart"/>
                  <w:tcBorders>
                    <w:top w:val="single" w:color="auto" w:sz="4" w:space="0"/>
                  </w:tcBorders>
                  <w:vAlign w:val="center"/>
                </w:tcPr>
                <w:p w14:paraId="05FAF2F7">
                  <w:pPr>
                    <w:pStyle w:val="75"/>
                    <w:rPr>
                      <w:rFonts w:eastAsiaTheme="minorEastAsia"/>
                      <w:color w:val="auto"/>
                      <w:szCs w:val="21"/>
                    </w:rPr>
                  </w:pPr>
                  <w:r>
                    <w:rPr>
                      <w:rFonts w:hint="eastAsia" w:eastAsiaTheme="minorEastAsia"/>
                      <w:color w:val="auto"/>
                      <w:szCs w:val="21"/>
                    </w:rPr>
                    <w:t>/</w:t>
                  </w:r>
                </w:p>
              </w:tc>
            </w:tr>
            <w:tr w14:paraId="38E4D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2946930E">
                  <w:pPr>
                    <w:jc w:val="center"/>
                    <w:rPr>
                      <w:szCs w:val="21"/>
                    </w:rPr>
                  </w:pPr>
                  <w:r>
                    <w:rPr>
                      <w:szCs w:val="21"/>
                    </w:rPr>
                    <w:t>3</w:t>
                  </w:r>
                </w:p>
              </w:tc>
              <w:tc>
                <w:tcPr>
                  <w:tcW w:w="1194" w:type="pct"/>
                  <w:tcBorders>
                    <w:top w:val="single" w:color="auto" w:sz="4" w:space="0"/>
                    <w:bottom w:val="single" w:color="auto" w:sz="4" w:space="0"/>
                  </w:tcBorders>
                  <w:vAlign w:val="center"/>
                </w:tcPr>
                <w:p w14:paraId="19F4B82A">
                  <w:pPr>
                    <w:pStyle w:val="75"/>
                    <w:rPr>
                      <w:rFonts w:eastAsiaTheme="minorEastAsia"/>
                      <w:color w:val="auto"/>
                      <w:szCs w:val="21"/>
                    </w:rPr>
                  </w:pPr>
                  <w:r>
                    <w:rPr>
                      <w:rStyle w:val="63"/>
                      <w:rFonts w:hAnsi="宋体"/>
                      <w:color w:val="auto"/>
                      <w:szCs w:val="21"/>
                    </w:rPr>
                    <w:t>箱式抛丸机</w:t>
                  </w:r>
                </w:p>
              </w:tc>
              <w:tc>
                <w:tcPr>
                  <w:tcW w:w="950" w:type="pct"/>
                  <w:vMerge w:val="continue"/>
                  <w:vAlign w:val="center"/>
                </w:tcPr>
                <w:p w14:paraId="011E4423">
                  <w:pPr>
                    <w:jc w:val="center"/>
                    <w:rPr>
                      <w:szCs w:val="21"/>
                    </w:rPr>
                  </w:pPr>
                </w:p>
              </w:tc>
              <w:tc>
                <w:tcPr>
                  <w:tcW w:w="684" w:type="pct"/>
                  <w:tcBorders>
                    <w:top w:val="single" w:color="auto" w:sz="4" w:space="0"/>
                    <w:bottom w:val="single" w:color="auto" w:sz="4" w:space="0"/>
                  </w:tcBorders>
                  <w:vAlign w:val="center"/>
                </w:tcPr>
                <w:p w14:paraId="266D010A">
                  <w:pPr>
                    <w:pStyle w:val="75"/>
                    <w:rPr>
                      <w:rFonts w:eastAsiaTheme="minorEastAsia"/>
                      <w:color w:val="auto"/>
                      <w:szCs w:val="21"/>
                    </w:rPr>
                  </w:pPr>
                  <w:r>
                    <w:rPr>
                      <w:rFonts w:hAnsiTheme="minorEastAsia" w:eastAsiaTheme="minorEastAsia"/>
                      <w:color w:val="auto"/>
                      <w:szCs w:val="21"/>
                    </w:rPr>
                    <w:t>套</w:t>
                  </w:r>
                </w:p>
              </w:tc>
              <w:tc>
                <w:tcPr>
                  <w:tcW w:w="558" w:type="pct"/>
                  <w:tcBorders>
                    <w:top w:val="single" w:color="auto" w:sz="4" w:space="0"/>
                    <w:bottom w:val="single" w:color="auto" w:sz="4" w:space="0"/>
                  </w:tcBorders>
                  <w:vAlign w:val="center"/>
                </w:tcPr>
                <w:p w14:paraId="6ADD7A38">
                  <w:pPr>
                    <w:pStyle w:val="75"/>
                    <w:rPr>
                      <w:rFonts w:eastAsiaTheme="minorEastAsia"/>
                      <w:color w:val="auto"/>
                      <w:szCs w:val="21"/>
                    </w:rPr>
                  </w:pPr>
                  <w:r>
                    <w:rPr>
                      <w:rFonts w:eastAsiaTheme="minorEastAsia"/>
                      <w:color w:val="auto"/>
                      <w:szCs w:val="21"/>
                    </w:rPr>
                    <w:t>1</w:t>
                  </w:r>
                </w:p>
              </w:tc>
              <w:tc>
                <w:tcPr>
                  <w:tcW w:w="1268" w:type="pct"/>
                  <w:vMerge w:val="continue"/>
                </w:tcPr>
                <w:p w14:paraId="3F64EE95">
                  <w:pPr>
                    <w:pStyle w:val="75"/>
                    <w:rPr>
                      <w:rFonts w:eastAsiaTheme="minorEastAsia"/>
                      <w:color w:val="auto"/>
                      <w:szCs w:val="21"/>
                    </w:rPr>
                  </w:pPr>
                </w:p>
              </w:tc>
            </w:tr>
            <w:tr w14:paraId="42539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344A3D75">
                  <w:pPr>
                    <w:jc w:val="center"/>
                    <w:rPr>
                      <w:szCs w:val="21"/>
                    </w:rPr>
                  </w:pPr>
                  <w:r>
                    <w:rPr>
                      <w:szCs w:val="21"/>
                    </w:rPr>
                    <w:t>4</w:t>
                  </w:r>
                </w:p>
              </w:tc>
              <w:tc>
                <w:tcPr>
                  <w:tcW w:w="1194" w:type="pct"/>
                  <w:tcBorders>
                    <w:top w:val="single" w:color="auto" w:sz="4" w:space="0"/>
                    <w:bottom w:val="single" w:color="auto" w:sz="4" w:space="0"/>
                  </w:tcBorders>
                  <w:vAlign w:val="center"/>
                </w:tcPr>
                <w:p w14:paraId="6BD9D79A">
                  <w:pPr>
                    <w:pStyle w:val="75"/>
                    <w:rPr>
                      <w:rStyle w:val="63"/>
                      <w:rFonts w:hAnsi="宋体"/>
                      <w:color w:val="auto"/>
                      <w:szCs w:val="21"/>
                    </w:rPr>
                  </w:pPr>
                  <w:r>
                    <w:rPr>
                      <w:rStyle w:val="63"/>
                      <w:rFonts w:hint="eastAsia" w:hAnsi="宋体"/>
                      <w:color w:val="auto"/>
                      <w:szCs w:val="21"/>
                    </w:rPr>
                    <w:t>烘箱</w:t>
                  </w:r>
                </w:p>
              </w:tc>
              <w:tc>
                <w:tcPr>
                  <w:tcW w:w="950" w:type="pct"/>
                  <w:vMerge w:val="continue"/>
                  <w:vAlign w:val="center"/>
                </w:tcPr>
                <w:p w14:paraId="68016AF7">
                  <w:pPr>
                    <w:jc w:val="center"/>
                    <w:rPr>
                      <w:szCs w:val="21"/>
                    </w:rPr>
                  </w:pPr>
                </w:p>
              </w:tc>
              <w:tc>
                <w:tcPr>
                  <w:tcW w:w="684" w:type="pct"/>
                  <w:tcBorders>
                    <w:top w:val="single" w:color="auto" w:sz="4" w:space="0"/>
                    <w:bottom w:val="single" w:color="auto" w:sz="4" w:space="0"/>
                  </w:tcBorders>
                  <w:vAlign w:val="center"/>
                </w:tcPr>
                <w:p w14:paraId="2D39F5AF">
                  <w:pPr>
                    <w:pStyle w:val="75"/>
                    <w:rPr>
                      <w:rFonts w:hAnsiTheme="minorEastAsia" w:eastAsiaTheme="minorEastAsia"/>
                      <w:color w:val="auto"/>
                      <w:szCs w:val="21"/>
                    </w:rPr>
                  </w:pPr>
                  <w:r>
                    <w:rPr>
                      <w:rFonts w:hint="eastAsia" w:hAnsiTheme="minorEastAsia" w:eastAsiaTheme="minorEastAsia"/>
                      <w:color w:val="auto"/>
                      <w:szCs w:val="21"/>
                    </w:rPr>
                    <w:t>套</w:t>
                  </w:r>
                </w:p>
              </w:tc>
              <w:tc>
                <w:tcPr>
                  <w:tcW w:w="558" w:type="pct"/>
                  <w:tcBorders>
                    <w:top w:val="single" w:color="auto" w:sz="4" w:space="0"/>
                    <w:bottom w:val="single" w:color="auto" w:sz="4" w:space="0"/>
                  </w:tcBorders>
                  <w:vAlign w:val="center"/>
                </w:tcPr>
                <w:p w14:paraId="593999DD">
                  <w:pPr>
                    <w:pStyle w:val="75"/>
                    <w:rPr>
                      <w:rFonts w:eastAsiaTheme="minorEastAsia"/>
                      <w:color w:val="auto"/>
                      <w:szCs w:val="21"/>
                    </w:rPr>
                  </w:pPr>
                  <w:r>
                    <w:rPr>
                      <w:rFonts w:hint="eastAsia" w:eastAsiaTheme="minorEastAsia"/>
                      <w:color w:val="auto"/>
                      <w:szCs w:val="21"/>
                    </w:rPr>
                    <w:t>1</w:t>
                  </w:r>
                </w:p>
              </w:tc>
              <w:tc>
                <w:tcPr>
                  <w:tcW w:w="1268" w:type="pct"/>
                  <w:vMerge w:val="continue"/>
                </w:tcPr>
                <w:p w14:paraId="27D1789A">
                  <w:pPr>
                    <w:pStyle w:val="75"/>
                    <w:rPr>
                      <w:rFonts w:eastAsiaTheme="minorEastAsia"/>
                      <w:color w:val="auto"/>
                      <w:szCs w:val="21"/>
                    </w:rPr>
                  </w:pPr>
                </w:p>
              </w:tc>
            </w:tr>
            <w:tr w14:paraId="31579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71D11EAB">
                  <w:pPr>
                    <w:jc w:val="center"/>
                    <w:rPr>
                      <w:szCs w:val="21"/>
                    </w:rPr>
                  </w:pPr>
                  <w:r>
                    <w:rPr>
                      <w:szCs w:val="21"/>
                    </w:rPr>
                    <w:t>5</w:t>
                  </w:r>
                </w:p>
              </w:tc>
              <w:tc>
                <w:tcPr>
                  <w:tcW w:w="1194" w:type="pct"/>
                  <w:tcBorders>
                    <w:top w:val="single" w:color="auto" w:sz="4" w:space="0"/>
                    <w:bottom w:val="single" w:color="auto" w:sz="4" w:space="0"/>
                  </w:tcBorders>
                  <w:vAlign w:val="center"/>
                </w:tcPr>
                <w:p w14:paraId="2AA256AF">
                  <w:pPr>
                    <w:pStyle w:val="75"/>
                    <w:rPr>
                      <w:rFonts w:eastAsiaTheme="minorEastAsia"/>
                      <w:color w:val="auto"/>
                      <w:szCs w:val="21"/>
                    </w:rPr>
                  </w:pPr>
                  <w:r>
                    <w:rPr>
                      <w:rStyle w:val="63"/>
                      <w:rFonts w:hAnsi="宋体"/>
                      <w:color w:val="auto"/>
                      <w:szCs w:val="21"/>
                    </w:rPr>
                    <w:t>打磨房设施</w:t>
                  </w:r>
                </w:p>
              </w:tc>
              <w:tc>
                <w:tcPr>
                  <w:tcW w:w="950" w:type="pct"/>
                  <w:vMerge w:val="continue"/>
                  <w:vAlign w:val="center"/>
                </w:tcPr>
                <w:p w14:paraId="33B6C274">
                  <w:pPr>
                    <w:jc w:val="center"/>
                    <w:rPr>
                      <w:szCs w:val="21"/>
                    </w:rPr>
                  </w:pPr>
                </w:p>
              </w:tc>
              <w:tc>
                <w:tcPr>
                  <w:tcW w:w="684" w:type="pct"/>
                  <w:tcBorders>
                    <w:top w:val="single" w:color="auto" w:sz="4" w:space="0"/>
                    <w:bottom w:val="single" w:color="auto" w:sz="4" w:space="0"/>
                  </w:tcBorders>
                  <w:vAlign w:val="center"/>
                </w:tcPr>
                <w:p w14:paraId="1A498A96">
                  <w:pPr>
                    <w:pStyle w:val="75"/>
                    <w:rPr>
                      <w:rFonts w:eastAsiaTheme="minorEastAsia"/>
                      <w:color w:val="auto"/>
                      <w:szCs w:val="21"/>
                    </w:rPr>
                  </w:pPr>
                  <w:r>
                    <w:rPr>
                      <w:rFonts w:hAnsiTheme="minorEastAsia" w:eastAsiaTheme="minorEastAsia"/>
                      <w:color w:val="auto"/>
                      <w:szCs w:val="21"/>
                    </w:rPr>
                    <w:t>套</w:t>
                  </w:r>
                </w:p>
              </w:tc>
              <w:tc>
                <w:tcPr>
                  <w:tcW w:w="558" w:type="pct"/>
                  <w:tcBorders>
                    <w:top w:val="single" w:color="auto" w:sz="4" w:space="0"/>
                    <w:bottom w:val="single" w:color="auto" w:sz="4" w:space="0"/>
                  </w:tcBorders>
                  <w:vAlign w:val="center"/>
                </w:tcPr>
                <w:p w14:paraId="109B628C">
                  <w:pPr>
                    <w:pStyle w:val="75"/>
                    <w:rPr>
                      <w:rFonts w:eastAsiaTheme="minorEastAsia"/>
                      <w:color w:val="auto"/>
                      <w:szCs w:val="21"/>
                    </w:rPr>
                  </w:pPr>
                  <w:r>
                    <w:rPr>
                      <w:rFonts w:eastAsiaTheme="minorEastAsia"/>
                      <w:color w:val="auto"/>
                      <w:szCs w:val="21"/>
                    </w:rPr>
                    <w:t>2</w:t>
                  </w:r>
                </w:p>
              </w:tc>
              <w:tc>
                <w:tcPr>
                  <w:tcW w:w="1268" w:type="pct"/>
                  <w:vMerge w:val="continue"/>
                </w:tcPr>
                <w:p w14:paraId="0D5E8843">
                  <w:pPr>
                    <w:pStyle w:val="75"/>
                    <w:rPr>
                      <w:rFonts w:eastAsiaTheme="minorEastAsia"/>
                      <w:color w:val="auto"/>
                      <w:szCs w:val="21"/>
                    </w:rPr>
                  </w:pPr>
                </w:p>
              </w:tc>
            </w:tr>
            <w:tr w14:paraId="088F4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0AA59667">
                  <w:pPr>
                    <w:jc w:val="center"/>
                    <w:rPr>
                      <w:szCs w:val="21"/>
                    </w:rPr>
                  </w:pPr>
                  <w:r>
                    <w:rPr>
                      <w:szCs w:val="21"/>
                    </w:rPr>
                    <w:t>6</w:t>
                  </w:r>
                </w:p>
              </w:tc>
              <w:tc>
                <w:tcPr>
                  <w:tcW w:w="1194" w:type="pct"/>
                  <w:tcBorders>
                    <w:top w:val="single" w:color="auto" w:sz="4" w:space="0"/>
                    <w:bottom w:val="single" w:color="auto" w:sz="4" w:space="0"/>
                  </w:tcBorders>
                  <w:vAlign w:val="center"/>
                </w:tcPr>
                <w:p w14:paraId="69C5A852">
                  <w:pPr>
                    <w:pStyle w:val="75"/>
                    <w:rPr>
                      <w:rFonts w:eastAsiaTheme="minorEastAsia"/>
                      <w:color w:val="auto"/>
                      <w:szCs w:val="21"/>
                    </w:rPr>
                  </w:pPr>
                  <w:r>
                    <w:rPr>
                      <w:rStyle w:val="63"/>
                      <w:rFonts w:hAnsi="宋体"/>
                      <w:color w:val="auto"/>
                      <w:szCs w:val="21"/>
                    </w:rPr>
                    <w:t>加工中心</w:t>
                  </w:r>
                </w:p>
              </w:tc>
              <w:tc>
                <w:tcPr>
                  <w:tcW w:w="950" w:type="pct"/>
                  <w:vAlign w:val="center"/>
                </w:tcPr>
                <w:p w14:paraId="564CCF92">
                  <w:pPr>
                    <w:jc w:val="center"/>
                    <w:rPr>
                      <w:szCs w:val="21"/>
                    </w:rPr>
                  </w:pPr>
                  <w:r>
                    <w:rPr>
                      <w:rFonts w:hint="eastAsia"/>
                      <w:szCs w:val="21"/>
                    </w:rPr>
                    <w:t>V8L</w:t>
                  </w:r>
                </w:p>
              </w:tc>
              <w:tc>
                <w:tcPr>
                  <w:tcW w:w="684" w:type="pct"/>
                  <w:tcBorders>
                    <w:top w:val="single" w:color="auto" w:sz="4" w:space="0"/>
                  </w:tcBorders>
                  <w:vAlign w:val="center"/>
                </w:tcPr>
                <w:p w14:paraId="5AFC9559">
                  <w:pPr>
                    <w:pStyle w:val="75"/>
                    <w:rPr>
                      <w:rFonts w:eastAsiaTheme="minorEastAsia"/>
                      <w:color w:val="auto"/>
                      <w:szCs w:val="21"/>
                    </w:rPr>
                  </w:pPr>
                  <w:r>
                    <w:rPr>
                      <w:rFonts w:hAnsiTheme="minorEastAsia" w:eastAsiaTheme="minorEastAsia"/>
                      <w:color w:val="auto"/>
                      <w:szCs w:val="21"/>
                    </w:rPr>
                    <w:t>套</w:t>
                  </w:r>
                </w:p>
              </w:tc>
              <w:tc>
                <w:tcPr>
                  <w:tcW w:w="558" w:type="pct"/>
                  <w:tcBorders>
                    <w:top w:val="single" w:color="auto" w:sz="4" w:space="0"/>
                  </w:tcBorders>
                  <w:vAlign w:val="center"/>
                </w:tcPr>
                <w:p w14:paraId="4068182C">
                  <w:pPr>
                    <w:pStyle w:val="75"/>
                    <w:rPr>
                      <w:rFonts w:eastAsiaTheme="minorEastAsia"/>
                      <w:color w:val="auto"/>
                      <w:szCs w:val="21"/>
                    </w:rPr>
                  </w:pPr>
                  <w:r>
                    <w:rPr>
                      <w:rFonts w:eastAsiaTheme="minorEastAsia"/>
                      <w:color w:val="auto"/>
                      <w:szCs w:val="21"/>
                    </w:rPr>
                    <w:t>2</w:t>
                  </w:r>
                </w:p>
              </w:tc>
              <w:tc>
                <w:tcPr>
                  <w:tcW w:w="1268" w:type="pct"/>
                  <w:vMerge w:val="continue"/>
                </w:tcPr>
                <w:p w14:paraId="71579B13">
                  <w:pPr>
                    <w:pStyle w:val="75"/>
                    <w:rPr>
                      <w:rFonts w:eastAsiaTheme="minorEastAsia"/>
                      <w:color w:val="auto"/>
                      <w:szCs w:val="21"/>
                    </w:rPr>
                  </w:pPr>
                </w:p>
              </w:tc>
            </w:tr>
            <w:tr w14:paraId="4159D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 w:hRule="atLeast"/>
                <w:jc w:val="center"/>
              </w:trPr>
              <w:tc>
                <w:tcPr>
                  <w:tcW w:w="346" w:type="pct"/>
                  <w:vAlign w:val="center"/>
                </w:tcPr>
                <w:p w14:paraId="645B77BC">
                  <w:pPr>
                    <w:jc w:val="center"/>
                    <w:rPr>
                      <w:szCs w:val="21"/>
                    </w:rPr>
                  </w:pPr>
                  <w:r>
                    <w:rPr>
                      <w:szCs w:val="21"/>
                    </w:rPr>
                    <w:t>7</w:t>
                  </w:r>
                </w:p>
              </w:tc>
              <w:tc>
                <w:tcPr>
                  <w:tcW w:w="1194" w:type="pct"/>
                  <w:tcBorders>
                    <w:top w:val="single" w:color="auto" w:sz="4" w:space="0"/>
                    <w:bottom w:val="single" w:color="auto" w:sz="4" w:space="0"/>
                  </w:tcBorders>
                  <w:vAlign w:val="center"/>
                </w:tcPr>
                <w:p w14:paraId="3187E19C">
                  <w:pPr>
                    <w:pStyle w:val="75"/>
                    <w:rPr>
                      <w:rFonts w:eastAsiaTheme="minorEastAsia"/>
                      <w:color w:val="auto"/>
                      <w:szCs w:val="21"/>
                    </w:rPr>
                  </w:pPr>
                  <w:r>
                    <w:rPr>
                      <w:rStyle w:val="63"/>
                      <w:rFonts w:hAnsi="宋体"/>
                      <w:color w:val="auto"/>
                      <w:szCs w:val="21"/>
                    </w:rPr>
                    <w:t>车床</w:t>
                  </w:r>
                </w:p>
              </w:tc>
              <w:tc>
                <w:tcPr>
                  <w:tcW w:w="950" w:type="pct"/>
                  <w:vAlign w:val="center"/>
                </w:tcPr>
                <w:p w14:paraId="4B526235">
                  <w:pPr>
                    <w:jc w:val="center"/>
                    <w:rPr>
                      <w:szCs w:val="21"/>
                    </w:rPr>
                  </w:pPr>
                  <w:r>
                    <w:rPr>
                      <w:rFonts w:hint="eastAsia"/>
                      <w:szCs w:val="21"/>
                    </w:rPr>
                    <w:t>百超</w:t>
                  </w:r>
                </w:p>
              </w:tc>
              <w:tc>
                <w:tcPr>
                  <w:tcW w:w="684" w:type="pct"/>
                  <w:tcBorders>
                    <w:bottom w:val="single" w:color="auto" w:sz="4" w:space="0"/>
                  </w:tcBorders>
                  <w:vAlign w:val="center"/>
                </w:tcPr>
                <w:p w14:paraId="6B2D8E3B">
                  <w:pPr>
                    <w:pStyle w:val="75"/>
                    <w:rPr>
                      <w:rFonts w:eastAsiaTheme="minorEastAsia"/>
                      <w:color w:val="auto"/>
                      <w:szCs w:val="21"/>
                    </w:rPr>
                  </w:pPr>
                  <w:r>
                    <w:rPr>
                      <w:rFonts w:hAnsiTheme="minorEastAsia" w:eastAsiaTheme="minorEastAsia"/>
                      <w:color w:val="auto"/>
                      <w:szCs w:val="21"/>
                    </w:rPr>
                    <w:t>套</w:t>
                  </w:r>
                </w:p>
              </w:tc>
              <w:tc>
                <w:tcPr>
                  <w:tcW w:w="558" w:type="pct"/>
                  <w:tcBorders>
                    <w:bottom w:val="single" w:color="auto" w:sz="4" w:space="0"/>
                  </w:tcBorders>
                  <w:vAlign w:val="center"/>
                </w:tcPr>
                <w:p w14:paraId="74E82AEB">
                  <w:pPr>
                    <w:pStyle w:val="75"/>
                    <w:rPr>
                      <w:rFonts w:eastAsiaTheme="minorEastAsia"/>
                      <w:color w:val="auto"/>
                      <w:szCs w:val="21"/>
                    </w:rPr>
                  </w:pPr>
                  <w:r>
                    <w:rPr>
                      <w:rFonts w:eastAsiaTheme="minorEastAsia"/>
                      <w:color w:val="auto"/>
                      <w:szCs w:val="21"/>
                    </w:rPr>
                    <w:t>2</w:t>
                  </w:r>
                </w:p>
              </w:tc>
              <w:tc>
                <w:tcPr>
                  <w:tcW w:w="1268" w:type="pct"/>
                  <w:vMerge w:val="continue"/>
                </w:tcPr>
                <w:p w14:paraId="789136BB">
                  <w:pPr>
                    <w:pStyle w:val="75"/>
                    <w:rPr>
                      <w:rFonts w:eastAsiaTheme="minorEastAsia"/>
                      <w:color w:val="auto"/>
                      <w:szCs w:val="21"/>
                    </w:rPr>
                  </w:pPr>
                </w:p>
              </w:tc>
            </w:tr>
            <w:tr w14:paraId="5997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2007E039">
                  <w:pPr>
                    <w:jc w:val="center"/>
                    <w:rPr>
                      <w:szCs w:val="21"/>
                    </w:rPr>
                  </w:pPr>
                  <w:r>
                    <w:rPr>
                      <w:szCs w:val="21"/>
                    </w:rPr>
                    <w:t>8</w:t>
                  </w:r>
                </w:p>
              </w:tc>
              <w:tc>
                <w:tcPr>
                  <w:tcW w:w="1194" w:type="pct"/>
                  <w:tcBorders>
                    <w:top w:val="single" w:color="auto" w:sz="4" w:space="0"/>
                    <w:bottom w:val="single" w:color="auto" w:sz="4" w:space="0"/>
                  </w:tcBorders>
                  <w:vAlign w:val="center"/>
                </w:tcPr>
                <w:p w14:paraId="4F238BFE">
                  <w:pPr>
                    <w:pStyle w:val="75"/>
                    <w:rPr>
                      <w:rFonts w:eastAsiaTheme="minorEastAsia"/>
                      <w:color w:val="auto"/>
                      <w:szCs w:val="21"/>
                    </w:rPr>
                  </w:pPr>
                  <w:r>
                    <w:rPr>
                      <w:rStyle w:val="63"/>
                      <w:rFonts w:hAnsi="宋体"/>
                      <w:color w:val="auto"/>
                      <w:szCs w:val="21"/>
                    </w:rPr>
                    <w:t>钻床</w:t>
                  </w:r>
                </w:p>
              </w:tc>
              <w:tc>
                <w:tcPr>
                  <w:tcW w:w="950" w:type="pct"/>
                  <w:vAlign w:val="center"/>
                </w:tcPr>
                <w:p w14:paraId="65F9D170">
                  <w:pPr>
                    <w:jc w:val="center"/>
                    <w:rPr>
                      <w:szCs w:val="21"/>
                    </w:rPr>
                  </w:pPr>
                  <w:r>
                    <w:rPr>
                      <w:rFonts w:hint="eastAsia"/>
                      <w:szCs w:val="21"/>
                    </w:rPr>
                    <w:t>/</w:t>
                  </w:r>
                </w:p>
              </w:tc>
              <w:tc>
                <w:tcPr>
                  <w:tcW w:w="684" w:type="pct"/>
                  <w:tcBorders>
                    <w:top w:val="single" w:color="auto" w:sz="4" w:space="0"/>
                  </w:tcBorders>
                  <w:vAlign w:val="center"/>
                </w:tcPr>
                <w:p w14:paraId="4D097252">
                  <w:pPr>
                    <w:pStyle w:val="75"/>
                    <w:rPr>
                      <w:rFonts w:eastAsiaTheme="minorEastAsia"/>
                      <w:color w:val="auto"/>
                      <w:szCs w:val="21"/>
                    </w:rPr>
                  </w:pPr>
                  <w:r>
                    <w:rPr>
                      <w:rFonts w:hAnsiTheme="minorEastAsia" w:eastAsiaTheme="minorEastAsia"/>
                      <w:color w:val="auto"/>
                      <w:szCs w:val="21"/>
                    </w:rPr>
                    <w:t>套</w:t>
                  </w:r>
                </w:p>
              </w:tc>
              <w:tc>
                <w:tcPr>
                  <w:tcW w:w="558" w:type="pct"/>
                  <w:tcBorders>
                    <w:top w:val="single" w:color="auto" w:sz="4" w:space="0"/>
                  </w:tcBorders>
                  <w:vAlign w:val="center"/>
                </w:tcPr>
                <w:p w14:paraId="12CCB9EE">
                  <w:pPr>
                    <w:pStyle w:val="75"/>
                    <w:rPr>
                      <w:rFonts w:eastAsiaTheme="minorEastAsia"/>
                      <w:color w:val="auto"/>
                      <w:szCs w:val="21"/>
                    </w:rPr>
                  </w:pPr>
                  <w:r>
                    <w:rPr>
                      <w:rFonts w:eastAsiaTheme="minorEastAsia"/>
                      <w:color w:val="auto"/>
                      <w:szCs w:val="21"/>
                    </w:rPr>
                    <w:t>1</w:t>
                  </w:r>
                </w:p>
              </w:tc>
              <w:tc>
                <w:tcPr>
                  <w:tcW w:w="1268" w:type="pct"/>
                  <w:vMerge w:val="continue"/>
                </w:tcPr>
                <w:p w14:paraId="49D6AC72">
                  <w:pPr>
                    <w:pStyle w:val="75"/>
                    <w:rPr>
                      <w:rFonts w:eastAsiaTheme="minorEastAsia"/>
                      <w:color w:val="auto"/>
                      <w:szCs w:val="21"/>
                    </w:rPr>
                  </w:pPr>
                </w:p>
              </w:tc>
            </w:tr>
            <w:tr w14:paraId="51B7E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2AA85B3F">
                  <w:pPr>
                    <w:jc w:val="center"/>
                    <w:rPr>
                      <w:szCs w:val="21"/>
                    </w:rPr>
                  </w:pPr>
                  <w:r>
                    <w:rPr>
                      <w:szCs w:val="21"/>
                    </w:rPr>
                    <w:t>9</w:t>
                  </w:r>
                </w:p>
              </w:tc>
              <w:tc>
                <w:tcPr>
                  <w:tcW w:w="1194" w:type="pct"/>
                  <w:tcBorders>
                    <w:top w:val="single" w:color="auto" w:sz="4" w:space="0"/>
                    <w:bottom w:val="single" w:color="auto" w:sz="4" w:space="0"/>
                  </w:tcBorders>
                  <w:vAlign w:val="center"/>
                </w:tcPr>
                <w:p w14:paraId="5A014244">
                  <w:pPr>
                    <w:pStyle w:val="75"/>
                    <w:rPr>
                      <w:rFonts w:eastAsiaTheme="minorEastAsia"/>
                      <w:color w:val="auto"/>
                      <w:szCs w:val="21"/>
                    </w:rPr>
                  </w:pPr>
                  <w:r>
                    <w:rPr>
                      <w:rStyle w:val="63"/>
                      <w:rFonts w:hAnsi="宋体"/>
                      <w:color w:val="auto"/>
                      <w:szCs w:val="21"/>
                    </w:rPr>
                    <w:t>铣床</w:t>
                  </w:r>
                </w:p>
              </w:tc>
              <w:tc>
                <w:tcPr>
                  <w:tcW w:w="950" w:type="pct"/>
                  <w:vAlign w:val="center"/>
                </w:tcPr>
                <w:p w14:paraId="75F155CD">
                  <w:pPr>
                    <w:jc w:val="center"/>
                    <w:rPr>
                      <w:szCs w:val="21"/>
                    </w:rPr>
                  </w:pPr>
                  <w:r>
                    <w:rPr>
                      <w:rFonts w:hint="eastAsia"/>
                      <w:szCs w:val="21"/>
                    </w:rPr>
                    <w:t>CS1140</w:t>
                  </w:r>
                </w:p>
              </w:tc>
              <w:tc>
                <w:tcPr>
                  <w:tcW w:w="684" w:type="pct"/>
                  <w:vAlign w:val="center"/>
                </w:tcPr>
                <w:p w14:paraId="6B80C666">
                  <w:pPr>
                    <w:pStyle w:val="75"/>
                    <w:rPr>
                      <w:rFonts w:eastAsiaTheme="minorEastAsia"/>
                      <w:color w:val="auto"/>
                      <w:szCs w:val="21"/>
                    </w:rPr>
                  </w:pPr>
                  <w:r>
                    <w:rPr>
                      <w:rFonts w:hAnsiTheme="minorEastAsia" w:eastAsiaTheme="minorEastAsia"/>
                      <w:color w:val="auto"/>
                      <w:szCs w:val="21"/>
                    </w:rPr>
                    <w:t>套</w:t>
                  </w:r>
                </w:p>
              </w:tc>
              <w:tc>
                <w:tcPr>
                  <w:tcW w:w="558" w:type="pct"/>
                  <w:vAlign w:val="center"/>
                </w:tcPr>
                <w:p w14:paraId="2E777CF6">
                  <w:pPr>
                    <w:pStyle w:val="75"/>
                    <w:rPr>
                      <w:rFonts w:eastAsiaTheme="minorEastAsia"/>
                      <w:color w:val="auto"/>
                      <w:szCs w:val="21"/>
                    </w:rPr>
                  </w:pPr>
                  <w:r>
                    <w:rPr>
                      <w:rFonts w:eastAsiaTheme="minorEastAsia"/>
                      <w:color w:val="auto"/>
                      <w:szCs w:val="21"/>
                    </w:rPr>
                    <w:t>1</w:t>
                  </w:r>
                </w:p>
              </w:tc>
              <w:tc>
                <w:tcPr>
                  <w:tcW w:w="1268" w:type="pct"/>
                  <w:vMerge w:val="continue"/>
                </w:tcPr>
                <w:p w14:paraId="2AAD48DE">
                  <w:pPr>
                    <w:pStyle w:val="75"/>
                    <w:rPr>
                      <w:rFonts w:eastAsiaTheme="minorEastAsia"/>
                      <w:color w:val="auto"/>
                      <w:szCs w:val="21"/>
                    </w:rPr>
                  </w:pPr>
                </w:p>
              </w:tc>
            </w:tr>
            <w:tr w14:paraId="16093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11F41235">
                  <w:pPr>
                    <w:jc w:val="center"/>
                    <w:rPr>
                      <w:szCs w:val="21"/>
                    </w:rPr>
                  </w:pPr>
                  <w:r>
                    <w:rPr>
                      <w:szCs w:val="21"/>
                    </w:rPr>
                    <w:t>10</w:t>
                  </w:r>
                </w:p>
              </w:tc>
              <w:tc>
                <w:tcPr>
                  <w:tcW w:w="1194" w:type="pct"/>
                  <w:tcBorders>
                    <w:top w:val="single" w:color="auto" w:sz="4" w:space="0"/>
                  </w:tcBorders>
                  <w:vAlign w:val="center"/>
                </w:tcPr>
                <w:p w14:paraId="45803C3E">
                  <w:pPr>
                    <w:pStyle w:val="75"/>
                    <w:rPr>
                      <w:rFonts w:eastAsiaTheme="minorEastAsia"/>
                      <w:color w:val="auto"/>
                      <w:szCs w:val="21"/>
                    </w:rPr>
                  </w:pPr>
                  <w:r>
                    <w:rPr>
                      <w:rStyle w:val="63"/>
                      <w:rFonts w:hAnsi="宋体"/>
                      <w:color w:val="auto"/>
                      <w:szCs w:val="21"/>
                    </w:rPr>
                    <w:t>激光切割设备</w:t>
                  </w:r>
                </w:p>
              </w:tc>
              <w:tc>
                <w:tcPr>
                  <w:tcW w:w="950" w:type="pct"/>
                  <w:vAlign w:val="center"/>
                </w:tcPr>
                <w:p w14:paraId="5ADDE260">
                  <w:pPr>
                    <w:jc w:val="center"/>
                    <w:rPr>
                      <w:szCs w:val="21"/>
                    </w:rPr>
                  </w:pPr>
                  <w:r>
                    <w:rPr>
                      <w:rFonts w:hint="eastAsia"/>
                      <w:szCs w:val="21"/>
                    </w:rPr>
                    <w:t>PBR-ZZ0/4100</w:t>
                  </w:r>
                </w:p>
              </w:tc>
              <w:tc>
                <w:tcPr>
                  <w:tcW w:w="684" w:type="pct"/>
                  <w:vAlign w:val="center"/>
                </w:tcPr>
                <w:p w14:paraId="1FAB93AD">
                  <w:pPr>
                    <w:pStyle w:val="75"/>
                    <w:rPr>
                      <w:rFonts w:eastAsiaTheme="minorEastAsia"/>
                      <w:color w:val="auto"/>
                      <w:szCs w:val="21"/>
                    </w:rPr>
                  </w:pPr>
                  <w:r>
                    <w:rPr>
                      <w:rFonts w:hAnsiTheme="minorEastAsia" w:eastAsiaTheme="minorEastAsia"/>
                      <w:color w:val="auto"/>
                      <w:szCs w:val="21"/>
                    </w:rPr>
                    <w:t>套</w:t>
                  </w:r>
                </w:p>
              </w:tc>
              <w:tc>
                <w:tcPr>
                  <w:tcW w:w="558" w:type="pct"/>
                  <w:vAlign w:val="center"/>
                </w:tcPr>
                <w:p w14:paraId="79906958">
                  <w:pPr>
                    <w:pStyle w:val="75"/>
                    <w:rPr>
                      <w:rFonts w:eastAsiaTheme="minorEastAsia"/>
                      <w:color w:val="auto"/>
                      <w:szCs w:val="21"/>
                    </w:rPr>
                  </w:pPr>
                  <w:r>
                    <w:rPr>
                      <w:rFonts w:eastAsiaTheme="minorEastAsia"/>
                      <w:color w:val="auto"/>
                      <w:szCs w:val="21"/>
                    </w:rPr>
                    <w:t>2</w:t>
                  </w:r>
                </w:p>
              </w:tc>
              <w:tc>
                <w:tcPr>
                  <w:tcW w:w="1268" w:type="pct"/>
                  <w:vMerge w:val="continue"/>
                </w:tcPr>
                <w:p w14:paraId="1298BF34">
                  <w:pPr>
                    <w:pStyle w:val="75"/>
                    <w:rPr>
                      <w:rFonts w:eastAsiaTheme="minorEastAsia"/>
                      <w:color w:val="auto"/>
                      <w:szCs w:val="21"/>
                    </w:rPr>
                  </w:pPr>
                </w:p>
              </w:tc>
            </w:tr>
            <w:tr w14:paraId="783D7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66C419EE">
                  <w:pPr>
                    <w:jc w:val="center"/>
                    <w:rPr>
                      <w:szCs w:val="21"/>
                    </w:rPr>
                  </w:pPr>
                  <w:r>
                    <w:rPr>
                      <w:szCs w:val="21"/>
                    </w:rPr>
                    <w:t>11</w:t>
                  </w:r>
                </w:p>
              </w:tc>
              <w:tc>
                <w:tcPr>
                  <w:tcW w:w="1194" w:type="pct"/>
                  <w:vAlign w:val="center"/>
                </w:tcPr>
                <w:p w14:paraId="6CB879AC">
                  <w:pPr>
                    <w:pStyle w:val="75"/>
                    <w:rPr>
                      <w:rFonts w:eastAsiaTheme="minorEastAsia"/>
                      <w:color w:val="auto"/>
                      <w:szCs w:val="21"/>
                    </w:rPr>
                  </w:pPr>
                  <w:r>
                    <w:rPr>
                      <w:rStyle w:val="63"/>
                      <w:rFonts w:hAnsi="宋体"/>
                      <w:color w:val="auto"/>
                      <w:szCs w:val="21"/>
                    </w:rPr>
                    <w:t>数控剪板设备</w:t>
                  </w:r>
                </w:p>
              </w:tc>
              <w:tc>
                <w:tcPr>
                  <w:tcW w:w="950" w:type="pct"/>
                  <w:vMerge w:val="restart"/>
                  <w:vAlign w:val="center"/>
                </w:tcPr>
                <w:p w14:paraId="4BA440DA">
                  <w:pPr>
                    <w:jc w:val="center"/>
                    <w:rPr>
                      <w:szCs w:val="21"/>
                    </w:rPr>
                  </w:pPr>
                  <w:r>
                    <w:rPr>
                      <w:rFonts w:hint="eastAsia"/>
                      <w:szCs w:val="21"/>
                    </w:rPr>
                    <w:t>/</w:t>
                  </w:r>
                </w:p>
              </w:tc>
              <w:tc>
                <w:tcPr>
                  <w:tcW w:w="684" w:type="pct"/>
                  <w:vAlign w:val="center"/>
                </w:tcPr>
                <w:p w14:paraId="370702AD">
                  <w:pPr>
                    <w:pStyle w:val="75"/>
                    <w:rPr>
                      <w:rFonts w:eastAsiaTheme="minorEastAsia"/>
                      <w:color w:val="auto"/>
                      <w:szCs w:val="21"/>
                    </w:rPr>
                  </w:pPr>
                  <w:r>
                    <w:rPr>
                      <w:rFonts w:hAnsiTheme="minorEastAsia" w:eastAsiaTheme="minorEastAsia"/>
                      <w:color w:val="auto"/>
                      <w:szCs w:val="21"/>
                    </w:rPr>
                    <w:t>套</w:t>
                  </w:r>
                </w:p>
              </w:tc>
              <w:tc>
                <w:tcPr>
                  <w:tcW w:w="558" w:type="pct"/>
                  <w:vAlign w:val="center"/>
                </w:tcPr>
                <w:p w14:paraId="028ED3F4">
                  <w:pPr>
                    <w:pStyle w:val="75"/>
                    <w:rPr>
                      <w:rFonts w:eastAsiaTheme="minorEastAsia"/>
                      <w:color w:val="auto"/>
                      <w:szCs w:val="21"/>
                    </w:rPr>
                  </w:pPr>
                  <w:r>
                    <w:rPr>
                      <w:rFonts w:eastAsiaTheme="minorEastAsia"/>
                      <w:color w:val="auto"/>
                      <w:szCs w:val="21"/>
                    </w:rPr>
                    <w:t>1</w:t>
                  </w:r>
                </w:p>
              </w:tc>
              <w:tc>
                <w:tcPr>
                  <w:tcW w:w="1268" w:type="pct"/>
                  <w:vMerge w:val="continue"/>
                </w:tcPr>
                <w:p w14:paraId="459ED65A">
                  <w:pPr>
                    <w:pStyle w:val="75"/>
                    <w:rPr>
                      <w:rFonts w:eastAsiaTheme="minorEastAsia"/>
                      <w:color w:val="auto"/>
                      <w:szCs w:val="21"/>
                    </w:rPr>
                  </w:pPr>
                </w:p>
              </w:tc>
            </w:tr>
            <w:tr w14:paraId="0C463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6BB6EB67">
                  <w:pPr>
                    <w:jc w:val="center"/>
                    <w:rPr>
                      <w:szCs w:val="21"/>
                    </w:rPr>
                  </w:pPr>
                  <w:r>
                    <w:rPr>
                      <w:szCs w:val="21"/>
                    </w:rPr>
                    <w:t>12</w:t>
                  </w:r>
                </w:p>
              </w:tc>
              <w:tc>
                <w:tcPr>
                  <w:tcW w:w="1194" w:type="pct"/>
                  <w:vAlign w:val="center"/>
                </w:tcPr>
                <w:p w14:paraId="55B2B472">
                  <w:pPr>
                    <w:pStyle w:val="75"/>
                    <w:rPr>
                      <w:rFonts w:eastAsiaTheme="minorEastAsia"/>
                      <w:color w:val="auto"/>
                      <w:szCs w:val="21"/>
                    </w:rPr>
                  </w:pPr>
                  <w:r>
                    <w:rPr>
                      <w:rStyle w:val="63"/>
                      <w:rFonts w:hAnsi="宋体"/>
                      <w:color w:val="auto"/>
                      <w:szCs w:val="21"/>
                    </w:rPr>
                    <w:t>折弯机</w:t>
                  </w:r>
                </w:p>
              </w:tc>
              <w:tc>
                <w:tcPr>
                  <w:tcW w:w="950" w:type="pct"/>
                  <w:vMerge w:val="continue"/>
                  <w:vAlign w:val="center"/>
                </w:tcPr>
                <w:p w14:paraId="34472093">
                  <w:pPr>
                    <w:jc w:val="center"/>
                    <w:rPr>
                      <w:szCs w:val="21"/>
                    </w:rPr>
                  </w:pPr>
                </w:p>
              </w:tc>
              <w:tc>
                <w:tcPr>
                  <w:tcW w:w="684" w:type="pct"/>
                  <w:vAlign w:val="center"/>
                </w:tcPr>
                <w:p w14:paraId="2A8B5EDD">
                  <w:pPr>
                    <w:pStyle w:val="75"/>
                    <w:rPr>
                      <w:rFonts w:eastAsiaTheme="minorEastAsia"/>
                      <w:color w:val="auto"/>
                      <w:szCs w:val="21"/>
                    </w:rPr>
                  </w:pPr>
                  <w:r>
                    <w:rPr>
                      <w:rFonts w:hAnsiTheme="minorEastAsia" w:eastAsiaTheme="minorEastAsia"/>
                      <w:color w:val="auto"/>
                      <w:szCs w:val="21"/>
                    </w:rPr>
                    <w:t>套</w:t>
                  </w:r>
                </w:p>
              </w:tc>
              <w:tc>
                <w:tcPr>
                  <w:tcW w:w="558" w:type="pct"/>
                  <w:vAlign w:val="center"/>
                </w:tcPr>
                <w:p w14:paraId="030105C3">
                  <w:pPr>
                    <w:pStyle w:val="75"/>
                    <w:rPr>
                      <w:rFonts w:eastAsiaTheme="minorEastAsia"/>
                      <w:color w:val="auto"/>
                      <w:szCs w:val="21"/>
                    </w:rPr>
                  </w:pPr>
                  <w:r>
                    <w:rPr>
                      <w:rFonts w:eastAsiaTheme="minorEastAsia"/>
                      <w:color w:val="auto"/>
                      <w:szCs w:val="21"/>
                    </w:rPr>
                    <w:t>1</w:t>
                  </w:r>
                </w:p>
              </w:tc>
              <w:tc>
                <w:tcPr>
                  <w:tcW w:w="1268" w:type="pct"/>
                  <w:vMerge w:val="continue"/>
                </w:tcPr>
                <w:p w14:paraId="0486E49D">
                  <w:pPr>
                    <w:pStyle w:val="75"/>
                    <w:rPr>
                      <w:rFonts w:eastAsiaTheme="minorEastAsia"/>
                      <w:color w:val="auto"/>
                      <w:szCs w:val="21"/>
                    </w:rPr>
                  </w:pPr>
                </w:p>
              </w:tc>
            </w:tr>
            <w:tr w14:paraId="61633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2D61AB71">
                  <w:pPr>
                    <w:jc w:val="center"/>
                    <w:rPr>
                      <w:szCs w:val="21"/>
                    </w:rPr>
                  </w:pPr>
                  <w:r>
                    <w:rPr>
                      <w:szCs w:val="21"/>
                    </w:rPr>
                    <w:t>13</w:t>
                  </w:r>
                </w:p>
              </w:tc>
              <w:tc>
                <w:tcPr>
                  <w:tcW w:w="1194" w:type="pct"/>
                  <w:vAlign w:val="center"/>
                </w:tcPr>
                <w:p w14:paraId="2A0A4120">
                  <w:pPr>
                    <w:pStyle w:val="75"/>
                    <w:rPr>
                      <w:rStyle w:val="63"/>
                      <w:color w:val="auto"/>
                      <w:szCs w:val="21"/>
                    </w:rPr>
                  </w:pPr>
                  <w:r>
                    <w:rPr>
                      <w:rStyle w:val="63"/>
                      <w:rFonts w:hAnsi="宋体"/>
                      <w:color w:val="auto"/>
                      <w:szCs w:val="21"/>
                    </w:rPr>
                    <w:t>卷圆机</w:t>
                  </w:r>
                </w:p>
              </w:tc>
              <w:tc>
                <w:tcPr>
                  <w:tcW w:w="950" w:type="pct"/>
                  <w:vMerge w:val="continue"/>
                  <w:vAlign w:val="center"/>
                </w:tcPr>
                <w:p w14:paraId="54FB2926">
                  <w:pPr>
                    <w:pStyle w:val="75"/>
                    <w:rPr>
                      <w:rFonts w:eastAsiaTheme="minorEastAsia"/>
                      <w:color w:val="auto"/>
                      <w:szCs w:val="21"/>
                    </w:rPr>
                  </w:pPr>
                </w:p>
              </w:tc>
              <w:tc>
                <w:tcPr>
                  <w:tcW w:w="684" w:type="pct"/>
                  <w:vAlign w:val="center"/>
                </w:tcPr>
                <w:p w14:paraId="359B9876">
                  <w:pPr>
                    <w:pStyle w:val="75"/>
                    <w:rPr>
                      <w:rFonts w:eastAsiaTheme="minorEastAsia"/>
                      <w:color w:val="auto"/>
                      <w:szCs w:val="21"/>
                    </w:rPr>
                  </w:pPr>
                  <w:r>
                    <w:rPr>
                      <w:rFonts w:hAnsiTheme="minorEastAsia" w:eastAsiaTheme="minorEastAsia"/>
                      <w:color w:val="auto"/>
                      <w:szCs w:val="21"/>
                    </w:rPr>
                    <w:t>套</w:t>
                  </w:r>
                </w:p>
              </w:tc>
              <w:tc>
                <w:tcPr>
                  <w:tcW w:w="558" w:type="pct"/>
                  <w:vAlign w:val="center"/>
                </w:tcPr>
                <w:p w14:paraId="6A72BC32">
                  <w:pPr>
                    <w:pStyle w:val="75"/>
                    <w:rPr>
                      <w:rFonts w:eastAsiaTheme="minorEastAsia"/>
                      <w:color w:val="auto"/>
                      <w:szCs w:val="21"/>
                    </w:rPr>
                  </w:pPr>
                  <w:r>
                    <w:rPr>
                      <w:rFonts w:eastAsiaTheme="minorEastAsia"/>
                      <w:color w:val="auto"/>
                      <w:szCs w:val="21"/>
                    </w:rPr>
                    <w:t>1</w:t>
                  </w:r>
                </w:p>
              </w:tc>
              <w:tc>
                <w:tcPr>
                  <w:tcW w:w="1268" w:type="pct"/>
                  <w:vMerge w:val="continue"/>
                </w:tcPr>
                <w:p w14:paraId="5899FAEE">
                  <w:pPr>
                    <w:pStyle w:val="75"/>
                    <w:rPr>
                      <w:rFonts w:eastAsiaTheme="minorEastAsia"/>
                      <w:color w:val="auto"/>
                      <w:szCs w:val="21"/>
                    </w:rPr>
                  </w:pPr>
                </w:p>
              </w:tc>
            </w:tr>
            <w:tr w14:paraId="169E5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72EC8E30">
                  <w:pPr>
                    <w:jc w:val="center"/>
                    <w:rPr>
                      <w:szCs w:val="21"/>
                    </w:rPr>
                  </w:pPr>
                  <w:r>
                    <w:rPr>
                      <w:rFonts w:hint="eastAsia"/>
                      <w:szCs w:val="21"/>
                    </w:rPr>
                    <w:t>14</w:t>
                  </w:r>
                </w:p>
              </w:tc>
              <w:tc>
                <w:tcPr>
                  <w:tcW w:w="1194" w:type="pct"/>
                  <w:vAlign w:val="center"/>
                </w:tcPr>
                <w:p w14:paraId="4CAB2A13">
                  <w:pPr>
                    <w:pStyle w:val="75"/>
                    <w:rPr>
                      <w:rFonts w:eastAsiaTheme="minorEastAsia"/>
                      <w:color w:val="auto"/>
                      <w:szCs w:val="21"/>
                    </w:rPr>
                  </w:pPr>
                  <w:r>
                    <w:rPr>
                      <w:rStyle w:val="63"/>
                      <w:rFonts w:hAnsi="宋体"/>
                      <w:color w:val="auto"/>
                      <w:szCs w:val="21"/>
                    </w:rPr>
                    <w:t>压缩机</w:t>
                  </w:r>
                </w:p>
              </w:tc>
              <w:tc>
                <w:tcPr>
                  <w:tcW w:w="950" w:type="pct"/>
                  <w:vMerge w:val="continue"/>
                  <w:vAlign w:val="center"/>
                </w:tcPr>
                <w:p w14:paraId="7BCB458B">
                  <w:pPr>
                    <w:pStyle w:val="75"/>
                    <w:rPr>
                      <w:rFonts w:eastAsiaTheme="minorEastAsia"/>
                      <w:color w:val="auto"/>
                      <w:szCs w:val="21"/>
                    </w:rPr>
                  </w:pPr>
                </w:p>
              </w:tc>
              <w:tc>
                <w:tcPr>
                  <w:tcW w:w="684" w:type="pct"/>
                  <w:vAlign w:val="center"/>
                </w:tcPr>
                <w:p w14:paraId="56B0DEF0">
                  <w:pPr>
                    <w:pStyle w:val="75"/>
                    <w:rPr>
                      <w:rFonts w:eastAsiaTheme="minorEastAsia"/>
                      <w:color w:val="auto"/>
                      <w:szCs w:val="21"/>
                    </w:rPr>
                  </w:pPr>
                  <w:r>
                    <w:rPr>
                      <w:rFonts w:hAnsiTheme="minorEastAsia" w:eastAsiaTheme="minorEastAsia"/>
                      <w:color w:val="auto"/>
                      <w:szCs w:val="21"/>
                    </w:rPr>
                    <w:t>台</w:t>
                  </w:r>
                </w:p>
              </w:tc>
              <w:tc>
                <w:tcPr>
                  <w:tcW w:w="558" w:type="pct"/>
                  <w:vAlign w:val="center"/>
                </w:tcPr>
                <w:p w14:paraId="513CF0D2">
                  <w:pPr>
                    <w:pStyle w:val="75"/>
                    <w:rPr>
                      <w:rFonts w:eastAsiaTheme="minorEastAsia"/>
                      <w:color w:val="auto"/>
                      <w:szCs w:val="21"/>
                    </w:rPr>
                  </w:pPr>
                  <w:r>
                    <w:rPr>
                      <w:rFonts w:eastAsiaTheme="minorEastAsia"/>
                      <w:color w:val="auto"/>
                      <w:szCs w:val="21"/>
                    </w:rPr>
                    <w:t>2</w:t>
                  </w:r>
                </w:p>
              </w:tc>
              <w:tc>
                <w:tcPr>
                  <w:tcW w:w="1268" w:type="pct"/>
                  <w:vMerge w:val="continue"/>
                </w:tcPr>
                <w:p w14:paraId="3615553C">
                  <w:pPr>
                    <w:pStyle w:val="75"/>
                    <w:rPr>
                      <w:rFonts w:eastAsiaTheme="minorEastAsia"/>
                      <w:color w:val="auto"/>
                      <w:szCs w:val="21"/>
                    </w:rPr>
                  </w:pPr>
                </w:p>
              </w:tc>
            </w:tr>
            <w:tr w14:paraId="08270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198B1742">
                  <w:pPr>
                    <w:jc w:val="center"/>
                    <w:rPr>
                      <w:szCs w:val="21"/>
                    </w:rPr>
                  </w:pPr>
                  <w:r>
                    <w:rPr>
                      <w:rFonts w:hint="eastAsia"/>
                      <w:szCs w:val="21"/>
                    </w:rPr>
                    <w:t>15</w:t>
                  </w:r>
                </w:p>
              </w:tc>
              <w:tc>
                <w:tcPr>
                  <w:tcW w:w="1194" w:type="pct"/>
                  <w:vAlign w:val="center"/>
                </w:tcPr>
                <w:p w14:paraId="5A7592E0">
                  <w:pPr>
                    <w:pStyle w:val="75"/>
                    <w:rPr>
                      <w:rFonts w:eastAsiaTheme="minorEastAsia"/>
                      <w:color w:val="auto"/>
                      <w:szCs w:val="21"/>
                    </w:rPr>
                  </w:pPr>
                  <w:r>
                    <w:rPr>
                      <w:rStyle w:val="63"/>
                      <w:rFonts w:hAnsi="宋体"/>
                      <w:color w:val="auto"/>
                      <w:szCs w:val="21"/>
                    </w:rPr>
                    <w:t>冲床</w:t>
                  </w:r>
                </w:p>
              </w:tc>
              <w:tc>
                <w:tcPr>
                  <w:tcW w:w="950" w:type="pct"/>
                  <w:vMerge w:val="continue"/>
                  <w:vAlign w:val="center"/>
                </w:tcPr>
                <w:p w14:paraId="6E70D9A5">
                  <w:pPr>
                    <w:pStyle w:val="75"/>
                    <w:rPr>
                      <w:rFonts w:eastAsiaTheme="minorEastAsia"/>
                      <w:color w:val="auto"/>
                      <w:szCs w:val="21"/>
                    </w:rPr>
                  </w:pPr>
                </w:p>
              </w:tc>
              <w:tc>
                <w:tcPr>
                  <w:tcW w:w="684" w:type="pct"/>
                  <w:vAlign w:val="center"/>
                </w:tcPr>
                <w:p w14:paraId="1D9337A2">
                  <w:pPr>
                    <w:pStyle w:val="75"/>
                    <w:rPr>
                      <w:rFonts w:eastAsiaTheme="minorEastAsia"/>
                      <w:color w:val="auto"/>
                      <w:szCs w:val="21"/>
                    </w:rPr>
                  </w:pPr>
                  <w:r>
                    <w:rPr>
                      <w:rFonts w:hAnsiTheme="minorEastAsia" w:eastAsiaTheme="minorEastAsia"/>
                      <w:color w:val="auto"/>
                      <w:szCs w:val="21"/>
                    </w:rPr>
                    <w:t>台</w:t>
                  </w:r>
                </w:p>
              </w:tc>
              <w:tc>
                <w:tcPr>
                  <w:tcW w:w="558" w:type="pct"/>
                  <w:vAlign w:val="center"/>
                </w:tcPr>
                <w:p w14:paraId="781B0149">
                  <w:pPr>
                    <w:pStyle w:val="75"/>
                    <w:rPr>
                      <w:rFonts w:eastAsiaTheme="minorEastAsia"/>
                      <w:color w:val="auto"/>
                      <w:szCs w:val="21"/>
                    </w:rPr>
                  </w:pPr>
                  <w:r>
                    <w:rPr>
                      <w:rFonts w:eastAsiaTheme="minorEastAsia"/>
                      <w:color w:val="auto"/>
                      <w:szCs w:val="21"/>
                    </w:rPr>
                    <w:t>1</w:t>
                  </w:r>
                </w:p>
              </w:tc>
              <w:tc>
                <w:tcPr>
                  <w:tcW w:w="1268" w:type="pct"/>
                  <w:vMerge w:val="continue"/>
                </w:tcPr>
                <w:p w14:paraId="6DB38ABB">
                  <w:pPr>
                    <w:pStyle w:val="75"/>
                    <w:rPr>
                      <w:rFonts w:eastAsiaTheme="minorEastAsia"/>
                      <w:color w:val="auto"/>
                      <w:szCs w:val="21"/>
                    </w:rPr>
                  </w:pPr>
                </w:p>
              </w:tc>
            </w:tr>
            <w:tr w14:paraId="6A7F5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7073C30C">
                  <w:pPr>
                    <w:jc w:val="center"/>
                    <w:rPr>
                      <w:szCs w:val="21"/>
                    </w:rPr>
                  </w:pPr>
                  <w:r>
                    <w:rPr>
                      <w:rFonts w:hint="eastAsia"/>
                      <w:szCs w:val="21"/>
                    </w:rPr>
                    <w:t>16</w:t>
                  </w:r>
                </w:p>
              </w:tc>
              <w:tc>
                <w:tcPr>
                  <w:tcW w:w="1194" w:type="pct"/>
                  <w:vAlign w:val="center"/>
                </w:tcPr>
                <w:p w14:paraId="72AA901E">
                  <w:pPr>
                    <w:pStyle w:val="75"/>
                    <w:rPr>
                      <w:rFonts w:eastAsiaTheme="minorEastAsia"/>
                      <w:color w:val="auto"/>
                      <w:szCs w:val="21"/>
                    </w:rPr>
                  </w:pPr>
                  <w:r>
                    <w:rPr>
                      <w:rStyle w:val="63"/>
                      <w:rFonts w:hAnsi="宋体"/>
                      <w:color w:val="auto"/>
                      <w:szCs w:val="21"/>
                    </w:rPr>
                    <w:t>二保护焊机</w:t>
                  </w:r>
                </w:p>
              </w:tc>
              <w:tc>
                <w:tcPr>
                  <w:tcW w:w="950" w:type="pct"/>
                  <w:vMerge w:val="continue"/>
                  <w:vAlign w:val="center"/>
                </w:tcPr>
                <w:p w14:paraId="20D09F01">
                  <w:pPr>
                    <w:pStyle w:val="75"/>
                    <w:rPr>
                      <w:rFonts w:eastAsiaTheme="minorEastAsia"/>
                      <w:color w:val="auto"/>
                      <w:szCs w:val="21"/>
                    </w:rPr>
                  </w:pPr>
                </w:p>
              </w:tc>
              <w:tc>
                <w:tcPr>
                  <w:tcW w:w="684" w:type="pct"/>
                  <w:vAlign w:val="center"/>
                </w:tcPr>
                <w:p w14:paraId="79A6CB86">
                  <w:pPr>
                    <w:pStyle w:val="75"/>
                    <w:rPr>
                      <w:rFonts w:eastAsiaTheme="minorEastAsia"/>
                      <w:color w:val="auto"/>
                      <w:szCs w:val="21"/>
                    </w:rPr>
                  </w:pPr>
                  <w:r>
                    <w:rPr>
                      <w:rFonts w:hAnsiTheme="minorEastAsia" w:eastAsiaTheme="minorEastAsia"/>
                      <w:color w:val="auto"/>
                      <w:szCs w:val="21"/>
                    </w:rPr>
                    <w:t>台</w:t>
                  </w:r>
                </w:p>
              </w:tc>
              <w:tc>
                <w:tcPr>
                  <w:tcW w:w="558" w:type="pct"/>
                  <w:vAlign w:val="center"/>
                </w:tcPr>
                <w:p w14:paraId="160FAFDB">
                  <w:pPr>
                    <w:pStyle w:val="75"/>
                    <w:rPr>
                      <w:rFonts w:eastAsiaTheme="minorEastAsia"/>
                      <w:color w:val="auto"/>
                      <w:szCs w:val="21"/>
                    </w:rPr>
                  </w:pPr>
                  <w:r>
                    <w:rPr>
                      <w:rFonts w:eastAsiaTheme="minorEastAsia"/>
                      <w:color w:val="auto"/>
                      <w:szCs w:val="21"/>
                    </w:rPr>
                    <w:t>4</w:t>
                  </w:r>
                </w:p>
              </w:tc>
              <w:tc>
                <w:tcPr>
                  <w:tcW w:w="1268" w:type="pct"/>
                  <w:vMerge w:val="continue"/>
                </w:tcPr>
                <w:p w14:paraId="515DB3C4">
                  <w:pPr>
                    <w:pStyle w:val="75"/>
                    <w:rPr>
                      <w:rFonts w:eastAsiaTheme="minorEastAsia"/>
                      <w:color w:val="auto"/>
                      <w:szCs w:val="21"/>
                    </w:rPr>
                  </w:pPr>
                </w:p>
              </w:tc>
            </w:tr>
            <w:tr w14:paraId="4C5EF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64F96D92">
                  <w:pPr>
                    <w:jc w:val="center"/>
                    <w:rPr>
                      <w:szCs w:val="21"/>
                    </w:rPr>
                  </w:pPr>
                  <w:r>
                    <w:rPr>
                      <w:rFonts w:hint="eastAsia"/>
                      <w:szCs w:val="21"/>
                    </w:rPr>
                    <w:t>17</w:t>
                  </w:r>
                </w:p>
              </w:tc>
              <w:tc>
                <w:tcPr>
                  <w:tcW w:w="1194" w:type="pct"/>
                  <w:vAlign w:val="center"/>
                </w:tcPr>
                <w:p w14:paraId="5DAF4B2D">
                  <w:pPr>
                    <w:pStyle w:val="75"/>
                    <w:rPr>
                      <w:rFonts w:eastAsiaTheme="minorEastAsia"/>
                      <w:color w:val="auto"/>
                      <w:szCs w:val="21"/>
                    </w:rPr>
                  </w:pPr>
                  <w:r>
                    <w:rPr>
                      <w:rFonts w:hAnsiTheme="minorEastAsia" w:eastAsiaTheme="minorEastAsia"/>
                      <w:color w:val="auto"/>
                      <w:szCs w:val="21"/>
                    </w:rPr>
                    <w:t>叉车</w:t>
                  </w:r>
                </w:p>
              </w:tc>
              <w:tc>
                <w:tcPr>
                  <w:tcW w:w="950" w:type="pct"/>
                  <w:vAlign w:val="center"/>
                </w:tcPr>
                <w:p w14:paraId="729634C3">
                  <w:pPr>
                    <w:pStyle w:val="75"/>
                    <w:rPr>
                      <w:rFonts w:eastAsiaTheme="minorEastAsia"/>
                      <w:color w:val="auto"/>
                      <w:szCs w:val="21"/>
                    </w:rPr>
                  </w:pPr>
                  <w:r>
                    <w:rPr>
                      <w:rFonts w:eastAsiaTheme="minorEastAsia"/>
                      <w:color w:val="auto"/>
                      <w:szCs w:val="21"/>
                    </w:rPr>
                    <w:t>3</w:t>
                  </w:r>
                  <w:r>
                    <w:rPr>
                      <w:rFonts w:hAnsiTheme="minorEastAsia" w:eastAsiaTheme="minorEastAsia"/>
                      <w:color w:val="auto"/>
                      <w:szCs w:val="21"/>
                    </w:rPr>
                    <w:t>吨</w:t>
                  </w:r>
                </w:p>
              </w:tc>
              <w:tc>
                <w:tcPr>
                  <w:tcW w:w="684" w:type="pct"/>
                  <w:vAlign w:val="center"/>
                </w:tcPr>
                <w:p w14:paraId="3D647234">
                  <w:pPr>
                    <w:pStyle w:val="75"/>
                    <w:rPr>
                      <w:rFonts w:eastAsiaTheme="minorEastAsia"/>
                      <w:color w:val="auto"/>
                      <w:szCs w:val="21"/>
                    </w:rPr>
                  </w:pPr>
                  <w:r>
                    <w:rPr>
                      <w:rFonts w:hAnsiTheme="minorEastAsia" w:eastAsiaTheme="minorEastAsia"/>
                      <w:color w:val="auto"/>
                      <w:szCs w:val="21"/>
                    </w:rPr>
                    <w:t>台</w:t>
                  </w:r>
                </w:p>
              </w:tc>
              <w:tc>
                <w:tcPr>
                  <w:tcW w:w="558" w:type="pct"/>
                  <w:vAlign w:val="center"/>
                </w:tcPr>
                <w:p w14:paraId="536DCABE">
                  <w:pPr>
                    <w:pStyle w:val="75"/>
                    <w:rPr>
                      <w:rFonts w:eastAsiaTheme="minorEastAsia"/>
                      <w:color w:val="auto"/>
                      <w:szCs w:val="21"/>
                    </w:rPr>
                  </w:pPr>
                  <w:r>
                    <w:rPr>
                      <w:rFonts w:eastAsiaTheme="minorEastAsia"/>
                      <w:color w:val="auto"/>
                      <w:szCs w:val="21"/>
                    </w:rPr>
                    <w:t>1</w:t>
                  </w:r>
                </w:p>
              </w:tc>
              <w:tc>
                <w:tcPr>
                  <w:tcW w:w="1268" w:type="pct"/>
                  <w:vMerge w:val="continue"/>
                </w:tcPr>
                <w:p w14:paraId="5B19717B">
                  <w:pPr>
                    <w:pStyle w:val="75"/>
                    <w:rPr>
                      <w:rFonts w:eastAsiaTheme="minorEastAsia"/>
                      <w:color w:val="auto"/>
                      <w:szCs w:val="21"/>
                    </w:rPr>
                  </w:pPr>
                </w:p>
              </w:tc>
            </w:tr>
            <w:tr w14:paraId="1B918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495AEAA5">
                  <w:pPr>
                    <w:jc w:val="center"/>
                    <w:rPr>
                      <w:szCs w:val="21"/>
                    </w:rPr>
                  </w:pPr>
                  <w:r>
                    <w:rPr>
                      <w:rFonts w:hint="eastAsia"/>
                      <w:szCs w:val="21"/>
                    </w:rPr>
                    <w:t>18</w:t>
                  </w:r>
                </w:p>
              </w:tc>
              <w:tc>
                <w:tcPr>
                  <w:tcW w:w="1194" w:type="pct"/>
                  <w:vAlign w:val="center"/>
                </w:tcPr>
                <w:p w14:paraId="1BA7F0B7">
                  <w:pPr>
                    <w:pStyle w:val="75"/>
                    <w:rPr>
                      <w:rFonts w:eastAsiaTheme="minorEastAsia"/>
                      <w:color w:val="auto"/>
                      <w:szCs w:val="21"/>
                    </w:rPr>
                  </w:pPr>
                  <w:r>
                    <w:rPr>
                      <w:rFonts w:hAnsiTheme="minorEastAsia" w:eastAsiaTheme="minorEastAsia"/>
                      <w:color w:val="auto"/>
                      <w:szCs w:val="21"/>
                    </w:rPr>
                    <w:t>行车</w:t>
                  </w:r>
                </w:p>
              </w:tc>
              <w:tc>
                <w:tcPr>
                  <w:tcW w:w="950" w:type="pct"/>
                  <w:vAlign w:val="center"/>
                </w:tcPr>
                <w:p w14:paraId="5F30F231">
                  <w:pPr>
                    <w:pStyle w:val="75"/>
                    <w:rPr>
                      <w:rFonts w:eastAsiaTheme="minorEastAsia"/>
                      <w:color w:val="auto"/>
                      <w:szCs w:val="21"/>
                    </w:rPr>
                  </w:pPr>
                  <w:r>
                    <w:rPr>
                      <w:rFonts w:hint="eastAsia" w:eastAsiaTheme="minorEastAsia"/>
                      <w:color w:val="auto"/>
                      <w:szCs w:val="21"/>
                    </w:rPr>
                    <w:t>2.8</w:t>
                  </w:r>
                  <w:r>
                    <w:rPr>
                      <w:rFonts w:hAnsiTheme="minorEastAsia" w:eastAsiaTheme="minorEastAsia"/>
                      <w:color w:val="auto"/>
                      <w:szCs w:val="21"/>
                    </w:rPr>
                    <w:t>吨</w:t>
                  </w:r>
                </w:p>
              </w:tc>
              <w:tc>
                <w:tcPr>
                  <w:tcW w:w="684" w:type="pct"/>
                  <w:vAlign w:val="center"/>
                </w:tcPr>
                <w:p w14:paraId="71FC5874">
                  <w:pPr>
                    <w:pStyle w:val="75"/>
                    <w:rPr>
                      <w:rFonts w:eastAsiaTheme="minorEastAsia"/>
                      <w:color w:val="auto"/>
                      <w:szCs w:val="21"/>
                    </w:rPr>
                  </w:pPr>
                  <w:r>
                    <w:rPr>
                      <w:rFonts w:hAnsiTheme="minorEastAsia" w:eastAsiaTheme="minorEastAsia"/>
                      <w:color w:val="auto"/>
                      <w:szCs w:val="21"/>
                    </w:rPr>
                    <w:t>台</w:t>
                  </w:r>
                </w:p>
              </w:tc>
              <w:tc>
                <w:tcPr>
                  <w:tcW w:w="558" w:type="pct"/>
                  <w:vAlign w:val="center"/>
                </w:tcPr>
                <w:p w14:paraId="5065F0E2">
                  <w:pPr>
                    <w:pStyle w:val="75"/>
                    <w:rPr>
                      <w:rFonts w:eastAsiaTheme="minorEastAsia"/>
                      <w:color w:val="auto"/>
                      <w:szCs w:val="21"/>
                    </w:rPr>
                  </w:pPr>
                  <w:r>
                    <w:rPr>
                      <w:rFonts w:eastAsiaTheme="minorEastAsia"/>
                      <w:color w:val="auto"/>
                      <w:szCs w:val="21"/>
                    </w:rPr>
                    <w:t>2</w:t>
                  </w:r>
                </w:p>
              </w:tc>
              <w:tc>
                <w:tcPr>
                  <w:tcW w:w="1268" w:type="pct"/>
                  <w:vMerge w:val="continue"/>
                </w:tcPr>
                <w:p w14:paraId="420CDE37">
                  <w:pPr>
                    <w:pStyle w:val="75"/>
                    <w:rPr>
                      <w:rFonts w:eastAsiaTheme="minorEastAsia"/>
                      <w:color w:val="auto"/>
                      <w:szCs w:val="21"/>
                    </w:rPr>
                  </w:pPr>
                </w:p>
              </w:tc>
            </w:tr>
            <w:tr w14:paraId="10603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1BC98852">
                  <w:pPr>
                    <w:jc w:val="center"/>
                    <w:rPr>
                      <w:szCs w:val="21"/>
                    </w:rPr>
                  </w:pPr>
                  <w:r>
                    <w:rPr>
                      <w:rFonts w:hint="eastAsia"/>
                      <w:szCs w:val="21"/>
                    </w:rPr>
                    <w:t>18</w:t>
                  </w:r>
                </w:p>
              </w:tc>
              <w:tc>
                <w:tcPr>
                  <w:tcW w:w="1194" w:type="pct"/>
                  <w:vAlign w:val="center"/>
                </w:tcPr>
                <w:p w14:paraId="7313020B">
                  <w:pPr>
                    <w:pStyle w:val="75"/>
                    <w:rPr>
                      <w:rFonts w:hAnsiTheme="minorEastAsia" w:eastAsiaTheme="minorEastAsia"/>
                      <w:color w:val="auto"/>
                      <w:szCs w:val="21"/>
                    </w:rPr>
                  </w:pPr>
                  <w:r>
                    <w:rPr>
                      <w:rFonts w:hint="eastAsia" w:hAnsiTheme="minorEastAsia" w:eastAsiaTheme="minorEastAsia"/>
                      <w:color w:val="auto"/>
                      <w:szCs w:val="21"/>
                    </w:rPr>
                    <w:t>轻卡送货车</w:t>
                  </w:r>
                </w:p>
              </w:tc>
              <w:tc>
                <w:tcPr>
                  <w:tcW w:w="950" w:type="pct"/>
                  <w:vAlign w:val="center"/>
                </w:tcPr>
                <w:p w14:paraId="61DB6CFC">
                  <w:pPr>
                    <w:pStyle w:val="75"/>
                    <w:rPr>
                      <w:rFonts w:eastAsiaTheme="minorEastAsia"/>
                      <w:color w:val="auto"/>
                      <w:szCs w:val="21"/>
                    </w:rPr>
                  </w:pPr>
                  <w:r>
                    <w:rPr>
                      <w:rFonts w:hint="eastAsia" w:eastAsiaTheme="minorEastAsia"/>
                      <w:color w:val="auto"/>
                      <w:szCs w:val="21"/>
                    </w:rPr>
                    <w:t>4米2自重2.56t/6米8自重6.15t</w:t>
                  </w:r>
                </w:p>
              </w:tc>
              <w:tc>
                <w:tcPr>
                  <w:tcW w:w="684" w:type="pct"/>
                  <w:vAlign w:val="center"/>
                </w:tcPr>
                <w:p w14:paraId="6738E88B">
                  <w:pPr>
                    <w:pStyle w:val="75"/>
                    <w:rPr>
                      <w:rFonts w:hAnsiTheme="minorEastAsia" w:eastAsiaTheme="minorEastAsia"/>
                      <w:color w:val="auto"/>
                      <w:szCs w:val="21"/>
                    </w:rPr>
                  </w:pPr>
                  <w:r>
                    <w:rPr>
                      <w:rFonts w:hint="eastAsia" w:hAnsiTheme="minorEastAsia" w:eastAsiaTheme="minorEastAsia"/>
                      <w:color w:val="auto"/>
                      <w:szCs w:val="21"/>
                    </w:rPr>
                    <w:t>辆</w:t>
                  </w:r>
                </w:p>
              </w:tc>
              <w:tc>
                <w:tcPr>
                  <w:tcW w:w="558" w:type="pct"/>
                  <w:vAlign w:val="center"/>
                </w:tcPr>
                <w:p w14:paraId="4127BA69">
                  <w:pPr>
                    <w:pStyle w:val="75"/>
                    <w:rPr>
                      <w:rFonts w:eastAsiaTheme="minorEastAsia"/>
                      <w:color w:val="auto"/>
                      <w:szCs w:val="21"/>
                    </w:rPr>
                  </w:pPr>
                  <w:r>
                    <w:rPr>
                      <w:rFonts w:hint="eastAsia" w:eastAsiaTheme="minorEastAsia"/>
                      <w:color w:val="auto"/>
                      <w:szCs w:val="21"/>
                    </w:rPr>
                    <w:t>4</w:t>
                  </w:r>
                </w:p>
              </w:tc>
              <w:tc>
                <w:tcPr>
                  <w:tcW w:w="1268" w:type="pct"/>
                  <w:vMerge w:val="continue"/>
                </w:tcPr>
                <w:p w14:paraId="274EBE16">
                  <w:pPr>
                    <w:pStyle w:val="75"/>
                    <w:rPr>
                      <w:rFonts w:eastAsiaTheme="minorEastAsia"/>
                      <w:color w:val="auto"/>
                      <w:szCs w:val="21"/>
                    </w:rPr>
                  </w:pPr>
                </w:p>
              </w:tc>
            </w:tr>
            <w:tr w14:paraId="362E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113CF894">
                  <w:pPr>
                    <w:jc w:val="center"/>
                    <w:rPr>
                      <w:szCs w:val="21"/>
                    </w:rPr>
                  </w:pPr>
                  <w:r>
                    <w:rPr>
                      <w:rFonts w:hint="eastAsia"/>
                      <w:szCs w:val="21"/>
                    </w:rPr>
                    <w:t>19</w:t>
                  </w:r>
                </w:p>
              </w:tc>
              <w:tc>
                <w:tcPr>
                  <w:tcW w:w="1194" w:type="pct"/>
                  <w:vAlign w:val="center"/>
                </w:tcPr>
                <w:p w14:paraId="550EC19E">
                  <w:pPr>
                    <w:pStyle w:val="75"/>
                    <w:rPr>
                      <w:rFonts w:eastAsiaTheme="minorEastAsia"/>
                      <w:color w:val="auto"/>
                      <w:szCs w:val="21"/>
                    </w:rPr>
                  </w:pPr>
                  <w:r>
                    <w:rPr>
                      <w:rFonts w:hAnsiTheme="minorEastAsia" w:eastAsiaTheme="minorEastAsia"/>
                      <w:color w:val="auto"/>
                      <w:szCs w:val="21"/>
                    </w:rPr>
                    <w:t>箱式喷漆房</w:t>
                  </w:r>
                </w:p>
              </w:tc>
              <w:tc>
                <w:tcPr>
                  <w:tcW w:w="950" w:type="pct"/>
                  <w:vMerge w:val="restart"/>
                  <w:vAlign w:val="center"/>
                </w:tcPr>
                <w:p w14:paraId="23DDAC31">
                  <w:pPr>
                    <w:pStyle w:val="75"/>
                    <w:rPr>
                      <w:rFonts w:eastAsiaTheme="minorEastAsia"/>
                      <w:color w:val="auto"/>
                      <w:szCs w:val="21"/>
                    </w:rPr>
                  </w:pPr>
                  <w:r>
                    <w:rPr>
                      <w:rFonts w:hint="eastAsia" w:eastAsiaTheme="minorEastAsia"/>
                      <w:color w:val="auto"/>
                      <w:szCs w:val="21"/>
                    </w:rPr>
                    <w:t>/</w:t>
                  </w:r>
                </w:p>
              </w:tc>
              <w:tc>
                <w:tcPr>
                  <w:tcW w:w="684" w:type="pct"/>
                  <w:vAlign w:val="center"/>
                </w:tcPr>
                <w:p w14:paraId="381A7C6C">
                  <w:pPr>
                    <w:pStyle w:val="75"/>
                    <w:rPr>
                      <w:rFonts w:eastAsiaTheme="minorEastAsia"/>
                      <w:color w:val="auto"/>
                      <w:szCs w:val="21"/>
                    </w:rPr>
                  </w:pPr>
                  <w:r>
                    <w:rPr>
                      <w:rFonts w:hAnsiTheme="minorEastAsia" w:eastAsiaTheme="minorEastAsia"/>
                      <w:color w:val="auto"/>
                      <w:szCs w:val="21"/>
                    </w:rPr>
                    <w:t>台</w:t>
                  </w:r>
                </w:p>
              </w:tc>
              <w:tc>
                <w:tcPr>
                  <w:tcW w:w="558" w:type="pct"/>
                  <w:vAlign w:val="center"/>
                </w:tcPr>
                <w:p w14:paraId="0079711F">
                  <w:pPr>
                    <w:pStyle w:val="75"/>
                    <w:rPr>
                      <w:rFonts w:eastAsiaTheme="minorEastAsia"/>
                      <w:color w:val="auto"/>
                      <w:szCs w:val="21"/>
                    </w:rPr>
                  </w:pPr>
                  <w:r>
                    <w:rPr>
                      <w:rFonts w:eastAsiaTheme="minorEastAsia"/>
                      <w:color w:val="auto"/>
                      <w:szCs w:val="21"/>
                    </w:rPr>
                    <w:t>1</w:t>
                  </w:r>
                </w:p>
              </w:tc>
              <w:tc>
                <w:tcPr>
                  <w:tcW w:w="1268" w:type="pct"/>
                  <w:vMerge w:val="continue"/>
                </w:tcPr>
                <w:p w14:paraId="2831DAF5">
                  <w:pPr>
                    <w:pStyle w:val="75"/>
                    <w:rPr>
                      <w:rFonts w:eastAsiaTheme="minorEastAsia"/>
                      <w:color w:val="auto"/>
                      <w:szCs w:val="21"/>
                    </w:rPr>
                  </w:pPr>
                </w:p>
              </w:tc>
            </w:tr>
            <w:tr w14:paraId="3ACC2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346" w:type="pct"/>
                  <w:vAlign w:val="center"/>
                </w:tcPr>
                <w:p w14:paraId="41E6502A">
                  <w:pPr>
                    <w:jc w:val="center"/>
                    <w:rPr>
                      <w:szCs w:val="21"/>
                    </w:rPr>
                  </w:pPr>
                  <w:r>
                    <w:rPr>
                      <w:rFonts w:hint="eastAsia"/>
                      <w:szCs w:val="21"/>
                    </w:rPr>
                    <w:t>20</w:t>
                  </w:r>
                </w:p>
              </w:tc>
              <w:tc>
                <w:tcPr>
                  <w:tcW w:w="1194" w:type="pct"/>
                  <w:vAlign w:val="center"/>
                </w:tcPr>
                <w:p w14:paraId="50D0FACE">
                  <w:pPr>
                    <w:pStyle w:val="75"/>
                    <w:rPr>
                      <w:rFonts w:eastAsiaTheme="minorEastAsia"/>
                      <w:color w:val="auto"/>
                      <w:sz w:val="15"/>
                      <w:szCs w:val="15"/>
                    </w:rPr>
                  </w:pPr>
                  <w:r>
                    <w:rPr>
                      <w:rStyle w:val="63"/>
                      <w:rFonts w:hAnsi="宋体"/>
                      <w:color w:val="auto"/>
                      <w:szCs w:val="21"/>
                    </w:rPr>
                    <w:t>环保设施</w:t>
                  </w:r>
                  <w:r>
                    <w:rPr>
                      <w:rStyle w:val="63"/>
                      <w:rFonts w:hint="eastAsia" w:hAnsi="宋体"/>
                      <w:color w:val="auto"/>
                      <w:szCs w:val="21"/>
                    </w:rPr>
                    <w:t>风机</w:t>
                  </w:r>
                </w:p>
              </w:tc>
              <w:tc>
                <w:tcPr>
                  <w:tcW w:w="950" w:type="pct"/>
                  <w:vMerge w:val="continue"/>
                  <w:vAlign w:val="center"/>
                </w:tcPr>
                <w:p w14:paraId="23B27359">
                  <w:pPr>
                    <w:pStyle w:val="75"/>
                    <w:rPr>
                      <w:rFonts w:eastAsiaTheme="minorEastAsia"/>
                      <w:color w:val="auto"/>
                      <w:szCs w:val="21"/>
                    </w:rPr>
                  </w:pPr>
                </w:p>
              </w:tc>
              <w:tc>
                <w:tcPr>
                  <w:tcW w:w="684" w:type="pct"/>
                  <w:vAlign w:val="center"/>
                </w:tcPr>
                <w:p w14:paraId="0939C7AB">
                  <w:pPr>
                    <w:pStyle w:val="75"/>
                    <w:rPr>
                      <w:rFonts w:eastAsiaTheme="minorEastAsia"/>
                      <w:color w:val="auto"/>
                      <w:szCs w:val="21"/>
                    </w:rPr>
                  </w:pPr>
                  <w:r>
                    <w:rPr>
                      <w:rFonts w:hAnsiTheme="minorEastAsia" w:eastAsiaTheme="minorEastAsia"/>
                      <w:color w:val="auto"/>
                      <w:szCs w:val="21"/>
                    </w:rPr>
                    <w:t>套</w:t>
                  </w:r>
                </w:p>
              </w:tc>
              <w:tc>
                <w:tcPr>
                  <w:tcW w:w="558" w:type="pct"/>
                  <w:vAlign w:val="center"/>
                </w:tcPr>
                <w:p w14:paraId="3C9B38CA">
                  <w:pPr>
                    <w:pStyle w:val="75"/>
                    <w:rPr>
                      <w:rFonts w:eastAsiaTheme="minorEastAsia"/>
                      <w:color w:val="auto"/>
                      <w:szCs w:val="21"/>
                    </w:rPr>
                  </w:pPr>
                  <w:r>
                    <w:rPr>
                      <w:rFonts w:hint="eastAsia" w:eastAsiaTheme="minorEastAsia"/>
                      <w:color w:val="auto"/>
                      <w:szCs w:val="21"/>
                    </w:rPr>
                    <w:t>7</w:t>
                  </w:r>
                </w:p>
              </w:tc>
              <w:tc>
                <w:tcPr>
                  <w:tcW w:w="1268" w:type="pct"/>
                </w:tcPr>
                <w:p w14:paraId="20F77543">
                  <w:pPr>
                    <w:pStyle w:val="75"/>
                    <w:rPr>
                      <w:rFonts w:eastAsiaTheme="minorEastAsia"/>
                      <w:color w:val="auto"/>
                      <w:szCs w:val="21"/>
                    </w:rPr>
                  </w:pPr>
                  <w:r>
                    <w:rPr>
                      <w:rFonts w:hint="eastAsia" w:eastAsiaTheme="minorEastAsia"/>
                      <w:color w:val="auto"/>
                      <w:szCs w:val="21"/>
                    </w:rPr>
                    <w:t>包含抛丸工序风机、喷涂工序1风机、喷涂工序2风机、烘干工序风机、燃料燃烧工序风机、喷涂工序3风机、喷漆工序4风机</w:t>
                  </w:r>
                </w:p>
              </w:tc>
            </w:tr>
          </w:tbl>
          <w:p w14:paraId="52F38B63">
            <w:pPr>
              <w:pStyle w:val="45"/>
              <w:ind w:firstLine="482"/>
              <w:rPr>
                <w:b/>
              </w:rPr>
            </w:pPr>
            <w:r>
              <w:rPr>
                <w:rFonts w:hint="eastAsia"/>
                <w:b/>
              </w:rPr>
              <w:t>2.1.</w:t>
            </w:r>
            <w:r>
              <w:rPr>
                <w:b/>
              </w:rPr>
              <w:t>5</w:t>
            </w:r>
            <w:r>
              <w:rPr>
                <w:b/>
                <w:bCs/>
              </w:rPr>
              <w:t>主要原辅材料及其理化性质</w:t>
            </w:r>
          </w:p>
          <w:p w14:paraId="079575ED">
            <w:pPr>
              <w:adjustRightInd w:val="0"/>
              <w:snapToGrid w:val="0"/>
              <w:spacing w:line="360" w:lineRule="auto"/>
              <w:ind w:firstLine="480" w:firstLineChars="200"/>
              <w:rPr>
                <w:sz w:val="24"/>
              </w:rPr>
            </w:pPr>
            <w:r>
              <w:rPr>
                <w:rFonts w:hint="eastAsia"/>
                <w:sz w:val="24"/>
              </w:rPr>
              <w:t>（1）</w:t>
            </w:r>
            <w:r>
              <w:rPr>
                <w:sz w:val="24"/>
              </w:rPr>
              <w:t>本项目主要</w:t>
            </w:r>
            <w:r>
              <w:rPr>
                <w:rFonts w:hint="eastAsia"/>
                <w:sz w:val="24"/>
              </w:rPr>
              <w:t>原辅材料及能源消耗见表6</w:t>
            </w:r>
            <w:r>
              <w:rPr>
                <w:sz w:val="24"/>
              </w:rPr>
              <w:t>。</w:t>
            </w:r>
          </w:p>
          <w:p w14:paraId="4E40B81E">
            <w:pPr>
              <w:numPr>
                <w:ilvl w:val="0"/>
                <w:numId w:val="1"/>
              </w:numPr>
              <w:adjustRightInd w:val="0"/>
              <w:snapToGrid w:val="0"/>
              <w:jc w:val="center"/>
              <w:rPr>
                <w:b/>
                <w:szCs w:val="21"/>
              </w:rPr>
            </w:pPr>
            <w:r>
              <w:rPr>
                <w:rFonts w:hint="eastAsia"/>
                <w:b/>
                <w:szCs w:val="21"/>
              </w:rPr>
              <w:t xml:space="preserve">    </w:t>
            </w:r>
            <w:r>
              <w:rPr>
                <w:b/>
                <w:szCs w:val="21"/>
              </w:rPr>
              <w:t>主要原辅材料</w:t>
            </w:r>
            <w:r>
              <w:rPr>
                <w:rFonts w:hint="eastAsia"/>
                <w:b/>
                <w:szCs w:val="21"/>
              </w:rPr>
              <w:t>及能源</w:t>
            </w:r>
            <w:r>
              <w:rPr>
                <w:b/>
                <w:szCs w:val="21"/>
              </w:rPr>
              <w:t>消耗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4"/>
              <w:gridCol w:w="1029"/>
              <w:gridCol w:w="2437"/>
              <w:gridCol w:w="1158"/>
              <w:gridCol w:w="1104"/>
              <w:gridCol w:w="986"/>
              <w:gridCol w:w="1158"/>
            </w:tblGrid>
            <w:tr w14:paraId="2B95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2375A0A9">
                  <w:pPr>
                    <w:jc w:val="center"/>
                    <w:rPr>
                      <w:bCs/>
                      <w:szCs w:val="21"/>
                    </w:rPr>
                  </w:pPr>
                  <w:r>
                    <w:rPr>
                      <w:bCs/>
                      <w:szCs w:val="21"/>
                    </w:rPr>
                    <w:t>序号</w:t>
                  </w:r>
                </w:p>
              </w:tc>
              <w:tc>
                <w:tcPr>
                  <w:tcW w:w="1029" w:type="dxa"/>
                  <w:tcBorders>
                    <w:top w:val="single" w:color="auto" w:sz="4" w:space="0"/>
                    <w:left w:val="nil"/>
                    <w:bottom w:val="single" w:color="auto" w:sz="4" w:space="0"/>
                    <w:right w:val="single" w:color="auto" w:sz="4" w:space="0"/>
                  </w:tcBorders>
                  <w:vAlign w:val="center"/>
                </w:tcPr>
                <w:p w14:paraId="5C1B192E">
                  <w:pPr>
                    <w:jc w:val="center"/>
                    <w:rPr>
                      <w:bCs/>
                      <w:szCs w:val="21"/>
                    </w:rPr>
                  </w:pPr>
                  <w:r>
                    <w:rPr>
                      <w:bCs/>
                      <w:szCs w:val="21"/>
                    </w:rPr>
                    <w:t>名称</w:t>
                  </w:r>
                </w:p>
              </w:tc>
              <w:tc>
                <w:tcPr>
                  <w:tcW w:w="2133" w:type="dxa"/>
                  <w:tcBorders>
                    <w:top w:val="single" w:color="auto" w:sz="4" w:space="0"/>
                    <w:left w:val="nil"/>
                    <w:bottom w:val="single" w:color="auto" w:sz="4" w:space="0"/>
                    <w:right w:val="single" w:color="auto" w:sz="4" w:space="0"/>
                  </w:tcBorders>
                  <w:vAlign w:val="center"/>
                </w:tcPr>
                <w:p w14:paraId="4702148F">
                  <w:pPr>
                    <w:jc w:val="center"/>
                    <w:rPr>
                      <w:bCs/>
                      <w:szCs w:val="21"/>
                    </w:rPr>
                  </w:pPr>
                  <w:r>
                    <w:rPr>
                      <w:bCs/>
                      <w:szCs w:val="21"/>
                    </w:rPr>
                    <w:t>规格、形态</w:t>
                  </w:r>
                </w:p>
              </w:tc>
              <w:tc>
                <w:tcPr>
                  <w:tcW w:w="1158" w:type="dxa"/>
                  <w:tcBorders>
                    <w:top w:val="single" w:color="auto" w:sz="4" w:space="0"/>
                    <w:left w:val="nil"/>
                    <w:bottom w:val="single" w:color="auto" w:sz="4" w:space="0"/>
                    <w:right w:val="single" w:color="auto" w:sz="4" w:space="0"/>
                  </w:tcBorders>
                  <w:vAlign w:val="center"/>
                </w:tcPr>
                <w:p w14:paraId="019AEA3C">
                  <w:pPr>
                    <w:jc w:val="center"/>
                    <w:rPr>
                      <w:bCs/>
                      <w:szCs w:val="21"/>
                    </w:rPr>
                  </w:pPr>
                  <w:r>
                    <w:rPr>
                      <w:bCs/>
                      <w:szCs w:val="21"/>
                    </w:rPr>
                    <w:t>年使用量</w:t>
                  </w:r>
                </w:p>
              </w:tc>
              <w:tc>
                <w:tcPr>
                  <w:tcW w:w="1104" w:type="dxa"/>
                  <w:tcBorders>
                    <w:top w:val="single" w:color="auto" w:sz="4" w:space="0"/>
                    <w:left w:val="nil"/>
                    <w:bottom w:val="single" w:color="auto" w:sz="4" w:space="0"/>
                    <w:right w:val="single" w:color="auto" w:sz="4" w:space="0"/>
                  </w:tcBorders>
                  <w:vAlign w:val="center"/>
                </w:tcPr>
                <w:p w14:paraId="016F7356">
                  <w:pPr>
                    <w:jc w:val="center"/>
                    <w:rPr>
                      <w:bCs/>
                      <w:szCs w:val="21"/>
                    </w:rPr>
                  </w:pPr>
                  <w:r>
                    <w:rPr>
                      <w:rFonts w:hint="eastAsia"/>
                      <w:bCs/>
                      <w:szCs w:val="21"/>
                    </w:rPr>
                    <w:t>最大储存量</w:t>
                  </w:r>
                </w:p>
              </w:tc>
              <w:tc>
                <w:tcPr>
                  <w:tcW w:w="986" w:type="dxa"/>
                  <w:tcBorders>
                    <w:top w:val="single" w:color="auto" w:sz="4" w:space="0"/>
                    <w:left w:val="single" w:color="auto" w:sz="4" w:space="0"/>
                    <w:bottom w:val="single" w:color="auto" w:sz="4" w:space="0"/>
                    <w:right w:val="single" w:color="auto" w:sz="4" w:space="0"/>
                  </w:tcBorders>
                  <w:vAlign w:val="center"/>
                </w:tcPr>
                <w:p w14:paraId="3169349D">
                  <w:pPr>
                    <w:jc w:val="center"/>
                    <w:rPr>
                      <w:bCs/>
                      <w:szCs w:val="21"/>
                    </w:rPr>
                  </w:pPr>
                  <w:r>
                    <w:rPr>
                      <w:rFonts w:hint="eastAsia"/>
                      <w:bCs/>
                      <w:szCs w:val="21"/>
                    </w:rPr>
                    <w:t>存储方式</w:t>
                  </w:r>
                </w:p>
              </w:tc>
              <w:tc>
                <w:tcPr>
                  <w:tcW w:w="1158" w:type="dxa"/>
                  <w:tcBorders>
                    <w:top w:val="single" w:color="auto" w:sz="4" w:space="0"/>
                    <w:left w:val="single" w:color="auto" w:sz="4" w:space="0"/>
                    <w:bottom w:val="single" w:color="auto" w:sz="4" w:space="0"/>
                    <w:right w:val="single" w:color="auto" w:sz="4" w:space="0"/>
                  </w:tcBorders>
                  <w:vAlign w:val="center"/>
                </w:tcPr>
                <w:p w14:paraId="2077C0A5">
                  <w:pPr>
                    <w:jc w:val="center"/>
                    <w:rPr>
                      <w:bCs/>
                      <w:szCs w:val="21"/>
                    </w:rPr>
                  </w:pPr>
                  <w:r>
                    <w:rPr>
                      <w:bCs/>
                      <w:szCs w:val="21"/>
                    </w:rPr>
                    <w:t>备注</w:t>
                  </w:r>
                </w:p>
              </w:tc>
            </w:tr>
            <w:tr w14:paraId="4632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1917509B">
                  <w:pPr>
                    <w:jc w:val="center"/>
                    <w:rPr>
                      <w:szCs w:val="21"/>
                    </w:rPr>
                  </w:pPr>
                  <w:r>
                    <w:rPr>
                      <w:szCs w:val="21"/>
                    </w:rPr>
                    <w:t>1</w:t>
                  </w:r>
                </w:p>
              </w:tc>
              <w:tc>
                <w:tcPr>
                  <w:tcW w:w="1029" w:type="dxa"/>
                  <w:tcBorders>
                    <w:top w:val="single" w:color="auto" w:sz="4" w:space="0"/>
                    <w:left w:val="nil"/>
                    <w:bottom w:val="single" w:color="auto" w:sz="4" w:space="0"/>
                    <w:right w:val="single" w:color="auto" w:sz="4" w:space="0"/>
                  </w:tcBorders>
                  <w:vAlign w:val="center"/>
                </w:tcPr>
                <w:p w14:paraId="38A98898">
                  <w:pPr>
                    <w:pStyle w:val="61"/>
                    <w:spacing w:line="240" w:lineRule="auto"/>
                    <w:rPr>
                      <w:sz w:val="21"/>
                      <w:szCs w:val="21"/>
                    </w:rPr>
                  </w:pPr>
                  <w:r>
                    <w:rPr>
                      <w:rFonts w:hAnsiTheme="minorEastAsia"/>
                      <w:sz w:val="21"/>
                      <w:szCs w:val="21"/>
                    </w:rPr>
                    <w:t>镀锌方管</w:t>
                  </w:r>
                </w:p>
              </w:tc>
              <w:tc>
                <w:tcPr>
                  <w:tcW w:w="2133" w:type="dxa"/>
                  <w:tcBorders>
                    <w:top w:val="single" w:color="auto" w:sz="4" w:space="0"/>
                    <w:left w:val="nil"/>
                    <w:bottom w:val="single" w:color="auto" w:sz="4" w:space="0"/>
                    <w:right w:val="single" w:color="auto" w:sz="4" w:space="0"/>
                  </w:tcBorders>
                  <w:vAlign w:val="center"/>
                </w:tcPr>
                <w:p w14:paraId="42BD8DDC">
                  <w:pPr>
                    <w:pStyle w:val="61"/>
                    <w:spacing w:line="240" w:lineRule="auto"/>
                    <w:rPr>
                      <w:sz w:val="21"/>
                      <w:szCs w:val="21"/>
                    </w:rPr>
                  </w:pPr>
                  <w:r>
                    <w:rPr>
                      <w:sz w:val="21"/>
                      <w:szCs w:val="21"/>
                    </w:rPr>
                    <w:t>20*20/40*40/30*30*100*80</w:t>
                  </w:r>
                </w:p>
              </w:tc>
              <w:tc>
                <w:tcPr>
                  <w:tcW w:w="1158" w:type="dxa"/>
                  <w:tcBorders>
                    <w:top w:val="single" w:color="auto" w:sz="4" w:space="0"/>
                    <w:left w:val="nil"/>
                    <w:bottom w:val="single" w:color="auto" w:sz="4" w:space="0"/>
                    <w:right w:val="single" w:color="auto" w:sz="4" w:space="0"/>
                  </w:tcBorders>
                  <w:vAlign w:val="center"/>
                </w:tcPr>
                <w:p w14:paraId="466263E7">
                  <w:pPr>
                    <w:pStyle w:val="61"/>
                    <w:spacing w:line="240" w:lineRule="auto"/>
                    <w:rPr>
                      <w:sz w:val="21"/>
                      <w:szCs w:val="21"/>
                    </w:rPr>
                  </w:pPr>
                  <w:r>
                    <w:rPr>
                      <w:sz w:val="21"/>
                      <w:szCs w:val="21"/>
                    </w:rPr>
                    <w:t>480t</w:t>
                  </w:r>
                </w:p>
              </w:tc>
              <w:tc>
                <w:tcPr>
                  <w:tcW w:w="1104" w:type="dxa"/>
                  <w:tcBorders>
                    <w:top w:val="single" w:color="auto" w:sz="4" w:space="0"/>
                    <w:left w:val="nil"/>
                    <w:right w:val="single" w:color="auto" w:sz="4" w:space="0"/>
                  </w:tcBorders>
                  <w:vAlign w:val="center"/>
                </w:tcPr>
                <w:p w14:paraId="7B3C63AA">
                  <w:pPr>
                    <w:pStyle w:val="61"/>
                    <w:spacing w:line="240" w:lineRule="auto"/>
                    <w:rPr>
                      <w:sz w:val="21"/>
                      <w:szCs w:val="21"/>
                    </w:rPr>
                  </w:pPr>
                  <w:r>
                    <w:rPr>
                      <w:rFonts w:hint="eastAsia"/>
                      <w:sz w:val="21"/>
                      <w:szCs w:val="21"/>
                    </w:rPr>
                    <w:t>8t</w:t>
                  </w:r>
                </w:p>
              </w:tc>
              <w:tc>
                <w:tcPr>
                  <w:tcW w:w="986" w:type="dxa"/>
                  <w:tcBorders>
                    <w:top w:val="single" w:color="auto" w:sz="4" w:space="0"/>
                    <w:left w:val="single" w:color="auto" w:sz="4" w:space="0"/>
                    <w:right w:val="single" w:color="auto" w:sz="4" w:space="0"/>
                  </w:tcBorders>
                  <w:vAlign w:val="center"/>
                </w:tcPr>
                <w:p w14:paraId="46E5B22D">
                  <w:pPr>
                    <w:pStyle w:val="61"/>
                    <w:spacing w:line="240" w:lineRule="auto"/>
                    <w:rPr>
                      <w:sz w:val="21"/>
                      <w:szCs w:val="21"/>
                    </w:rPr>
                  </w:pPr>
                  <w:r>
                    <w:rPr>
                      <w:rFonts w:hint="eastAsia"/>
                      <w:sz w:val="21"/>
                      <w:szCs w:val="21"/>
                    </w:rPr>
                    <w:t>捆装</w:t>
                  </w:r>
                </w:p>
              </w:tc>
              <w:tc>
                <w:tcPr>
                  <w:tcW w:w="1158" w:type="dxa"/>
                  <w:tcBorders>
                    <w:top w:val="single" w:color="auto" w:sz="4" w:space="0"/>
                    <w:left w:val="single" w:color="auto" w:sz="4" w:space="0"/>
                    <w:right w:val="single" w:color="auto" w:sz="4" w:space="0"/>
                  </w:tcBorders>
                  <w:vAlign w:val="center"/>
                </w:tcPr>
                <w:p w14:paraId="2D69D778">
                  <w:pPr>
                    <w:pStyle w:val="61"/>
                    <w:spacing w:line="240" w:lineRule="auto"/>
                    <w:rPr>
                      <w:sz w:val="21"/>
                      <w:szCs w:val="21"/>
                    </w:rPr>
                  </w:pPr>
                  <w:r>
                    <w:rPr>
                      <w:rFonts w:hint="eastAsia"/>
                      <w:sz w:val="21"/>
                      <w:szCs w:val="21"/>
                    </w:rPr>
                    <w:t>外购</w:t>
                  </w:r>
                </w:p>
              </w:tc>
            </w:tr>
            <w:tr w14:paraId="7A24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47E24A96">
                  <w:pPr>
                    <w:jc w:val="center"/>
                    <w:rPr>
                      <w:szCs w:val="21"/>
                    </w:rPr>
                  </w:pPr>
                  <w:r>
                    <w:rPr>
                      <w:szCs w:val="21"/>
                    </w:rPr>
                    <w:t>2</w:t>
                  </w:r>
                </w:p>
              </w:tc>
              <w:tc>
                <w:tcPr>
                  <w:tcW w:w="1029" w:type="dxa"/>
                  <w:tcBorders>
                    <w:top w:val="single" w:color="auto" w:sz="4" w:space="0"/>
                    <w:left w:val="nil"/>
                    <w:bottom w:val="single" w:color="auto" w:sz="4" w:space="0"/>
                    <w:right w:val="single" w:color="auto" w:sz="4" w:space="0"/>
                  </w:tcBorders>
                  <w:vAlign w:val="center"/>
                </w:tcPr>
                <w:p w14:paraId="18DF6944">
                  <w:pPr>
                    <w:pStyle w:val="61"/>
                    <w:spacing w:line="240" w:lineRule="auto"/>
                    <w:rPr>
                      <w:sz w:val="21"/>
                      <w:szCs w:val="21"/>
                    </w:rPr>
                  </w:pPr>
                  <w:r>
                    <w:rPr>
                      <w:rFonts w:hAnsiTheme="minorEastAsia"/>
                      <w:sz w:val="21"/>
                      <w:szCs w:val="21"/>
                    </w:rPr>
                    <w:t>镀锌圆管</w:t>
                  </w:r>
                </w:p>
              </w:tc>
              <w:tc>
                <w:tcPr>
                  <w:tcW w:w="2133" w:type="dxa"/>
                  <w:tcBorders>
                    <w:top w:val="single" w:color="auto" w:sz="4" w:space="0"/>
                    <w:left w:val="nil"/>
                    <w:bottom w:val="single" w:color="auto" w:sz="4" w:space="0"/>
                    <w:right w:val="single" w:color="auto" w:sz="4" w:space="0"/>
                  </w:tcBorders>
                  <w:vAlign w:val="center"/>
                </w:tcPr>
                <w:p w14:paraId="1A76E88C">
                  <w:pPr>
                    <w:pStyle w:val="61"/>
                    <w:spacing w:line="240" w:lineRule="auto"/>
                    <w:rPr>
                      <w:sz w:val="21"/>
                      <w:szCs w:val="21"/>
                    </w:rPr>
                  </w:pPr>
                  <w:r>
                    <w:rPr>
                      <w:sz w:val="21"/>
                      <w:szCs w:val="21"/>
                    </w:rPr>
                    <w:t>25/32/50</w:t>
                  </w:r>
                </w:p>
              </w:tc>
              <w:tc>
                <w:tcPr>
                  <w:tcW w:w="1158" w:type="dxa"/>
                  <w:tcBorders>
                    <w:top w:val="single" w:color="auto" w:sz="4" w:space="0"/>
                    <w:left w:val="nil"/>
                    <w:bottom w:val="single" w:color="auto" w:sz="4" w:space="0"/>
                    <w:right w:val="single" w:color="auto" w:sz="4" w:space="0"/>
                  </w:tcBorders>
                  <w:vAlign w:val="center"/>
                </w:tcPr>
                <w:p w14:paraId="591A94B2">
                  <w:pPr>
                    <w:pStyle w:val="61"/>
                    <w:spacing w:line="240" w:lineRule="auto"/>
                    <w:rPr>
                      <w:sz w:val="21"/>
                      <w:szCs w:val="21"/>
                    </w:rPr>
                  </w:pPr>
                  <w:r>
                    <w:rPr>
                      <w:sz w:val="21"/>
                      <w:szCs w:val="21"/>
                    </w:rPr>
                    <w:t>500t</w:t>
                  </w:r>
                </w:p>
              </w:tc>
              <w:tc>
                <w:tcPr>
                  <w:tcW w:w="1104" w:type="dxa"/>
                  <w:tcBorders>
                    <w:left w:val="nil"/>
                    <w:right w:val="single" w:color="auto" w:sz="4" w:space="0"/>
                  </w:tcBorders>
                  <w:vAlign w:val="center"/>
                </w:tcPr>
                <w:p w14:paraId="69292EA6">
                  <w:pPr>
                    <w:pStyle w:val="61"/>
                    <w:spacing w:line="240" w:lineRule="auto"/>
                    <w:rPr>
                      <w:sz w:val="21"/>
                      <w:szCs w:val="21"/>
                    </w:rPr>
                  </w:pPr>
                  <w:r>
                    <w:rPr>
                      <w:rFonts w:hint="eastAsia"/>
                      <w:sz w:val="21"/>
                      <w:szCs w:val="21"/>
                    </w:rPr>
                    <w:t>10t</w:t>
                  </w:r>
                </w:p>
              </w:tc>
              <w:tc>
                <w:tcPr>
                  <w:tcW w:w="986" w:type="dxa"/>
                  <w:tcBorders>
                    <w:left w:val="single" w:color="auto" w:sz="4" w:space="0"/>
                    <w:right w:val="single" w:color="auto" w:sz="4" w:space="0"/>
                  </w:tcBorders>
                  <w:vAlign w:val="center"/>
                </w:tcPr>
                <w:p w14:paraId="5C5D9142">
                  <w:pPr>
                    <w:pStyle w:val="61"/>
                    <w:spacing w:line="240" w:lineRule="auto"/>
                    <w:rPr>
                      <w:sz w:val="21"/>
                      <w:szCs w:val="21"/>
                    </w:rPr>
                  </w:pPr>
                  <w:r>
                    <w:rPr>
                      <w:rFonts w:hint="eastAsia"/>
                      <w:sz w:val="21"/>
                      <w:szCs w:val="21"/>
                    </w:rPr>
                    <w:t>捆装</w:t>
                  </w:r>
                </w:p>
              </w:tc>
              <w:tc>
                <w:tcPr>
                  <w:tcW w:w="1158" w:type="dxa"/>
                  <w:tcBorders>
                    <w:left w:val="single" w:color="auto" w:sz="4" w:space="0"/>
                    <w:right w:val="single" w:color="auto" w:sz="4" w:space="0"/>
                  </w:tcBorders>
                  <w:vAlign w:val="center"/>
                </w:tcPr>
                <w:p w14:paraId="280FFC8F">
                  <w:pPr>
                    <w:pStyle w:val="61"/>
                    <w:spacing w:line="240" w:lineRule="auto"/>
                    <w:rPr>
                      <w:sz w:val="21"/>
                      <w:szCs w:val="21"/>
                    </w:rPr>
                  </w:pPr>
                  <w:r>
                    <w:rPr>
                      <w:rFonts w:hint="eastAsia"/>
                      <w:sz w:val="21"/>
                      <w:szCs w:val="21"/>
                    </w:rPr>
                    <w:t>外购</w:t>
                  </w:r>
                </w:p>
              </w:tc>
            </w:tr>
            <w:tr w14:paraId="04EA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62633BA2">
                  <w:pPr>
                    <w:jc w:val="center"/>
                    <w:rPr>
                      <w:szCs w:val="21"/>
                    </w:rPr>
                  </w:pPr>
                  <w:r>
                    <w:rPr>
                      <w:szCs w:val="21"/>
                    </w:rPr>
                    <w:t>3</w:t>
                  </w:r>
                </w:p>
              </w:tc>
              <w:tc>
                <w:tcPr>
                  <w:tcW w:w="1029" w:type="dxa"/>
                  <w:tcBorders>
                    <w:top w:val="single" w:color="auto" w:sz="4" w:space="0"/>
                    <w:left w:val="nil"/>
                    <w:bottom w:val="single" w:color="auto" w:sz="4" w:space="0"/>
                    <w:right w:val="single" w:color="auto" w:sz="4" w:space="0"/>
                  </w:tcBorders>
                  <w:vAlign w:val="center"/>
                </w:tcPr>
                <w:p w14:paraId="1EA76DAD">
                  <w:pPr>
                    <w:pStyle w:val="61"/>
                    <w:spacing w:line="240" w:lineRule="auto"/>
                    <w:rPr>
                      <w:sz w:val="21"/>
                      <w:szCs w:val="21"/>
                    </w:rPr>
                  </w:pPr>
                  <w:r>
                    <w:rPr>
                      <w:rFonts w:hAnsiTheme="minorEastAsia"/>
                      <w:sz w:val="21"/>
                      <w:szCs w:val="21"/>
                    </w:rPr>
                    <w:t>不锈钢圆管</w:t>
                  </w:r>
                </w:p>
              </w:tc>
              <w:tc>
                <w:tcPr>
                  <w:tcW w:w="2133" w:type="dxa"/>
                  <w:tcBorders>
                    <w:top w:val="single" w:color="auto" w:sz="4" w:space="0"/>
                    <w:left w:val="nil"/>
                    <w:bottom w:val="single" w:color="auto" w:sz="4" w:space="0"/>
                    <w:right w:val="single" w:color="auto" w:sz="4" w:space="0"/>
                  </w:tcBorders>
                  <w:vAlign w:val="center"/>
                </w:tcPr>
                <w:p w14:paraId="00E772C4">
                  <w:pPr>
                    <w:pStyle w:val="61"/>
                    <w:spacing w:line="240" w:lineRule="auto"/>
                    <w:rPr>
                      <w:sz w:val="21"/>
                      <w:szCs w:val="21"/>
                    </w:rPr>
                  </w:pPr>
                  <w:r>
                    <w:rPr>
                      <w:sz w:val="21"/>
                      <w:szCs w:val="21"/>
                    </w:rPr>
                    <w:t>25/32/50</w:t>
                  </w:r>
                </w:p>
              </w:tc>
              <w:tc>
                <w:tcPr>
                  <w:tcW w:w="1158" w:type="dxa"/>
                  <w:tcBorders>
                    <w:top w:val="single" w:color="auto" w:sz="4" w:space="0"/>
                    <w:left w:val="nil"/>
                    <w:bottom w:val="single" w:color="auto" w:sz="4" w:space="0"/>
                    <w:right w:val="single" w:color="auto" w:sz="4" w:space="0"/>
                  </w:tcBorders>
                  <w:vAlign w:val="center"/>
                </w:tcPr>
                <w:p w14:paraId="58A17286">
                  <w:pPr>
                    <w:pStyle w:val="61"/>
                    <w:spacing w:line="240" w:lineRule="auto"/>
                    <w:rPr>
                      <w:sz w:val="21"/>
                      <w:szCs w:val="21"/>
                    </w:rPr>
                  </w:pPr>
                  <w:r>
                    <w:rPr>
                      <w:sz w:val="21"/>
                      <w:szCs w:val="21"/>
                    </w:rPr>
                    <w:t>20t</w:t>
                  </w:r>
                </w:p>
              </w:tc>
              <w:tc>
                <w:tcPr>
                  <w:tcW w:w="1104" w:type="dxa"/>
                  <w:tcBorders>
                    <w:left w:val="nil"/>
                    <w:right w:val="single" w:color="auto" w:sz="4" w:space="0"/>
                  </w:tcBorders>
                  <w:vAlign w:val="center"/>
                </w:tcPr>
                <w:p w14:paraId="222169C3">
                  <w:pPr>
                    <w:pStyle w:val="61"/>
                    <w:spacing w:line="240" w:lineRule="auto"/>
                    <w:rPr>
                      <w:sz w:val="21"/>
                      <w:szCs w:val="21"/>
                    </w:rPr>
                  </w:pPr>
                  <w:r>
                    <w:rPr>
                      <w:rFonts w:hint="eastAsia"/>
                      <w:sz w:val="21"/>
                      <w:szCs w:val="21"/>
                    </w:rPr>
                    <w:t>0.5t</w:t>
                  </w:r>
                </w:p>
              </w:tc>
              <w:tc>
                <w:tcPr>
                  <w:tcW w:w="986" w:type="dxa"/>
                  <w:tcBorders>
                    <w:left w:val="single" w:color="auto" w:sz="4" w:space="0"/>
                    <w:right w:val="single" w:color="auto" w:sz="4" w:space="0"/>
                  </w:tcBorders>
                  <w:vAlign w:val="center"/>
                </w:tcPr>
                <w:p w14:paraId="12DFAC8C">
                  <w:pPr>
                    <w:pStyle w:val="61"/>
                    <w:spacing w:line="240" w:lineRule="auto"/>
                    <w:rPr>
                      <w:sz w:val="21"/>
                      <w:szCs w:val="21"/>
                    </w:rPr>
                  </w:pPr>
                  <w:r>
                    <w:rPr>
                      <w:rFonts w:hint="eastAsia"/>
                      <w:sz w:val="21"/>
                      <w:szCs w:val="21"/>
                    </w:rPr>
                    <w:t>捆装</w:t>
                  </w:r>
                </w:p>
              </w:tc>
              <w:tc>
                <w:tcPr>
                  <w:tcW w:w="1158" w:type="dxa"/>
                  <w:tcBorders>
                    <w:left w:val="single" w:color="auto" w:sz="4" w:space="0"/>
                    <w:right w:val="single" w:color="auto" w:sz="4" w:space="0"/>
                  </w:tcBorders>
                  <w:vAlign w:val="center"/>
                </w:tcPr>
                <w:p w14:paraId="07E8C7FB">
                  <w:pPr>
                    <w:pStyle w:val="61"/>
                    <w:spacing w:line="240" w:lineRule="auto"/>
                    <w:rPr>
                      <w:sz w:val="21"/>
                      <w:szCs w:val="21"/>
                    </w:rPr>
                  </w:pPr>
                  <w:r>
                    <w:rPr>
                      <w:rFonts w:hint="eastAsia"/>
                      <w:sz w:val="21"/>
                      <w:szCs w:val="21"/>
                    </w:rPr>
                    <w:t>外购</w:t>
                  </w:r>
                </w:p>
              </w:tc>
            </w:tr>
            <w:tr w14:paraId="5CDF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2FD31A20">
                  <w:pPr>
                    <w:jc w:val="center"/>
                    <w:rPr>
                      <w:szCs w:val="21"/>
                    </w:rPr>
                  </w:pPr>
                  <w:r>
                    <w:rPr>
                      <w:szCs w:val="21"/>
                    </w:rPr>
                    <w:t>4</w:t>
                  </w:r>
                </w:p>
              </w:tc>
              <w:tc>
                <w:tcPr>
                  <w:tcW w:w="1029" w:type="dxa"/>
                  <w:tcBorders>
                    <w:top w:val="single" w:color="auto" w:sz="4" w:space="0"/>
                    <w:left w:val="nil"/>
                    <w:bottom w:val="single" w:color="auto" w:sz="4" w:space="0"/>
                    <w:right w:val="single" w:color="auto" w:sz="4" w:space="0"/>
                  </w:tcBorders>
                  <w:vAlign w:val="center"/>
                </w:tcPr>
                <w:p w14:paraId="097A1BF9">
                  <w:pPr>
                    <w:pStyle w:val="61"/>
                    <w:spacing w:line="240" w:lineRule="auto"/>
                    <w:rPr>
                      <w:sz w:val="21"/>
                      <w:szCs w:val="21"/>
                    </w:rPr>
                  </w:pPr>
                  <w:r>
                    <w:rPr>
                      <w:rFonts w:hAnsiTheme="minorEastAsia"/>
                      <w:sz w:val="21"/>
                      <w:szCs w:val="21"/>
                    </w:rPr>
                    <w:t>焊丝</w:t>
                  </w:r>
                </w:p>
              </w:tc>
              <w:tc>
                <w:tcPr>
                  <w:tcW w:w="2133" w:type="dxa"/>
                  <w:tcBorders>
                    <w:top w:val="single" w:color="auto" w:sz="4" w:space="0"/>
                    <w:left w:val="nil"/>
                    <w:bottom w:val="single" w:color="auto" w:sz="4" w:space="0"/>
                    <w:right w:val="single" w:color="auto" w:sz="4" w:space="0"/>
                  </w:tcBorders>
                  <w:vAlign w:val="center"/>
                </w:tcPr>
                <w:p w14:paraId="6050CD7A">
                  <w:pPr>
                    <w:pStyle w:val="61"/>
                    <w:spacing w:line="240" w:lineRule="auto"/>
                    <w:rPr>
                      <w:sz w:val="21"/>
                      <w:szCs w:val="21"/>
                    </w:rPr>
                  </w:pPr>
                  <w:r>
                    <w:rPr>
                      <w:sz w:val="21"/>
                      <w:szCs w:val="21"/>
                    </w:rPr>
                    <w:t>0.8mm</w:t>
                  </w:r>
                  <w:r>
                    <w:rPr>
                      <w:rFonts w:hAnsiTheme="minorEastAsia"/>
                      <w:sz w:val="21"/>
                      <w:szCs w:val="21"/>
                    </w:rPr>
                    <w:t>实芯焊丝</w:t>
                  </w:r>
                  <w:r>
                    <w:rPr>
                      <w:sz w:val="21"/>
                      <w:szCs w:val="21"/>
                    </w:rPr>
                    <w:t>50</w:t>
                  </w:r>
                  <w:r>
                    <w:rPr>
                      <w:rFonts w:hAnsiTheme="minorEastAsia"/>
                      <w:sz w:val="21"/>
                      <w:szCs w:val="21"/>
                    </w:rPr>
                    <w:t>卷，</w:t>
                  </w:r>
                  <w:r>
                    <w:rPr>
                      <w:sz w:val="21"/>
                      <w:szCs w:val="21"/>
                    </w:rPr>
                    <w:t>15kg</w:t>
                  </w:r>
                  <w:r>
                    <w:rPr>
                      <w:rFonts w:hint="eastAsia"/>
                      <w:sz w:val="21"/>
                      <w:szCs w:val="21"/>
                    </w:rPr>
                    <w:t>/</w:t>
                  </w:r>
                  <w:r>
                    <w:rPr>
                      <w:rFonts w:hAnsiTheme="minorEastAsia"/>
                      <w:sz w:val="21"/>
                      <w:szCs w:val="21"/>
                    </w:rPr>
                    <w:t>卷</w:t>
                  </w:r>
                </w:p>
              </w:tc>
              <w:tc>
                <w:tcPr>
                  <w:tcW w:w="1158" w:type="dxa"/>
                  <w:tcBorders>
                    <w:top w:val="single" w:color="auto" w:sz="4" w:space="0"/>
                    <w:left w:val="nil"/>
                    <w:bottom w:val="single" w:color="auto" w:sz="4" w:space="0"/>
                    <w:right w:val="single" w:color="auto" w:sz="4" w:space="0"/>
                  </w:tcBorders>
                  <w:vAlign w:val="center"/>
                </w:tcPr>
                <w:p w14:paraId="49193862">
                  <w:pPr>
                    <w:pStyle w:val="61"/>
                    <w:spacing w:line="240" w:lineRule="auto"/>
                    <w:rPr>
                      <w:sz w:val="21"/>
                      <w:szCs w:val="21"/>
                    </w:rPr>
                  </w:pPr>
                  <w:r>
                    <w:rPr>
                      <w:sz w:val="21"/>
                      <w:szCs w:val="21"/>
                    </w:rPr>
                    <w:t>0.75t</w:t>
                  </w:r>
                </w:p>
              </w:tc>
              <w:tc>
                <w:tcPr>
                  <w:tcW w:w="1104" w:type="dxa"/>
                  <w:tcBorders>
                    <w:left w:val="nil"/>
                    <w:right w:val="single" w:color="auto" w:sz="4" w:space="0"/>
                  </w:tcBorders>
                  <w:vAlign w:val="center"/>
                </w:tcPr>
                <w:p w14:paraId="4DD59941">
                  <w:pPr>
                    <w:pStyle w:val="61"/>
                    <w:spacing w:line="240" w:lineRule="auto"/>
                    <w:rPr>
                      <w:sz w:val="21"/>
                      <w:szCs w:val="21"/>
                    </w:rPr>
                  </w:pPr>
                  <w:r>
                    <w:rPr>
                      <w:rFonts w:hint="eastAsia"/>
                      <w:sz w:val="21"/>
                      <w:szCs w:val="21"/>
                    </w:rPr>
                    <w:t>0.015t</w:t>
                  </w:r>
                </w:p>
              </w:tc>
              <w:tc>
                <w:tcPr>
                  <w:tcW w:w="986" w:type="dxa"/>
                  <w:tcBorders>
                    <w:left w:val="single" w:color="auto" w:sz="4" w:space="0"/>
                    <w:right w:val="single" w:color="auto" w:sz="4" w:space="0"/>
                  </w:tcBorders>
                  <w:vAlign w:val="center"/>
                </w:tcPr>
                <w:p w14:paraId="4864C2FA">
                  <w:pPr>
                    <w:pStyle w:val="61"/>
                    <w:spacing w:line="240" w:lineRule="auto"/>
                    <w:rPr>
                      <w:sz w:val="21"/>
                      <w:szCs w:val="21"/>
                    </w:rPr>
                  </w:pPr>
                  <w:r>
                    <w:rPr>
                      <w:rFonts w:hint="eastAsia"/>
                      <w:sz w:val="21"/>
                      <w:szCs w:val="21"/>
                    </w:rPr>
                    <w:t>袋装</w:t>
                  </w:r>
                </w:p>
              </w:tc>
              <w:tc>
                <w:tcPr>
                  <w:tcW w:w="1158" w:type="dxa"/>
                  <w:tcBorders>
                    <w:left w:val="single" w:color="auto" w:sz="4" w:space="0"/>
                    <w:right w:val="single" w:color="auto" w:sz="4" w:space="0"/>
                  </w:tcBorders>
                  <w:vAlign w:val="center"/>
                </w:tcPr>
                <w:p w14:paraId="137FA54E">
                  <w:pPr>
                    <w:pStyle w:val="61"/>
                    <w:spacing w:line="240" w:lineRule="auto"/>
                    <w:rPr>
                      <w:sz w:val="21"/>
                      <w:szCs w:val="21"/>
                    </w:rPr>
                  </w:pPr>
                  <w:r>
                    <w:rPr>
                      <w:rFonts w:hint="eastAsia"/>
                      <w:sz w:val="21"/>
                      <w:szCs w:val="21"/>
                    </w:rPr>
                    <w:t>外购</w:t>
                  </w:r>
                </w:p>
              </w:tc>
            </w:tr>
            <w:tr w14:paraId="6DA3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08A8178C">
                  <w:pPr>
                    <w:jc w:val="center"/>
                    <w:rPr>
                      <w:szCs w:val="21"/>
                    </w:rPr>
                  </w:pPr>
                  <w:r>
                    <w:rPr>
                      <w:szCs w:val="21"/>
                    </w:rPr>
                    <w:t>5</w:t>
                  </w:r>
                </w:p>
              </w:tc>
              <w:tc>
                <w:tcPr>
                  <w:tcW w:w="1029" w:type="dxa"/>
                  <w:tcBorders>
                    <w:top w:val="single" w:color="auto" w:sz="4" w:space="0"/>
                    <w:left w:val="nil"/>
                    <w:bottom w:val="single" w:color="auto" w:sz="4" w:space="0"/>
                    <w:right w:val="single" w:color="auto" w:sz="4" w:space="0"/>
                  </w:tcBorders>
                  <w:vAlign w:val="center"/>
                </w:tcPr>
                <w:p w14:paraId="123422DB">
                  <w:pPr>
                    <w:pStyle w:val="61"/>
                    <w:spacing w:line="240" w:lineRule="auto"/>
                    <w:rPr>
                      <w:sz w:val="21"/>
                      <w:szCs w:val="21"/>
                    </w:rPr>
                  </w:pPr>
                  <w:r>
                    <w:rPr>
                      <w:rFonts w:hAnsiTheme="minorEastAsia"/>
                      <w:sz w:val="21"/>
                      <w:szCs w:val="21"/>
                    </w:rPr>
                    <w:t>粉末涂料</w:t>
                  </w:r>
                </w:p>
              </w:tc>
              <w:tc>
                <w:tcPr>
                  <w:tcW w:w="2133" w:type="dxa"/>
                  <w:tcBorders>
                    <w:top w:val="single" w:color="auto" w:sz="4" w:space="0"/>
                    <w:left w:val="nil"/>
                    <w:bottom w:val="single" w:color="auto" w:sz="4" w:space="0"/>
                    <w:right w:val="single" w:color="auto" w:sz="4" w:space="0"/>
                  </w:tcBorders>
                  <w:vAlign w:val="center"/>
                </w:tcPr>
                <w:p w14:paraId="246000CD">
                  <w:pPr>
                    <w:pStyle w:val="61"/>
                    <w:spacing w:line="240" w:lineRule="auto"/>
                    <w:rPr>
                      <w:sz w:val="21"/>
                      <w:szCs w:val="21"/>
                    </w:rPr>
                  </w:pPr>
                  <w:r>
                    <w:rPr>
                      <w:rFonts w:hAnsiTheme="minorEastAsia"/>
                      <w:sz w:val="21"/>
                      <w:szCs w:val="21"/>
                    </w:rPr>
                    <w:t>主要成分环氧树脂</w:t>
                  </w:r>
                </w:p>
              </w:tc>
              <w:tc>
                <w:tcPr>
                  <w:tcW w:w="1158" w:type="dxa"/>
                  <w:tcBorders>
                    <w:top w:val="single" w:color="auto" w:sz="4" w:space="0"/>
                    <w:left w:val="nil"/>
                    <w:bottom w:val="single" w:color="auto" w:sz="4" w:space="0"/>
                    <w:right w:val="single" w:color="auto" w:sz="4" w:space="0"/>
                  </w:tcBorders>
                  <w:vAlign w:val="center"/>
                </w:tcPr>
                <w:p w14:paraId="31589302">
                  <w:pPr>
                    <w:pStyle w:val="61"/>
                    <w:spacing w:line="240" w:lineRule="auto"/>
                    <w:rPr>
                      <w:sz w:val="21"/>
                      <w:szCs w:val="21"/>
                    </w:rPr>
                  </w:pPr>
                  <w:r>
                    <w:rPr>
                      <w:sz w:val="21"/>
                      <w:szCs w:val="21"/>
                    </w:rPr>
                    <w:t>50t</w:t>
                  </w:r>
                </w:p>
              </w:tc>
              <w:tc>
                <w:tcPr>
                  <w:tcW w:w="1104" w:type="dxa"/>
                  <w:tcBorders>
                    <w:left w:val="nil"/>
                    <w:right w:val="single" w:color="auto" w:sz="4" w:space="0"/>
                  </w:tcBorders>
                  <w:vAlign w:val="center"/>
                </w:tcPr>
                <w:p w14:paraId="04DAE06E">
                  <w:pPr>
                    <w:pStyle w:val="61"/>
                    <w:spacing w:line="240" w:lineRule="auto"/>
                    <w:rPr>
                      <w:sz w:val="21"/>
                      <w:szCs w:val="21"/>
                    </w:rPr>
                  </w:pPr>
                  <w:r>
                    <w:rPr>
                      <w:rFonts w:hint="eastAsia"/>
                      <w:sz w:val="21"/>
                      <w:szCs w:val="21"/>
                    </w:rPr>
                    <w:t>1t</w:t>
                  </w:r>
                </w:p>
              </w:tc>
              <w:tc>
                <w:tcPr>
                  <w:tcW w:w="986" w:type="dxa"/>
                  <w:tcBorders>
                    <w:left w:val="single" w:color="auto" w:sz="4" w:space="0"/>
                    <w:right w:val="single" w:color="auto" w:sz="4" w:space="0"/>
                  </w:tcBorders>
                  <w:vAlign w:val="center"/>
                </w:tcPr>
                <w:p w14:paraId="23107D93">
                  <w:pPr>
                    <w:pStyle w:val="61"/>
                    <w:spacing w:line="240" w:lineRule="auto"/>
                    <w:rPr>
                      <w:sz w:val="21"/>
                      <w:szCs w:val="21"/>
                    </w:rPr>
                  </w:pPr>
                  <w:r>
                    <w:rPr>
                      <w:rFonts w:hint="eastAsia"/>
                      <w:sz w:val="21"/>
                      <w:szCs w:val="21"/>
                    </w:rPr>
                    <w:t>袋装</w:t>
                  </w:r>
                </w:p>
              </w:tc>
              <w:tc>
                <w:tcPr>
                  <w:tcW w:w="1158" w:type="dxa"/>
                  <w:tcBorders>
                    <w:left w:val="single" w:color="auto" w:sz="4" w:space="0"/>
                    <w:right w:val="single" w:color="auto" w:sz="4" w:space="0"/>
                  </w:tcBorders>
                  <w:vAlign w:val="center"/>
                </w:tcPr>
                <w:p w14:paraId="6C4C0C93">
                  <w:pPr>
                    <w:pStyle w:val="61"/>
                    <w:spacing w:line="240" w:lineRule="auto"/>
                    <w:rPr>
                      <w:sz w:val="21"/>
                      <w:szCs w:val="21"/>
                    </w:rPr>
                  </w:pPr>
                  <w:r>
                    <w:rPr>
                      <w:rFonts w:hint="eastAsia"/>
                      <w:sz w:val="21"/>
                      <w:szCs w:val="21"/>
                    </w:rPr>
                    <w:t>外购</w:t>
                  </w:r>
                </w:p>
              </w:tc>
            </w:tr>
            <w:tr w14:paraId="78CA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3803C9B0">
                  <w:pPr>
                    <w:jc w:val="center"/>
                    <w:rPr>
                      <w:szCs w:val="21"/>
                    </w:rPr>
                  </w:pPr>
                  <w:r>
                    <w:rPr>
                      <w:szCs w:val="21"/>
                    </w:rPr>
                    <w:t>6</w:t>
                  </w:r>
                </w:p>
              </w:tc>
              <w:tc>
                <w:tcPr>
                  <w:tcW w:w="1029" w:type="dxa"/>
                  <w:tcBorders>
                    <w:top w:val="single" w:color="auto" w:sz="4" w:space="0"/>
                    <w:left w:val="nil"/>
                    <w:bottom w:val="single" w:color="auto" w:sz="4" w:space="0"/>
                    <w:right w:val="single" w:color="auto" w:sz="4" w:space="0"/>
                  </w:tcBorders>
                  <w:vAlign w:val="center"/>
                </w:tcPr>
                <w:p w14:paraId="5BB5AD46">
                  <w:pPr>
                    <w:pStyle w:val="61"/>
                    <w:spacing w:line="240" w:lineRule="auto"/>
                    <w:rPr>
                      <w:rFonts w:hAnsiTheme="minorEastAsia"/>
                      <w:sz w:val="21"/>
                      <w:szCs w:val="21"/>
                    </w:rPr>
                  </w:pPr>
                  <w:r>
                    <w:rPr>
                      <w:rFonts w:hint="eastAsia" w:hAnsiTheme="minorEastAsia"/>
                      <w:sz w:val="21"/>
                      <w:szCs w:val="21"/>
                    </w:rPr>
                    <w:t>水性漆</w:t>
                  </w:r>
                </w:p>
              </w:tc>
              <w:tc>
                <w:tcPr>
                  <w:tcW w:w="2133" w:type="dxa"/>
                  <w:tcBorders>
                    <w:top w:val="single" w:color="auto" w:sz="4" w:space="0"/>
                    <w:left w:val="nil"/>
                    <w:bottom w:val="single" w:color="auto" w:sz="4" w:space="0"/>
                    <w:right w:val="single" w:color="auto" w:sz="4" w:space="0"/>
                  </w:tcBorders>
                  <w:vAlign w:val="center"/>
                </w:tcPr>
                <w:p w14:paraId="47707C3C">
                  <w:pPr>
                    <w:pStyle w:val="61"/>
                    <w:spacing w:line="240" w:lineRule="auto"/>
                    <w:rPr>
                      <w:rFonts w:hAnsiTheme="minorEastAsia"/>
                      <w:sz w:val="21"/>
                      <w:szCs w:val="21"/>
                    </w:rPr>
                  </w:pPr>
                  <w:r>
                    <w:rPr>
                      <w:rFonts w:hint="eastAsia" w:hAnsiTheme="minorEastAsia"/>
                      <w:sz w:val="21"/>
                      <w:szCs w:val="21"/>
                    </w:rPr>
                    <w:t>/</w:t>
                  </w:r>
                </w:p>
              </w:tc>
              <w:tc>
                <w:tcPr>
                  <w:tcW w:w="1158" w:type="dxa"/>
                  <w:tcBorders>
                    <w:top w:val="single" w:color="auto" w:sz="4" w:space="0"/>
                    <w:left w:val="nil"/>
                    <w:bottom w:val="single" w:color="auto" w:sz="4" w:space="0"/>
                    <w:right w:val="single" w:color="auto" w:sz="4" w:space="0"/>
                  </w:tcBorders>
                  <w:vAlign w:val="center"/>
                </w:tcPr>
                <w:p w14:paraId="471380CD">
                  <w:pPr>
                    <w:pStyle w:val="61"/>
                    <w:spacing w:line="240" w:lineRule="auto"/>
                    <w:rPr>
                      <w:sz w:val="21"/>
                      <w:szCs w:val="21"/>
                    </w:rPr>
                  </w:pPr>
                  <w:r>
                    <w:rPr>
                      <w:rFonts w:hint="eastAsia"/>
                      <w:sz w:val="21"/>
                      <w:szCs w:val="21"/>
                    </w:rPr>
                    <w:t>1.5t</w:t>
                  </w:r>
                </w:p>
              </w:tc>
              <w:tc>
                <w:tcPr>
                  <w:tcW w:w="1104" w:type="dxa"/>
                  <w:tcBorders>
                    <w:left w:val="nil"/>
                    <w:bottom w:val="single" w:color="auto" w:sz="4" w:space="0"/>
                    <w:right w:val="single" w:color="auto" w:sz="4" w:space="0"/>
                  </w:tcBorders>
                  <w:vAlign w:val="center"/>
                </w:tcPr>
                <w:p w14:paraId="05B0078A">
                  <w:pPr>
                    <w:pStyle w:val="61"/>
                    <w:spacing w:line="240" w:lineRule="auto"/>
                    <w:rPr>
                      <w:sz w:val="21"/>
                      <w:szCs w:val="21"/>
                    </w:rPr>
                  </w:pPr>
                  <w:r>
                    <w:rPr>
                      <w:rFonts w:hint="eastAsia"/>
                      <w:sz w:val="21"/>
                      <w:szCs w:val="21"/>
                    </w:rPr>
                    <w:t>0.03t</w:t>
                  </w:r>
                </w:p>
              </w:tc>
              <w:tc>
                <w:tcPr>
                  <w:tcW w:w="986" w:type="dxa"/>
                  <w:tcBorders>
                    <w:left w:val="single" w:color="auto" w:sz="4" w:space="0"/>
                    <w:bottom w:val="single" w:color="auto" w:sz="4" w:space="0"/>
                    <w:right w:val="single" w:color="auto" w:sz="4" w:space="0"/>
                  </w:tcBorders>
                  <w:vAlign w:val="center"/>
                </w:tcPr>
                <w:p w14:paraId="0459B617">
                  <w:pPr>
                    <w:pStyle w:val="61"/>
                    <w:spacing w:line="240" w:lineRule="auto"/>
                    <w:rPr>
                      <w:sz w:val="21"/>
                      <w:szCs w:val="21"/>
                    </w:rPr>
                  </w:pPr>
                  <w:r>
                    <w:rPr>
                      <w:rFonts w:hint="eastAsia"/>
                      <w:sz w:val="21"/>
                      <w:szCs w:val="21"/>
                    </w:rPr>
                    <w:t>桶装</w:t>
                  </w:r>
                </w:p>
              </w:tc>
              <w:tc>
                <w:tcPr>
                  <w:tcW w:w="1158" w:type="dxa"/>
                  <w:tcBorders>
                    <w:left w:val="single" w:color="auto" w:sz="4" w:space="0"/>
                    <w:bottom w:val="single" w:color="auto" w:sz="4" w:space="0"/>
                    <w:right w:val="single" w:color="auto" w:sz="4" w:space="0"/>
                  </w:tcBorders>
                  <w:vAlign w:val="center"/>
                </w:tcPr>
                <w:p w14:paraId="686958B9">
                  <w:pPr>
                    <w:pStyle w:val="61"/>
                    <w:spacing w:line="240" w:lineRule="auto"/>
                    <w:rPr>
                      <w:sz w:val="21"/>
                      <w:szCs w:val="21"/>
                    </w:rPr>
                  </w:pPr>
                  <w:r>
                    <w:rPr>
                      <w:rFonts w:hint="eastAsia"/>
                      <w:sz w:val="21"/>
                      <w:szCs w:val="21"/>
                    </w:rPr>
                    <w:t>外购</w:t>
                  </w:r>
                </w:p>
              </w:tc>
            </w:tr>
            <w:tr w14:paraId="12C5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64" w:type="dxa"/>
                  <w:vMerge w:val="restart"/>
                  <w:tcBorders>
                    <w:top w:val="single" w:color="auto" w:sz="4" w:space="0"/>
                    <w:left w:val="single" w:color="auto" w:sz="4" w:space="0"/>
                    <w:right w:val="single" w:color="auto" w:sz="4" w:space="0"/>
                  </w:tcBorders>
                  <w:vAlign w:val="center"/>
                </w:tcPr>
                <w:p w14:paraId="41A8A6BA">
                  <w:pPr>
                    <w:jc w:val="center"/>
                    <w:rPr>
                      <w:szCs w:val="21"/>
                    </w:rPr>
                  </w:pPr>
                  <w:r>
                    <w:rPr>
                      <w:szCs w:val="21"/>
                    </w:rPr>
                    <w:t>7</w:t>
                  </w:r>
                </w:p>
              </w:tc>
              <w:tc>
                <w:tcPr>
                  <w:tcW w:w="1029" w:type="dxa"/>
                  <w:tcBorders>
                    <w:top w:val="single" w:color="auto" w:sz="4" w:space="0"/>
                    <w:left w:val="nil"/>
                    <w:bottom w:val="single" w:color="auto" w:sz="4" w:space="0"/>
                    <w:right w:val="single" w:color="auto" w:sz="4" w:space="0"/>
                  </w:tcBorders>
                  <w:vAlign w:val="center"/>
                </w:tcPr>
                <w:p w14:paraId="319B3467">
                  <w:pPr>
                    <w:pStyle w:val="61"/>
                    <w:spacing w:line="240" w:lineRule="auto"/>
                    <w:rPr>
                      <w:rFonts w:hAnsiTheme="minorEastAsia"/>
                      <w:sz w:val="21"/>
                      <w:szCs w:val="21"/>
                    </w:rPr>
                  </w:pPr>
                  <w:r>
                    <w:rPr>
                      <w:rFonts w:hint="eastAsia" w:hAnsiTheme="minorEastAsia"/>
                      <w:sz w:val="21"/>
                      <w:szCs w:val="21"/>
                    </w:rPr>
                    <w:t>天然气</w:t>
                  </w:r>
                </w:p>
              </w:tc>
              <w:tc>
                <w:tcPr>
                  <w:tcW w:w="2133" w:type="dxa"/>
                  <w:tcBorders>
                    <w:top w:val="single" w:color="auto" w:sz="4" w:space="0"/>
                    <w:left w:val="nil"/>
                    <w:bottom w:val="single" w:color="auto" w:sz="4" w:space="0"/>
                    <w:right w:val="single" w:color="auto" w:sz="4" w:space="0"/>
                  </w:tcBorders>
                  <w:vAlign w:val="center"/>
                </w:tcPr>
                <w:p w14:paraId="53D93B4C">
                  <w:pPr>
                    <w:pStyle w:val="61"/>
                    <w:spacing w:line="240" w:lineRule="auto"/>
                    <w:rPr>
                      <w:rFonts w:hAnsiTheme="minorEastAsia"/>
                      <w:sz w:val="21"/>
                      <w:szCs w:val="21"/>
                    </w:rPr>
                  </w:pPr>
                  <w:r>
                    <w:rPr>
                      <w:rFonts w:hint="eastAsia" w:hAnsiTheme="minorEastAsia"/>
                      <w:sz w:val="21"/>
                      <w:szCs w:val="21"/>
                    </w:rPr>
                    <w:t>/</w:t>
                  </w:r>
                </w:p>
              </w:tc>
              <w:tc>
                <w:tcPr>
                  <w:tcW w:w="1158" w:type="dxa"/>
                  <w:tcBorders>
                    <w:top w:val="single" w:color="auto" w:sz="4" w:space="0"/>
                    <w:left w:val="nil"/>
                    <w:bottom w:val="single" w:color="auto" w:sz="4" w:space="0"/>
                    <w:right w:val="single" w:color="auto" w:sz="4" w:space="0"/>
                  </w:tcBorders>
                  <w:vAlign w:val="center"/>
                </w:tcPr>
                <w:p w14:paraId="523F42F5">
                  <w:pPr>
                    <w:pStyle w:val="61"/>
                    <w:spacing w:line="240" w:lineRule="auto"/>
                    <w:rPr>
                      <w:sz w:val="21"/>
                      <w:szCs w:val="21"/>
                      <w:vertAlign w:val="superscript"/>
                    </w:rPr>
                  </w:pPr>
                  <w:r>
                    <w:rPr>
                      <w:rFonts w:hint="eastAsia"/>
                      <w:sz w:val="21"/>
                      <w:szCs w:val="21"/>
                    </w:rPr>
                    <w:t>80000m</w:t>
                  </w:r>
                  <w:r>
                    <w:rPr>
                      <w:rFonts w:hint="eastAsia"/>
                      <w:sz w:val="21"/>
                      <w:szCs w:val="21"/>
                      <w:vertAlign w:val="superscript"/>
                    </w:rPr>
                    <w:t>3</w:t>
                  </w:r>
                </w:p>
              </w:tc>
              <w:tc>
                <w:tcPr>
                  <w:tcW w:w="1104" w:type="dxa"/>
                  <w:tcBorders>
                    <w:top w:val="single" w:color="auto" w:sz="4" w:space="0"/>
                    <w:left w:val="nil"/>
                    <w:right w:val="single" w:color="auto" w:sz="4" w:space="0"/>
                  </w:tcBorders>
                  <w:vAlign w:val="center"/>
                </w:tcPr>
                <w:p w14:paraId="25423289">
                  <w:pPr>
                    <w:pStyle w:val="61"/>
                    <w:spacing w:line="240" w:lineRule="auto"/>
                    <w:rPr>
                      <w:sz w:val="21"/>
                      <w:szCs w:val="21"/>
                    </w:rPr>
                  </w:pPr>
                  <w:r>
                    <w:rPr>
                      <w:rFonts w:hint="eastAsia"/>
                      <w:sz w:val="21"/>
                      <w:szCs w:val="21"/>
                    </w:rPr>
                    <w:t>0.14t</w:t>
                  </w:r>
                </w:p>
              </w:tc>
              <w:tc>
                <w:tcPr>
                  <w:tcW w:w="986" w:type="dxa"/>
                  <w:tcBorders>
                    <w:top w:val="single" w:color="auto" w:sz="4" w:space="0"/>
                    <w:left w:val="single" w:color="auto" w:sz="4" w:space="0"/>
                    <w:right w:val="single" w:color="auto" w:sz="4" w:space="0"/>
                  </w:tcBorders>
                  <w:vAlign w:val="center"/>
                </w:tcPr>
                <w:p w14:paraId="145A3880">
                  <w:pPr>
                    <w:pStyle w:val="61"/>
                    <w:spacing w:line="240" w:lineRule="auto"/>
                    <w:rPr>
                      <w:sz w:val="21"/>
                      <w:szCs w:val="21"/>
                    </w:rPr>
                  </w:pPr>
                  <w:r>
                    <w:rPr>
                      <w:rFonts w:hint="eastAsia"/>
                      <w:sz w:val="21"/>
                      <w:szCs w:val="21"/>
                    </w:rPr>
                    <w:t>管网</w:t>
                  </w:r>
                </w:p>
              </w:tc>
              <w:tc>
                <w:tcPr>
                  <w:tcW w:w="1158" w:type="dxa"/>
                  <w:vMerge w:val="restart"/>
                  <w:tcBorders>
                    <w:top w:val="single" w:color="auto" w:sz="4" w:space="0"/>
                    <w:left w:val="single" w:color="auto" w:sz="4" w:space="0"/>
                    <w:right w:val="single" w:color="auto" w:sz="4" w:space="0"/>
                  </w:tcBorders>
                  <w:vAlign w:val="center"/>
                </w:tcPr>
                <w:p w14:paraId="2DDE73C9">
                  <w:pPr>
                    <w:pStyle w:val="61"/>
                    <w:spacing w:line="240" w:lineRule="auto"/>
                    <w:rPr>
                      <w:sz w:val="21"/>
                      <w:szCs w:val="21"/>
                    </w:rPr>
                  </w:pPr>
                  <w:r>
                    <w:rPr>
                      <w:rFonts w:hint="eastAsia"/>
                      <w:sz w:val="21"/>
                      <w:szCs w:val="21"/>
                    </w:rPr>
                    <w:t>由于本项目所在地目前天然气管网未接通，本项目前期烘干工序燃料使用液化石油气，待天然气管网接入后烘干工序使用燃料为天然气。</w:t>
                  </w:r>
                </w:p>
              </w:tc>
            </w:tr>
            <w:tr w14:paraId="4C99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64" w:type="dxa"/>
                  <w:vMerge w:val="continue"/>
                  <w:tcBorders>
                    <w:left w:val="single" w:color="auto" w:sz="4" w:space="0"/>
                    <w:bottom w:val="single" w:color="auto" w:sz="4" w:space="0"/>
                    <w:right w:val="single" w:color="auto" w:sz="4" w:space="0"/>
                  </w:tcBorders>
                  <w:vAlign w:val="center"/>
                </w:tcPr>
                <w:p w14:paraId="2D66A531">
                  <w:pPr>
                    <w:jc w:val="center"/>
                    <w:rPr>
                      <w:szCs w:val="21"/>
                    </w:rPr>
                  </w:pPr>
                </w:p>
              </w:tc>
              <w:tc>
                <w:tcPr>
                  <w:tcW w:w="1029" w:type="dxa"/>
                  <w:tcBorders>
                    <w:top w:val="single" w:color="auto" w:sz="4" w:space="0"/>
                    <w:left w:val="nil"/>
                    <w:bottom w:val="single" w:color="auto" w:sz="4" w:space="0"/>
                    <w:right w:val="single" w:color="auto" w:sz="4" w:space="0"/>
                  </w:tcBorders>
                  <w:vAlign w:val="center"/>
                </w:tcPr>
                <w:p w14:paraId="76C085CF">
                  <w:pPr>
                    <w:pStyle w:val="61"/>
                    <w:spacing w:line="240" w:lineRule="auto"/>
                    <w:rPr>
                      <w:rFonts w:hAnsiTheme="minorEastAsia"/>
                      <w:sz w:val="21"/>
                      <w:szCs w:val="21"/>
                    </w:rPr>
                  </w:pPr>
                  <w:r>
                    <w:rPr>
                      <w:rFonts w:hint="eastAsia" w:hAnsiTheme="minorEastAsia"/>
                      <w:sz w:val="21"/>
                      <w:szCs w:val="21"/>
                    </w:rPr>
                    <w:t>液化石油气</w:t>
                  </w:r>
                </w:p>
              </w:tc>
              <w:tc>
                <w:tcPr>
                  <w:tcW w:w="2133" w:type="dxa"/>
                  <w:tcBorders>
                    <w:top w:val="single" w:color="auto" w:sz="4" w:space="0"/>
                    <w:left w:val="nil"/>
                    <w:bottom w:val="single" w:color="auto" w:sz="4" w:space="0"/>
                    <w:right w:val="single" w:color="auto" w:sz="4" w:space="0"/>
                  </w:tcBorders>
                  <w:vAlign w:val="center"/>
                </w:tcPr>
                <w:p w14:paraId="0B35368C">
                  <w:pPr>
                    <w:pStyle w:val="61"/>
                    <w:spacing w:line="240" w:lineRule="auto"/>
                    <w:rPr>
                      <w:rFonts w:hAnsiTheme="minorEastAsia"/>
                      <w:sz w:val="21"/>
                      <w:szCs w:val="21"/>
                    </w:rPr>
                  </w:pPr>
                  <w:r>
                    <w:rPr>
                      <w:rFonts w:hint="eastAsia"/>
                      <w:sz w:val="21"/>
                      <w:szCs w:val="21"/>
                    </w:rPr>
                    <w:t>170</w:t>
                  </w:r>
                  <w:r>
                    <w:rPr>
                      <w:sz w:val="21"/>
                      <w:szCs w:val="21"/>
                    </w:rPr>
                    <w:t>kg/</w:t>
                  </w:r>
                  <w:r>
                    <w:rPr>
                      <w:rFonts w:hAnsiTheme="minorEastAsia"/>
                      <w:sz w:val="21"/>
                      <w:szCs w:val="21"/>
                    </w:rPr>
                    <w:t>罐</w:t>
                  </w:r>
                </w:p>
              </w:tc>
              <w:tc>
                <w:tcPr>
                  <w:tcW w:w="1158" w:type="dxa"/>
                  <w:tcBorders>
                    <w:top w:val="single" w:color="auto" w:sz="4" w:space="0"/>
                    <w:left w:val="nil"/>
                    <w:bottom w:val="single" w:color="auto" w:sz="4" w:space="0"/>
                    <w:right w:val="single" w:color="auto" w:sz="4" w:space="0"/>
                  </w:tcBorders>
                  <w:vAlign w:val="center"/>
                </w:tcPr>
                <w:p w14:paraId="4F0AD956">
                  <w:pPr>
                    <w:pStyle w:val="61"/>
                    <w:spacing w:line="240" w:lineRule="auto"/>
                    <w:rPr>
                      <w:sz w:val="21"/>
                      <w:szCs w:val="21"/>
                    </w:rPr>
                  </w:pPr>
                  <w:r>
                    <w:rPr>
                      <w:rFonts w:hint="eastAsia"/>
                      <w:sz w:val="21"/>
                      <w:szCs w:val="21"/>
                    </w:rPr>
                    <w:t>64000m</w:t>
                  </w:r>
                  <w:r>
                    <w:rPr>
                      <w:rFonts w:hint="eastAsia"/>
                      <w:sz w:val="21"/>
                      <w:szCs w:val="21"/>
                      <w:vertAlign w:val="superscript"/>
                    </w:rPr>
                    <w:t>3</w:t>
                  </w:r>
                </w:p>
              </w:tc>
              <w:tc>
                <w:tcPr>
                  <w:tcW w:w="1104" w:type="dxa"/>
                  <w:tcBorders>
                    <w:left w:val="nil"/>
                    <w:bottom w:val="single" w:color="auto" w:sz="4" w:space="0"/>
                    <w:right w:val="single" w:color="auto" w:sz="4" w:space="0"/>
                  </w:tcBorders>
                  <w:vAlign w:val="center"/>
                </w:tcPr>
                <w:p w14:paraId="704AFD33">
                  <w:pPr>
                    <w:pStyle w:val="61"/>
                    <w:spacing w:line="240" w:lineRule="auto"/>
                    <w:rPr>
                      <w:sz w:val="21"/>
                      <w:szCs w:val="21"/>
                    </w:rPr>
                  </w:pPr>
                  <w:r>
                    <w:rPr>
                      <w:rFonts w:hint="eastAsia"/>
                      <w:sz w:val="21"/>
                      <w:szCs w:val="21"/>
                    </w:rPr>
                    <w:t>0.85t</w:t>
                  </w:r>
                </w:p>
              </w:tc>
              <w:tc>
                <w:tcPr>
                  <w:tcW w:w="986" w:type="dxa"/>
                  <w:tcBorders>
                    <w:left w:val="single" w:color="auto" w:sz="4" w:space="0"/>
                    <w:bottom w:val="single" w:color="auto" w:sz="4" w:space="0"/>
                    <w:right w:val="single" w:color="auto" w:sz="4" w:space="0"/>
                  </w:tcBorders>
                  <w:vAlign w:val="center"/>
                </w:tcPr>
                <w:p w14:paraId="0D596432">
                  <w:pPr>
                    <w:pStyle w:val="61"/>
                    <w:spacing w:line="240" w:lineRule="auto"/>
                    <w:rPr>
                      <w:sz w:val="21"/>
                      <w:szCs w:val="21"/>
                    </w:rPr>
                  </w:pPr>
                  <w:r>
                    <w:rPr>
                      <w:rFonts w:hint="eastAsia"/>
                      <w:sz w:val="21"/>
                      <w:szCs w:val="21"/>
                    </w:rPr>
                    <w:t>罐装，独立封闭式储存房。（项目罐装液化石油气折算总使用量约150.45t）</w:t>
                  </w:r>
                </w:p>
              </w:tc>
              <w:tc>
                <w:tcPr>
                  <w:tcW w:w="1158" w:type="dxa"/>
                  <w:vMerge w:val="continue"/>
                  <w:tcBorders>
                    <w:left w:val="single" w:color="auto" w:sz="4" w:space="0"/>
                    <w:bottom w:val="single" w:color="auto" w:sz="4" w:space="0"/>
                    <w:right w:val="single" w:color="auto" w:sz="4" w:space="0"/>
                  </w:tcBorders>
                  <w:vAlign w:val="center"/>
                </w:tcPr>
                <w:p w14:paraId="3428A35A">
                  <w:pPr>
                    <w:pStyle w:val="61"/>
                    <w:spacing w:line="240" w:lineRule="auto"/>
                    <w:rPr>
                      <w:sz w:val="21"/>
                      <w:szCs w:val="21"/>
                    </w:rPr>
                  </w:pPr>
                </w:p>
              </w:tc>
            </w:tr>
            <w:tr w14:paraId="2AFA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7B7C8C73">
                  <w:pPr>
                    <w:jc w:val="center"/>
                    <w:rPr>
                      <w:szCs w:val="21"/>
                    </w:rPr>
                  </w:pPr>
                  <w:r>
                    <w:rPr>
                      <w:szCs w:val="21"/>
                    </w:rPr>
                    <w:t>8</w:t>
                  </w:r>
                </w:p>
              </w:tc>
              <w:tc>
                <w:tcPr>
                  <w:tcW w:w="1029" w:type="dxa"/>
                  <w:tcBorders>
                    <w:top w:val="single" w:color="auto" w:sz="4" w:space="0"/>
                    <w:left w:val="nil"/>
                    <w:bottom w:val="single" w:color="auto" w:sz="4" w:space="0"/>
                    <w:right w:val="single" w:color="auto" w:sz="4" w:space="0"/>
                  </w:tcBorders>
                  <w:vAlign w:val="center"/>
                </w:tcPr>
                <w:p w14:paraId="42B5F8BE">
                  <w:pPr>
                    <w:pStyle w:val="61"/>
                    <w:spacing w:line="240" w:lineRule="auto"/>
                    <w:rPr>
                      <w:sz w:val="21"/>
                      <w:szCs w:val="21"/>
                    </w:rPr>
                  </w:pPr>
                  <w:r>
                    <w:rPr>
                      <w:rFonts w:hAnsiTheme="minorEastAsia"/>
                      <w:sz w:val="21"/>
                      <w:szCs w:val="21"/>
                    </w:rPr>
                    <w:t>二氧化碳</w:t>
                  </w:r>
                </w:p>
              </w:tc>
              <w:tc>
                <w:tcPr>
                  <w:tcW w:w="2133" w:type="dxa"/>
                  <w:tcBorders>
                    <w:top w:val="single" w:color="auto" w:sz="4" w:space="0"/>
                    <w:left w:val="nil"/>
                    <w:bottom w:val="single" w:color="auto" w:sz="4" w:space="0"/>
                    <w:right w:val="single" w:color="auto" w:sz="4" w:space="0"/>
                  </w:tcBorders>
                  <w:vAlign w:val="center"/>
                </w:tcPr>
                <w:p w14:paraId="24DCF6BA">
                  <w:pPr>
                    <w:pStyle w:val="61"/>
                    <w:spacing w:line="240" w:lineRule="auto"/>
                    <w:rPr>
                      <w:sz w:val="21"/>
                      <w:szCs w:val="21"/>
                    </w:rPr>
                  </w:pPr>
                  <w:r>
                    <w:rPr>
                      <w:sz w:val="21"/>
                      <w:szCs w:val="21"/>
                    </w:rPr>
                    <w:t>16kg/</w:t>
                  </w:r>
                  <w:r>
                    <w:rPr>
                      <w:rFonts w:hAnsiTheme="minorEastAsia"/>
                      <w:sz w:val="21"/>
                      <w:szCs w:val="21"/>
                    </w:rPr>
                    <w:t>罐，用</w:t>
                  </w:r>
                  <w:r>
                    <w:rPr>
                      <w:sz w:val="21"/>
                      <w:szCs w:val="21"/>
                    </w:rPr>
                    <w:t>150</w:t>
                  </w:r>
                  <w:r>
                    <w:rPr>
                      <w:rFonts w:hAnsiTheme="minorEastAsia"/>
                      <w:sz w:val="21"/>
                      <w:szCs w:val="21"/>
                    </w:rPr>
                    <w:t>罐</w:t>
                  </w:r>
                </w:p>
              </w:tc>
              <w:tc>
                <w:tcPr>
                  <w:tcW w:w="1158" w:type="dxa"/>
                  <w:tcBorders>
                    <w:top w:val="single" w:color="auto" w:sz="4" w:space="0"/>
                    <w:left w:val="nil"/>
                    <w:bottom w:val="single" w:color="auto" w:sz="4" w:space="0"/>
                    <w:right w:val="single" w:color="auto" w:sz="4" w:space="0"/>
                  </w:tcBorders>
                  <w:vAlign w:val="center"/>
                </w:tcPr>
                <w:p w14:paraId="28F19E5A">
                  <w:pPr>
                    <w:pStyle w:val="61"/>
                    <w:spacing w:line="240" w:lineRule="auto"/>
                    <w:rPr>
                      <w:sz w:val="21"/>
                      <w:szCs w:val="21"/>
                    </w:rPr>
                  </w:pPr>
                  <w:r>
                    <w:rPr>
                      <w:sz w:val="21"/>
                      <w:szCs w:val="21"/>
                    </w:rPr>
                    <w:t>2.4t</w:t>
                  </w:r>
                </w:p>
              </w:tc>
              <w:tc>
                <w:tcPr>
                  <w:tcW w:w="1104" w:type="dxa"/>
                  <w:tcBorders>
                    <w:top w:val="single" w:color="auto" w:sz="4" w:space="0"/>
                    <w:left w:val="nil"/>
                    <w:right w:val="single" w:color="auto" w:sz="4" w:space="0"/>
                  </w:tcBorders>
                  <w:vAlign w:val="center"/>
                </w:tcPr>
                <w:p w14:paraId="6EDA4633">
                  <w:pPr>
                    <w:pStyle w:val="61"/>
                    <w:spacing w:line="240" w:lineRule="auto"/>
                    <w:rPr>
                      <w:sz w:val="21"/>
                      <w:szCs w:val="21"/>
                    </w:rPr>
                  </w:pPr>
                  <w:r>
                    <w:rPr>
                      <w:rFonts w:hint="eastAsia"/>
                      <w:sz w:val="21"/>
                      <w:szCs w:val="21"/>
                    </w:rPr>
                    <w:t>0.16t</w:t>
                  </w:r>
                </w:p>
              </w:tc>
              <w:tc>
                <w:tcPr>
                  <w:tcW w:w="986" w:type="dxa"/>
                  <w:tcBorders>
                    <w:top w:val="single" w:color="auto" w:sz="4" w:space="0"/>
                    <w:left w:val="single" w:color="auto" w:sz="4" w:space="0"/>
                    <w:right w:val="single" w:color="auto" w:sz="4" w:space="0"/>
                  </w:tcBorders>
                  <w:vAlign w:val="center"/>
                </w:tcPr>
                <w:p w14:paraId="429E2676">
                  <w:pPr>
                    <w:pStyle w:val="61"/>
                    <w:spacing w:line="240" w:lineRule="auto"/>
                    <w:rPr>
                      <w:sz w:val="21"/>
                      <w:szCs w:val="21"/>
                    </w:rPr>
                  </w:pPr>
                  <w:r>
                    <w:rPr>
                      <w:rFonts w:hint="eastAsia"/>
                      <w:sz w:val="21"/>
                      <w:szCs w:val="21"/>
                    </w:rPr>
                    <w:t>罐装</w:t>
                  </w:r>
                </w:p>
              </w:tc>
              <w:tc>
                <w:tcPr>
                  <w:tcW w:w="1158" w:type="dxa"/>
                  <w:tcBorders>
                    <w:top w:val="single" w:color="auto" w:sz="4" w:space="0"/>
                    <w:left w:val="single" w:color="auto" w:sz="4" w:space="0"/>
                    <w:right w:val="single" w:color="auto" w:sz="4" w:space="0"/>
                  </w:tcBorders>
                  <w:vAlign w:val="center"/>
                </w:tcPr>
                <w:p w14:paraId="7C594F95">
                  <w:pPr>
                    <w:pStyle w:val="61"/>
                    <w:spacing w:line="240" w:lineRule="auto"/>
                    <w:rPr>
                      <w:sz w:val="21"/>
                      <w:szCs w:val="21"/>
                    </w:rPr>
                  </w:pPr>
                  <w:r>
                    <w:rPr>
                      <w:rFonts w:hint="eastAsia"/>
                      <w:sz w:val="21"/>
                      <w:szCs w:val="21"/>
                    </w:rPr>
                    <w:t>外购</w:t>
                  </w:r>
                </w:p>
              </w:tc>
            </w:tr>
            <w:tr w14:paraId="0F6F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2DF4749E">
                  <w:pPr>
                    <w:jc w:val="center"/>
                    <w:rPr>
                      <w:szCs w:val="21"/>
                    </w:rPr>
                  </w:pPr>
                  <w:r>
                    <w:rPr>
                      <w:szCs w:val="21"/>
                    </w:rPr>
                    <w:t>9</w:t>
                  </w:r>
                </w:p>
              </w:tc>
              <w:tc>
                <w:tcPr>
                  <w:tcW w:w="1029" w:type="dxa"/>
                  <w:tcBorders>
                    <w:top w:val="single" w:color="auto" w:sz="4" w:space="0"/>
                    <w:left w:val="nil"/>
                    <w:bottom w:val="single" w:color="auto" w:sz="4" w:space="0"/>
                    <w:right w:val="single" w:color="auto" w:sz="4" w:space="0"/>
                  </w:tcBorders>
                  <w:vAlign w:val="center"/>
                </w:tcPr>
                <w:p w14:paraId="334E6934">
                  <w:pPr>
                    <w:pStyle w:val="61"/>
                    <w:spacing w:line="240" w:lineRule="auto"/>
                    <w:rPr>
                      <w:sz w:val="21"/>
                      <w:szCs w:val="21"/>
                    </w:rPr>
                  </w:pPr>
                  <w:r>
                    <w:rPr>
                      <w:rFonts w:hAnsiTheme="minorEastAsia"/>
                      <w:sz w:val="21"/>
                      <w:szCs w:val="21"/>
                    </w:rPr>
                    <w:t>劳保手套</w:t>
                  </w:r>
                </w:p>
              </w:tc>
              <w:tc>
                <w:tcPr>
                  <w:tcW w:w="2133" w:type="dxa"/>
                  <w:vMerge w:val="restart"/>
                  <w:tcBorders>
                    <w:top w:val="single" w:color="auto" w:sz="4" w:space="0"/>
                    <w:left w:val="nil"/>
                    <w:right w:val="single" w:color="auto" w:sz="4" w:space="0"/>
                  </w:tcBorders>
                  <w:vAlign w:val="center"/>
                </w:tcPr>
                <w:p w14:paraId="1FE84B9C">
                  <w:pPr>
                    <w:pStyle w:val="61"/>
                    <w:spacing w:line="240" w:lineRule="auto"/>
                    <w:rPr>
                      <w:sz w:val="21"/>
                      <w:szCs w:val="21"/>
                    </w:rPr>
                  </w:pPr>
                  <w:r>
                    <w:rPr>
                      <w:rFonts w:hint="eastAsia"/>
                      <w:sz w:val="21"/>
                      <w:szCs w:val="21"/>
                    </w:rPr>
                    <w:t>/</w:t>
                  </w:r>
                </w:p>
              </w:tc>
              <w:tc>
                <w:tcPr>
                  <w:tcW w:w="1158" w:type="dxa"/>
                  <w:tcBorders>
                    <w:top w:val="single" w:color="auto" w:sz="4" w:space="0"/>
                    <w:left w:val="nil"/>
                    <w:bottom w:val="single" w:color="auto" w:sz="4" w:space="0"/>
                    <w:right w:val="single" w:color="auto" w:sz="4" w:space="0"/>
                  </w:tcBorders>
                  <w:vAlign w:val="center"/>
                </w:tcPr>
                <w:p w14:paraId="6F6BC02D">
                  <w:pPr>
                    <w:pStyle w:val="61"/>
                    <w:spacing w:line="240" w:lineRule="auto"/>
                    <w:rPr>
                      <w:sz w:val="21"/>
                      <w:szCs w:val="21"/>
                    </w:rPr>
                  </w:pPr>
                  <w:r>
                    <w:rPr>
                      <w:sz w:val="21"/>
                      <w:szCs w:val="21"/>
                    </w:rPr>
                    <w:t>1000</w:t>
                  </w:r>
                  <w:r>
                    <w:rPr>
                      <w:rFonts w:hAnsiTheme="minorEastAsia"/>
                      <w:sz w:val="21"/>
                      <w:szCs w:val="21"/>
                    </w:rPr>
                    <w:t>双</w:t>
                  </w:r>
                </w:p>
              </w:tc>
              <w:tc>
                <w:tcPr>
                  <w:tcW w:w="1104" w:type="dxa"/>
                  <w:tcBorders>
                    <w:left w:val="nil"/>
                    <w:right w:val="single" w:color="auto" w:sz="4" w:space="0"/>
                  </w:tcBorders>
                  <w:vAlign w:val="center"/>
                </w:tcPr>
                <w:p w14:paraId="14A74A7F">
                  <w:pPr>
                    <w:pStyle w:val="61"/>
                    <w:spacing w:line="240" w:lineRule="auto"/>
                    <w:rPr>
                      <w:sz w:val="21"/>
                      <w:szCs w:val="21"/>
                    </w:rPr>
                  </w:pPr>
                  <w:r>
                    <w:rPr>
                      <w:rFonts w:hint="eastAsia"/>
                      <w:sz w:val="21"/>
                      <w:szCs w:val="21"/>
                    </w:rPr>
                    <w:t>100双</w:t>
                  </w:r>
                </w:p>
              </w:tc>
              <w:tc>
                <w:tcPr>
                  <w:tcW w:w="986" w:type="dxa"/>
                  <w:tcBorders>
                    <w:left w:val="single" w:color="auto" w:sz="4" w:space="0"/>
                    <w:right w:val="single" w:color="auto" w:sz="4" w:space="0"/>
                  </w:tcBorders>
                  <w:vAlign w:val="center"/>
                </w:tcPr>
                <w:p w14:paraId="4A65DA36">
                  <w:pPr>
                    <w:pStyle w:val="61"/>
                    <w:spacing w:line="240" w:lineRule="auto"/>
                    <w:rPr>
                      <w:sz w:val="21"/>
                      <w:szCs w:val="21"/>
                    </w:rPr>
                  </w:pPr>
                  <w:r>
                    <w:rPr>
                      <w:rFonts w:hint="eastAsia"/>
                      <w:sz w:val="21"/>
                      <w:szCs w:val="21"/>
                    </w:rPr>
                    <w:t>袋装</w:t>
                  </w:r>
                </w:p>
              </w:tc>
              <w:tc>
                <w:tcPr>
                  <w:tcW w:w="1158" w:type="dxa"/>
                  <w:tcBorders>
                    <w:left w:val="single" w:color="auto" w:sz="4" w:space="0"/>
                    <w:right w:val="single" w:color="auto" w:sz="4" w:space="0"/>
                  </w:tcBorders>
                  <w:vAlign w:val="center"/>
                </w:tcPr>
                <w:p w14:paraId="77ABA74D">
                  <w:pPr>
                    <w:pStyle w:val="61"/>
                    <w:spacing w:line="240" w:lineRule="auto"/>
                    <w:rPr>
                      <w:sz w:val="21"/>
                      <w:szCs w:val="21"/>
                    </w:rPr>
                  </w:pPr>
                  <w:r>
                    <w:rPr>
                      <w:rFonts w:hint="eastAsia"/>
                      <w:sz w:val="21"/>
                      <w:szCs w:val="21"/>
                    </w:rPr>
                    <w:t>外购</w:t>
                  </w:r>
                </w:p>
              </w:tc>
            </w:tr>
            <w:tr w14:paraId="41EE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43B0E50F">
                  <w:pPr>
                    <w:jc w:val="center"/>
                    <w:rPr>
                      <w:szCs w:val="21"/>
                    </w:rPr>
                  </w:pPr>
                  <w:r>
                    <w:rPr>
                      <w:rFonts w:hint="eastAsia"/>
                      <w:szCs w:val="21"/>
                    </w:rPr>
                    <w:t>10</w:t>
                  </w:r>
                </w:p>
              </w:tc>
              <w:tc>
                <w:tcPr>
                  <w:tcW w:w="1029" w:type="dxa"/>
                  <w:tcBorders>
                    <w:top w:val="single" w:color="auto" w:sz="4" w:space="0"/>
                    <w:left w:val="nil"/>
                    <w:bottom w:val="single" w:color="auto" w:sz="4" w:space="0"/>
                    <w:right w:val="single" w:color="auto" w:sz="4" w:space="0"/>
                  </w:tcBorders>
                  <w:vAlign w:val="center"/>
                </w:tcPr>
                <w:p w14:paraId="31D4C5AF">
                  <w:pPr>
                    <w:pStyle w:val="61"/>
                    <w:spacing w:line="240" w:lineRule="auto"/>
                    <w:rPr>
                      <w:sz w:val="21"/>
                      <w:szCs w:val="21"/>
                    </w:rPr>
                  </w:pPr>
                  <w:r>
                    <w:rPr>
                      <w:rFonts w:hAnsiTheme="minorEastAsia"/>
                      <w:sz w:val="21"/>
                      <w:szCs w:val="21"/>
                    </w:rPr>
                    <w:t>防护口罩</w:t>
                  </w:r>
                </w:p>
              </w:tc>
              <w:tc>
                <w:tcPr>
                  <w:tcW w:w="2133" w:type="dxa"/>
                  <w:vMerge w:val="continue"/>
                  <w:tcBorders>
                    <w:left w:val="nil"/>
                    <w:right w:val="single" w:color="auto" w:sz="4" w:space="0"/>
                  </w:tcBorders>
                  <w:vAlign w:val="center"/>
                </w:tcPr>
                <w:p w14:paraId="67B0A658">
                  <w:pPr>
                    <w:pStyle w:val="61"/>
                    <w:spacing w:line="240" w:lineRule="auto"/>
                    <w:rPr>
                      <w:sz w:val="21"/>
                      <w:szCs w:val="21"/>
                    </w:rPr>
                  </w:pPr>
                </w:p>
              </w:tc>
              <w:tc>
                <w:tcPr>
                  <w:tcW w:w="1158" w:type="dxa"/>
                  <w:tcBorders>
                    <w:top w:val="single" w:color="auto" w:sz="4" w:space="0"/>
                    <w:left w:val="nil"/>
                    <w:bottom w:val="single" w:color="auto" w:sz="4" w:space="0"/>
                    <w:right w:val="single" w:color="auto" w:sz="4" w:space="0"/>
                  </w:tcBorders>
                  <w:vAlign w:val="center"/>
                </w:tcPr>
                <w:p w14:paraId="2CA21CFB">
                  <w:pPr>
                    <w:pStyle w:val="61"/>
                    <w:spacing w:line="240" w:lineRule="auto"/>
                    <w:rPr>
                      <w:sz w:val="21"/>
                      <w:szCs w:val="21"/>
                    </w:rPr>
                  </w:pPr>
                  <w:r>
                    <w:rPr>
                      <w:sz w:val="21"/>
                      <w:szCs w:val="21"/>
                    </w:rPr>
                    <w:t>1000</w:t>
                  </w:r>
                  <w:r>
                    <w:rPr>
                      <w:rFonts w:hAnsiTheme="minorEastAsia"/>
                      <w:sz w:val="21"/>
                      <w:szCs w:val="21"/>
                    </w:rPr>
                    <w:t>个</w:t>
                  </w:r>
                </w:p>
              </w:tc>
              <w:tc>
                <w:tcPr>
                  <w:tcW w:w="1104" w:type="dxa"/>
                  <w:tcBorders>
                    <w:left w:val="nil"/>
                    <w:right w:val="single" w:color="auto" w:sz="4" w:space="0"/>
                  </w:tcBorders>
                  <w:vAlign w:val="center"/>
                </w:tcPr>
                <w:p w14:paraId="1B3D8A12">
                  <w:pPr>
                    <w:pStyle w:val="61"/>
                    <w:spacing w:line="240" w:lineRule="auto"/>
                    <w:rPr>
                      <w:sz w:val="21"/>
                      <w:szCs w:val="21"/>
                    </w:rPr>
                  </w:pPr>
                  <w:r>
                    <w:rPr>
                      <w:rFonts w:hint="eastAsia"/>
                      <w:sz w:val="21"/>
                      <w:szCs w:val="21"/>
                    </w:rPr>
                    <w:t>100个</w:t>
                  </w:r>
                </w:p>
              </w:tc>
              <w:tc>
                <w:tcPr>
                  <w:tcW w:w="986" w:type="dxa"/>
                  <w:tcBorders>
                    <w:left w:val="single" w:color="auto" w:sz="4" w:space="0"/>
                    <w:right w:val="single" w:color="auto" w:sz="4" w:space="0"/>
                  </w:tcBorders>
                  <w:vAlign w:val="center"/>
                </w:tcPr>
                <w:p w14:paraId="06628073">
                  <w:pPr>
                    <w:pStyle w:val="61"/>
                    <w:spacing w:line="240" w:lineRule="auto"/>
                    <w:rPr>
                      <w:sz w:val="21"/>
                      <w:szCs w:val="21"/>
                    </w:rPr>
                  </w:pPr>
                  <w:r>
                    <w:rPr>
                      <w:rFonts w:hint="eastAsia"/>
                      <w:sz w:val="21"/>
                      <w:szCs w:val="21"/>
                    </w:rPr>
                    <w:t>袋装</w:t>
                  </w:r>
                </w:p>
              </w:tc>
              <w:tc>
                <w:tcPr>
                  <w:tcW w:w="1158" w:type="dxa"/>
                  <w:tcBorders>
                    <w:left w:val="single" w:color="auto" w:sz="4" w:space="0"/>
                    <w:right w:val="single" w:color="auto" w:sz="4" w:space="0"/>
                  </w:tcBorders>
                  <w:vAlign w:val="center"/>
                </w:tcPr>
                <w:p w14:paraId="4B694F14">
                  <w:pPr>
                    <w:pStyle w:val="61"/>
                    <w:spacing w:line="240" w:lineRule="auto"/>
                    <w:rPr>
                      <w:sz w:val="21"/>
                      <w:szCs w:val="21"/>
                    </w:rPr>
                  </w:pPr>
                  <w:r>
                    <w:rPr>
                      <w:rFonts w:hint="eastAsia"/>
                      <w:sz w:val="21"/>
                      <w:szCs w:val="21"/>
                    </w:rPr>
                    <w:t>外购</w:t>
                  </w:r>
                </w:p>
              </w:tc>
            </w:tr>
            <w:tr w14:paraId="1AF9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103C7820">
                  <w:pPr>
                    <w:jc w:val="center"/>
                    <w:rPr>
                      <w:szCs w:val="21"/>
                    </w:rPr>
                  </w:pPr>
                  <w:r>
                    <w:rPr>
                      <w:rFonts w:hint="eastAsia"/>
                      <w:szCs w:val="21"/>
                    </w:rPr>
                    <w:t>11</w:t>
                  </w:r>
                </w:p>
              </w:tc>
              <w:tc>
                <w:tcPr>
                  <w:tcW w:w="1029" w:type="dxa"/>
                  <w:tcBorders>
                    <w:top w:val="single" w:color="auto" w:sz="4" w:space="0"/>
                    <w:left w:val="nil"/>
                    <w:bottom w:val="single" w:color="auto" w:sz="4" w:space="0"/>
                    <w:right w:val="single" w:color="auto" w:sz="4" w:space="0"/>
                  </w:tcBorders>
                  <w:vAlign w:val="center"/>
                </w:tcPr>
                <w:p w14:paraId="4805BD4F">
                  <w:pPr>
                    <w:pStyle w:val="61"/>
                    <w:spacing w:line="240" w:lineRule="auto"/>
                    <w:rPr>
                      <w:sz w:val="21"/>
                      <w:szCs w:val="21"/>
                    </w:rPr>
                  </w:pPr>
                  <w:r>
                    <w:rPr>
                      <w:rFonts w:hAnsiTheme="minorEastAsia"/>
                      <w:sz w:val="21"/>
                      <w:szCs w:val="21"/>
                    </w:rPr>
                    <w:t>机油</w:t>
                  </w:r>
                </w:p>
              </w:tc>
              <w:tc>
                <w:tcPr>
                  <w:tcW w:w="2133" w:type="dxa"/>
                  <w:vMerge w:val="continue"/>
                  <w:tcBorders>
                    <w:left w:val="nil"/>
                    <w:right w:val="single" w:color="auto" w:sz="4" w:space="0"/>
                  </w:tcBorders>
                  <w:vAlign w:val="center"/>
                </w:tcPr>
                <w:p w14:paraId="689A403A">
                  <w:pPr>
                    <w:pStyle w:val="61"/>
                    <w:spacing w:line="240" w:lineRule="auto"/>
                    <w:rPr>
                      <w:sz w:val="21"/>
                      <w:szCs w:val="21"/>
                    </w:rPr>
                  </w:pPr>
                </w:p>
              </w:tc>
              <w:tc>
                <w:tcPr>
                  <w:tcW w:w="1158" w:type="dxa"/>
                  <w:tcBorders>
                    <w:top w:val="single" w:color="auto" w:sz="4" w:space="0"/>
                    <w:left w:val="nil"/>
                    <w:bottom w:val="single" w:color="auto" w:sz="4" w:space="0"/>
                    <w:right w:val="single" w:color="auto" w:sz="4" w:space="0"/>
                  </w:tcBorders>
                  <w:vAlign w:val="center"/>
                </w:tcPr>
                <w:p w14:paraId="209DD341">
                  <w:pPr>
                    <w:pStyle w:val="61"/>
                    <w:spacing w:line="240" w:lineRule="auto"/>
                    <w:rPr>
                      <w:sz w:val="21"/>
                      <w:szCs w:val="21"/>
                    </w:rPr>
                  </w:pPr>
                  <w:r>
                    <w:rPr>
                      <w:sz w:val="21"/>
                      <w:szCs w:val="21"/>
                    </w:rPr>
                    <w:t>0.</w:t>
                  </w:r>
                  <w:r>
                    <w:rPr>
                      <w:rFonts w:hint="eastAsia"/>
                      <w:sz w:val="21"/>
                      <w:szCs w:val="21"/>
                    </w:rPr>
                    <w:t>3</w:t>
                  </w:r>
                  <w:r>
                    <w:rPr>
                      <w:sz w:val="21"/>
                      <w:szCs w:val="21"/>
                    </w:rPr>
                    <w:t>t</w:t>
                  </w:r>
                </w:p>
              </w:tc>
              <w:tc>
                <w:tcPr>
                  <w:tcW w:w="1104" w:type="dxa"/>
                  <w:tcBorders>
                    <w:left w:val="nil"/>
                    <w:right w:val="single" w:color="auto" w:sz="4" w:space="0"/>
                  </w:tcBorders>
                  <w:vAlign w:val="center"/>
                </w:tcPr>
                <w:p w14:paraId="7925BE2B">
                  <w:pPr>
                    <w:pStyle w:val="61"/>
                    <w:spacing w:line="240" w:lineRule="auto"/>
                    <w:rPr>
                      <w:sz w:val="21"/>
                      <w:szCs w:val="21"/>
                    </w:rPr>
                  </w:pPr>
                  <w:r>
                    <w:rPr>
                      <w:rFonts w:hint="eastAsia"/>
                      <w:sz w:val="21"/>
                      <w:szCs w:val="21"/>
                    </w:rPr>
                    <w:t>0.05t</w:t>
                  </w:r>
                </w:p>
              </w:tc>
              <w:tc>
                <w:tcPr>
                  <w:tcW w:w="986" w:type="dxa"/>
                  <w:tcBorders>
                    <w:left w:val="single" w:color="auto" w:sz="4" w:space="0"/>
                    <w:right w:val="single" w:color="auto" w:sz="4" w:space="0"/>
                  </w:tcBorders>
                  <w:vAlign w:val="center"/>
                </w:tcPr>
                <w:p w14:paraId="25FF12A7">
                  <w:pPr>
                    <w:pStyle w:val="61"/>
                    <w:spacing w:line="240" w:lineRule="auto"/>
                    <w:rPr>
                      <w:sz w:val="21"/>
                      <w:szCs w:val="21"/>
                    </w:rPr>
                  </w:pPr>
                  <w:r>
                    <w:rPr>
                      <w:rFonts w:hint="eastAsia"/>
                      <w:sz w:val="21"/>
                      <w:szCs w:val="21"/>
                    </w:rPr>
                    <w:t>桶装</w:t>
                  </w:r>
                </w:p>
              </w:tc>
              <w:tc>
                <w:tcPr>
                  <w:tcW w:w="1158" w:type="dxa"/>
                  <w:tcBorders>
                    <w:left w:val="single" w:color="auto" w:sz="4" w:space="0"/>
                    <w:right w:val="single" w:color="auto" w:sz="4" w:space="0"/>
                  </w:tcBorders>
                  <w:vAlign w:val="center"/>
                </w:tcPr>
                <w:p w14:paraId="1E8EB79C">
                  <w:pPr>
                    <w:pStyle w:val="61"/>
                    <w:spacing w:line="240" w:lineRule="auto"/>
                    <w:rPr>
                      <w:sz w:val="21"/>
                      <w:szCs w:val="21"/>
                    </w:rPr>
                  </w:pPr>
                  <w:r>
                    <w:rPr>
                      <w:rFonts w:hint="eastAsia"/>
                      <w:sz w:val="21"/>
                      <w:szCs w:val="21"/>
                    </w:rPr>
                    <w:t>外购</w:t>
                  </w:r>
                </w:p>
              </w:tc>
            </w:tr>
            <w:tr w14:paraId="51B0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5F4E7770">
                  <w:pPr>
                    <w:jc w:val="center"/>
                    <w:rPr>
                      <w:szCs w:val="21"/>
                    </w:rPr>
                  </w:pPr>
                  <w:r>
                    <w:rPr>
                      <w:rFonts w:hint="eastAsia"/>
                      <w:szCs w:val="21"/>
                    </w:rPr>
                    <w:t>12</w:t>
                  </w:r>
                </w:p>
              </w:tc>
              <w:tc>
                <w:tcPr>
                  <w:tcW w:w="1029" w:type="dxa"/>
                  <w:tcBorders>
                    <w:top w:val="single" w:color="auto" w:sz="4" w:space="0"/>
                    <w:left w:val="nil"/>
                    <w:bottom w:val="single" w:color="auto" w:sz="4" w:space="0"/>
                    <w:right w:val="single" w:color="auto" w:sz="4" w:space="0"/>
                  </w:tcBorders>
                  <w:vAlign w:val="center"/>
                </w:tcPr>
                <w:p w14:paraId="5C3468C4">
                  <w:pPr>
                    <w:pStyle w:val="61"/>
                    <w:spacing w:line="240" w:lineRule="auto"/>
                    <w:rPr>
                      <w:rFonts w:hAnsiTheme="minorEastAsia"/>
                      <w:sz w:val="21"/>
                      <w:szCs w:val="21"/>
                    </w:rPr>
                  </w:pPr>
                  <w:r>
                    <w:rPr>
                      <w:rFonts w:hint="eastAsia" w:hAnsiTheme="minorEastAsia"/>
                      <w:sz w:val="21"/>
                      <w:szCs w:val="21"/>
                    </w:rPr>
                    <w:t>水</w:t>
                  </w:r>
                </w:p>
              </w:tc>
              <w:tc>
                <w:tcPr>
                  <w:tcW w:w="2133" w:type="dxa"/>
                  <w:vMerge w:val="continue"/>
                  <w:tcBorders>
                    <w:left w:val="nil"/>
                    <w:right w:val="single" w:color="auto" w:sz="4" w:space="0"/>
                  </w:tcBorders>
                  <w:vAlign w:val="center"/>
                </w:tcPr>
                <w:p w14:paraId="355FB790">
                  <w:pPr>
                    <w:pStyle w:val="61"/>
                    <w:spacing w:line="240" w:lineRule="auto"/>
                    <w:rPr>
                      <w:sz w:val="21"/>
                      <w:szCs w:val="21"/>
                    </w:rPr>
                  </w:pPr>
                </w:p>
              </w:tc>
              <w:tc>
                <w:tcPr>
                  <w:tcW w:w="1158" w:type="dxa"/>
                  <w:tcBorders>
                    <w:top w:val="single" w:color="auto" w:sz="4" w:space="0"/>
                    <w:left w:val="nil"/>
                    <w:bottom w:val="single" w:color="auto" w:sz="4" w:space="0"/>
                    <w:right w:val="single" w:color="auto" w:sz="4" w:space="0"/>
                  </w:tcBorders>
                  <w:vAlign w:val="center"/>
                </w:tcPr>
                <w:p w14:paraId="10692E01">
                  <w:pPr>
                    <w:pStyle w:val="61"/>
                    <w:spacing w:line="240" w:lineRule="auto"/>
                    <w:rPr>
                      <w:sz w:val="21"/>
                      <w:szCs w:val="21"/>
                    </w:rPr>
                  </w:pPr>
                  <w:r>
                    <w:rPr>
                      <w:rFonts w:hint="eastAsia"/>
                      <w:sz w:val="21"/>
                      <w:szCs w:val="21"/>
                    </w:rPr>
                    <w:t>1355.63t</w:t>
                  </w:r>
                </w:p>
              </w:tc>
              <w:tc>
                <w:tcPr>
                  <w:tcW w:w="1104" w:type="dxa"/>
                  <w:tcBorders>
                    <w:left w:val="nil"/>
                    <w:right w:val="single" w:color="auto" w:sz="4" w:space="0"/>
                  </w:tcBorders>
                  <w:vAlign w:val="center"/>
                </w:tcPr>
                <w:p w14:paraId="108E1E80">
                  <w:pPr>
                    <w:pStyle w:val="61"/>
                    <w:spacing w:line="240" w:lineRule="auto"/>
                    <w:rPr>
                      <w:sz w:val="21"/>
                      <w:szCs w:val="21"/>
                    </w:rPr>
                  </w:pPr>
                  <w:r>
                    <w:rPr>
                      <w:rFonts w:hint="eastAsia"/>
                      <w:sz w:val="21"/>
                      <w:szCs w:val="21"/>
                    </w:rPr>
                    <w:t>/</w:t>
                  </w:r>
                </w:p>
              </w:tc>
              <w:tc>
                <w:tcPr>
                  <w:tcW w:w="986" w:type="dxa"/>
                  <w:tcBorders>
                    <w:left w:val="single" w:color="auto" w:sz="4" w:space="0"/>
                    <w:right w:val="single" w:color="auto" w:sz="4" w:space="0"/>
                  </w:tcBorders>
                  <w:vAlign w:val="center"/>
                </w:tcPr>
                <w:p w14:paraId="333F75C7">
                  <w:pPr>
                    <w:pStyle w:val="61"/>
                    <w:spacing w:line="240" w:lineRule="auto"/>
                    <w:rPr>
                      <w:sz w:val="21"/>
                      <w:szCs w:val="21"/>
                    </w:rPr>
                  </w:pPr>
                  <w:r>
                    <w:rPr>
                      <w:rFonts w:hint="eastAsia"/>
                      <w:sz w:val="21"/>
                      <w:szCs w:val="21"/>
                    </w:rPr>
                    <w:t>/</w:t>
                  </w:r>
                </w:p>
              </w:tc>
              <w:tc>
                <w:tcPr>
                  <w:tcW w:w="1158" w:type="dxa"/>
                  <w:tcBorders>
                    <w:left w:val="single" w:color="auto" w:sz="4" w:space="0"/>
                    <w:right w:val="single" w:color="auto" w:sz="4" w:space="0"/>
                  </w:tcBorders>
                  <w:vAlign w:val="center"/>
                </w:tcPr>
                <w:p w14:paraId="7561C1D1">
                  <w:pPr>
                    <w:pStyle w:val="61"/>
                    <w:spacing w:line="240" w:lineRule="auto"/>
                    <w:rPr>
                      <w:sz w:val="21"/>
                      <w:szCs w:val="21"/>
                    </w:rPr>
                  </w:pPr>
                  <w:r>
                    <w:rPr>
                      <w:rFonts w:hint="eastAsia"/>
                      <w:sz w:val="21"/>
                      <w:szCs w:val="21"/>
                    </w:rPr>
                    <w:t>市政</w:t>
                  </w:r>
                </w:p>
              </w:tc>
            </w:tr>
            <w:tr w14:paraId="3037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14:paraId="45AF92A8">
                  <w:pPr>
                    <w:jc w:val="center"/>
                    <w:rPr>
                      <w:szCs w:val="21"/>
                    </w:rPr>
                  </w:pPr>
                  <w:r>
                    <w:rPr>
                      <w:rFonts w:hint="eastAsia"/>
                      <w:szCs w:val="21"/>
                    </w:rPr>
                    <w:t>13</w:t>
                  </w:r>
                </w:p>
              </w:tc>
              <w:tc>
                <w:tcPr>
                  <w:tcW w:w="1029" w:type="dxa"/>
                  <w:tcBorders>
                    <w:top w:val="single" w:color="auto" w:sz="4" w:space="0"/>
                    <w:left w:val="nil"/>
                    <w:bottom w:val="single" w:color="auto" w:sz="4" w:space="0"/>
                    <w:right w:val="single" w:color="auto" w:sz="4" w:space="0"/>
                  </w:tcBorders>
                  <w:vAlign w:val="center"/>
                </w:tcPr>
                <w:p w14:paraId="15990CE1">
                  <w:pPr>
                    <w:pStyle w:val="61"/>
                    <w:spacing w:line="240" w:lineRule="auto"/>
                    <w:rPr>
                      <w:rFonts w:hAnsiTheme="minorEastAsia"/>
                      <w:sz w:val="21"/>
                      <w:szCs w:val="21"/>
                    </w:rPr>
                  </w:pPr>
                  <w:r>
                    <w:rPr>
                      <w:rFonts w:hint="eastAsia" w:hAnsiTheme="minorEastAsia"/>
                      <w:sz w:val="21"/>
                      <w:szCs w:val="21"/>
                    </w:rPr>
                    <w:t>电</w:t>
                  </w:r>
                </w:p>
              </w:tc>
              <w:tc>
                <w:tcPr>
                  <w:tcW w:w="2133" w:type="dxa"/>
                  <w:vMerge w:val="continue"/>
                  <w:tcBorders>
                    <w:left w:val="nil"/>
                    <w:right w:val="single" w:color="auto" w:sz="4" w:space="0"/>
                  </w:tcBorders>
                  <w:vAlign w:val="center"/>
                </w:tcPr>
                <w:p w14:paraId="0DFB3FD7">
                  <w:pPr>
                    <w:pStyle w:val="61"/>
                    <w:spacing w:line="240" w:lineRule="auto"/>
                    <w:rPr>
                      <w:sz w:val="21"/>
                      <w:szCs w:val="21"/>
                    </w:rPr>
                  </w:pPr>
                </w:p>
              </w:tc>
              <w:tc>
                <w:tcPr>
                  <w:tcW w:w="1158" w:type="dxa"/>
                  <w:tcBorders>
                    <w:top w:val="single" w:color="auto" w:sz="4" w:space="0"/>
                    <w:left w:val="nil"/>
                    <w:bottom w:val="single" w:color="auto" w:sz="4" w:space="0"/>
                    <w:right w:val="single" w:color="auto" w:sz="4" w:space="0"/>
                  </w:tcBorders>
                  <w:vAlign w:val="center"/>
                </w:tcPr>
                <w:p w14:paraId="33C2C3D3">
                  <w:pPr>
                    <w:pStyle w:val="61"/>
                    <w:spacing w:line="240" w:lineRule="auto"/>
                    <w:rPr>
                      <w:sz w:val="21"/>
                      <w:szCs w:val="21"/>
                    </w:rPr>
                  </w:pPr>
                  <w:r>
                    <w:rPr>
                      <w:rFonts w:hint="eastAsia"/>
                      <w:sz w:val="21"/>
                      <w:szCs w:val="21"/>
                    </w:rPr>
                    <w:t>50万KWh</w:t>
                  </w:r>
                </w:p>
              </w:tc>
              <w:tc>
                <w:tcPr>
                  <w:tcW w:w="1104" w:type="dxa"/>
                  <w:tcBorders>
                    <w:left w:val="nil"/>
                    <w:right w:val="single" w:color="auto" w:sz="4" w:space="0"/>
                  </w:tcBorders>
                  <w:vAlign w:val="center"/>
                </w:tcPr>
                <w:p w14:paraId="0A9961B3">
                  <w:pPr>
                    <w:pStyle w:val="61"/>
                    <w:spacing w:line="240" w:lineRule="auto"/>
                    <w:rPr>
                      <w:sz w:val="21"/>
                      <w:szCs w:val="21"/>
                    </w:rPr>
                  </w:pPr>
                  <w:r>
                    <w:rPr>
                      <w:rFonts w:hint="eastAsia"/>
                      <w:sz w:val="21"/>
                      <w:szCs w:val="21"/>
                    </w:rPr>
                    <w:t>/</w:t>
                  </w:r>
                </w:p>
              </w:tc>
              <w:tc>
                <w:tcPr>
                  <w:tcW w:w="986" w:type="dxa"/>
                  <w:tcBorders>
                    <w:left w:val="single" w:color="auto" w:sz="4" w:space="0"/>
                    <w:right w:val="single" w:color="auto" w:sz="4" w:space="0"/>
                  </w:tcBorders>
                  <w:vAlign w:val="center"/>
                </w:tcPr>
                <w:p w14:paraId="2AA19F83">
                  <w:pPr>
                    <w:pStyle w:val="61"/>
                    <w:spacing w:line="240" w:lineRule="auto"/>
                    <w:rPr>
                      <w:sz w:val="21"/>
                      <w:szCs w:val="21"/>
                    </w:rPr>
                  </w:pPr>
                  <w:r>
                    <w:rPr>
                      <w:rFonts w:hint="eastAsia"/>
                      <w:sz w:val="21"/>
                      <w:szCs w:val="21"/>
                    </w:rPr>
                    <w:t>/</w:t>
                  </w:r>
                </w:p>
              </w:tc>
              <w:tc>
                <w:tcPr>
                  <w:tcW w:w="1158" w:type="dxa"/>
                  <w:tcBorders>
                    <w:left w:val="single" w:color="auto" w:sz="4" w:space="0"/>
                    <w:right w:val="single" w:color="auto" w:sz="4" w:space="0"/>
                  </w:tcBorders>
                  <w:vAlign w:val="center"/>
                </w:tcPr>
                <w:p w14:paraId="627E04A8">
                  <w:pPr>
                    <w:pStyle w:val="61"/>
                    <w:spacing w:line="240" w:lineRule="auto"/>
                    <w:rPr>
                      <w:sz w:val="21"/>
                      <w:szCs w:val="21"/>
                    </w:rPr>
                  </w:pPr>
                  <w:r>
                    <w:rPr>
                      <w:rFonts w:hint="eastAsia"/>
                      <w:sz w:val="21"/>
                      <w:szCs w:val="21"/>
                    </w:rPr>
                    <w:t>市政</w:t>
                  </w:r>
                </w:p>
              </w:tc>
            </w:tr>
          </w:tbl>
          <w:p w14:paraId="26326A3E">
            <w:pPr>
              <w:adjustRightInd w:val="0"/>
              <w:snapToGrid w:val="0"/>
              <w:spacing w:line="360" w:lineRule="auto"/>
              <w:ind w:firstLine="480" w:firstLineChars="200"/>
              <w:rPr>
                <w:sz w:val="24"/>
              </w:rPr>
            </w:pPr>
            <w:r>
              <w:rPr>
                <w:rFonts w:hint="eastAsia"/>
                <w:sz w:val="24"/>
              </w:rPr>
              <w:t>（2）主要原辅材料成分分析</w:t>
            </w:r>
          </w:p>
          <w:p w14:paraId="07C1035B">
            <w:pPr>
              <w:numPr>
                <w:ilvl w:val="0"/>
                <w:numId w:val="1"/>
              </w:numPr>
              <w:adjustRightInd w:val="0"/>
              <w:snapToGrid w:val="0"/>
              <w:jc w:val="center"/>
              <w:rPr>
                <w:b/>
                <w:szCs w:val="21"/>
              </w:rPr>
            </w:pPr>
            <w:r>
              <w:rPr>
                <w:rFonts w:hint="eastAsia"/>
                <w:b/>
                <w:szCs w:val="21"/>
              </w:rPr>
              <w:t xml:space="preserve">    </w:t>
            </w:r>
            <w:r>
              <w:rPr>
                <w:b/>
                <w:szCs w:val="21"/>
              </w:rPr>
              <w:t>主要原辅材料</w:t>
            </w:r>
            <w:r>
              <w:rPr>
                <w:rFonts w:hint="eastAsia"/>
                <w:b/>
                <w:szCs w:val="21"/>
              </w:rPr>
              <w:t>及其理化性质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7194"/>
            </w:tblGrid>
            <w:tr w14:paraId="3F27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tcBorders>
                    <w:top w:val="single" w:color="auto" w:sz="4" w:space="0"/>
                    <w:left w:val="single" w:color="auto" w:sz="4" w:space="0"/>
                    <w:bottom w:val="single" w:color="auto" w:sz="4" w:space="0"/>
                    <w:right w:val="single" w:color="auto" w:sz="4" w:space="0"/>
                  </w:tcBorders>
                  <w:vAlign w:val="center"/>
                </w:tcPr>
                <w:p w14:paraId="1B74FCD5">
                  <w:pPr>
                    <w:spacing w:line="480" w:lineRule="exact"/>
                    <w:jc w:val="center"/>
                    <w:rPr>
                      <w:color w:val="000000"/>
                    </w:rPr>
                  </w:pPr>
                  <w:r>
                    <w:rPr>
                      <w:rFonts w:hint="eastAsia"/>
                      <w:color w:val="000000"/>
                    </w:rPr>
                    <w:t>原辅材料</w:t>
                  </w:r>
                </w:p>
              </w:tc>
              <w:tc>
                <w:tcPr>
                  <w:tcW w:w="4295" w:type="pct"/>
                  <w:tcBorders>
                    <w:top w:val="single" w:color="auto" w:sz="4" w:space="0"/>
                    <w:left w:val="nil"/>
                    <w:bottom w:val="single" w:color="auto" w:sz="4" w:space="0"/>
                    <w:right w:val="single" w:color="auto" w:sz="4" w:space="0"/>
                  </w:tcBorders>
                </w:tcPr>
                <w:p w14:paraId="64AE103E">
                  <w:pPr>
                    <w:spacing w:line="480" w:lineRule="exact"/>
                    <w:jc w:val="center"/>
                    <w:rPr>
                      <w:color w:val="000000"/>
                    </w:rPr>
                  </w:pPr>
                  <w:r>
                    <w:rPr>
                      <w:color w:val="000000"/>
                    </w:rPr>
                    <w:t>理化性质</w:t>
                  </w:r>
                </w:p>
              </w:tc>
            </w:tr>
            <w:tr w14:paraId="5F9E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jc w:val="center"/>
              </w:trPr>
              <w:tc>
                <w:tcPr>
                  <w:tcW w:w="705" w:type="pct"/>
                  <w:tcBorders>
                    <w:top w:val="single" w:color="auto" w:sz="4" w:space="0"/>
                    <w:left w:val="single" w:color="auto" w:sz="4" w:space="0"/>
                    <w:bottom w:val="single" w:color="auto" w:sz="4" w:space="0"/>
                    <w:right w:val="single" w:color="auto" w:sz="4" w:space="0"/>
                  </w:tcBorders>
                  <w:vAlign w:val="center"/>
                </w:tcPr>
                <w:p w14:paraId="6AD54280">
                  <w:pPr>
                    <w:jc w:val="center"/>
                    <w:rPr>
                      <w:color w:val="000000"/>
                    </w:rPr>
                  </w:pPr>
                  <w:r>
                    <w:rPr>
                      <w:color w:val="000000"/>
                    </w:rPr>
                    <w:t>塑粉</w:t>
                  </w:r>
                </w:p>
              </w:tc>
              <w:tc>
                <w:tcPr>
                  <w:tcW w:w="4295" w:type="pct"/>
                  <w:tcBorders>
                    <w:top w:val="single" w:color="auto" w:sz="4" w:space="0"/>
                    <w:left w:val="nil"/>
                    <w:bottom w:val="single" w:color="auto" w:sz="4" w:space="0"/>
                    <w:right w:val="single" w:color="auto" w:sz="4" w:space="0"/>
                  </w:tcBorders>
                  <w:vAlign w:val="center"/>
                </w:tcPr>
                <w:p w14:paraId="5BEA96E4">
                  <w:pPr>
                    <w:jc w:val="center"/>
                    <w:rPr>
                      <w:color w:val="000000"/>
                    </w:rPr>
                  </w:pPr>
                  <w:r>
                    <w:rPr>
                      <w:color w:val="000000"/>
                    </w:rPr>
                    <w:t>环氧树脂粉末涂料是一种含100%固体分、以粉末形态进行涂装成膜的涂料，它以空气作为分散介质，该涂料是一种具有耐腐蚀性和坚韧性的热塑性粉末涂料。由环氧树脂、颜填料、添加剂和固化剂组成。环氧粉末涂料的环氧树脂所需条件：环氧当量应为700~100之间的固体树脂，分子量分布量窄；在其固化温度下，熔融黏度低，易流平，涂膜平而簿，对颜料和填料分散性好。密度（25</w:t>
                  </w:r>
                  <w:r>
                    <w:rPr>
                      <w:rFonts w:hint="eastAsia" w:ascii="宋体" w:hAnsi="宋体" w:cs="宋体"/>
                      <w:color w:val="000000"/>
                    </w:rPr>
                    <w:t>℃</w:t>
                  </w:r>
                  <w:r>
                    <w:rPr>
                      <w:color w:val="000000"/>
                    </w:rPr>
                    <w:t>）1.3~1.8g/m</w:t>
                  </w:r>
                  <w:r>
                    <w:rPr>
                      <w:color w:val="000000"/>
                      <w:vertAlign w:val="superscript"/>
                    </w:rPr>
                    <w:t>3</w:t>
                  </w:r>
                  <w:r>
                    <w:rPr>
                      <w:color w:val="000000"/>
                    </w:rPr>
                    <w:t>，不挥发物含量&gt;99.4%，固化时间180</w:t>
                  </w:r>
                  <w:r>
                    <w:rPr>
                      <w:rFonts w:hint="eastAsia" w:ascii="宋体" w:hAnsi="宋体" w:cs="宋体"/>
                      <w:color w:val="000000"/>
                    </w:rPr>
                    <w:t>℃</w:t>
                  </w:r>
                  <w:r>
                    <w:rPr>
                      <w:color w:val="000000"/>
                    </w:rPr>
                    <w:t>）15~20min，储藏稳定性＜30</w:t>
                  </w:r>
                  <w:r>
                    <w:rPr>
                      <w:rFonts w:hint="eastAsia" w:ascii="宋体" w:hAnsi="宋体" w:cs="宋体"/>
                      <w:color w:val="000000"/>
                    </w:rPr>
                    <w:t>℃</w:t>
                  </w:r>
                  <w:r>
                    <w:rPr>
                      <w:color w:val="000000"/>
                    </w:rPr>
                    <w:t>阴凉干燥处密闭储存，产品包装净重25kg，纸箱包装，内衬双层聚乙烯塑料袋。塑粉挥发性有机物含量0.02%。</w:t>
                  </w:r>
                </w:p>
              </w:tc>
            </w:tr>
            <w:tr w14:paraId="5AF7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tcBorders>
                    <w:top w:val="single" w:color="auto" w:sz="4" w:space="0"/>
                    <w:left w:val="single" w:color="auto" w:sz="4" w:space="0"/>
                    <w:bottom w:val="single" w:color="auto" w:sz="4" w:space="0"/>
                    <w:right w:val="single" w:color="auto" w:sz="4" w:space="0"/>
                  </w:tcBorders>
                  <w:vAlign w:val="center"/>
                </w:tcPr>
                <w:p w14:paraId="1E636A8A">
                  <w:pPr>
                    <w:jc w:val="center"/>
                    <w:rPr>
                      <w:color w:val="000000"/>
                    </w:rPr>
                  </w:pPr>
                  <w:r>
                    <w:rPr>
                      <w:color w:val="000000"/>
                    </w:rPr>
                    <w:t>焊丝</w:t>
                  </w:r>
                </w:p>
              </w:tc>
              <w:tc>
                <w:tcPr>
                  <w:tcW w:w="4295" w:type="pct"/>
                  <w:tcBorders>
                    <w:top w:val="single" w:color="auto" w:sz="4" w:space="0"/>
                    <w:left w:val="nil"/>
                    <w:bottom w:val="single" w:color="auto" w:sz="4" w:space="0"/>
                    <w:right w:val="single" w:color="auto" w:sz="4" w:space="0"/>
                  </w:tcBorders>
                  <w:vAlign w:val="center"/>
                </w:tcPr>
                <w:p w14:paraId="63A91D42">
                  <w:pPr>
                    <w:jc w:val="center"/>
                    <w:rPr>
                      <w:color w:val="000000"/>
                    </w:rPr>
                  </w:pPr>
                  <w:r>
                    <w:rPr>
                      <w:color w:val="000000"/>
                    </w:rPr>
                    <w:t>焊丝由焊芯和药皮组成，焊芯为低碳钢，并添加少量的碳、锰、硅、硫等成分。药皮是焊芯表面的涂料层，其组成成分包括矿物类（如大理石等）铁合金和金属分类（如锰铁、钛铁等）、有机物类（如木粉、淀粉等）、化工品类（如钛白粉等）。</w:t>
                  </w:r>
                </w:p>
              </w:tc>
            </w:tr>
            <w:tr w14:paraId="63DF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tcBorders>
                    <w:top w:val="single" w:color="auto" w:sz="4" w:space="0"/>
                    <w:left w:val="single" w:color="auto" w:sz="4" w:space="0"/>
                    <w:bottom w:val="single" w:color="auto" w:sz="4" w:space="0"/>
                    <w:right w:val="single" w:color="auto" w:sz="4" w:space="0"/>
                  </w:tcBorders>
                  <w:vAlign w:val="center"/>
                </w:tcPr>
                <w:p w14:paraId="7E497FA3">
                  <w:pPr>
                    <w:jc w:val="center"/>
                  </w:pPr>
                  <w:r>
                    <w:rPr>
                      <w:rFonts w:hint="eastAsia"/>
                    </w:rPr>
                    <w:t>水性漆</w:t>
                  </w:r>
                </w:p>
              </w:tc>
              <w:tc>
                <w:tcPr>
                  <w:tcW w:w="4295" w:type="pct"/>
                  <w:tcBorders>
                    <w:top w:val="single" w:color="auto" w:sz="4" w:space="0"/>
                    <w:left w:val="nil"/>
                    <w:bottom w:val="single" w:color="auto" w:sz="4" w:space="0"/>
                    <w:right w:val="single" w:color="auto" w:sz="4" w:space="0"/>
                  </w:tcBorders>
                  <w:vAlign w:val="center"/>
                </w:tcPr>
                <w:p w14:paraId="51D5129C">
                  <w:pPr>
                    <w:jc w:val="center"/>
                  </w:pPr>
                  <w:r>
                    <w:rPr>
                      <w:rFonts w:hint="eastAsia"/>
                    </w:rPr>
                    <w:t>根据建设单位提供的资料，本项目使用的水性漆中挥发性有机物VOC含量为12.3g/L，通过对照《工业防护涂料中有害物质限量》（GB30981-2020）及《低挥发性有机化合物含量涂料产品技术要求》（GB/T38597-2020）中对水性涂料中VOC含量的限值规定要求，取≤250g/L为其限值，则判定本项目使用的漆符合水性漆要求。</w:t>
                  </w:r>
                </w:p>
              </w:tc>
            </w:tr>
          </w:tbl>
          <w:p w14:paraId="5D5D0A29">
            <w:pPr>
              <w:adjustRightInd w:val="0"/>
              <w:snapToGrid w:val="0"/>
              <w:spacing w:line="360" w:lineRule="auto"/>
              <w:ind w:firstLine="482" w:firstLineChars="200"/>
              <w:rPr>
                <w:b/>
                <w:sz w:val="24"/>
              </w:rPr>
            </w:pPr>
            <w:r>
              <w:rPr>
                <w:rFonts w:hint="eastAsia"/>
                <w:b/>
                <w:sz w:val="24"/>
              </w:rPr>
              <w:t>2.1.6产品</w:t>
            </w:r>
            <w:r>
              <w:rPr>
                <w:b/>
                <w:sz w:val="24"/>
              </w:rPr>
              <w:t>方案</w:t>
            </w:r>
          </w:p>
          <w:p w14:paraId="70A178FA">
            <w:pPr>
              <w:adjustRightInd w:val="0"/>
              <w:snapToGrid w:val="0"/>
              <w:spacing w:line="360" w:lineRule="auto"/>
              <w:ind w:firstLine="480" w:firstLineChars="200"/>
              <w:rPr>
                <w:b/>
                <w:sz w:val="24"/>
              </w:rPr>
            </w:pPr>
            <w:r>
              <w:rPr>
                <w:rFonts w:hint="eastAsia"/>
                <w:sz w:val="24"/>
              </w:rPr>
              <w:t>本项目建成主要生产城市道路设施和建筑安全设施，具体产品方案见下表。</w:t>
            </w:r>
          </w:p>
          <w:p w14:paraId="5986C176">
            <w:pPr>
              <w:numPr>
                <w:ilvl w:val="0"/>
                <w:numId w:val="1"/>
              </w:numPr>
              <w:adjustRightInd w:val="0"/>
              <w:snapToGrid w:val="0"/>
              <w:jc w:val="center"/>
              <w:rPr>
                <w:b/>
                <w:szCs w:val="21"/>
              </w:rPr>
            </w:pPr>
            <w:r>
              <w:rPr>
                <w:rFonts w:hint="eastAsia"/>
                <w:b/>
                <w:szCs w:val="21"/>
              </w:rPr>
              <w:t xml:space="preserve">    </w:t>
            </w:r>
            <w:r>
              <w:rPr>
                <w:b/>
                <w:szCs w:val="21"/>
              </w:rPr>
              <w:t>产品方案</w:t>
            </w:r>
          </w:p>
          <w:bookmarkEnd w:id="2"/>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834"/>
              <w:gridCol w:w="1174"/>
              <w:gridCol w:w="2692"/>
              <w:gridCol w:w="1958"/>
            </w:tblGrid>
            <w:tr w14:paraId="51ED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Align w:val="center"/>
                </w:tcPr>
                <w:p w14:paraId="30F7D70E">
                  <w:pPr>
                    <w:wordWrap w:val="0"/>
                    <w:snapToGrid w:val="0"/>
                    <w:jc w:val="center"/>
                    <w:rPr>
                      <w:szCs w:val="21"/>
                    </w:rPr>
                  </w:pPr>
                  <w:r>
                    <w:rPr>
                      <w:szCs w:val="21"/>
                    </w:rPr>
                    <w:t>序号</w:t>
                  </w:r>
                </w:p>
              </w:tc>
              <w:tc>
                <w:tcPr>
                  <w:tcW w:w="1095" w:type="pct"/>
                  <w:vAlign w:val="center"/>
                </w:tcPr>
                <w:p w14:paraId="53FA56CF">
                  <w:pPr>
                    <w:wordWrap w:val="0"/>
                    <w:snapToGrid w:val="0"/>
                    <w:jc w:val="center"/>
                    <w:rPr>
                      <w:szCs w:val="21"/>
                    </w:rPr>
                  </w:pPr>
                  <w:r>
                    <w:rPr>
                      <w:szCs w:val="21"/>
                    </w:rPr>
                    <w:t>产品名称</w:t>
                  </w:r>
                </w:p>
              </w:tc>
              <w:tc>
                <w:tcPr>
                  <w:tcW w:w="701" w:type="pct"/>
                  <w:vAlign w:val="center"/>
                </w:tcPr>
                <w:p w14:paraId="0245B504">
                  <w:pPr>
                    <w:wordWrap w:val="0"/>
                    <w:snapToGrid w:val="0"/>
                    <w:jc w:val="center"/>
                    <w:rPr>
                      <w:szCs w:val="21"/>
                      <w:highlight w:val="yellow"/>
                    </w:rPr>
                  </w:pPr>
                  <w:r>
                    <w:rPr>
                      <w:szCs w:val="21"/>
                    </w:rPr>
                    <w:t>年生产量</w:t>
                  </w:r>
                </w:p>
              </w:tc>
              <w:tc>
                <w:tcPr>
                  <w:tcW w:w="1607" w:type="pct"/>
                  <w:vAlign w:val="center"/>
                </w:tcPr>
                <w:p w14:paraId="3902CA6C">
                  <w:pPr>
                    <w:wordWrap w:val="0"/>
                    <w:snapToGrid w:val="0"/>
                    <w:jc w:val="center"/>
                    <w:rPr>
                      <w:szCs w:val="21"/>
                    </w:rPr>
                  </w:pPr>
                  <w:r>
                    <w:rPr>
                      <w:rFonts w:hint="eastAsia"/>
                      <w:szCs w:val="21"/>
                    </w:rPr>
                    <w:t>规格</w:t>
                  </w:r>
                </w:p>
              </w:tc>
              <w:tc>
                <w:tcPr>
                  <w:tcW w:w="1169" w:type="pct"/>
                  <w:vAlign w:val="center"/>
                </w:tcPr>
                <w:p w14:paraId="1C79D327">
                  <w:pPr>
                    <w:wordWrap w:val="0"/>
                    <w:snapToGrid w:val="0"/>
                    <w:jc w:val="center"/>
                    <w:rPr>
                      <w:szCs w:val="21"/>
                    </w:rPr>
                  </w:pPr>
                  <w:r>
                    <w:rPr>
                      <w:rFonts w:hint="eastAsia"/>
                      <w:szCs w:val="21"/>
                    </w:rPr>
                    <w:t>用途</w:t>
                  </w:r>
                </w:p>
              </w:tc>
            </w:tr>
            <w:tr w14:paraId="09C4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Align w:val="center"/>
                </w:tcPr>
                <w:p w14:paraId="407D12B8">
                  <w:pPr>
                    <w:wordWrap w:val="0"/>
                    <w:snapToGrid w:val="0"/>
                    <w:jc w:val="center"/>
                    <w:rPr>
                      <w:szCs w:val="21"/>
                    </w:rPr>
                  </w:pPr>
                  <w:r>
                    <w:rPr>
                      <w:szCs w:val="21"/>
                    </w:rPr>
                    <w:t>1</w:t>
                  </w:r>
                </w:p>
              </w:tc>
              <w:tc>
                <w:tcPr>
                  <w:tcW w:w="1095" w:type="pct"/>
                  <w:vAlign w:val="center"/>
                </w:tcPr>
                <w:p w14:paraId="750E3FA4">
                  <w:pPr>
                    <w:wordWrap w:val="0"/>
                    <w:snapToGrid w:val="0"/>
                    <w:jc w:val="center"/>
                    <w:rPr>
                      <w:szCs w:val="21"/>
                    </w:rPr>
                  </w:pPr>
                  <w:r>
                    <w:rPr>
                      <w:rFonts w:hint="eastAsia"/>
                      <w:szCs w:val="21"/>
                    </w:rPr>
                    <w:t>城市道路设施和建筑安全设施（主要包含路灯杆、电箱、围栏等）</w:t>
                  </w:r>
                </w:p>
              </w:tc>
              <w:tc>
                <w:tcPr>
                  <w:tcW w:w="701" w:type="pct"/>
                  <w:vAlign w:val="center"/>
                </w:tcPr>
                <w:p w14:paraId="0F79C150">
                  <w:pPr>
                    <w:wordWrap w:val="0"/>
                    <w:snapToGrid w:val="0"/>
                    <w:jc w:val="center"/>
                    <w:rPr>
                      <w:szCs w:val="21"/>
                    </w:rPr>
                  </w:pPr>
                  <w:r>
                    <w:rPr>
                      <w:rFonts w:hint="eastAsia"/>
                      <w:szCs w:val="21"/>
                    </w:rPr>
                    <w:t>60万m</w:t>
                  </w:r>
                  <w:r>
                    <w:rPr>
                      <w:rFonts w:hint="eastAsia"/>
                      <w:szCs w:val="21"/>
                      <w:vertAlign w:val="superscript"/>
                    </w:rPr>
                    <w:t>2</w:t>
                  </w:r>
                </w:p>
              </w:tc>
              <w:tc>
                <w:tcPr>
                  <w:tcW w:w="1607" w:type="pct"/>
                  <w:vAlign w:val="center"/>
                </w:tcPr>
                <w:p w14:paraId="4AF66260">
                  <w:pPr>
                    <w:wordWrap w:val="0"/>
                    <w:snapToGrid w:val="0"/>
                    <w:jc w:val="center"/>
                    <w:rPr>
                      <w:szCs w:val="21"/>
                    </w:rPr>
                  </w:pPr>
                  <w:r>
                    <w:rPr>
                      <w:rFonts w:hint="eastAsia"/>
                      <w:szCs w:val="21"/>
                    </w:rPr>
                    <w:t>项目围栏主要规格有2000*730、2320*745、2300*1450、2600*1345、2300*890等，本项目所有产品均根据客户要求进行定制。</w:t>
                  </w:r>
                </w:p>
              </w:tc>
              <w:tc>
                <w:tcPr>
                  <w:tcW w:w="1169" w:type="pct"/>
                  <w:vAlign w:val="center"/>
                </w:tcPr>
                <w:p w14:paraId="4AE95E65">
                  <w:pPr>
                    <w:wordWrap w:val="0"/>
                    <w:snapToGrid w:val="0"/>
                    <w:jc w:val="center"/>
                    <w:rPr>
                      <w:szCs w:val="21"/>
                    </w:rPr>
                  </w:pPr>
                  <w:r>
                    <w:rPr>
                      <w:rFonts w:hint="eastAsia"/>
                      <w:szCs w:val="21"/>
                    </w:rPr>
                    <w:t>围栏主要用于建筑工地、城市道路两侧基础设施施工建设。</w:t>
                  </w:r>
                </w:p>
              </w:tc>
            </w:tr>
          </w:tbl>
          <w:p w14:paraId="4FBC15DC">
            <w:pPr>
              <w:adjustRightInd w:val="0"/>
              <w:snapToGrid w:val="0"/>
              <w:spacing w:line="360" w:lineRule="auto"/>
              <w:ind w:firstLine="482" w:firstLineChars="200"/>
              <w:rPr>
                <w:b/>
                <w:sz w:val="24"/>
              </w:rPr>
            </w:pPr>
            <w:r>
              <w:rPr>
                <w:rFonts w:hint="eastAsia"/>
                <w:b/>
                <w:sz w:val="24"/>
              </w:rPr>
              <w:t>2.1.7</w:t>
            </w:r>
            <w:r>
              <w:rPr>
                <w:b/>
                <w:sz w:val="24"/>
              </w:rPr>
              <w:t>公用工程及辅助设施</w:t>
            </w:r>
          </w:p>
          <w:p w14:paraId="7FAC6624">
            <w:pPr>
              <w:adjustRightInd w:val="0"/>
              <w:snapToGrid w:val="0"/>
              <w:spacing w:line="360" w:lineRule="auto"/>
              <w:ind w:firstLine="488" w:firstLineChars="200"/>
              <w:rPr>
                <w:spacing w:val="2"/>
                <w:sz w:val="24"/>
              </w:rPr>
            </w:pPr>
            <w:r>
              <w:rPr>
                <w:rFonts w:hint="eastAsia"/>
                <w:spacing w:val="2"/>
                <w:sz w:val="24"/>
              </w:rPr>
              <w:t>（1）给水</w:t>
            </w:r>
          </w:p>
          <w:p w14:paraId="0B50FE5C">
            <w:pPr>
              <w:adjustRightInd w:val="0"/>
              <w:snapToGrid w:val="0"/>
              <w:spacing w:line="360" w:lineRule="auto"/>
              <w:ind w:firstLine="488" w:firstLineChars="200"/>
              <w:rPr>
                <w:sz w:val="24"/>
              </w:rPr>
            </w:pPr>
            <w:r>
              <w:rPr>
                <w:spacing w:val="2"/>
                <w:sz w:val="24"/>
              </w:rPr>
              <w:t>本项目</w:t>
            </w:r>
            <w:r>
              <w:rPr>
                <w:rFonts w:hint="eastAsia"/>
                <w:spacing w:val="2"/>
                <w:sz w:val="24"/>
              </w:rPr>
              <w:t>供水为市政管网。根据建设单位提供的资料，项目</w:t>
            </w:r>
            <w:r>
              <w:rPr>
                <w:rFonts w:hint="eastAsia"/>
                <w:sz w:val="24"/>
              </w:rPr>
              <w:t>用水主要为生活用水。</w:t>
            </w:r>
          </w:p>
          <w:p w14:paraId="5BFFDDED">
            <w:pPr>
              <w:adjustRightInd w:val="0"/>
              <w:snapToGrid w:val="0"/>
              <w:spacing w:line="360" w:lineRule="auto"/>
              <w:ind w:firstLine="480" w:firstLineChars="200"/>
              <w:rPr>
                <w:sz w:val="24"/>
              </w:rPr>
            </w:pPr>
            <w:r>
              <w:rPr>
                <w:rFonts w:hint="eastAsia"/>
                <w:sz w:val="24"/>
              </w:rPr>
              <w:t>生活用水：项目劳动定员50人，参照</w:t>
            </w:r>
            <w:r>
              <w:rPr>
                <w:rFonts w:hint="eastAsia"/>
                <w:kern w:val="0"/>
                <w:sz w:val="24"/>
              </w:rPr>
              <w:t>《陕西省</w:t>
            </w:r>
            <w:r>
              <w:rPr>
                <w:rFonts w:hint="eastAsia" w:ascii="宋体"/>
                <w:kern w:val="0"/>
                <w:sz w:val="24"/>
              </w:rPr>
              <w:t>行</w:t>
            </w:r>
            <w:r>
              <w:rPr>
                <w:rFonts w:hint="eastAsia"/>
                <w:kern w:val="0"/>
                <w:sz w:val="24"/>
              </w:rPr>
              <w:t>业用水定额》（</w:t>
            </w:r>
            <w:r>
              <w:rPr>
                <w:kern w:val="0"/>
                <w:sz w:val="24"/>
              </w:rPr>
              <w:t>DB61/T943-20</w:t>
            </w:r>
            <w:r>
              <w:rPr>
                <w:rFonts w:hint="eastAsia"/>
                <w:kern w:val="0"/>
                <w:sz w:val="24"/>
              </w:rPr>
              <w:t>20）</w:t>
            </w:r>
            <w:r>
              <w:rPr>
                <w:rFonts w:hint="eastAsia"/>
                <w:sz w:val="24"/>
              </w:rPr>
              <w:t>，办公人员生活用水按27</w:t>
            </w:r>
            <w:r>
              <w:rPr>
                <w:sz w:val="24"/>
              </w:rPr>
              <w:t>L/d</w:t>
            </w:r>
            <w:r>
              <w:rPr>
                <w:rFonts w:hint="eastAsia"/>
                <w:sz w:val="24"/>
              </w:rPr>
              <w:t>估算，则本项目生活用水量为4.36m</w:t>
            </w:r>
            <w:r>
              <w:rPr>
                <w:rFonts w:hint="eastAsia"/>
                <w:sz w:val="24"/>
                <w:vertAlign w:val="superscript"/>
              </w:rPr>
              <w:t>3</w:t>
            </w:r>
            <w:r>
              <w:rPr>
                <w:rFonts w:hint="eastAsia"/>
                <w:sz w:val="24"/>
              </w:rPr>
              <w:t>/d、1350</w:t>
            </w:r>
            <w:r>
              <w:rPr>
                <w:sz w:val="24"/>
              </w:rPr>
              <w:t>m</w:t>
            </w:r>
            <w:r>
              <w:rPr>
                <w:sz w:val="24"/>
                <w:vertAlign w:val="superscript"/>
              </w:rPr>
              <w:t>3</w:t>
            </w:r>
            <w:r>
              <w:rPr>
                <w:sz w:val="24"/>
              </w:rPr>
              <w:t>/a</w:t>
            </w:r>
            <w:r>
              <w:rPr>
                <w:rFonts w:hint="eastAsia"/>
                <w:sz w:val="24"/>
              </w:rPr>
              <w:t>。</w:t>
            </w:r>
          </w:p>
          <w:p w14:paraId="3E12B8A4">
            <w:pPr>
              <w:adjustRightInd w:val="0"/>
              <w:snapToGrid w:val="0"/>
              <w:spacing w:line="360" w:lineRule="auto"/>
              <w:ind w:firstLine="480" w:firstLineChars="200"/>
              <w:rPr>
                <w:sz w:val="24"/>
              </w:rPr>
            </w:pPr>
            <w:r>
              <w:rPr>
                <w:rFonts w:hint="eastAsia"/>
                <w:sz w:val="24"/>
              </w:rPr>
              <w:t>综上所述本项目新鲜水总用量为4.36m</w:t>
            </w:r>
            <w:r>
              <w:rPr>
                <w:rFonts w:hint="eastAsia"/>
                <w:sz w:val="24"/>
                <w:vertAlign w:val="superscript"/>
              </w:rPr>
              <w:t>3</w:t>
            </w:r>
            <w:r>
              <w:rPr>
                <w:rFonts w:hint="eastAsia"/>
                <w:sz w:val="24"/>
              </w:rPr>
              <w:t>/d、1350</w:t>
            </w:r>
            <w:r>
              <w:rPr>
                <w:sz w:val="24"/>
              </w:rPr>
              <w:t>m</w:t>
            </w:r>
            <w:r>
              <w:rPr>
                <w:sz w:val="24"/>
                <w:vertAlign w:val="superscript"/>
              </w:rPr>
              <w:t>3</w:t>
            </w:r>
            <w:r>
              <w:rPr>
                <w:sz w:val="24"/>
              </w:rPr>
              <w:t>/a</w:t>
            </w:r>
            <w:r>
              <w:rPr>
                <w:rFonts w:hint="eastAsia"/>
                <w:sz w:val="24"/>
              </w:rPr>
              <w:t>。</w:t>
            </w:r>
          </w:p>
          <w:p w14:paraId="3B053116">
            <w:pPr>
              <w:adjustRightInd w:val="0"/>
              <w:snapToGrid w:val="0"/>
              <w:spacing w:line="360" w:lineRule="auto"/>
              <w:ind w:firstLine="480" w:firstLineChars="200"/>
              <w:rPr>
                <w:sz w:val="24"/>
              </w:rPr>
            </w:pPr>
            <w:r>
              <w:rPr>
                <w:rFonts w:hint="eastAsia"/>
                <w:sz w:val="24"/>
              </w:rPr>
              <w:t>（2）排水</w:t>
            </w:r>
          </w:p>
          <w:p w14:paraId="34035B25">
            <w:pPr>
              <w:spacing w:line="360" w:lineRule="auto"/>
              <w:ind w:firstLine="480" w:firstLineChars="200"/>
              <w:rPr>
                <w:sz w:val="24"/>
                <w:szCs w:val="32"/>
              </w:rPr>
            </w:pPr>
            <w:r>
              <w:rPr>
                <w:rFonts w:hint="eastAsia"/>
                <w:sz w:val="24"/>
              </w:rPr>
              <w:t>生活污水：项目产生的污水为员工生活污水，产生量按用水量的80%计算，则生活污水产生量3.488m</w:t>
            </w:r>
            <w:r>
              <w:rPr>
                <w:rFonts w:hint="eastAsia"/>
                <w:sz w:val="24"/>
                <w:vertAlign w:val="superscript"/>
              </w:rPr>
              <w:t>3</w:t>
            </w:r>
            <w:r>
              <w:rPr>
                <w:rFonts w:hint="eastAsia"/>
                <w:sz w:val="24"/>
              </w:rPr>
              <w:t>/d，1081.28m</w:t>
            </w:r>
            <w:r>
              <w:rPr>
                <w:rFonts w:hint="eastAsia"/>
                <w:sz w:val="24"/>
                <w:vertAlign w:val="superscript"/>
              </w:rPr>
              <w:t>3</w:t>
            </w:r>
            <w:r>
              <w:rPr>
                <w:rFonts w:hint="eastAsia"/>
                <w:sz w:val="24"/>
              </w:rPr>
              <w:t>/a；项目生活污水排入</w:t>
            </w:r>
            <w:r>
              <w:rPr>
                <w:rFonts w:hint="eastAsia"/>
                <w:sz w:val="24"/>
                <w:szCs w:val="32"/>
              </w:rPr>
              <w:t>陕西敏瑞建筑科技有限公司鄠邑区分公司厂区东北角化粪池（18m</w:t>
            </w:r>
            <w:r>
              <w:rPr>
                <w:rFonts w:hint="eastAsia"/>
                <w:sz w:val="24"/>
                <w:szCs w:val="32"/>
                <w:vertAlign w:val="superscript"/>
              </w:rPr>
              <w:t>3</w:t>
            </w:r>
            <w:r>
              <w:rPr>
                <w:rFonts w:hint="eastAsia"/>
                <w:sz w:val="24"/>
                <w:szCs w:val="32"/>
              </w:rPr>
              <w:t>）后进入惠民路市政污水管网最终进入鄠邑区第三污水处理厂。</w:t>
            </w:r>
          </w:p>
          <w:p w14:paraId="74E3CED7">
            <w:pPr>
              <w:adjustRightInd w:val="0"/>
              <w:snapToGrid w:val="0"/>
              <w:spacing w:line="360" w:lineRule="auto"/>
              <w:ind w:firstLine="480" w:firstLineChars="200"/>
              <w:rPr>
                <w:sz w:val="24"/>
              </w:rPr>
            </w:pPr>
            <w:r>
              <w:rPr>
                <w:rFonts w:hint="eastAsia"/>
                <w:sz w:val="24"/>
              </w:rPr>
              <w:t>本项目具体用水情况详见表9，水平衡图见图1。</w:t>
            </w:r>
          </w:p>
          <w:p w14:paraId="0D9E7D6D">
            <w:pPr>
              <w:numPr>
                <w:ilvl w:val="0"/>
                <w:numId w:val="1"/>
              </w:numPr>
              <w:adjustRightInd w:val="0"/>
              <w:snapToGrid w:val="0"/>
              <w:jc w:val="center"/>
              <w:rPr>
                <w:b/>
                <w:szCs w:val="21"/>
              </w:rPr>
            </w:pPr>
            <w:r>
              <w:rPr>
                <w:rFonts w:hint="eastAsia"/>
                <w:b/>
                <w:szCs w:val="21"/>
              </w:rPr>
              <w:t xml:space="preserve">    项目给排水情况一览表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021"/>
              <w:gridCol w:w="740"/>
              <w:gridCol w:w="1151"/>
              <w:gridCol w:w="1253"/>
              <w:gridCol w:w="1033"/>
              <w:gridCol w:w="1020"/>
              <w:gridCol w:w="1420"/>
            </w:tblGrid>
            <w:tr w14:paraId="6F31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40" w:type="pct"/>
                  <w:tcBorders>
                    <w:top w:val="single" w:color="auto" w:sz="4" w:space="0"/>
                    <w:left w:val="single" w:color="auto" w:sz="4" w:space="0"/>
                  </w:tcBorders>
                  <w:vAlign w:val="center"/>
                </w:tcPr>
                <w:p w14:paraId="089037EF">
                  <w:pPr>
                    <w:adjustRightInd w:val="0"/>
                    <w:snapToGrid w:val="0"/>
                    <w:jc w:val="center"/>
                    <w:rPr>
                      <w:szCs w:val="21"/>
                    </w:rPr>
                  </w:pPr>
                  <w:r>
                    <w:rPr>
                      <w:rFonts w:hAnsi="宋体"/>
                      <w:szCs w:val="21"/>
                    </w:rPr>
                    <w:t>用水单位</w:t>
                  </w:r>
                </w:p>
              </w:tc>
              <w:tc>
                <w:tcPr>
                  <w:tcW w:w="609" w:type="pct"/>
                  <w:tcBorders>
                    <w:top w:val="single" w:color="auto" w:sz="4" w:space="0"/>
                  </w:tcBorders>
                  <w:vAlign w:val="center"/>
                </w:tcPr>
                <w:p w14:paraId="7A83EAF2">
                  <w:pPr>
                    <w:adjustRightInd w:val="0"/>
                    <w:snapToGrid w:val="0"/>
                    <w:jc w:val="center"/>
                    <w:rPr>
                      <w:szCs w:val="21"/>
                    </w:rPr>
                  </w:pPr>
                  <w:r>
                    <w:rPr>
                      <w:rFonts w:hAnsi="宋体"/>
                      <w:szCs w:val="21"/>
                    </w:rPr>
                    <w:t>用水定额</w:t>
                  </w:r>
                </w:p>
              </w:tc>
              <w:tc>
                <w:tcPr>
                  <w:tcW w:w="441" w:type="pct"/>
                  <w:tcBorders>
                    <w:top w:val="single" w:color="auto" w:sz="4" w:space="0"/>
                  </w:tcBorders>
                  <w:vAlign w:val="center"/>
                </w:tcPr>
                <w:p w14:paraId="0F028A76">
                  <w:pPr>
                    <w:adjustRightInd w:val="0"/>
                    <w:snapToGrid w:val="0"/>
                    <w:jc w:val="center"/>
                    <w:rPr>
                      <w:szCs w:val="21"/>
                    </w:rPr>
                  </w:pPr>
                  <w:r>
                    <w:rPr>
                      <w:rFonts w:hAnsi="宋体"/>
                      <w:szCs w:val="21"/>
                    </w:rPr>
                    <w:t>规模</w:t>
                  </w:r>
                </w:p>
              </w:tc>
              <w:tc>
                <w:tcPr>
                  <w:tcW w:w="687" w:type="pct"/>
                  <w:tcBorders>
                    <w:top w:val="single" w:color="auto" w:sz="4" w:space="0"/>
                  </w:tcBorders>
                  <w:vAlign w:val="center"/>
                </w:tcPr>
                <w:p w14:paraId="77671C26">
                  <w:pPr>
                    <w:adjustRightInd w:val="0"/>
                    <w:snapToGrid w:val="0"/>
                    <w:jc w:val="center"/>
                    <w:rPr>
                      <w:rFonts w:hAnsi="宋体"/>
                      <w:spacing w:val="-16"/>
                      <w:szCs w:val="21"/>
                    </w:rPr>
                  </w:pPr>
                  <w:r>
                    <w:rPr>
                      <w:rFonts w:hint="eastAsia" w:hAnsi="宋体"/>
                      <w:spacing w:val="-16"/>
                      <w:szCs w:val="21"/>
                    </w:rPr>
                    <w:t>新鲜用水</w:t>
                  </w:r>
                  <w:r>
                    <w:rPr>
                      <w:rFonts w:hAnsi="宋体"/>
                      <w:spacing w:val="-16"/>
                      <w:szCs w:val="21"/>
                    </w:rPr>
                    <w:t>量</w:t>
                  </w:r>
                </w:p>
                <w:p w14:paraId="20162220">
                  <w:pPr>
                    <w:adjustRightInd w:val="0"/>
                    <w:snapToGrid w:val="0"/>
                    <w:jc w:val="center"/>
                    <w:rPr>
                      <w:szCs w:val="21"/>
                    </w:rPr>
                  </w:pPr>
                  <w:r>
                    <w:rPr>
                      <w:rFonts w:hAnsi="宋体"/>
                      <w:szCs w:val="21"/>
                    </w:rPr>
                    <w:t>（</w:t>
                  </w:r>
                  <w:r>
                    <w:rPr>
                      <w:szCs w:val="21"/>
                    </w:rPr>
                    <w:t>m</w:t>
                  </w:r>
                  <w:r>
                    <w:rPr>
                      <w:szCs w:val="21"/>
                      <w:vertAlign w:val="superscript"/>
                    </w:rPr>
                    <w:t>3</w:t>
                  </w:r>
                  <w:r>
                    <w:rPr>
                      <w:szCs w:val="21"/>
                    </w:rPr>
                    <w:t>/</w:t>
                  </w:r>
                  <w:r>
                    <w:rPr>
                      <w:rFonts w:hint="eastAsia"/>
                      <w:szCs w:val="21"/>
                    </w:rPr>
                    <w:t>d</w:t>
                  </w:r>
                  <w:r>
                    <w:rPr>
                      <w:rFonts w:hAnsi="宋体"/>
                      <w:szCs w:val="21"/>
                    </w:rPr>
                    <w:t>）</w:t>
                  </w:r>
                </w:p>
              </w:tc>
              <w:tc>
                <w:tcPr>
                  <w:tcW w:w="748" w:type="pct"/>
                  <w:tcBorders>
                    <w:top w:val="single" w:color="auto" w:sz="4" w:space="0"/>
                  </w:tcBorders>
                  <w:vAlign w:val="center"/>
                </w:tcPr>
                <w:p w14:paraId="6B940AEC">
                  <w:pPr>
                    <w:adjustRightInd w:val="0"/>
                    <w:snapToGrid w:val="0"/>
                    <w:jc w:val="center"/>
                    <w:rPr>
                      <w:szCs w:val="21"/>
                    </w:rPr>
                  </w:pPr>
                  <w:r>
                    <w:rPr>
                      <w:rFonts w:hint="eastAsia" w:hAnsi="宋体"/>
                      <w:szCs w:val="21"/>
                    </w:rPr>
                    <w:t>损耗量</w:t>
                  </w:r>
                  <w:r>
                    <w:rPr>
                      <w:rFonts w:hAnsi="宋体"/>
                      <w:szCs w:val="21"/>
                    </w:rPr>
                    <w:t>（</w:t>
                  </w:r>
                  <w:r>
                    <w:rPr>
                      <w:szCs w:val="21"/>
                    </w:rPr>
                    <w:t>m</w:t>
                  </w:r>
                  <w:r>
                    <w:rPr>
                      <w:szCs w:val="21"/>
                      <w:vertAlign w:val="superscript"/>
                    </w:rPr>
                    <w:t>3</w:t>
                  </w:r>
                  <w:r>
                    <w:rPr>
                      <w:szCs w:val="21"/>
                    </w:rPr>
                    <w:t>/</w:t>
                  </w:r>
                  <w:r>
                    <w:rPr>
                      <w:rFonts w:hint="eastAsia"/>
                      <w:szCs w:val="21"/>
                    </w:rPr>
                    <w:t>d</w:t>
                  </w:r>
                  <w:r>
                    <w:rPr>
                      <w:rFonts w:hAnsi="宋体"/>
                      <w:szCs w:val="21"/>
                    </w:rPr>
                    <w:t>）</w:t>
                  </w:r>
                </w:p>
              </w:tc>
              <w:tc>
                <w:tcPr>
                  <w:tcW w:w="617" w:type="pct"/>
                  <w:tcBorders>
                    <w:top w:val="single" w:color="auto" w:sz="4" w:space="0"/>
                  </w:tcBorders>
                  <w:vAlign w:val="center"/>
                </w:tcPr>
                <w:p w14:paraId="560549FA">
                  <w:pPr>
                    <w:adjustRightInd w:val="0"/>
                    <w:snapToGrid w:val="0"/>
                    <w:jc w:val="center"/>
                    <w:rPr>
                      <w:szCs w:val="21"/>
                    </w:rPr>
                  </w:pPr>
                  <w:r>
                    <w:rPr>
                      <w:rFonts w:hAnsi="宋体"/>
                      <w:szCs w:val="21"/>
                    </w:rPr>
                    <w:t>排水量</w:t>
                  </w:r>
                </w:p>
                <w:p w14:paraId="7EB180C8">
                  <w:pPr>
                    <w:adjustRightInd w:val="0"/>
                    <w:snapToGrid w:val="0"/>
                    <w:jc w:val="center"/>
                    <w:rPr>
                      <w:szCs w:val="21"/>
                    </w:rPr>
                  </w:pPr>
                  <w:r>
                    <w:rPr>
                      <w:rFonts w:hAnsi="宋体"/>
                      <w:szCs w:val="21"/>
                    </w:rPr>
                    <w:t>（</w:t>
                  </w:r>
                  <w:r>
                    <w:rPr>
                      <w:szCs w:val="21"/>
                    </w:rPr>
                    <w:t>m</w:t>
                  </w:r>
                  <w:r>
                    <w:rPr>
                      <w:szCs w:val="21"/>
                      <w:vertAlign w:val="superscript"/>
                    </w:rPr>
                    <w:t>3</w:t>
                  </w:r>
                  <w:r>
                    <w:rPr>
                      <w:szCs w:val="21"/>
                    </w:rPr>
                    <w:t>/</w:t>
                  </w:r>
                  <w:r>
                    <w:rPr>
                      <w:rFonts w:hint="eastAsia"/>
                      <w:szCs w:val="21"/>
                    </w:rPr>
                    <w:t>d</w:t>
                  </w:r>
                  <w:r>
                    <w:rPr>
                      <w:rFonts w:hAnsi="宋体"/>
                      <w:szCs w:val="21"/>
                    </w:rPr>
                    <w:t>）</w:t>
                  </w:r>
                </w:p>
              </w:tc>
              <w:tc>
                <w:tcPr>
                  <w:tcW w:w="609" w:type="pct"/>
                  <w:tcBorders>
                    <w:top w:val="single" w:color="auto" w:sz="4" w:space="0"/>
                    <w:right w:val="single" w:color="auto" w:sz="4" w:space="0"/>
                  </w:tcBorders>
                  <w:vAlign w:val="center"/>
                </w:tcPr>
                <w:p w14:paraId="19AD1BC4">
                  <w:pPr>
                    <w:adjustRightInd w:val="0"/>
                    <w:snapToGrid w:val="0"/>
                    <w:jc w:val="center"/>
                    <w:rPr>
                      <w:szCs w:val="21"/>
                    </w:rPr>
                  </w:pPr>
                  <w:r>
                    <w:rPr>
                      <w:rFonts w:hAnsi="宋体"/>
                      <w:szCs w:val="21"/>
                    </w:rPr>
                    <w:t>排水量</w:t>
                  </w:r>
                </w:p>
                <w:p w14:paraId="1A36F9E2">
                  <w:pPr>
                    <w:adjustRightInd w:val="0"/>
                    <w:snapToGrid w:val="0"/>
                    <w:jc w:val="center"/>
                    <w:rPr>
                      <w:rFonts w:hAnsi="宋体"/>
                      <w:szCs w:val="21"/>
                    </w:rPr>
                  </w:pPr>
                  <w:r>
                    <w:rPr>
                      <w:rFonts w:hAnsi="宋体"/>
                      <w:szCs w:val="21"/>
                    </w:rPr>
                    <w:t>（</w:t>
                  </w:r>
                  <w:r>
                    <w:rPr>
                      <w:szCs w:val="21"/>
                    </w:rPr>
                    <w:t>m</w:t>
                  </w:r>
                  <w:r>
                    <w:rPr>
                      <w:szCs w:val="21"/>
                      <w:vertAlign w:val="superscript"/>
                    </w:rPr>
                    <w:t>3</w:t>
                  </w:r>
                  <w:r>
                    <w:rPr>
                      <w:szCs w:val="21"/>
                    </w:rPr>
                    <w:t>/</w:t>
                  </w:r>
                  <w:r>
                    <w:rPr>
                      <w:rFonts w:hint="eastAsia"/>
                      <w:szCs w:val="21"/>
                    </w:rPr>
                    <w:t>a</w:t>
                  </w:r>
                  <w:r>
                    <w:rPr>
                      <w:rFonts w:hAnsi="宋体"/>
                      <w:szCs w:val="21"/>
                    </w:rPr>
                    <w:t>）</w:t>
                  </w:r>
                </w:p>
              </w:tc>
              <w:tc>
                <w:tcPr>
                  <w:tcW w:w="848" w:type="pct"/>
                  <w:tcBorders>
                    <w:top w:val="single" w:color="auto" w:sz="4" w:space="0"/>
                    <w:right w:val="single" w:color="auto" w:sz="4" w:space="0"/>
                  </w:tcBorders>
                  <w:vAlign w:val="center"/>
                </w:tcPr>
                <w:p w14:paraId="665E1B38">
                  <w:pPr>
                    <w:adjustRightInd w:val="0"/>
                    <w:snapToGrid w:val="0"/>
                    <w:jc w:val="center"/>
                    <w:rPr>
                      <w:rFonts w:hAnsi="宋体"/>
                      <w:szCs w:val="21"/>
                    </w:rPr>
                  </w:pPr>
                  <w:r>
                    <w:rPr>
                      <w:rFonts w:hint="eastAsia" w:hAnsi="宋体"/>
                      <w:szCs w:val="21"/>
                    </w:rPr>
                    <w:t>备注</w:t>
                  </w:r>
                </w:p>
              </w:tc>
            </w:tr>
            <w:tr w14:paraId="66E5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40" w:type="pct"/>
                  <w:tcBorders>
                    <w:left w:val="single" w:color="auto" w:sz="4" w:space="0"/>
                  </w:tcBorders>
                  <w:vAlign w:val="center"/>
                </w:tcPr>
                <w:p w14:paraId="444D1CE0">
                  <w:pPr>
                    <w:adjustRightInd w:val="0"/>
                    <w:snapToGrid w:val="0"/>
                    <w:jc w:val="center"/>
                    <w:rPr>
                      <w:rFonts w:hAnsi="宋体"/>
                      <w:szCs w:val="21"/>
                    </w:rPr>
                  </w:pPr>
                  <w:r>
                    <w:rPr>
                      <w:rFonts w:hint="eastAsia" w:hAnsi="宋体"/>
                      <w:szCs w:val="21"/>
                    </w:rPr>
                    <w:t>生活用水</w:t>
                  </w:r>
                </w:p>
              </w:tc>
              <w:tc>
                <w:tcPr>
                  <w:tcW w:w="609" w:type="pct"/>
                  <w:vAlign w:val="center"/>
                </w:tcPr>
                <w:p w14:paraId="63F8F02B">
                  <w:pPr>
                    <w:adjustRightInd w:val="0"/>
                    <w:snapToGrid w:val="0"/>
                    <w:jc w:val="center"/>
                    <w:rPr>
                      <w:szCs w:val="21"/>
                    </w:rPr>
                  </w:pPr>
                  <w:r>
                    <w:rPr>
                      <w:rFonts w:hint="eastAsia"/>
                      <w:szCs w:val="21"/>
                    </w:rPr>
                    <w:t>27</w:t>
                  </w:r>
                  <w:r>
                    <w:rPr>
                      <w:szCs w:val="21"/>
                    </w:rPr>
                    <w:t>L/</w:t>
                  </w:r>
                  <w:r>
                    <w:rPr>
                      <w:rFonts w:hAnsi="宋体"/>
                      <w:szCs w:val="21"/>
                    </w:rPr>
                    <w:t>（</w:t>
                  </w:r>
                  <w:r>
                    <w:rPr>
                      <w:rFonts w:hint="eastAsia" w:hAnsi="宋体"/>
                      <w:szCs w:val="21"/>
                    </w:rPr>
                    <w:t>人</w:t>
                  </w:r>
                  <w:r>
                    <w:rPr>
                      <w:szCs w:val="21"/>
                    </w:rPr>
                    <w:t>·d</w:t>
                  </w:r>
                  <w:r>
                    <w:rPr>
                      <w:rFonts w:hAnsi="宋体"/>
                      <w:szCs w:val="21"/>
                    </w:rPr>
                    <w:t>）</w:t>
                  </w:r>
                </w:p>
              </w:tc>
              <w:tc>
                <w:tcPr>
                  <w:tcW w:w="441" w:type="pct"/>
                  <w:vAlign w:val="center"/>
                </w:tcPr>
                <w:p w14:paraId="6C669FA6">
                  <w:pPr>
                    <w:adjustRightInd w:val="0"/>
                    <w:snapToGrid w:val="0"/>
                    <w:jc w:val="center"/>
                    <w:rPr>
                      <w:szCs w:val="21"/>
                    </w:rPr>
                  </w:pPr>
                  <w:r>
                    <w:rPr>
                      <w:rFonts w:hint="eastAsia"/>
                      <w:szCs w:val="21"/>
                    </w:rPr>
                    <w:t>50人</w:t>
                  </w:r>
                </w:p>
              </w:tc>
              <w:tc>
                <w:tcPr>
                  <w:tcW w:w="687" w:type="pct"/>
                  <w:vAlign w:val="center"/>
                </w:tcPr>
                <w:p w14:paraId="6EF6162A">
                  <w:pPr>
                    <w:adjustRightInd w:val="0"/>
                    <w:snapToGrid w:val="0"/>
                    <w:jc w:val="center"/>
                    <w:rPr>
                      <w:szCs w:val="21"/>
                    </w:rPr>
                  </w:pPr>
                  <w:r>
                    <w:rPr>
                      <w:rFonts w:hint="eastAsia"/>
                      <w:szCs w:val="21"/>
                    </w:rPr>
                    <w:t>4.36</w:t>
                  </w:r>
                </w:p>
              </w:tc>
              <w:tc>
                <w:tcPr>
                  <w:tcW w:w="748" w:type="pct"/>
                  <w:vAlign w:val="center"/>
                </w:tcPr>
                <w:p w14:paraId="5F1DA03F">
                  <w:pPr>
                    <w:adjustRightInd w:val="0"/>
                    <w:snapToGrid w:val="0"/>
                    <w:jc w:val="center"/>
                    <w:rPr>
                      <w:szCs w:val="21"/>
                    </w:rPr>
                  </w:pPr>
                  <w:r>
                    <w:rPr>
                      <w:rFonts w:hint="eastAsia"/>
                      <w:szCs w:val="21"/>
                    </w:rPr>
                    <w:t>0.872</w:t>
                  </w:r>
                </w:p>
              </w:tc>
              <w:tc>
                <w:tcPr>
                  <w:tcW w:w="617" w:type="pct"/>
                  <w:vAlign w:val="center"/>
                </w:tcPr>
                <w:p w14:paraId="5CD25E4F">
                  <w:pPr>
                    <w:adjustRightInd w:val="0"/>
                    <w:snapToGrid w:val="0"/>
                    <w:jc w:val="center"/>
                    <w:rPr>
                      <w:szCs w:val="21"/>
                    </w:rPr>
                  </w:pPr>
                  <w:r>
                    <w:rPr>
                      <w:rFonts w:hint="eastAsia"/>
                      <w:szCs w:val="21"/>
                    </w:rPr>
                    <w:t>3.488</w:t>
                  </w:r>
                </w:p>
              </w:tc>
              <w:tc>
                <w:tcPr>
                  <w:tcW w:w="609" w:type="pct"/>
                  <w:tcBorders>
                    <w:right w:val="single" w:color="auto" w:sz="4" w:space="0"/>
                  </w:tcBorders>
                  <w:vAlign w:val="center"/>
                </w:tcPr>
                <w:p w14:paraId="4738311A">
                  <w:pPr>
                    <w:adjustRightInd w:val="0"/>
                    <w:snapToGrid w:val="0"/>
                    <w:jc w:val="center"/>
                    <w:rPr>
                      <w:szCs w:val="21"/>
                    </w:rPr>
                  </w:pPr>
                  <w:r>
                    <w:rPr>
                      <w:rFonts w:hint="eastAsia"/>
                      <w:szCs w:val="21"/>
                    </w:rPr>
                    <w:t>1081.28</w:t>
                  </w:r>
                </w:p>
              </w:tc>
              <w:tc>
                <w:tcPr>
                  <w:tcW w:w="848" w:type="pct"/>
                  <w:tcBorders>
                    <w:right w:val="single" w:color="auto" w:sz="4" w:space="0"/>
                  </w:tcBorders>
                  <w:vAlign w:val="center"/>
                </w:tcPr>
                <w:p w14:paraId="00EB0A93">
                  <w:pPr>
                    <w:adjustRightInd w:val="0"/>
                    <w:snapToGrid w:val="0"/>
                    <w:jc w:val="center"/>
                    <w:rPr>
                      <w:szCs w:val="21"/>
                    </w:rPr>
                  </w:pPr>
                  <w:r>
                    <w:rPr>
                      <w:rFonts w:hint="eastAsia"/>
                      <w:szCs w:val="21"/>
                    </w:rPr>
                    <w:t>依托租赁厂房化粪池处理后进入鄠邑区第三污水处理厂。</w:t>
                  </w:r>
                </w:p>
              </w:tc>
            </w:tr>
            <w:tr w14:paraId="7108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491" w:type="pct"/>
                  <w:gridSpan w:val="3"/>
                  <w:tcBorders>
                    <w:left w:val="single" w:color="auto" w:sz="4" w:space="0"/>
                    <w:bottom w:val="single" w:color="auto" w:sz="4" w:space="0"/>
                  </w:tcBorders>
                  <w:vAlign w:val="center"/>
                </w:tcPr>
                <w:p w14:paraId="5B5ADE80">
                  <w:pPr>
                    <w:widowControl/>
                    <w:jc w:val="center"/>
                    <w:rPr>
                      <w:kern w:val="0"/>
                      <w:szCs w:val="21"/>
                    </w:rPr>
                  </w:pPr>
                  <w:r>
                    <w:rPr>
                      <w:rFonts w:hint="eastAsia"/>
                      <w:kern w:val="0"/>
                      <w:szCs w:val="21"/>
                    </w:rPr>
                    <w:t>合计</w:t>
                  </w:r>
                </w:p>
              </w:tc>
              <w:tc>
                <w:tcPr>
                  <w:tcW w:w="687" w:type="pct"/>
                  <w:tcBorders>
                    <w:bottom w:val="single" w:color="auto" w:sz="4" w:space="0"/>
                  </w:tcBorders>
                  <w:vAlign w:val="center"/>
                </w:tcPr>
                <w:p w14:paraId="41A09D85">
                  <w:pPr>
                    <w:adjustRightInd w:val="0"/>
                    <w:snapToGrid w:val="0"/>
                    <w:jc w:val="center"/>
                    <w:rPr>
                      <w:szCs w:val="21"/>
                    </w:rPr>
                  </w:pPr>
                  <w:r>
                    <w:rPr>
                      <w:rFonts w:hint="eastAsia"/>
                      <w:szCs w:val="21"/>
                    </w:rPr>
                    <w:t>4.36</w:t>
                  </w:r>
                </w:p>
              </w:tc>
              <w:tc>
                <w:tcPr>
                  <w:tcW w:w="748" w:type="pct"/>
                  <w:tcBorders>
                    <w:bottom w:val="single" w:color="auto" w:sz="4" w:space="0"/>
                  </w:tcBorders>
                  <w:vAlign w:val="center"/>
                </w:tcPr>
                <w:p w14:paraId="2173F933">
                  <w:pPr>
                    <w:adjustRightInd w:val="0"/>
                    <w:snapToGrid w:val="0"/>
                    <w:jc w:val="center"/>
                    <w:rPr>
                      <w:szCs w:val="21"/>
                    </w:rPr>
                  </w:pPr>
                  <w:r>
                    <w:rPr>
                      <w:rFonts w:hint="eastAsia"/>
                      <w:szCs w:val="21"/>
                    </w:rPr>
                    <w:t>0.872</w:t>
                  </w:r>
                </w:p>
              </w:tc>
              <w:tc>
                <w:tcPr>
                  <w:tcW w:w="617" w:type="pct"/>
                  <w:tcBorders>
                    <w:bottom w:val="single" w:color="auto" w:sz="4" w:space="0"/>
                  </w:tcBorders>
                  <w:vAlign w:val="center"/>
                </w:tcPr>
                <w:p w14:paraId="573D282C">
                  <w:pPr>
                    <w:adjustRightInd w:val="0"/>
                    <w:snapToGrid w:val="0"/>
                    <w:jc w:val="center"/>
                    <w:rPr>
                      <w:szCs w:val="21"/>
                    </w:rPr>
                  </w:pPr>
                  <w:r>
                    <w:rPr>
                      <w:rFonts w:hint="eastAsia"/>
                      <w:szCs w:val="21"/>
                    </w:rPr>
                    <w:t>3.488</w:t>
                  </w:r>
                </w:p>
              </w:tc>
              <w:tc>
                <w:tcPr>
                  <w:tcW w:w="609" w:type="pct"/>
                  <w:tcBorders>
                    <w:bottom w:val="single" w:color="auto" w:sz="4" w:space="0"/>
                    <w:right w:val="single" w:color="auto" w:sz="4" w:space="0"/>
                  </w:tcBorders>
                  <w:vAlign w:val="center"/>
                </w:tcPr>
                <w:p w14:paraId="2772CAA2">
                  <w:pPr>
                    <w:adjustRightInd w:val="0"/>
                    <w:snapToGrid w:val="0"/>
                    <w:jc w:val="center"/>
                    <w:rPr>
                      <w:szCs w:val="21"/>
                    </w:rPr>
                  </w:pPr>
                  <w:r>
                    <w:rPr>
                      <w:rFonts w:hint="eastAsia"/>
                      <w:szCs w:val="21"/>
                    </w:rPr>
                    <w:t>1081.28</w:t>
                  </w:r>
                </w:p>
              </w:tc>
              <w:tc>
                <w:tcPr>
                  <w:tcW w:w="848" w:type="pct"/>
                  <w:tcBorders>
                    <w:bottom w:val="single" w:color="auto" w:sz="4" w:space="0"/>
                    <w:right w:val="single" w:color="auto" w:sz="4" w:space="0"/>
                  </w:tcBorders>
                  <w:vAlign w:val="center"/>
                </w:tcPr>
                <w:p w14:paraId="0BEDB513">
                  <w:pPr>
                    <w:adjustRightInd w:val="0"/>
                    <w:snapToGrid w:val="0"/>
                    <w:jc w:val="center"/>
                    <w:rPr>
                      <w:szCs w:val="21"/>
                    </w:rPr>
                  </w:pPr>
                  <w:r>
                    <w:rPr>
                      <w:rFonts w:hint="eastAsia"/>
                      <w:szCs w:val="21"/>
                    </w:rPr>
                    <w:t>/</w:t>
                  </w:r>
                </w:p>
              </w:tc>
            </w:tr>
          </w:tbl>
          <w:p w14:paraId="3D9BE209">
            <w:pPr>
              <w:pStyle w:val="5"/>
              <w:jc w:val="center"/>
            </w:pPr>
            <w:r>
              <w:object>
                <v:shape id="_x0000_i1025" o:spt="75" type="#_x0000_t75" style="height:52.5pt;width:419.2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14:paraId="66B957CF">
            <w:pPr>
              <w:numPr>
                <w:ilvl w:val="0"/>
                <w:numId w:val="2"/>
              </w:numPr>
              <w:adjustRightInd w:val="0"/>
              <w:snapToGrid w:val="0"/>
              <w:jc w:val="center"/>
              <w:rPr>
                <w:szCs w:val="21"/>
              </w:rPr>
            </w:pPr>
            <w:r>
              <w:rPr>
                <w:rFonts w:hint="eastAsia" w:hAnsi="宋体"/>
                <w:b/>
                <w:szCs w:val="21"/>
              </w:rPr>
              <w:t xml:space="preserve">    </w:t>
            </w:r>
            <w:r>
              <w:rPr>
                <w:rFonts w:hAnsi="宋体"/>
                <w:b/>
                <w:szCs w:val="21"/>
              </w:rPr>
              <w:t>项目水平衡图</w:t>
            </w:r>
            <w:r>
              <w:rPr>
                <w:rFonts w:hint="eastAsia" w:hAnsi="宋体"/>
                <w:b/>
                <w:szCs w:val="21"/>
              </w:rPr>
              <w:t xml:space="preserve">     m</w:t>
            </w:r>
            <w:r>
              <w:rPr>
                <w:rFonts w:hint="eastAsia" w:hAnsi="宋体"/>
                <w:b/>
                <w:szCs w:val="21"/>
                <w:vertAlign w:val="superscript"/>
              </w:rPr>
              <w:t>3</w:t>
            </w:r>
            <w:r>
              <w:rPr>
                <w:rFonts w:hint="eastAsia" w:hAnsi="宋体"/>
                <w:b/>
                <w:szCs w:val="21"/>
              </w:rPr>
              <w:t>/d</w:t>
            </w:r>
          </w:p>
          <w:p w14:paraId="21DDF758">
            <w:pPr>
              <w:adjustRightInd w:val="0"/>
              <w:snapToGrid w:val="0"/>
              <w:spacing w:line="360" w:lineRule="auto"/>
              <w:ind w:firstLine="480" w:firstLineChars="200"/>
              <w:rPr>
                <w:kern w:val="0"/>
                <w:sz w:val="24"/>
              </w:rPr>
            </w:pPr>
            <w:r>
              <w:rPr>
                <w:rFonts w:hint="eastAsia"/>
                <w:kern w:val="0"/>
                <w:sz w:val="24"/>
              </w:rPr>
              <w:t>（3）</w:t>
            </w:r>
            <w:r>
              <w:rPr>
                <w:kern w:val="0"/>
                <w:sz w:val="24"/>
              </w:rPr>
              <w:t>供电：</w:t>
            </w:r>
            <w:r>
              <w:rPr>
                <w:rFonts w:hint="eastAsia"/>
                <w:sz w:val="24"/>
              </w:rPr>
              <w:t>由市政电网提供。</w:t>
            </w:r>
          </w:p>
          <w:p w14:paraId="027E5EFB">
            <w:pPr>
              <w:adjustRightInd w:val="0"/>
              <w:snapToGrid w:val="0"/>
              <w:spacing w:line="360" w:lineRule="auto"/>
              <w:ind w:firstLine="480" w:firstLineChars="200"/>
              <w:rPr>
                <w:sz w:val="24"/>
              </w:rPr>
            </w:pPr>
            <w:r>
              <w:rPr>
                <w:rFonts w:hint="eastAsia"/>
                <w:kern w:val="0"/>
                <w:sz w:val="24"/>
              </w:rPr>
              <w:t>（4）</w:t>
            </w:r>
            <w:r>
              <w:rPr>
                <w:kern w:val="0"/>
                <w:sz w:val="24"/>
              </w:rPr>
              <w:t>采暖和制冷：</w:t>
            </w:r>
            <w:r>
              <w:rPr>
                <w:sz w:val="24"/>
              </w:rPr>
              <w:t>办公室</w:t>
            </w:r>
            <w:r>
              <w:rPr>
                <w:rFonts w:hint="eastAsia"/>
                <w:sz w:val="24"/>
              </w:rPr>
              <w:t>采用分体式空调制冷、制热。</w:t>
            </w:r>
          </w:p>
          <w:p w14:paraId="3D18BD56">
            <w:pPr>
              <w:adjustRightInd w:val="0"/>
              <w:snapToGrid w:val="0"/>
              <w:spacing w:line="360" w:lineRule="auto"/>
              <w:ind w:firstLine="482" w:firstLineChars="200"/>
              <w:rPr>
                <w:b/>
                <w:sz w:val="24"/>
              </w:rPr>
            </w:pPr>
            <w:r>
              <w:rPr>
                <w:rFonts w:hint="eastAsia"/>
                <w:b/>
                <w:sz w:val="24"/>
              </w:rPr>
              <w:t>2.1.8</w:t>
            </w:r>
            <w:r>
              <w:rPr>
                <w:b/>
                <w:sz w:val="24"/>
              </w:rPr>
              <w:t>劳动定员</w:t>
            </w:r>
            <w:r>
              <w:rPr>
                <w:rFonts w:hint="eastAsia"/>
                <w:b/>
                <w:sz w:val="24"/>
              </w:rPr>
              <w:t>及工作制度</w:t>
            </w:r>
          </w:p>
          <w:p w14:paraId="346B9400">
            <w:pPr>
              <w:adjustRightInd w:val="0"/>
              <w:snapToGrid w:val="0"/>
              <w:spacing w:line="360" w:lineRule="auto"/>
              <w:ind w:firstLine="480" w:firstLineChars="200"/>
              <w:rPr>
                <w:kern w:val="0"/>
                <w:sz w:val="24"/>
              </w:rPr>
            </w:pPr>
            <w:r>
              <w:rPr>
                <w:rFonts w:hint="eastAsia"/>
                <w:kern w:val="0"/>
                <w:sz w:val="24"/>
              </w:rPr>
              <w:t>劳动定员：</w:t>
            </w:r>
            <w:r>
              <w:rPr>
                <w:kern w:val="0"/>
                <w:sz w:val="24"/>
              </w:rPr>
              <w:t>本项目</w:t>
            </w:r>
            <w:r>
              <w:rPr>
                <w:rFonts w:hint="eastAsia"/>
                <w:kern w:val="0"/>
                <w:sz w:val="24"/>
              </w:rPr>
              <w:t>劳动定员为50</w:t>
            </w:r>
            <w:r>
              <w:rPr>
                <w:kern w:val="0"/>
                <w:sz w:val="24"/>
              </w:rPr>
              <w:t>人</w:t>
            </w:r>
            <w:r>
              <w:rPr>
                <w:rFonts w:hint="eastAsia"/>
                <w:sz w:val="24"/>
              </w:rPr>
              <w:t>。</w:t>
            </w:r>
          </w:p>
          <w:p w14:paraId="4FA00B9A">
            <w:pPr>
              <w:adjustRightInd w:val="0"/>
              <w:snapToGrid w:val="0"/>
              <w:spacing w:line="360" w:lineRule="auto"/>
              <w:ind w:firstLine="480" w:firstLineChars="200"/>
              <w:rPr>
                <w:kern w:val="0"/>
                <w:sz w:val="24"/>
              </w:rPr>
            </w:pPr>
            <w:r>
              <w:rPr>
                <w:kern w:val="0"/>
                <w:sz w:val="24"/>
              </w:rPr>
              <w:t>工作制度：项目全年生产天数</w:t>
            </w:r>
            <w:r>
              <w:rPr>
                <w:rFonts w:hint="eastAsia"/>
                <w:kern w:val="0"/>
                <w:sz w:val="24"/>
              </w:rPr>
              <w:t>310</w:t>
            </w:r>
            <w:r>
              <w:rPr>
                <w:kern w:val="0"/>
                <w:sz w:val="24"/>
              </w:rPr>
              <w:t>天，</w:t>
            </w:r>
            <w:r>
              <w:rPr>
                <w:rFonts w:hint="eastAsia"/>
                <w:kern w:val="0"/>
                <w:sz w:val="24"/>
              </w:rPr>
              <w:t>每天生产8小时。</w:t>
            </w:r>
          </w:p>
          <w:p w14:paraId="334ACCDF">
            <w:pPr>
              <w:adjustRightInd w:val="0"/>
              <w:snapToGrid w:val="0"/>
              <w:spacing w:line="360" w:lineRule="auto"/>
              <w:ind w:firstLine="482" w:firstLineChars="200"/>
              <w:rPr>
                <w:b/>
                <w:bCs/>
                <w:kern w:val="0"/>
                <w:sz w:val="24"/>
              </w:rPr>
            </w:pPr>
            <w:r>
              <w:rPr>
                <w:rFonts w:hint="eastAsia"/>
                <w:b/>
                <w:bCs/>
                <w:kern w:val="0"/>
                <w:sz w:val="24"/>
              </w:rPr>
              <w:t>2.1.9平面布置合理性分析</w:t>
            </w:r>
          </w:p>
          <w:p w14:paraId="10C4E400">
            <w:pPr>
              <w:adjustRightInd w:val="0"/>
              <w:snapToGrid w:val="0"/>
              <w:spacing w:line="360" w:lineRule="auto"/>
              <w:ind w:firstLine="480" w:firstLineChars="200"/>
              <w:rPr>
                <w:sz w:val="24"/>
              </w:rPr>
            </w:pPr>
            <w:r>
              <w:rPr>
                <w:sz w:val="24"/>
              </w:rPr>
              <w:t>项目总平面布置根据建设选址的地形特点等基础设施条件，因地制宜，合理规划，做到功能分区、系统分明、布置整齐。本项目租赁</w:t>
            </w:r>
            <w:r>
              <w:rPr>
                <w:rFonts w:hint="eastAsia"/>
                <w:bCs/>
                <w:sz w:val="24"/>
              </w:rPr>
              <w:t>陕西敏瑞建筑科技有限公司鄠邑区分公司</w:t>
            </w:r>
            <w:r>
              <w:rPr>
                <w:sz w:val="24"/>
              </w:rPr>
              <w:t>空置厂房及厂房现有的</w:t>
            </w:r>
            <w:r>
              <w:rPr>
                <w:rFonts w:hint="eastAsia"/>
                <w:sz w:val="24"/>
              </w:rPr>
              <w:t>办公区，主要生产城市道路设施及建筑安全设施；项目生产车间西侧为喷涂流水线，车间中间区域北侧为机加区域，南侧箱式喷涂烘干工序，东侧</w:t>
            </w:r>
            <w:r>
              <w:rPr>
                <w:rFonts w:hint="eastAsia"/>
                <w:bCs/>
                <w:sz w:val="24"/>
              </w:rPr>
              <w:t>为整理工序，且项目所在地</w:t>
            </w:r>
            <w:r>
              <w:rPr>
                <w:rFonts w:hint="eastAsia"/>
                <w:sz w:val="24"/>
              </w:rPr>
              <w:t>交通便利。</w:t>
            </w:r>
            <w:r>
              <w:rPr>
                <w:sz w:val="24"/>
              </w:rPr>
              <w:t>项目总平面布置见附图</w:t>
            </w:r>
            <w:r>
              <w:rPr>
                <w:rFonts w:hint="eastAsia"/>
                <w:sz w:val="24"/>
              </w:rPr>
              <w:t>2。</w:t>
            </w:r>
          </w:p>
        </w:tc>
      </w:tr>
      <w:tr w14:paraId="156C7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3" w:type="dxa"/>
            <w:vAlign w:val="center"/>
          </w:tcPr>
          <w:p w14:paraId="5CFF9736">
            <w:pPr>
              <w:pStyle w:val="17"/>
              <w:adjustRightInd w:val="0"/>
              <w:snapToGrid w:val="0"/>
              <w:spacing w:before="0" w:beforeAutospacing="0" w:after="0" w:afterAutospacing="0"/>
              <w:jc w:val="center"/>
              <w:rPr>
                <w:rFonts w:cs="宋体"/>
                <w:szCs w:val="24"/>
              </w:rPr>
            </w:pPr>
            <w:r>
              <w:rPr>
                <w:rFonts w:hint="eastAsia" w:cs="宋体"/>
                <w:szCs w:val="24"/>
              </w:rPr>
              <w:t>工艺流程和产排污环节</w:t>
            </w:r>
          </w:p>
        </w:tc>
        <w:tc>
          <w:tcPr>
            <w:tcW w:w="8161" w:type="dxa"/>
          </w:tcPr>
          <w:p w14:paraId="5523CF21">
            <w:pPr>
              <w:adjustRightInd w:val="0"/>
              <w:snapToGrid w:val="0"/>
              <w:spacing w:line="360" w:lineRule="auto"/>
              <w:rPr>
                <w:b/>
                <w:bCs/>
                <w:sz w:val="24"/>
              </w:rPr>
            </w:pPr>
            <w:r>
              <w:rPr>
                <w:b/>
                <w:bCs/>
                <w:sz w:val="24"/>
              </w:rPr>
              <w:t>2.2运营期工艺流程图</w:t>
            </w:r>
          </w:p>
          <w:p w14:paraId="712AF426">
            <w:pPr>
              <w:adjustRightInd w:val="0"/>
              <w:snapToGrid w:val="0"/>
              <w:spacing w:line="360" w:lineRule="auto"/>
              <w:ind w:firstLine="480" w:firstLineChars="200"/>
              <w:rPr>
                <w:sz w:val="24"/>
              </w:rPr>
            </w:pPr>
            <w:r>
              <w:rPr>
                <w:sz w:val="24"/>
              </w:rPr>
              <w:t>项目主要生产城市道路设施及建筑安全设施，项目生产工艺及产污流程见下图。</w:t>
            </w:r>
          </w:p>
          <w:p w14:paraId="35CFE80A">
            <w:pPr>
              <w:tabs>
                <w:tab w:val="left" w:pos="5877"/>
              </w:tabs>
              <w:spacing w:line="360" w:lineRule="auto"/>
              <w:jc w:val="center"/>
              <w:rPr>
                <w:kern w:val="0"/>
                <w:sz w:val="24"/>
              </w:rPr>
            </w:pPr>
            <w:r>
              <w:object>
                <v:shape id="_x0000_i1026" o:spt="75" type="#_x0000_t75" style="height:170.25pt;width:401.25pt;" o:ole="t" filled="f" o:preferrelative="t" stroked="f" coordsize="21600,21600">
                  <v:path/>
                  <v:fill on="f" focussize="0,0"/>
                  <v:stroke on="f" joinstyle="miter"/>
                  <v:imagedata r:id="rId11" cropleft="2000f" o:title=""/>
                  <o:lock v:ext="edit" aspectratio="t"/>
                  <w10:wrap type="none"/>
                  <w10:anchorlock/>
                </v:shape>
                <o:OLEObject Type="Embed" ProgID="Visio.Drawing.11" ShapeID="_x0000_i1026" DrawAspect="Content" ObjectID="_1468075726" r:id="rId10">
                  <o:LockedField>false</o:LockedField>
                </o:OLEObject>
              </w:object>
            </w:r>
          </w:p>
          <w:p w14:paraId="248B9902">
            <w:pPr>
              <w:numPr>
                <w:ilvl w:val="0"/>
                <w:numId w:val="2"/>
              </w:numPr>
              <w:adjustRightInd w:val="0"/>
              <w:snapToGrid w:val="0"/>
              <w:jc w:val="center"/>
              <w:rPr>
                <w:szCs w:val="21"/>
              </w:rPr>
            </w:pPr>
            <w:r>
              <w:rPr>
                <w:b/>
                <w:szCs w:val="21"/>
              </w:rPr>
              <w:t xml:space="preserve">    项目生产工艺流程图</w:t>
            </w:r>
          </w:p>
          <w:p w14:paraId="2C120B6A">
            <w:pPr>
              <w:autoSpaceDE w:val="0"/>
              <w:autoSpaceDN w:val="0"/>
              <w:adjustRightInd w:val="0"/>
              <w:spacing w:line="360" w:lineRule="auto"/>
              <w:ind w:firstLine="480" w:firstLineChars="200"/>
              <w:jc w:val="left"/>
              <w:rPr>
                <w:kern w:val="0"/>
                <w:sz w:val="24"/>
              </w:rPr>
            </w:pPr>
            <w:r>
              <w:rPr>
                <w:kern w:val="0"/>
                <w:sz w:val="24"/>
              </w:rPr>
              <w:t>本项目具体的生产工艺流程如下：</w:t>
            </w:r>
          </w:p>
          <w:p w14:paraId="6B8CCF01">
            <w:pPr>
              <w:spacing w:line="360" w:lineRule="auto"/>
              <w:ind w:firstLine="480" w:firstLineChars="200"/>
              <w:rPr>
                <w:sz w:val="24"/>
              </w:rPr>
            </w:pPr>
            <w:r>
              <w:rPr>
                <w:rFonts w:hAnsi="宋体"/>
                <w:sz w:val="24"/>
              </w:rPr>
              <w:t>本项目生产</w:t>
            </w:r>
            <w:r>
              <w:rPr>
                <w:sz w:val="24"/>
              </w:rPr>
              <w:t>城市道路设施及建筑安全设施项目</w:t>
            </w:r>
            <w:r>
              <w:rPr>
                <w:rFonts w:hAnsi="宋体"/>
                <w:sz w:val="24"/>
              </w:rPr>
              <w:t>，其工艺过程类似，均是利用购进的镀锌方管、镀锌圆管、不锈钢管通过主要工序切割、冲孔、焊接、打磨、抛丸、</w:t>
            </w:r>
            <w:r>
              <w:rPr>
                <w:rFonts w:hint="eastAsia" w:hAnsi="宋体"/>
                <w:sz w:val="24"/>
              </w:rPr>
              <w:t>喷涂烘干</w:t>
            </w:r>
            <w:r>
              <w:rPr>
                <w:rFonts w:hAnsi="宋体"/>
                <w:sz w:val="24"/>
              </w:rPr>
              <w:t>等一系列机加工工艺生产围挡和护栏。此过程产生的污染物为机加工工序产生的粉尘、噪声、</w:t>
            </w:r>
            <w:r>
              <w:rPr>
                <w:rFonts w:hint="eastAsia" w:hAnsi="宋体"/>
                <w:sz w:val="24"/>
              </w:rPr>
              <w:t>喷涂、</w:t>
            </w:r>
            <w:r>
              <w:rPr>
                <w:rFonts w:hAnsi="宋体"/>
                <w:sz w:val="24"/>
              </w:rPr>
              <w:t>塑粉</w:t>
            </w:r>
            <w:r>
              <w:rPr>
                <w:rFonts w:hint="eastAsia" w:hAnsi="宋体"/>
                <w:sz w:val="24"/>
              </w:rPr>
              <w:t>、水性漆</w:t>
            </w:r>
            <w:r>
              <w:rPr>
                <w:rFonts w:hAnsi="宋体"/>
                <w:sz w:val="24"/>
              </w:rPr>
              <w:t>加热的挥发、燃料（天然气</w:t>
            </w:r>
            <w:r>
              <w:rPr>
                <w:sz w:val="24"/>
              </w:rPr>
              <w:t>/</w:t>
            </w:r>
            <w:r>
              <w:rPr>
                <w:rFonts w:hAnsi="宋体"/>
                <w:sz w:val="24"/>
              </w:rPr>
              <w:t>液化石油气）燃烧废气等。</w:t>
            </w:r>
          </w:p>
          <w:p w14:paraId="0D921DA2">
            <w:pPr>
              <w:spacing w:line="500" w:lineRule="exact"/>
              <w:ind w:firstLine="480" w:firstLineChars="200"/>
              <w:rPr>
                <w:sz w:val="24"/>
              </w:rPr>
            </w:pPr>
            <w:r>
              <w:rPr>
                <w:rFonts w:hAnsi="宋体"/>
                <w:sz w:val="24"/>
              </w:rPr>
              <w:t>切割：按需要尺寸对原材料（镀锌方管、镀锌圆管、不锈钢管）进行切割，该工序产生的污染物主要为金属屑、粉尘、噪声。</w:t>
            </w:r>
          </w:p>
          <w:p w14:paraId="0F8AF724">
            <w:pPr>
              <w:spacing w:line="500" w:lineRule="exact"/>
              <w:ind w:firstLine="480" w:firstLineChars="200"/>
              <w:rPr>
                <w:sz w:val="24"/>
              </w:rPr>
            </w:pPr>
            <w:r>
              <w:rPr>
                <w:rFonts w:hAnsi="宋体"/>
                <w:sz w:val="24"/>
              </w:rPr>
              <w:t>冲孔：使用冲床在相应位置进行冲孔。该工序产生的污染物主要为边角料、噪声、粉尘。根据建设单位介绍，此工艺不常用，偶尔在特殊工件里用。</w:t>
            </w:r>
          </w:p>
          <w:p w14:paraId="39F8F1A9">
            <w:pPr>
              <w:spacing w:line="500" w:lineRule="exact"/>
              <w:ind w:firstLine="480" w:firstLineChars="200"/>
              <w:rPr>
                <w:sz w:val="24"/>
              </w:rPr>
            </w:pPr>
            <w:r>
              <w:rPr>
                <w:rFonts w:hAnsi="宋体"/>
                <w:sz w:val="24"/>
              </w:rPr>
              <w:t>焊接：对折弯和卷圆后的钢板进行焊接，为保证焊接质量，采用二保焊机进行焊接。该工序产生的污染物主要为焊接烟尘、焊渣、噪声。</w:t>
            </w:r>
          </w:p>
          <w:p w14:paraId="6DCE198B">
            <w:pPr>
              <w:spacing w:line="500" w:lineRule="exact"/>
              <w:ind w:firstLine="480" w:firstLineChars="200"/>
              <w:rPr>
                <w:sz w:val="24"/>
              </w:rPr>
            </w:pPr>
            <w:r>
              <w:rPr>
                <w:rFonts w:hAnsi="宋体"/>
                <w:sz w:val="24"/>
              </w:rPr>
              <w:t>打磨抛丸：对工件进行打磨抛丸，清理工件表面的杂物（抛丸量根据实际情况进行抛丸，使之达到工件表面糙化并呈现出原金属光泽达到标准）。该工序产生的污染物主要为打磨抛丸粉尘、噪声。</w:t>
            </w:r>
          </w:p>
          <w:p w14:paraId="35BD5702">
            <w:pPr>
              <w:spacing w:line="500" w:lineRule="exact"/>
              <w:ind w:firstLine="480" w:firstLineChars="200"/>
              <w:rPr>
                <w:sz w:val="24"/>
              </w:rPr>
            </w:pPr>
            <w:r>
              <w:rPr>
                <w:rFonts w:hAnsi="宋体"/>
                <w:sz w:val="24"/>
              </w:rPr>
              <w:t>抛丸清理原理：利用抛丸机抛头上的叶轮在高速旋转时的离心力，把磨料以很高的线速度射向被处理的工件表面，产生打击和磨削作用，除去工件表面的氧化皮和杂物，并产生一定的粗糙度。抛丸处理的效率很高，在密封的环境中进行。该工序产生的污染物主要为设备运行噪声、抛丸清理的粉尘、打磨粉尘、金属渣。</w:t>
            </w:r>
          </w:p>
          <w:p w14:paraId="425757C1">
            <w:pPr>
              <w:spacing w:line="500" w:lineRule="exact"/>
              <w:ind w:firstLine="480" w:firstLineChars="200"/>
              <w:rPr>
                <w:rFonts w:ascii="宋体" w:hAnsi="宋体"/>
                <w:sz w:val="24"/>
              </w:rPr>
            </w:pPr>
            <w:r>
              <w:rPr>
                <w:rFonts w:hint="eastAsia" w:ascii="宋体" w:hAnsi="宋体"/>
                <w:sz w:val="24"/>
              </w:rPr>
              <w:t>项目喷涂工序分为喷漆处理及喷粉处理，根据客户要求，分别将工件进行喷漆处理及喷粉处理；</w:t>
            </w:r>
          </w:p>
          <w:p w14:paraId="01CA6FB0">
            <w:pPr>
              <w:spacing w:line="500" w:lineRule="exact"/>
              <w:ind w:firstLine="480" w:firstLineChars="200"/>
              <w:rPr>
                <w:sz w:val="24"/>
              </w:rPr>
            </w:pPr>
            <w:r>
              <w:rPr>
                <w:rFonts w:hAnsi="宋体"/>
                <w:sz w:val="24"/>
              </w:rPr>
              <w:t>喷</w:t>
            </w:r>
            <w:r>
              <w:rPr>
                <w:rFonts w:hint="eastAsia" w:hAnsi="宋体"/>
                <w:sz w:val="24"/>
              </w:rPr>
              <w:t>粉</w:t>
            </w:r>
            <w:r>
              <w:rPr>
                <w:sz w:val="24"/>
              </w:rPr>
              <w:t>/</w:t>
            </w:r>
            <w:r>
              <w:rPr>
                <w:rFonts w:hAnsi="宋体"/>
                <w:sz w:val="24"/>
              </w:rPr>
              <w:t>喷漆：项目共计两条喷涂流水线，其中一条为</w:t>
            </w:r>
            <w:r>
              <w:rPr>
                <w:rFonts w:hint="eastAsia" w:hAnsi="宋体"/>
                <w:sz w:val="24"/>
              </w:rPr>
              <w:t>自动</w:t>
            </w:r>
            <w:r>
              <w:rPr>
                <w:rFonts w:hAnsi="宋体"/>
                <w:sz w:val="24"/>
              </w:rPr>
              <w:t>喷涂流水线（包含一个烘箱（烘箱内置</w:t>
            </w:r>
            <w:r>
              <w:rPr>
                <w:sz w:val="24"/>
              </w:rPr>
              <w:t>2</w:t>
            </w:r>
            <w:r>
              <w:rPr>
                <w:rFonts w:hAnsi="宋体"/>
                <w:sz w:val="24"/>
              </w:rPr>
              <w:t>个燃烧机）、一个喷漆房及三个喷</w:t>
            </w:r>
            <w:r>
              <w:rPr>
                <w:rFonts w:hint="eastAsia" w:hAnsi="宋体"/>
                <w:sz w:val="24"/>
              </w:rPr>
              <w:t>粉</w:t>
            </w:r>
            <w:r>
              <w:rPr>
                <w:rFonts w:hAnsi="宋体"/>
                <w:sz w:val="24"/>
              </w:rPr>
              <w:t>工位），另外一条为半自动喷涂流水线（包含一个烘箱（烘箱内置</w:t>
            </w:r>
            <w:r>
              <w:rPr>
                <w:sz w:val="24"/>
              </w:rPr>
              <w:t>1</w:t>
            </w:r>
            <w:r>
              <w:rPr>
                <w:rFonts w:hAnsi="宋体"/>
                <w:sz w:val="24"/>
              </w:rPr>
              <w:t>个燃烧机）、二个喷</w:t>
            </w:r>
            <w:r>
              <w:rPr>
                <w:rFonts w:hint="eastAsia" w:hAnsi="宋体"/>
                <w:sz w:val="24"/>
              </w:rPr>
              <w:t>粉</w:t>
            </w:r>
            <w:r>
              <w:rPr>
                <w:rFonts w:hAnsi="宋体"/>
                <w:sz w:val="24"/>
              </w:rPr>
              <w:t>房及一个喷漆房）；根据不同工件大小，分别进入</w:t>
            </w:r>
            <w:r>
              <w:rPr>
                <w:rFonts w:hint="eastAsia" w:hAnsi="宋体"/>
                <w:sz w:val="24"/>
              </w:rPr>
              <w:t>自动</w:t>
            </w:r>
            <w:r>
              <w:rPr>
                <w:rFonts w:hAnsi="宋体"/>
                <w:sz w:val="24"/>
              </w:rPr>
              <w:t>喷涂流水线或者半自动喷涂流水线。</w:t>
            </w:r>
            <w:r>
              <w:rPr>
                <w:rFonts w:hint="eastAsia" w:hAnsi="宋体"/>
                <w:sz w:val="24"/>
              </w:rPr>
              <w:t>自动喷涂流水线工件通过悬挂系统进行输送；半自动喷涂流水线工件通过轨道进行输送。</w:t>
            </w:r>
          </w:p>
          <w:p w14:paraId="2C1491C6">
            <w:pPr>
              <w:spacing w:line="360" w:lineRule="auto"/>
              <w:ind w:firstLine="480" w:firstLineChars="200"/>
              <w:rPr>
                <w:rFonts w:ascii="宋体" w:hAnsi="宋体"/>
                <w:sz w:val="24"/>
              </w:rPr>
            </w:pPr>
            <w:r>
              <w:rPr>
                <w:rFonts w:hint="eastAsia" w:ascii="宋体" w:hAnsi="宋体"/>
                <w:sz w:val="24"/>
              </w:rPr>
              <w:t>当产品需要进行喷粉时，工艺如下：</w:t>
            </w:r>
          </w:p>
          <w:p w14:paraId="7E308920">
            <w:pPr>
              <w:spacing w:line="360" w:lineRule="auto"/>
              <w:ind w:firstLine="480" w:firstLineChars="200"/>
              <w:rPr>
                <w:rFonts w:ascii="宋体" w:hAnsi="宋体"/>
                <w:sz w:val="24"/>
              </w:rPr>
            </w:pPr>
            <w:r>
              <w:rPr>
                <w:rFonts w:hint="eastAsia" w:ascii="宋体" w:hAnsi="宋体"/>
                <w:sz w:val="24"/>
              </w:rPr>
              <w:t>①喷粉：将打磨好的工件，采用静电喷涂原理，使工件表面形成粉末涂层。其过程主要是：塑粉由供粉系统借压缩空气气体送入喷枪，在喷枪前端加有高压静电发生器产生的高压，由于电晕放电，在其附近产生密集的电荷，塑粉由枪嘴喷出时，形成带电涂料粒子，受到静电作用后，被吸到与其极性相反的工件上去，随着喷上的粉末增多，电荷聚集也越多，当达到一定厚度时，由于产生的静电排斥作用，使不继续吸附，从而使得整个工件获得一定厚度的粉末涂层。该环节实行机械化及独立操作，粉末喷涂过程使用塑粉，主要成分为环氧树脂系粉末涂料。该工序产生的污染物主要为喷塑粉尘、噪声。</w:t>
            </w:r>
          </w:p>
          <w:p w14:paraId="2A4CFA32">
            <w:pPr>
              <w:spacing w:line="360" w:lineRule="auto"/>
              <w:ind w:firstLine="480" w:firstLineChars="200"/>
              <w:rPr>
                <w:sz w:val="24"/>
              </w:rPr>
            </w:pPr>
            <w:r>
              <w:rPr>
                <w:rFonts w:hint="eastAsia" w:hAnsi="宋体"/>
                <w:sz w:val="24"/>
              </w:rPr>
              <w:t>烘干</w:t>
            </w:r>
            <w:r>
              <w:rPr>
                <w:rFonts w:hAnsi="宋体"/>
                <w:sz w:val="24"/>
              </w:rPr>
              <w:t>：</w:t>
            </w:r>
            <w:r>
              <w:rPr>
                <w:rFonts w:hint="eastAsia" w:hAnsi="宋体"/>
                <w:sz w:val="24"/>
              </w:rPr>
              <w:t>喷粉</w:t>
            </w:r>
            <w:r>
              <w:rPr>
                <w:rFonts w:hAnsi="宋体"/>
                <w:sz w:val="24"/>
              </w:rPr>
              <w:t>好的半成品</w:t>
            </w:r>
            <w:r>
              <w:rPr>
                <w:rFonts w:hint="eastAsia" w:hAnsi="宋体"/>
                <w:sz w:val="24"/>
              </w:rPr>
              <w:t>进入烘箱烘干（与喷漆共用一套烘箱），烘箱运行时，燃料中的可燃物质在适当的温度下，与通风系统输送给炉膛内的空气混合燃烧，释放出能量，通过各受热面传递给炉体，炉体烟气进入主汽阀输出使用，于工件的加热箱体外进行循环，不与工件直接进行接触。以燃烧室内</w:t>
            </w:r>
            <w:r>
              <w:rPr>
                <w:rFonts w:hAnsi="宋体"/>
                <w:sz w:val="24"/>
              </w:rPr>
              <w:t>（是由</w:t>
            </w:r>
            <w:r>
              <w:rPr>
                <w:rFonts w:hint="eastAsia" w:ascii="宋体" w:hAnsi="宋体"/>
                <w:sz w:val="24"/>
              </w:rPr>
              <w:t>天然气/液化石油气</w:t>
            </w:r>
            <w:r>
              <w:rPr>
                <w:rFonts w:hAnsi="宋体"/>
                <w:sz w:val="24"/>
              </w:rPr>
              <w:t>燃烧产生的热气，经过转化对工件表面加热）</w:t>
            </w:r>
            <w:r>
              <w:rPr>
                <w:rFonts w:hint="eastAsia" w:hAnsi="宋体"/>
                <w:sz w:val="24"/>
              </w:rPr>
              <w:t>燃烧作热源进行间接加热烘干，通过加热空气形成热风循环烘道，烘道内设置温度检测装置，热空气以0.1-0.2m/s的风速进入到烘干线内；烘箱工作温度约为150-230℃，烘干时间约为20~30min。</w:t>
            </w:r>
            <w:r>
              <w:rPr>
                <w:rFonts w:hAnsi="宋体"/>
                <w:sz w:val="24"/>
              </w:rPr>
              <w:t>将工件表面的塑粉加热到一定的温度（</w:t>
            </w:r>
            <w:r>
              <w:rPr>
                <w:sz w:val="24"/>
              </w:rPr>
              <w:t>180</w:t>
            </w:r>
            <w:r>
              <w:rPr>
                <w:rFonts w:hAnsi="宋体"/>
                <w:sz w:val="24"/>
              </w:rPr>
              <w:t>℃）（环氧树脂分解温度高于</w:t>
            </w:r>
            <w:r>
              <w:rPr>
                <w:sz w:val="24"/>
              </w:rPr>
              <w:t>320</w:t>
            </w:r>
            <w:r>
              <w:rPr>
                <w:rFonts w:hAnsi="宋体"/>
                <w:sz w:val="24"/>
              </w:rPr>
              <w:t>℃，在此温度下，塑粉中的主要成分环氧树脂自身不会分解产生有机废气，主要是熔化过程中环氧树脂游离的单体挥发出来以</w:t>
            </w:r>
            <w:r>
              <w:rPr>
                <w:sz w:val="24"/>
              </w:rPr>
              <w:t>非甲烷总烃计）使得工件表面的塑粉熔化、流平</w:t>
            </w:r>
            <w:r>
              <w:rPr>
                <w:rFonts w:hAnsi="宋体"/>
                <w:sz w:val="24"/>
              </w:rPr>
              <w:t>，即在工件表面形成涂膜，经自然冷却后进行下一工序。该工序产生的污染物主要为天然气</w:t>
            </w:r>
            <w:r>
              <w:rPr>
                <w:sz w:val="24"/>
              </w:rPr>
              <w:t>/</w:t>
            </w:r>
            <w:r>
              <w:rPr>
                <w:rFonts w:hAnsi="宋体"/>
                <w:sz w:val="24"/>
              </w:rPr>
              <w:t>液化石油气燃烧废气和塑粉在</w:t>
            </w:r>
            <w:r>
              <w:rPr>
                <w:rFonts w:hint="eastAsia" w:hAnsi="宋体"/>
                <w:sz w:val="24"/>
              </w:rPr>
              <w:t>烘干</w:t>
            </w:r>
            <w:r>
              <w:rPr>
                <w:rFonts w:hAnsi="宋体"/>
                <w:sz w:val="24"/>
              </w:rPr>
              <w:t>过程中产生的有机废气（以非甲烷总烃计）。</w:t>
            </w:r>
          </w:p>
          <w:p w14:paraId="3D39E17B">
            <w:pPr>
              <w:spacing w:line="360" w:lineRule="auto"/>
              <w:ind w:firstLine="480" w:firstLineChars="200"/>
              <w:rPr>
                <w:sz w:val="24"/>
              </w:rPr>
            </w:pPr>
            <w:r>
              <w:rPr>
                <w:rFonts w:hAnsi="宋体"/>
                <w:sz w:val="24"/>
              </w:rPr>
              <w:t>当项目需要进行喷漆时，工艺如下：</w:t>
            </w:r>
          </w:p>
          <w:p w14:paraId="602EA709">
            <w:pPr>
              <w:pStyle w:val="2"/>
              <w:spacing w:after="0" w:line="360" w:lineRule="auto"/>
              <w:ind w:left="0" w:leftChars="0" w:firstLine="480"/>
              <w:rPr>
                <w:sz w:val="24"/>
              </w:rPr>
            </w:pPr>
            <w:r>
              <w:rPr>
                <w:rFonts w:ascii="宋体" w:hAnsi="宋体"/>
                <w:sz w:val="24"/>
              </w:rPr>
              <w:t>②</w:t>
            </w:r>
            <w:r>
              <w:rPr>
                <w:rFonts w:hAnsi="宋体"/>
                <w:sz w:val="24"/>
              </w:rPr>
              <w:t>喷漆：喷漆房设置</w:t>
            </w:r>
            <w:r>
              <w:rPr>
                <w:rFonts w:hint="eastAsia"/>
                <w:sz w:val="24"/>
              </w:rPr>
              <w:t>=</w:t>
            </w:r>
            <w:r>
              <w:rPr>
                <w:rFonts w:hAnsi="宋体"/>
                <w:sz w:val="24"/>
              </w:rPr>
              <w:t>配</w:t>
            </w:r>
            <w:r>
              <w:rPr>
                <w:sz w:val="24"/>
              </w:rPr>
              <w:t>置2把喷枪。水性漆无需调配可直接使用。操作者将工件依次摆放在挂钩上，手持喷枪进行喷涂。水性漆30%挥发性溶剂在喷漆过程中挥发，70%左右的附着在产品表面进入下一道工序。多余的漆雾在</w:t>
            </w:r>
            <w:r>
              <w:rPr>
                <w:bCs/>
                <w:sz w:val="24"/>
              </w:rPr>
              <w:t>玻璃纤维过滤毡进行吸附</w:t>
            </w:r>
            <w:r>
              <w:rPr>
                <w:sz w:val="24"/>
              </w:rPr>
              <w:t>，从而达到对漆雾颗粒吸附净化的目的。</w:t>
            </w:r>
          </w:p>
          <w:p w14:paraId="1BEC18CD">
            <w:pPr>
              <w:pStyle w:val="2"/>
              <w:spacing w:after="0" w:line="360" w:lineRule="auto"/>
              <w:ind w:left="0" w:leftChars="0" w:firstLine="480"/>
              <w:rPr>
                <w:rFonts w:hAnsi="宋体"/>
                <w:sz w:val="24"/>
              </w:rPr>
            </w:pPr>
            <w:r>
              <w:rPr>
                <w:rFonts w:hint="eastAsia"/>
                <w:sz w:val="24"/>
              </w:rPr>
              <w:t>烘干</w:t>
            </w:r>
            <w:r>
              <w:rPr>
                <w:sz w:val="24"/>
              </w:rPr>
              <w:t>：喷漆完成后的工件通过流水线进入</w:t>
            </w:r>
            <w:r>
              <w:rPr>
                <w:rFonts w:hint="eastAsia"/>
                <w:sz w:val="24"/>
              </w:rPr>
              <w:t>烘箱烘干</w:t>
            </w:r>
            <w:r>
              <w:rPr>
                <w:sz w:val="24"/>
              </w:rPr>
              <w:t>（与喷</w:t>
            </w:r>
            <w:r>
              <w:rPr>
                <w:rFonts w:hint="eastAsia"/>
                <w:sz w:val="24"/>
              </w:rPr>
              <w:t>粉</w:t>
            </w:r>
            <w:r>
              <w:rPr>
                <w:sz w:val="24"/>
              </w:rPr>
              <w:t>共用一套</w:t>
            </w:r>
            <w:r>
              <w:rPr>
                <w:rFonts w:hint="eastAsia"/>
                <w:sz w:val="24"/>
              </w:rPr>
              <w:t>烘箱</w:t>
            </w:r>
            <w:r>
              <w:rPr>
                <w:sz w:val="24"/>
              </w:rPr>
              <w:t>），以燃烧室内（</w:t>
            </w:r>
            <w:r>
              <w:rPr>
                <w:rFonts w:hAnsi="宋体"/>
                <w:sz w:val="24"/>
              </w:rPr>
              <w:t>天然气</w:t>
            </w:r>
            <w:r>
              <w:rPr>
                <w:sz w:val="24"/>
              </w:rPr>
              <w:t>/</w:t>
            </w:r>
            <w:r>
              <w:rPr>
                <w:rFonts w:hAnsi="宋体"/>
                <w:sz w:val="24"/>
              </w:rPr>
              <w:t>液化石油气</w:t>
            </w:r>
            <w:r>
              <w:rPr>
                <w:sz w:val="24"/>
              </w:rPr>
              <w:t>）燃烧作热源进行间接加热烘干，通过加热空气形成热风循环烘道，烘道内设置温度检测装置，热空气以0.1-0.2m/s的风速进入到烘干线内；工作温度约为150-230℃，烘干时间约为20~30min，</w:t>
            </w:r>
            <w:r>
              <w:rPr>
                <w:rFonts w:hint="eastAsia" w:hAnsi="宋体"/>
                <w:sz w:val="24"/>
              </w:rPr>
              <w:t>燃料燃烧废气通过15m高排气筒排放。</w:t>
            </w:r>
            <w:r>
              <w:rPr>
                <w:rFonts w:hAnsi="宋体"/>
                <w:sz w:val="24"/>
              </w:rPr>
              <w:t>件表面涂覆漆料中的固份在烘箱内固化成膜，其余的有机溶剂组成全部挥发成为有机废气。</w:t>
            </w:r>
          </w:p>
          <w:p w14:paraId="00AAE682">
            <w:pPr>
              <w:spacing w:line="360" w:lineRule="auto"/>
              <w:ind w:firstLine="480" w:firstLineChars="200"/>
              <w:rPr>
                <w:rFonts w:hAnsi="宋体"/>
                <w:sz w:val="24"/>
              </w:rPr>
            </w:pPr>
            <w:r>
              <w:rPr>
                <w:rFonts w:hint="eastAsia" w:hAnsi="宋体"/>
                <w:sz w:val="24"/>
              </w:rPr>
              <w:t>检验：对冷却好的产品进行检验，经检验合格后，放置在成品区。</w:t>
            </w:r>
          </w:p>
          <w:p w14:paraId="6F63D50A">
            <w:pPr>
              <w:adjustRightInd w:val="0"/>
              <w:snapToGrid w:val="0"/>
              <w:spacing w:line="360" w:lineRule="auto"/>
              <w:ind w:firstLine="480" w:firstLineChars="200"/>
              <w:rPr>
                <w:bCs/>
                <w:sz w:val="24"/>
              </w:rPr>
            </w:pPr>
            <w:r>
              <w:rPr>
                <w:bCs/>
                <w:sz w:val="24"/>
              </w:rPr>
              <w:t>（3）本项目运营期产污情况见下表。</w:t>
            </w:r>
          </w:p>
          <w:p w14:paraId="66948345">
            <w:pPr>
              <w:numPr>
                <w:ilvl w:val="0"/>
                <w:numId w:val="1"/>
              </w:numPr>
              <w:adjustRightInd w:val="0"/>
              <w:snapToGrid w:val="0"/>
              <w:ind w:left="0" w:firstLine="0"/>
              <w:jc w:val="center"/>
              <w:rPr>
                <w:b/>
                <w:szCs w:val="21"/>
              </w:rPr>
            </w:pPr>
            <w:r>
              <w:rPr>
                <w:rFonts w:hint="eastAsia"/>
                <w:b/>
                <w:szCs w:val="21"/>
              </w:rPr>
              <w:t xml:space="preserve">    </w:t>
            </w:r>
            <w:r>
              <w:rPr>
                <w:b/>
                <w:szCs w:val="21"/>
              </w:rPr>
              <w:t>本项目运营期产污一览表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737"/>
              <w:gridCol w:w="2095"/>
              <w:gridCol w:w="2837"/>
              <w:gridCol w:w="2257"/>
            </w:tblGrid>
            <w:tr w14:paraId="18BD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gridSpan w:val="2"/>
                  <w:vAlign w:val="center"/>
                </w:tcPr>
                <w:p w14:paraId="0C71AF80">
                  <w:pPr>
                    <w:adjustRightInd w:val="0"/>
                    <w:snapToGrid w:val="0"/>
                    <w:jc w:val="center"/>
                    <w:rPr>
                      <w:bCs/>
                      <w:szCs w:val="21"/>
                    </w:rPr>
                  </w:pPr>
                  <w:r>
                    <w:rPr>
                      <w:bCs/>
                      <w:szCs w:val="21"/>
                    </w:rPr>
                    <w:t>项目</w:t>
                  </w:r>
                </w:p>
              </w:tc>
              <w:tc>
                <w:tcPr>
                  <w:tcW w:w="1251" w:type="pct"/>
                  <w:vAlign w:val="center"/>
                </w:tcPr>
                <w:p w14:paraId="6481F178">
                  <w:pPr>
                    <w:adjustRightInd w:val="0"/>
                    <w:snapToGrid w:val="0"/>
                    <w:jc w:val="center"/>
                    <w:rPr>
                      <w:bCs/>
                      <w:szCs w:val="21"/>
                    </w:rPr>
                  </w:pPr>
                  <w:r>
                    <w:rPr>
                      <w:bCs/>
                      <w:szCs w:val="21"/>
                    </w:rPr>
                    <w:t>产污工序</w:t>
                  </w:r>
                </w:p>
              </w:tc>
              <w:tc>
                <w:tcPr>
                  <w:tcW w:w="1694" w:type="pct"/>
                  <w:vAlign w:val="center"/>
                </w:tcPr>
                <w:p w14:paraId="790B8649">
                  <w:pPr>
                    <w:adjustRightInd w:val="0"/>
                    <w:snapToGrid w:val="0"/>
                    <w:jc w:val="center"/>
                    <w:rPr>
                      <w:bCs/>
                      <w:szCs w:val="21"/>
                    </w:rPr>
                  </w:pPr>
                  <w:r>
                    <w:rPr>
                      <w:bCs/>
                      <w:szCs w:val="21"/>
                    </w:rPr>
                    <w:t>污染源</w:t>
                  </w:r>
                </w:p>
              </w:tc>
              <w:tc>
                <w:tcPr>
                  <w:tcW w:w="1347" w:type="pct"/>
                  <w:vAlign w:val="center"/>
                </w:tcPr>
                <w:p w14:paraId="0599C77E">
                  <w:pPr>
                    <w:adjustRightInd w:val="0"/>
                    <w:snapToGrid w:val="0"/>
                    <w:jc w:val="center"/>
                    <w:rPr>
                      <w:bCs/>
                      <w:szCs w:val="21"/>
                    </w:rPr>
                  </w:pPr>
                  <w:r>
                    <w:rPr>
                      <w:bCs/>
                      <w:szCs w:val="21"/>
                    </w:rPr>
                    <w:t>主要污染物</w:t>
                  </w:r>
                </w:p>
              </w:tc>
            </w:tr>
            <w:tr w14:paraId="326A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08" w:type="pct"/>
                  <w:gridSpan w:val="2"/>
                  <w:vMerge w:val="restart"/>
                  <w:vAlign w:val="center"/>
                </w:tcPr>
                <w:p w14:paraId="0DC19B01">
                  <w:pPr>
                    <w:adjustRightInd w:val="0"/>
                    <w:snapToGrid w:val="0"/>
                    <w:jc w:val="center"/>
                    <w:rPr>
                      <w:bCs/>
                      <w:szCs w:val="21"/>
                    </w:rPr>
                  </w:pPr>
                  <w:r>
                    <w:rPr>
                      <w:bCs/>
                      <w:szCs w:val="21"/>
                    </w:rPr>
                    <w:t>废气</w:t>
                  </w:r>
                </w:p>
              </w:tc>
              <w:tc>
                <w:tcPr>
                  <w:tcW w:w="1251" w:type="pct"/>
                  <w:vAlign w:val="center"/>
                </w:tcPr>
                <w:p w14:paraId="43FB8954">
                  <w:pPr>
                    <w:adjustRightInd w:val="0"/>
                    <w:snapToGrid w:val="0"/>
                    <w:jc w:val="center"/>
                    <w:rPr>
                      <w:bCs/>
                      <w:szCs w:val="21"/>
                    </w:rPr>
                  </w:pPr>
                  <w:r>
                    <w:rPr>
                      <w:rFonts w:hint="eastAsia"/>
                      <w:bCs/>
                      <w:szCs w:val="21"/>
                    </w:rPr>
                    <w:t>切割</w:t>
                  </w:r>
                  <w:r>
                    <w:rPr>
                      <w:bCs/>
                      <w:szCs w:val="21"/>
                    </w:rPr>
                    <w:t>粉尘</w:t>
                  </w:r>
                </w:p>
              </w:tc>
              <w:tc>
                <w:tcPr>
                  <w:tcW w:w="1694" w:type="pct"/>
                  <w:vAlign w:val="center"/>
                </w:tcPr>
                <w:p w14:paraId="64D485CD">
                  <w:pPr>
                    <w:jc w:val="center"/>
                    <w:rPr>
                      <w:szCs w:val="21"/>
                    </w:rPr>
                  </w:pPr>
                  <w:r>
                    <w:rPr>
                      <w:rFonts w:hint="eastAsia"/>
                      <w:szCs w:val="21"/>
                    </w:rPr>
                    <w:t>原材料切割粉尘</w:t>
                  </w:r>
                </w:p>
              </w:tc>
              <w:tc>
                <w:tcPr>
                  <w:tcW w:w="1347" w:type="pct"/>
                  <w:vMerge w:val="restart"/>
                  <w:vAlign w:val="center"/>
                </w:tcPr>
                <w:p w14:paraId="3D9B70CB">
                  <w:pPr>
                    <w:adjustRightInd w:val="0"/>
                    <w:snapToGrid w:val="0"/>
                    <w:jc w:val="center"/>
                    <w:rPr>
                      <w:bCs/>
                      <w:szCs w:val="21"/>
                    </w:rPr>
                  </w:pPr>
                  <w:r>
                    <w:rPr>
                      <w:bCs/>
                      <w:szCs w:val="21"/>
                    </w:rPr>
                    <w:t>颗粒物</w:t>
                  </w:r>
                </w:p>
              </w:tc>
            </w:tr>
            <w:tr w14:paraId="6307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08" w:type="pct"/>
                  <w:gridSpan w:val="2"/>
                  <w:vMerge w:val="continue"/>
                  <w:vAlign w:val="center"/>
                </w:tcPr>
                <w:p w14:paraId="3B5A7177">
                  <w:pPr>
                    <w:adjustRightInd w:val="0"/>
                    <w:snapToGrid w:val="0"/>
                    <w:jc w:val="center"/>
                    <w:rPr>
                      <w:bCs/>
                      <w:szCs w:val="21"/>
                    </w:rPr>
                  </w:pPr>
                </w:p>
              </w:tc>
              <w:tc>
                <w:tcPr>
                  <w:tcW w:w="1251" w:type="pct"/>
                  <w:vAlign w:val="center"/>
                </w:tcPr>
                <w:p w14:paraId="04D6135C">
                  <w:pPr>
                    <w:adjustRightInd w:val="0"/>
                    <w:snapToGrid w:val="0"/>
                    <w:jc w:val="center"/>
                    <w:rPr>
                      <w:bCs/>
                      <w:szCs w:val="21"/>
                    </w:rPr>
                  </w:pPr>
                  <w:r>
                    <w:rPr>
                      <w:bCs/>
                      <w:szCs w:val="21"/>
                    </w:rPr>
                    <w:t>焊接烟尘</w:t>
                  </w:r>
                </w:p>
              </w:tc>
              <w:tc>
                <w:tcPr>
                  <w:tcW w:w="1694" w:type="pct"/>
                  <w:vAlign w:val="center"/>
                </w:tcPr>
                <w:p w14:paraId="62628C57">
                  <w:pPr>
                    <w:adjustRightInd w:val="0"/>
                    <w:snapToGrid w:val="0"/>
                    <w:jc w:val="center"/>
                    <w:rPr>
                      <w:bCs/>
                      <w:szCs w:val="21"/>
                    </w:rPr>
                  </w:pPr>
                  <w:r>
                    <w:rPr>
                      <w:bCs/>
                      <w:szCs w:val="21"/>
                    </w:rPr>
                    <w:t>二保焊机</w:t>
                  </w:r>
                  <w:r>
                    <w:rPr>
                      <w:rFonts w:hint="eastAsia"/>
                      <w:bCs/>
                      <w:szCs w:val="21"/>
                    </w:rPr>
                    <w:t>焊接过程产生的烟尘</w:t>
                  </w:r>
                </w:p>
              </w:tc>
              <w:tc>
                <w:tcPr>
                  <w:tcW w:w="1347" w:type="pct"/>
                  <w:vMerge w:val="continue"/>
                  <w:vAlign w:val="center"/>
                </w:tcPr>
                <w:p w14:paraId="6975FCAF">
                  <w:pPr>
                    <w:adjustRightInd w:val="0"/>
                    <w:snapToGrid w:val="0"/>
                    <w:jc w:val="center"/>
                    <w:rPr>
                      <w:bCs/>
                      <w:szCs w:val="21"/>
                    </w:rPr>
                  </w:pPr>
                </w:p>
              </w:tc>
            </w:tr>
            <w:tr w14:paraId="0A26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08" w:type="pct"/>
                  <w:gridSpan w:val="2"/>
                  <w:vMerge w:val="continue"/>
                  <w:vAlign w:val="center"/>
                </w:tcPr>
                <w:p w14:paraId="21E5102C">
                  <w:pPr>
                    <w:adjustRightInd w:val="0"/>
                    <w:snapToGrid w:val="0"/>
                    <w:jc w:val="center"/>
                    <w:rPr>
                      <w:bCs/>
                      <w:szCs w:val="21"/>
                    </w:rPr>
                  </w:pPr>
                </w:p>
              </w:tc>
              <w:tc>
                <w:tcPr>
                  <w:tcW w:w="1251" w:type="pct"/>
                  <w:vAlign w:val="center"/>
                </w:tcPr>
                <w:p w14:paraId="59947263">
                  <w:pPr>
                    <w:adjustRightInd w:val="0"/>
                    <w:snapToGrid w:val="0"/>
                    <w:jc w:val="center"/>
                    <w:rPr>
                      <w:bCs/>
                      <w:szCs w:val="21"/>
                    </w:rPr>
                  </w:pPr>
                  <w:r>
                    <w:rPr>
                      <w:rFonts w:hint="eastAsia"/>
                      <w:bCs/>
                      <w:szCs w:val="21"/>
                    </w:rPr>
                    <w:t>打磨粉尘</w:t>
                  </w:r>
                </w:p>
              </w:tc>
              <w:tc>
                <w:tcPr>
                  <w:tcW w:w="1694" w:type="pct"/>
                  <w:vAlign w:val="center"/>
                </w:tcPr>
                <w:p w14:paraId="2EA79729">
                  <w:pPr>
                    <w:adjustRightInd w:val="0"/>
                    <w:snapToGrid w:val="0"/>
                    <w:jc w:val="center"/>
                    <w:rPr>
                      <w:bCs/>
                      <w:szCs w:val="21"/>
                    </w:rPr>
                  </w:pPr>
                  <w:r>
                    <w:rPr>
                      <w:rFonts w:hint="eastAsia"/>
                      <w:bCs/>
                      <w:szCs w:val="21"/>
                    </w:rPr>
                    <w:t>打磨房产生的粉尘</w:t>
                  </w:r>
                </w:p>
              </w:tc>
              <w:tc>
                <w:tcPr>
                  <w:tcW w:w="1347" w:type="pct"/>
                  <w:vMerge w:val="continue"/>
                  <w:vAlign w:val="center"/>
                </w:tcPr>
                <w:p w14:paraId="0718274F">
                  <w:pPr>
                    <w:adjustRightInd w:val="0"/>
                    <w:snapToGrid w:val="0"/>
                    <w:jc w:val="center"/>
                    <w:rPr>
                      <w:bCs/>
                      <w:szCs w:val="21"/>
                    </w:rPr>
                  </w:pPr>
                </w:p>
              </w:tc>
            </w:tr>
            <w:tr w14:paraId="34BC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08" w:type="pct"/>
                  <w:gridSpan w:val="2"/>
                  <w:vMerge w:val="continue"/>
                  <w:vAlign w:val="center"/>
                </w:tcPr>
                <w:p w14:paraId="65EDF726">
                  <w:pPr>
                    <w:adjustRightInd w:val="0"/>
                    <w:snapToGrid w:val="0"/>
                    <w:jc w:val="center"/>
                    <w:rPr>
                      <w:bCs/>
                      <w:szCs w:val="21"/>
                    </w:rPr>
                  </w:pPr>
                </w:p>
              </w:tc>
              <w:tc>
                <w:tcPr>
                  <w:tcW w:w="1251" w:type="pct"/>
                  <w:vAlign w:val="center"/>
                </w:tcPr>
                <w:p w14:paraId="7A5B41AC">
                  <w:pPr>
                    <w:adjustRightInd w:val="0"/>
                    <w:snapToGrid w:val="0"/>
                    <w:jc w:val="center"/>
                    <w:rPr>
                      <w:bCs/>
                      <w:szCs w:val="21"/>
                    </w:rPr>
                  </w:pPr>
                  <w:r>
                    <w:rPr>
                      <w:rFonts w:hint="eastAsia"/>
                      <w:bCs/>
                      <w:szCs w:val="21"/>
                    </w:rPr>
                    <w:t>抛丸粉尘</w:t>
                  </w:r>
                </w:p>
              </w:tc>
              <w:tc>
                <w:tcPr>
                  <w:tcW w:w="1694" w:type="pct"/>
                  <w:vAlign w:val="center"/>
                </w:tcPr>
                <w:p w14:paraId="267F177F">
                  <w:pPr>
                    <w:adjustRightInd w:val="0"/>
                    <w:snapToGrid w:val="0"/>
                    <w:jc w:val="center"/>
                    <w:rPr>
                      <w:bCs/>
                      <w:szCs w:val="21"/>
                    </w:rPr>
                  </w:pPr>
                  <w:r>
                    <w:rPr>
                      <w:rFonts w:hint="eastAsia"/>
                      <w:bCs/>
                      <w:szCs w:val="21"/>
                    </w:rPr>
                    <w:t>抛丸产生的粉尘</w:t>
                  </w:r>
                </w:p>
              </w:tc>
              <w:tc>
                <w:tcPr>
                  <w:tcW w:w="1347" w:type="pct"/>
                  <w:vMerge w:val="continue"/>
                  <w:vAlign w:val="center"/>
                </w:tcPr>
                <w:p w14:paraId="479D5E5A">
                  <w:pPr>
                    <w:adjustRightInd w:val="0"/>
                    <w:snapToGrid w:val="0"/>
                    <w:jc w:val="center"/>
                    <w:rPr>
                      <w:bCs/>
                      <w:szCs w:val="21"/>
                    </w:rPr>
                  </w:pPr>
                </w:p>
              </w:tc>
            </w:tr>
            <w:tr w14:paraId="5928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08" w:type="pct"/>
                  <w:gridSpan w:val="2"/>
                  <w:vMerge w:val="continue"/>
                  <w:vAlign w:val="center"/>
                </w:tcPr>
                <w:p w14:paraId="6A93573F">
                  <w:pPr>
                    <w:adjustRightInd w:val="0"/>
                    <w:snapToGrid w:val="0"/>
                    <w:jc w:val="center"/>
                    <w:rPr>
                      <w:bCs/>
                      <w:szCs w:val="21"/>
                    </w:rPr>
                  </w:pPr>
                </w:p>
              </w:tc>
              <w:tc>
                <w:tcPr>
                  <w:tcW w:w="1251" w:type="pct"/>
                  <w:vAlign w:val="center"/>
                </w:tcPr>
                <w:p w14:paraId="7D537BFF">
                  <w:pPr>
                    <w:adjustRightInd w:val="0"/>
                    <w:snapToGrid w:val="0"/>
                    <w:jc w:val="center"/>
                    <w:rPr>
                      <w:bCs/>
                      <w:szCs w:val="21"/>
                    </w:rPr>
                  </w:pPr>
                  <w:r>
                    <w:rPr>
                      <w:rFonts w:hint="eastAsia"/>
                      <w:bCs/>
                      <w:szCs w:val="21"/>
                    </w:rPr>
                    <w:t>喷塑</w:t>
                  </w:r>
                  <w:r>
                    <w:rPr>
                      <w:bCs/>
                      <w:szCs w:val="21"/>
                    </w:rPr>
                    <w:t>粉尘</w:t>
                  </w:r>
                </w:p>
              </w:tc>
              <w:tc>
                <w:tcPr>
                  <w:tcW w:w="1694" w:type="pct"/>
                  <w:vAlign w:val="center"/>
                </w:tcPr>
                <w:p w14:paraId="51F879D1">
                  <w:pPr>
                    <w:adjustRightInd w:val="0"/>
                    <w:snapToGrid w:val="0"/>
                    <w:jc w:val="center"/>
                    <w:rPr>
                      <w:bCs/>
                      <w:szCs w:val="21"/>
                    </w:rPr>
                  </w:pPr>
                  <w:r>
                    <w:rPr>
                      <w:rFonts w:hint="eastAsia"/>
                      <w:bCs/>
                      <w:szCs w:val="21"/>
                    </w:rPr>
                    <w:t>静电喷涂塑粉</w:t>
                  </w:r>
                  <w:r>
                    <w:rPr>
                      <w:bCs/>
                      <w:szCs w:val="21"/>
                    </w:rPr>
                    <w:t>过程</w:t>
                  </w:r>
                </w:p>
              </w:tc>
              <w:tc>
                <w:tcPr>
                  <w:tcW w:w="1347" w:type="pct"/>
                  <w:vMerge w:val="continue"/>
                  <w:vAlign w:val="center"/>
                </w:tcPr>
                <w:p w14:paraId="1547344E">
                  <w:pPr>
                    <w:adjustRightInd w:val="0"/>
                    <w:snapToGrid w:val="0"/>
                    <w:jc w:val="center"/>
                    <w:rPr>
                      <w:bCs/>
                      <w:szCs w:val="21"/>
                    </w:rPr>
                  </w:pPr>
                </w:p>
              </w:tc>
            </w:tr>
            <w:tr w14:paraId="0680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08" w:type="pct"/>
                  <w:gridSpan w:val="2"/>
                  <w:vMerge w:val="continue"/>
                  <w:vAlign w:val="center"/>
                </w:tcPr>
                <w:p w14:paraId="64253A49">
                  <w:pPr>
                    <w:adjustRightInd w:val="0"/>
                    <w:snapToGrid w:val="0"/>
                    <w:jc w:val="center"/>
                    <w:rPr>
                      <w:bCs/>
                      <w:szCs w:val="21"/>
                    </w:rPr>
                  </w:pPr>
                </w:p>
              </w:tc>
              <w:tc>
                <w:tcPr>
                  <w:tcW w:w="1251" w:type="pct"/>
                  <w:vAlign w:val="center"/>
                </w:tcPr>
                <w:p w14:paraId="430448A5">
                  <w:pPr>
                    <w:adjustRightInd w:val="0"/>
                    <w:snapToGrid w:val="0"/>
                    <w:jc w:val="center"/>
                    <w:rPr>
                      <w:bCs/>
                      <w:szCs w:val="21"/>
                    </w:rPr>
                  </w:pPr>
                  <w:r>
                    <w:rPr>
                      <w:rFonts w:hint="eastAsia"/>
                      <w:bCs/>
                      <w:szCs w:val="21"/>
                    </w:rPr>
                    <w:t>喷漆废气</w:t>
                  </w:r>
                </w:p>
              </w:tc>
              <w:tc>
                <w:tcPr>
                  <w:tcW w:w="1694" w:type="pct"/>
                  <w:vAlign w:val="center"/>
                </w:tcPr>
                <w:p w14:paraId="5C97D901">
                  <w:pPr>
                    <w:adjustRightInd w:val="0"/>
                    <w:snapToGrid w:val="0"/>
                    <w:jc w:val="center"/>
                    <w:rPr>
                      <w:bCs/>
                      <w:szCs w:val="21"/>
                    </w:rPr>
                  </w:pPr>
                  <w:r>
                    <w:rPr>
                      <w:rFonts w:hint="eastAsia"/>
                      <w:bCs/>
                      <w:szCs w:val="21"/>
                    </w:rPr>
                    <w:t>喷漆过程</w:t>
                  </w:r>
                </w:p>
              </w:tc>
              <w:tc>
                <w:tcPr>
                  <w:tcW w:w="1347" w:type="pct"/>
                  <w:vAlign w:val="center"/>
                </w:tcPr>
                <w:p w14:paraId="209BCD5C">
                  <w:pPr>
                    <w:adjustRightInd w:val="0"/>
                    <w:snapToGrid w:val="0"/>
                    <w:jc w:val="center"/>
                    <w:rPr>
                      <w:bCs/>
                      <w:szCs w:val="21"/>
                    </w:rPr>
                  </w:pPr>
                  <w:r>
                    <w:rPr>
                      <w:rFonts w:hint="eastAsia"/>
                      <w:bCs/>
                      <w:szCs w:val="21"/>
                    </w:rPr>
                    <w:t>颗粒物、</w:t>
                  </w:r>
                  <w:r>
                    <w:rPr>
                      <w:bCs/>
                      <w:szCs w:val="21"/>
                    </w:rPr>
                    <w:t>非甲烷总烃</w:t>
                  </w:r>
                </w:p>
              </w:tc>
            </w:tr>
            <w:tr w14:paraId="717F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08" w:type="pct"/>
                  <w:gridSpan w:val="2"/>
                  <w:vMerge w:val="continue"/>
                  <w:vAlign w:val="center"/>
                </w:tcPr>
                <w:p w14:paraId="0D5E0265">
                  <w:pPr>
                    <w:adjustRightInd w:val="0"/>
                    <w:snapToGrid w:val="0"/>
                    <w:jc w:val="center"/>
                    <w:rPr>
                      <w:bCs/>
                      <w:szCs w:val="21"/>
                    </w:rPr>
                  </w:pPr>
                </w:p>
              </w:tc>
              <w:tc>
                <w:tcPr>
                  <w:tcW w:w="1251" w:type="pct"/>
                  <w:vAlign w:val="center"/>
                </w:tcPr>
                <w:p w14:paraId="7FECD670">
                  <w:pPr>
                    <w:adjustRightInd w:val="0"/>
                    <w:snapToGrid w:val="0"/>
                    <w:jc w:val="center"/>
                    <w:rPr>
                      <w:bCs/>
                      <w:szCs w:val="21"/>
                    </w:rPr>
                  </w:pPr>
                  <w:r>
                    <w:rPr>
                      <w:rFonts w:hint="eastAsia"/>
                      <w:bCs/>
                      <w:szCs w:val="21"/>
                    </w:rPr>
                    <w:t>烘箱有机</w:t>
                  </w:r>
                  <w:r>
                    <w:rPr>
                      <w:bCs/>
                      <w:szCs w:val="21"/>
                    </w:rPr>
                    <w:t>废气</w:t>
                  </w:r>
                </w:p>
              </w:tc>
              <w:tc>
                <w:tcPr>
                  <w:tcW w:w="1694" w:type="pct"/>
                  <w:vAlign w:val="center"/>
                </w:tcPr>
                <w:p w14:paraId="41DCD699">
                  <w:pPr>
                    <w:adjustRightInd w:val="0"/>
                    <w:snapToGrid w:val="0"/>
                    <w:jc w:val="center"/>
                    <w:rPr>
                      <w:bCs/>
                      <w:szCs w:val="21"/>
                    </w:rPr>
                  </w:pPr>
                  <w:r>
                    <w:rPr>
                      <w:rFonts w:hint="eastAsia"/>
                      <w:bCs/>
                      <w:szCs w:val="21"/>
                    </w:rPr>
                    <w:t>烘箱加热废气</w:t>
                  </w:r>
                </w:p>
              </w:tc>
              <w:tc>
                <w:tcPr>
                  <w:tcW w:w="1347" w:type="pct"/>
                  <w:vAlign w:val="center"/>
                </w:tcPr>
                <w:p w14:paraId="6C74CCF7">
                  <w:pPr>
                    <w:adjustRightInd w:val="0"/>
                    <w:snapToGrid w:val="0"/>
                    <w:jc w:val="center"/>
                    <w:rPr>
                      <w:bCs/>
                      <w:szCs w:val="21"/>
                    </w:rPr>
                  </w:pPr>
                  <w:r>
                    <w:rPr>
                      <w:bCs/>
                      <w:szCs w:val="21"/>
                    </w:rPr>
                    <w:t>非甲烷总烃</w:t>
                  </w:r>
                </w:p>
              </w:tc>
            </w:tr>
            <w:tr w14:paraId="63A3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08" w:type="pct"/>
                  <w:gridSpan w:val="2"/>
                  <w:vMerge w:val="continue"/>
                  <w:vAlign w:val="center"/>
                </w:tcPr>
                <w:p w14:paraId="01920D4F">
                  <w:pPr>
                    <w:adjustRightInd w:val="0"/>
                    <w:snapToGrid w:val="0"/>
                    <w:jc w:val="center"/>
                    <w:rPr>
                      <w:bCs/>
                      <w:szCs w:val="21"/>
                    </w:rPr>
                  </w:pPr>
                </w:p>
              </w:tc>
              <w:tc>
                <w:tcPr>
                  <w:tcW w:w="1251" w:type="pct"/>
                  <w:vAlign w:val="center"/>
                </w:tcPr>
                <w:p w14:paraId="3B4DC540">
                  <w:pPr>
                    <w:adjustRightInd w:val="0"/>
                    <w:snapToGrid w:val="0"/>
                    <w:jc w:val="center"/>
                    <w:rPr>
                      <w:bCs/>
                      <w:szCs w:val="21"/>
                    </w:rPr>
                  </w:pPr>
                  <w:r>
                    <w:rPr>
                      <w:rFonts w:hint="eastAsia"/>
                      <w:bCs/>
                      <w:szCs w:val="21"/>
                    </w:rPr>
                    <w:t>烘箱燃料燃烧废气</w:t>
                  </w:r>
                </w:p>
              </w:tc>
              <w:tc>
                <w:tcPr>
                  <w:tcW w:w="1694" w:type="pct"/>
                  <w:vAlign w:val="center"/>
                </w:tcPr>
                <w:p w14:paraId="2D19309D">
                  <w:pPr>
                    <w:adjustRightInd w:val="0"/>
                    <w:snapToGrid w:val="0"/>
                    <w:jc w:val="center"/>
                    <w:rPr>
                      <w:bCs/>
                      <w:szCs w:val="21"/>
                    </w:rPr>
                  </w:pPr>
                  <w:r>
                    <w:rPr>
                      <w:rFonts w:hint="eastAsia"/>
                      <w:bCs/>
                      <w:szCs w:val="21"/>
                    </w:rPr>
                    <w:t>燃料（天然气/液化石油气）</w:t>
                  </w:r>
                  <w:r>
                    <w:rPr>
                      <w:bCs/>
                      <w:szCs w:val="21"/>
                    </w:rPr>
                    <w:t>燃烧</w:t>
                  </w:r>
                  <w:r>
                    <w:rPr>
                      <w:rFonts w:hint="eastAsia"/>
                      <w:bCs/>
                      <w:szCs w:val="21"/>
                    </w:rPr>
                    <w:t>废气</w:t>
                  </w:r>
                </w:p>
              </w:tc>
              <w:tc>
                <w:tcPr>
                  <w:tcW w:w="1347" w:type="pct"/>
                  <w:vAlign w:val="center"/>
                </w:tcPr>
                <w:p w14:paraId="2691ECAE">
                  <w:pPr>
                    <w:adjustRightInd w:val="0"/>
                    <w:snapToGrid w:val="0"/>
                    <w:jc w:val="center"/>
                    <w:rPr>
                      <w:bCs/>
                      <w:szCs w:val="21"/>
                    </w:rPr>
                  </w:pPr>
                  <w:r>
                    <w:rPr>
                      <w:bCs/>
                      <w:szCs w:val="21"/>
                    </w:rPr>
                    <w:t>SO</w:t>
                  </w:r>
                  <w:r>
                    <w:rPr>
                      <w:bCs/>
                      <w:szCs w:val="21"/>
                      <w:vertAlign w:val="subscript"/>
                    </w:rPr>
                    <w:t>2</w:t>
                  </w:r>
                  <w:r>
                    <w:rPr>
                      <w:bCs/>
                      <w:szCs w:val="21"/>
                    </w:rPr>
                    <w:t>、NO</w:t>
                  </w:r>
                  <w:r>
                    <w:rPr>
                      <w:bCs/>
                      <w:szCs w:val="21"/>
                      <w:vertAlign w:val="subscript"/>
                    </w:rPr>
                    <w:t>X</w:t>
                  </w:r>
                  <w:r>
                    <w:rPr>
                      <w:bCs/>
                      <w:szCs w:val="21"/>
                    </w:rPr>
                    <w:t>、颗粒物</w:t>
                  </w:r>
                </w:p>
              </w:tc>
            </w:tr>
            <w:tr w14:paraId="0DA7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gridSpan w:val="2"/>
                  <w:vAlign w:val="center"/>
                </w:tcPr>
                <w:p w14:paraId="18887297">
                  <w:pPr>
                    <w:adjustRightInd w:val="0"/>
                    <w:snapToGrid w:val="0"/>
                    <w:jc w:val="center"/>
                    <w:rPr>
                      <w:bCs/>
                      <w:szCs w:val="21"/>
                    </w:rPr>
                  </w:pPr>
                  <w:r>
                    <w:rPr>
                      <w:bCs/>
                      <w:szCs w:val="21"/>
                    </w:rPr>
                    <w:t>废水</w:t>
                  </w:r>
                </w:p>
              </w:tc>
              <w:tc>
                <w:tcPr>
                  <w:tcW w:w="1251" w:type="pct"/>
                  <w:vAlign w:val="center"/>
                </w:tcPr>
                <w:p w14:paraId="08163F1F">
                  <w:pPr>
                    <w:adjustRightInd w:val="0"/>
                    <w:snapToGrid w:val="0"/>
                    <w:jc w:val="center"/>
                    <w:rPr>
                      <w:bCs/>
                      <w:szCs w:val="21"/>
                    </w:rPr>
                  </w:pPr>
                  <w:r>
                    <w:rPr>
                      <w:bCs/>
                      <w:szCs w:val="21"/>
                    </w:rPr>
                    <w:t>员工生活</w:t>
                  </w:r>
                </w:p>
              </w:tc>
              <w:tc>
                <w:tcPr>
                  <w:tcW w:w="1694" w:type="pct"/>
                  <w:vAlign w:val="center"/>
                </w:tcPr>
                <w:p w14:paraId="4DA65C5F">
                  <w:pPr>
                    <w:adjustRightInd w:val="0"/>
                    <w:snapToGrid w:val="0"/>
                    <w:jc w:val="center"/>
                    <w:rPr>
                      <w:bCs/>
                      <w:szCs w:val="21"/>
                    </w:rPr>
                  </w:pPr>
                  <w:r>
                    <w:rPr>
                      <w:bCs/>
                      <w:szCs w:val="21"/>
                    </w:rPr>
                    <w:t>生活污水</w:t>
                  </w:r>
                </w:p>
              </w:tc>
              <w:tc>
                <w:tcPr>
                  <w:tcW w:w="1347" w:type="pct"/>
                  <w:vAlign w:val="center"/>
                </w:tcPr>
                <w:p w14:paraId="0B5B059E">
                  <w:pPr>
                    <w:adjustRightInd w:val="0"/>
                    <w:snapToGrid w:val="0"/>
                    <w:jc w:val="center"/>
                    <w:rPr>
                      <w:bCs/>
                      <w:szCs w:val="21"/>
                    </w:rPr>
                  </w:pPr>
                  <w:r>
                    <w:rPr>
                      <w:bCs/>
                      <w:szCs w:val="21"/>
                    </w:rPr>
                    <w:t>COD、BOD</w:t>
                  </w:r>
                  <w:r>
                    <w:rPr>
                      <w:bCs/>
                      <w:szCs w:val="21"/>
                      <w:vertAlign w:val="subscript"/>
                    </w:rPr>
                    <w:t>5</w:t>
                  </w:r>
                  <w:r>
                    <w:rPr>
                      <w:bCs/>
                      <w:szCs w:val="21"/>
                    </w:rPr>
                    <w:t>、NH</w:t>
                  </w:r>
                  <w:r>
                    <w:rPr>
                      <w:bCs/>
                      <w:szCs w:val="21"/>
                      <w:vertAlign w:val="subscript"/>
                    </w:rPr>
                    <w:t>3</w:t>
                  </w:r>
                  <w:r>
                    <w:rPr>
                      <w:bCs/>
                      <w:szCs w:val="21"/>
                    </w:rPr>
                    <w:t>-N、SS</w:t>
                  </w:r>
                </w:p>
              </w:tc>
            </w:tr>
            <w:tr w14:paraId="188F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restart"/>
                  <w:vAlign w:val="center"/>
                </w:tcPr>
                <w:p w14:paraId="3BEC4E7E">
                  <w:pPr>
                    <w:adjustRightInd w:val="0"/>
                    <w:snapToGrid w:val="0"/>
                    <w:jc w:val="center"/>
                    <w:rPr>
                      <w:bCs/>
                      <w:szCs w:val="21"/>
                    </w:rPr>
                  </w:pPr>
                  <w:r>
                    <w:rPr>
                      <w:bCs/>
                      <w:szCs w:val="21"/>
                    </w:rPr>
                    <w:t>固废</w:t>
                  </w:r>
                </w:p>
              </w:tc>
              <w:tc>
                <w:tcPr>
                  <w:tcW w:w="440" w:type="pct"/>
                  <w:vAlign w:val="center"/>
                </w:tcPr>
                <w:p w14:paraId="4868827E">
                  <w:pPr>
                    <w:adjustRightInd w:val="0"/>
                    <w:snapToGrid w:val="0"/>
                    <w:jc w:val="center"/>
                    <w:rPr>
                      <w:bCs/>
                      <w:szCs w:val="21"/>
                    </w:rPr>
                  </w:pPr>
                  <w:r>
                    <w:rPr>
                      <w:bCs/>
                      <w:szCs w:val="21"/>
                    </w:rPr>
                    <w:t>生活垃圾</w:t>
                  </w:r>
                </w:p>
              </w:tc>
              <w:tc>
                <w:tcPr>
                  <w:tcW w:w="1251" w:type="pct"/>
                  <w:vAlign w:val="center"/>
                </w:tcPr>
                <w:p w14:paraId="665E7DDA">
                  <w:pPr>
                    <w:adjustRightInd w:val="0"/>
                    <w:snapToGrid w:val="0"/>
                    <w:jc w:val="center"/>
                    <w:rPr>
                      <w:bCs/>
                      <w:szCs w:val="21"/>
                    </w:rPr>
                  </w:pPr>
                  <w:r>
                    <w:rPr>
                      <w:bCs/>
                      <w:szCs w:val="21"/>
                    </w:rPr>
                    <w:t>员工日常工作</w:t>
                  </w:r>
                </w:p>
              </w:tc>
              <w:tc>
                <w:tcPr>
                  <w:tcW w:w="1694" w:type="pct"/>
                  <w:vAlign w:val="center"/>
                </w:tcPr>
                <w:p w14:paraId="200566D6">
                  <w:pPr>
                    <w:adjustRightInd w:val="0"/>
                    <w:snapToGrid w:val="0"/>
                    <w:jc w:val="center"/>
                    <w:rPr>
                      <w:bCs/>
                      <w:szCs w:val="21"/>
                    </w:rPr>
                  </w:pPr>
                  <w:r>
                    <w:rPr>
                      <w:bCs/>
                      <w:szCs w:val="21"/>
                    </w:rPr>
                    <w:t>生活垃圾</w:t>
                  </w:r>
                </w:p>
              </w:tc>
              <w:tc>
                <w:tcPr>
                  <w:tcW w:w="1347" w:type="pct"/>
                  <w:vMerge w:val="restart"/>
                  <w:vAlign w:val="center"/>
                </w:tcPr>
                <w:p w14:paraId="567E6AC1">
                  <w:pPr>
                    <w:adjustRightInd w:val="0"/>
                    <w:snapToGrid w:val="0"/>
                    <w:jc w:val="center"/>
                    <w:rPr>
                      <w:bCs/>
                      <w:szCs w:val="21"/>
                    </w:rPr>
                  </w:pPr>
                  <w:r>
                    <w:rPr>
                      <w:bCs/>
                      <w:szCs w:val="21"/>
                    </w:rPr>
                    <w:t>/</w:t>
                  </w:r>
                </w:p>
              </w:tc>
            </w:tr>
            <w:tr w14:paraId="5B5E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68" w:type="pct"/>
                  <w:vMerge w:val="continue"/>
                  <w:vAlign w:val="center"/>
                </w:tcPr>
                <w:p w14:paraId="49F85A2A">
                  <w:pPr>
                    <w:adjustRightInd w:val="0"/>
                    <w:snapToGrid w:val="0"/>
                    <w:jc w:val="center"/>
                    <w:rPr>
                      <w:bCs/>
                      <w:szCs w:val="21"/>
                    </w:rPr>
                  </w:pPr>
                </w:p>
              </w:tc>
              <w:tc>
                <w:tcPr>
                  <w:tcW w:w="440" w:type="pct"/>
                  <w:vAlign w:val="center"/>
                </w:tcPr>
                <w:p w14:paraId="2AD668FC">
                  <w:pPr>
                    <w:adjustRightInd w:val="0"/>
                    <w:snapToGrid w:val="0"/>
                    <w:jc w:val="center"/>
                    <w:rPr>
                      <w:bCs/>
                      <w:szCs w:val="21"/>
                    </w:rPr>
                  </w:pPr>
                  <w:r>
                    <w:rPr>
                      <w:bCs/>
                      <w:szCs w:val="21"/>
                    </w:rPr>
                    <w:t>一般固废</w:t>
                  </w:r>
                </w:p>
              </w:tc>
              <w:tc>
                <w:tcPr>
                  <w:tcW w:w="1251" w:type="pct"/>
                  <w:vAlign w:val="center"/>
                </w:tcPr>
                <w:p w14:paraId="1C9B050D">
                  <w:pPr>
                    <w:adjustRightInd w:val="0"/>
                    <w:snapToGrid w:val="0"/>
                    <w:jc w:val="center"/>
                    <w:rPr>
                      <w:bCs/>
                      <w:szCs w:val="21"/>
                    </w:rPr>
                  </w:pPr>
                  <w:r>
                    <w:rPr>
                      <w:bCs/>
                      <w:szCs w:val="21"/>
                    </w:rPr>
                    <w:t>生产过程</w:t>
                  </w:r>
                </w:p>
              </w:tc>
              <w:tc>
                <w:tcPr>
                  <w:tcW w:w="1694" w:type="pct"/>
                  <w:vAlign w:val="center"/>
                </w:tcPr>
                <w:p w14:paraId="6272A514">
                  <w:pPr>
                    <w:adjustRightInd w:val="0"/>
                    <w:snapToGrid w:val="0"/>
                    <w:jc w:val="center"/>
                    <w:rPr>
                      <w:bCs/>
                      <w:szCs w:val="21"/>
                    </w:rPr>
                  </w:pPr>
                  <w:r>
                    <w:rPr>
                      <w:rFonts w:hint="eastAsia"/>
                      <w:bCs/>
                      <w:szCs w:val="21"/>
                    </w:rPr>
                    <w:t>废</w:t>
                  </w:r>
                  <w:r>
                    <w:rPr>
                      <w:bCs/>
                      <w:szCs w:val="21"/>
                    </w:rPr>
                    <w:t>金属边角料、废焊渣、除尘器收集的除尘灰、</w:t>
                  </w:r>
                  <w:r>
                    <w:rPr>
                      <w:rFonts w:hint="eastAsia"/>
                      <w:bCs/>
                      <w:szCs w:val="21"/>
                    </w:rPr>
                    <w:t>废包装材料、</w:t>
                  </w:r>
                  <w:r>
                    <w:rPr>
                      <w:bCs/>
                      <w:szCs w:val="21"/>
                    </w:rPr>
                    <w:t>废</w:t>
                  </w:r>
                  <w:r>
                    <w:rPr>
                      <w:rFonts w:hint="eastAsia"/>
                      <w:bCs/>
                      <w:szCs w:val="21"/>
                    </w:rPr>
                    <w:t>水性漆漆桶、废水性漆漆渣</w:t>
                  </w:r>
                </w:p>
              </w:tc>
              <w:tc>
                <w:tcPr>
                  <w:tcW w:w="1347" w:type="pct"/>
                  <w:vMerge w:val="continue"/>
                  <w:vAlign w:val="center"/>
                </w:tcPr>
                <w:p w14:paraId="694D6F5B">
                  <w:pPr>
                    <w:adjustRightInd w:val="0"/>
                    <w:snapToGrid w:val="0"/>
                    <w:jc w:val="center"/>
                    <w:rPr>
                      <w:bCs/>
                      <w:szCs w:val="21"/>
                    </w:rPr>
                  </w:pPr>
                </w:p>
              </w:tc>
            </w:tr>
            <w:tr w14:paraId="1F28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268" w:type="pct"/>
                  <w:vMerge w:val="continue"/>
                  <w:vAlign w:val="center"/>
                </w:tcPr>
                <w:p w14:paraId="2437A6BA">
                  <w:pPr>
                    <w:adjustRightInd w:val="0"/>
                    <w:snapToGrid w:val="0"/>
                    <w:jc w:val="center"/>
                    <w:rPr>
                      <w:bCs/>
                      <w:szCs w:val="21"/>
                    </w:rPr>
                  </w:pPr>
                </w:p>
              </w:tc>
              <w:tc>
                <w:tcPr>
                  <w:tcW w:w="440" w:type="pct"/>
                  <w:vMerge w:val="restart"/>
                  <w:vAlign w:val="center"/>
                </w:tcPr>
                <w:p w14:paraId="6758B152">
                  <w:pPr>
                    <w:adjustRightInd w:val="0"/>
                    <w:snapToGrid w:val="0"/>
                    <w:jc w:val="center"/>
                    <w:rPr>
                      <w:bCs/>
                      <w:szCs w:val="21"/>
                    </w:rPr>
                  </w:pPr>
                  <w:r>
                    <w:rPr>
                      <w:bCs/>
                      <w:szCs w:val="21"/>
                    </w:rPr>
                    <w:t>危险废物</w:t>
                  </w:r>
                </w:p>
              </w:tc>
              <w:tc>
                <w:tcPr>
                  <w:tcW w:w="1251" w:type="pct"/>
                  <w:vAlign w:val="center"/>
                </w:tcPr>
                <w:p w14:paraId="659E22B3">
                  <w:pPr>
                    <w:adjustRightInd w:val="0"/>
                    <w:snapToGrid w:val="0"/>
                    <w:jc w:val="center"/>
                    <w:rPr>
                      <w:bCs/>
                      <w:szCs w:val="21"/>
                    </w:rPr>
                  </w:pPr>
                  <w:r>
                    <w:rPr>
                      <w:bCs/>
                      <w:szCs w:val="21"/>
                    </w:rPr>
                    <w:t>设备维修</w:t>
                  </w:r>
                </w:p>
              </w:tc>
              <w:tc>
                <w:tcPr>
                  <w:tcW w:w="1694" w:type="pct"/>
                  <w:vAlign w:val="center"/>
                </w:tcPr>
                <w:p w14:paraId="62FB994C">
                  <w:pPr>
                    <w:adjustRightInd w:val="0"/>
                    <w:snapToGrid w:val="0"/>
                    <w:jc w:val="center"/>
                    <w:rPr>
                      <w:bCs/>
                      <w:szCs w:val="21"/>
                    </w:rPr>
                  </w:pPr>
                  <w:r>
                    <w:rPr>
                      <w:bCs/>
                      <w:szCs w:val="21"/>
                    </w:rPr>
                    <w:t>废机油、含油手套、抹布</w:t>
                  </w:r>
                </w:p>
              </w:tc>
              <w:tc>
                <w:tcPr>
                  <w:tcW w:w="1347" w:type="pct"/>
                  <w:vMerge w:val="continue"/>
                  <w:vAlign w:val="center"/>
                </w:tcPr>
                <w:p w14:paraId="56111E1C">
                  <w:pPr>
                    <w:adjustRightInd w:val="0"/>
                    <w:snapToGrid w:val="0"/>
                    <w:jc w:val="center"/>
                    <w:rPr>
                      <w:bCs/>
                      <w:szCs w:val="21"/>
                    </w:rPr>
                  </w:pPr>
                </w:p>
              </w:tc>
            </w:tr>
            <w:tr w14:paraId="300F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continue"/>
                  <w:vAlign w:val="center"/>
                </w:tcPr>
                <w:p w14:paraId="78D18B07">
                  <w:pPr>
                    <w:adjustRightInd w:val="0"/>
                    <w:snapToGrid w:val="0"/>
                    <w:jc w:val="center"/>
                    <w:rPr>
                      <w:bCs/>
                      <w:szCs w:val="21"/>
                    </w:rPr>
                  </w:pPr>
                </w:p>
              </w:tc>
              <w:tc>
                <w:tcPr>
                  <w:tcW w:w="440" w:type="pct"/>
                  <w:vMerge w:val="continue"/>
                  <w:vAlign w:val="center"/>
                </w:tcPr>
                <w:p w14:paraId="71C53ED4">
                  <w:pPr>
                    <w:adjustRightInd w:val="0"/>
                    <w:snapToGrid w:val="0"/>
                    <w:jc w:val="center"/>
                    <w:rPr>
                      <w:bCs/>
                      <w:szCs w:val="21"/>
                    </w:rPr>
                  </w:pPr>
                </w:p>
              </w:tc>
              <w:tc>
                <w:tcPr>
                  <w:tcW w:w="1251" w:type="pct"/>
                  <w:vAlign w:val="center"/>
                </w:tcPr>
                <w:p w14:paraId="737882B0">
                  <w:pPr>
                    <w:adjustRightInd w:val="0"/>
                    <w:snapToGrid w:val="0"/>
                    <w:jc w:val="center"/>
                    <w:rPr>
                      <w:bCs/>
                      <w:szCs w:val="21"/>
                    </w:rPr>
                  </w:pPr>
                  <w:r>
                    <w:rPr>
                      <w:bCs/>
                      <w:szCs w:val="21"/>
                    </w:rPr>
                    <w:t>废气处理设备</w:t>
                  </w:r>
                </w:p>
              </w:tc>
              <w:tc>
                <w:tcPr>
                  <w:tcW w:w="1694" w:type="pct"/>
                  <w:vAlign w:val="center"/>
                </w:tcPr>
                <w:p w14:paraId="6C940113">
                  <w:pPr>
                    <w:adjustRightInd w:val="0"/>
                    <w:snapToGrid w:val="0"/>
                    <w:jc w:val="center"/>
                    <w:rPr>
                      <w:bCs/>
                      <w:szCs w:val="21"/>
                    </w:rPr>
                  </w:pPr>
                  <w:r>
                    <w:rPr>
                      <w:bCs/>
                      <w:szCs w:val="21"/>
                    </w:rPr>
                    <w:t>废活性炭</w:t>
                  </w:r>
                  <w:r>
                    <w:rPr>
                      <w:rFonts w:hint="eastAsia"/>
                      <w:bCs/>
                      <w:szCs w:val="21"/>
                    </w:rPr>
                    <w:t>、过滤棉</w:t>
                  </w:r>
                </w:p>
              </w:tc>
              <w:tc>
                <w:tcPr>
                  <w:tcW w:w="1347" w:type="pct"/>
                  <w:vMerge w:val="continue"/>
                  <w:vAlign w:val="center"/>
                </w:tcPr>
                <w:p w14:paraId="4B174266">
                  <w:pPr>
                    <w:adjustRightInd w:val="0"/>
                    <w:snapToGrid w:val="0"/>
                    <w:jc w:val="center"/>
                    <w:rPr>
                      <w:bCs/>
                      <w:szCs w:val="21"/>
                    </w:rPr>
                  </w:pPr>
                </w:p>
              </w:tc>
            </w:tr>
            <w:tr w14:paraId="4BED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gridSpan w:val="2"/>
                  <w:vAlign w:val="center"/>
                </w:tcPr>
                <w:p w14:paraId="666FDC7C">
                  <w:pPr>
                    <w:adjustRightInd w:val="0"/>
                    <w:snapToGrid w:val="0"/>
                    <w:jc w:val="center"/>
                    <w:rPr>
                      <w:bCs/>
                      <w:szCs w:val="21"/>
                    </w:rPr>
                  </w:pPr>
                  <w:r>
                    <w:rPr>
                      <w:bCs/>
                      <w:szCs w:val="21"/>
                    </w:rPr>
                    <w:t>噪声</w:t>
                  </w:r>
                </w:p>
              </w:tc>
              <w:tc>
                <w:tcPr>
                  <w:tcW w:w="4292" w:type="pct"/>
                  <w:gridSpan w:val="3"/>
                  <w:vAlign w:val="center"/>
                </w:tcPr>
                <w:p w14:paraId="4521448C">
                  <w:pPr>
                    <w:adjustRightInd w:val="0"/>
                    <w:snapToGrid w:val="0"/>
                    <w:jc w:val="center"/>
                    <w:rPr>
                      <w:bCs/>
                      <w:szCs w:val="21"/>
                    </w:rPr>
                  </w:pPr>
                  <w:r>
                    <w:rPr>
                      <w:szCs w:val="21"/>
                    </w:rPr>
                    <w:t>本项目运营期噪声污染源主要是来自生产设备的噪声，各生产线设备噪声源强在75～</w:t>
                  </w:r>
                  <w:r>
                    <w:rPr>
                      <w:rFonts w:hint="eastAsia"/>
                      <w:szCs w:val="21"/>
                    </w:rPr>
                    <w:t>90</w:t>
                  </w:r>
                  <w:r>
                    <w:rPr>
                      <w:szCs w:val="21"/>
                    </w:rPr>
                    <w:t>dB(A)之间，经采取设备减振及厂房隔声等措施治理后噪声值为55～70dB(A)</w:t>
                  </w:r>
                </w:p>
              </w:tc>
            </w:tr>
          </w:tbl>
          <w:p w14:paraId="0D26ED28">
            <w:pPr>
              <w:adjustRightInd w:val="0"/>
              <w:snapToGrid w:val="0"/>
              <w:spacing w:line="360" w:lineRule="auto"/>
              <w:ind w:firstLine="480" w:firstLineChars="200"/>
              <w:jc w:val="center"/>
              <w:rPr>
                <w:bCs/>
                <w:sz w:val="24"/>
              </w:rPr>
            </w:pPr>
          </w:p>
        </w:tc>
      </w:tr>
      <w:tr w14:paraId="7E60C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823" w:type="dxa"/>
            <w:vAlign w:val="center"/>
          </w:tcPr>
          <w:p w14:paraId="2FA63C20">
            <w:pPr>
              <w:pStyle w:val="17"/>
              <w:adjustRightInd w:val="0"/>
              <w:snapToGrid w:val="0"/>
              <w:spacing w:before="0" w:beforeAutospacing="0" w:after="0" w:afterAutospacing="0"/>
              <w:jc w:val="center"/>
              <w:rPr>
                <w:rFonts w:ascii="Times New Roman" w:hAnsi="Times New Roman"/>
                <w:szCs w:val="24"/>
              </w:rPr>
            </w:pPr>
            <w:r>
              <w:rPr>
                <w:rFonts w:ascii="Times New Roman"/>
                <w:bCs/>
                <w:kern w:val="2"/>
                <w:szCs w:val="24"/>
              </w:rPr>
              <w:t>与项目有关的原有环境污染问题</w:t>
            </w:r>
          </w:p>
        </w:tc>
        <w:tc>
          <w:tcPr>
            <w:tcW w:w="8161" w:type="dxa"/>
          </w:tcPr>
          <w:p w14:paraId="091211EA">
            <w:pPr>
              <w:spacing w:line="360" w:lineRule="auto"/>
              <w:rPr>
                <w:b/>
                <w:sz w:val="24"/>
              </w:rPr>
            </w:pPr>
            <w:r>
              <w:rPr>
                <w:b/>
                <w:sz w:val="24"/>
              </w:rPr>
              <w:t>2.3与本项目有关的原有污染情况及主要环境问题</w:t>
            </w:r>
          </w:p>
          <w:p w14:paraId="08773679">
            <w:pPr>
              <w:pStyle w:val="2"/>
              <w:spacing w:after="0" w:line="360" w:lineRule="auto"/>
              <w:ind w:left="0" w:leftChars="0" w:firstLine="480"/>
              <w:rPr>
                <w:sz w:val="24"/>
              </w:rPr>
            </w:pPr>
            <w:r>
              <w:rPr>
                <w:sz w:val="24"/>
              </w:rPr>
              <w:t>本项目为新建项目，根据现场勘查，项目租赁</w:t>
            </w:r>
            <w:r>
              <w:rPr>
                <w:rFonts w:hint="eastAsia"/>
                <w:bCs/>
                <w:sz w:val="24"/>
              </w:rPr>
              <w:t>陕西敏瑞建筑科技有限公司鄠邑区分公司</w:t>
            </w:r>
            <w:r>
              <w:rPr>
                <w:sz w:val="24"/>
              </w:rPr>
              <w:t>空置</w:t>
            </w:r>
            <w:r>
              <w:rPr>
                <w:rFonts w:hint="eastAsia"/>
                <w:sz w:val="24"/>
              </w:rPr>
              <w:t>9#</w:t>
            </w:r>
            <w:r>
              <w:rPr>
                <w:sz w:val="24"/>
              </w:rPr>
              <w:t>厂房及厂房现有的办公区</w:t>
            </w:r>
            <w:r>
              <w:rPr>
                <w:rFonts w:hint="eastAsia"/>
                <w:sz w:val="24"/>
              </w:rPr>
              <w:t>。</w:t>
            </w:r>
          </w:p>
          <w:p w14:paraId="6350798C">
            <w:pPr>
              <w:pStyle w:val="2"/>
              <w:spacing w:after="0" w:line="360" w:lineRule="auto"/>
              <w:ind w:left="0" w:leftChars="0" w:firstLine="480"/>
              <w:rPr>
                <w:kern w:val="0"/>
                <w:sz w:val="24"/>
              </w:rPr>
            </w:pPr>
            <w:r>
              <w:rPr>
                <w:rFonts w:hint="eastAsia"/>
                <w:kern w:val="0"/>
                <w:sz w:val="24"/>
              </w:rPr>
              <w:t>陕西敏瑞建筑科技有限公司环评手续情况：2018年5月，陕西敏瑞建筑科技有限公司鄠邑区分公司委托青岛华益环保科技有限公司编制了《陕西敏瑞建筑科技有限公司鄠邑区分公司建设节能保温材料生产线项目环境影响报告表》，于2018年10月16日取得了西安市生态环境局鄠邑分局《关于陕西敏瑞建筑科技有限公司鄠邑区分公司建设节能保温材料生产线项目环境影响报告表的批复》（鄠环批复[2018]69号）。西安市生态环境局鄠邑分局以鄠环验[2019]74号文对《陕西敏瑞建筑科技有限公司鄠邑区分公司建设节能保温材料生产线项目（固体废物污染防治设施）竣工环境保护验收报告表》进行了批复；陕西敏瑞建筑科技有限公司共建设1#-13#厂房，目前其仅使用11#车间，其余车间均已出租。根据陕西敏瑞建筑科技有限公司鄠邑区分公司建设节能保温材料生产线项目验收监测数据，废气、废水。噪声均满足相关标准。</w:t>
            </w:r>
          </w:p>
          <w:p w14:paraId="525A1F37">
            <w:pPr>
              <w:autoSpaceDE w:val="0"/>
              <w:autoSpaceDN w:val="0"/>
              <w:adjustRightInd w:val="0"/>
              <w:spacing w:line="360" w:lineRule="auto"/>
              <w:ind w:firstLine="480" w:firstLineChars="200"/>
              <w:jc w:val="left"/>
              <w:rPr>
                <w:kern w:val="0"/>
                <w:sz w:val="24"/>
              </w:rPr>
            </w:pPr>
            <w:r>
              <w:rPr>
                <w:kern w:val="0"/>
                <w:sz w:val="24"/>
              </w:rPr>
              <w:t>本项目入驻时为</w:t>
            </w:r>
            <w:r>
              <w:rPr>
                <w:rFonts w:hint="eastAsia"/>
                <w:kern w:val="0"/>
                <w:sz w:val="24"/>
              </w:rPr>
              <w:t>陕西敏瑞建筑科技有限公司已完成主体厂房及配套设施建设，本项目供水、供电公辅设施和雨污管网，污水处理设施均依托陕西敏瑞建筑科技有限公司已建设施。本项目租赁其已建成标准</w:t>
            </w:r>
            <w:r>
              <w:rPr>
                <w:kern w:val="0"/>
                <w:sz w:val="24"/>
              </w:rPr>
              <w:t>空置厂房</w:t>
            </w:r>
            <w:r>
              <w:rPr>
                <w:rFonts w:hint="eastAsia"/>
                <w:kern w:val="0"/>
                <w:sz w:val="24"/>
              </w:rPr>
              <w:t>用于本项目建设。本项目为新建项目，在本项目租赁前，该生产厂房已全部清理干净，</w:t>
            </w:r>
            <w:r>
              <w:rPr>
                <w:kern w:val="0"/>
                <w:sz w:val="24"/>
              </w:rPr>
              <w:t>因此不存在与本项目有关的原有污染情况。</w:t>
            </w:r>
          </w:p>
          <w:p w14:paraId="06AD4E76">
            <w:pPr>
              <w:pStyle w:val="2"/>
            </w:pPr>
          </w:p>
          <w:p w14:paraId="1947BC94"/>
          <w:p w14:paraId="7BD1FB88">
            <w:pPr>
              <w:pStyle w:val="2"/>
              <w:ind w:left="0" w:leftChars="0" w:firstLine="0" w:firstLineChars="0"/>
            </w:pPr>
          </w:p>
          <w:p w14:paraId="2478D0F8"/>
          <w:p w14:paraId="1D9BD03A">
            <w:pPr>
              <w:pStyle w:val="2"/>
            </w:pPr>
          </w:p>
          <w:p w14:paraId="51D2A81F"/>
          <w:p w14:paraId="0466A5EA">
            <w:pPr>
              <w:pStyle w:val="2"/>
            </w:pPr>
          </w:p>
          <w:p w14:paraId="2170A524"/>
          <w:p w14:paraId="14C0EEDC">
            <w:pPr>
              <w:pStyle w:val="2"/>
            </w:pPr>
          </w:p>
          <w:p w14:paraId="61D46801"/>
          <w:p w14:paraId="7BF017CC">
            <w:pPr>
              <w:pStyle w:val="2"/>
            </w:pPr>
          </w:p>
          <w:p w14:paraId="269F61E5"/>
          <w:p w14:paraId="453693F8">
            <w:pPr>
              <w:pStyle w:val="2"/>
            </w:pPr>
          </w:p>
          <w:p w14:paraId="393D1D91"/>
          <w:p w14:paraId="5635CF34">
            <w:pPr>
              <w:pStyle w:val="2"/>
            </w:pPr>
          </w:p>
          <w:p w14:paraId="22ABE171"/>
          <w:p w14:paraId="4E5762F0">
            <w:pPr>
              <w:pStyle w:val="2"/>
            </w:pPr>
          </w:p>
          <w:p w14:paraId="0AC8684D"/>
          <w:p w14:paraId="57F82EF7">
            <w:pPr>
              <w:pStyle w:val="2"/>
            </w:pPr>
          </w:p>
          <w:p w14:paraId="2D4A2CBE"/>
          <w:p w14:paraId="23818A0E">
            <w:pPr>
              <w:pStyle w:val="2"/>
            </w:pPr>
          </w:p>
          <w:p w14:paraId="4567BB75"/>
          <w:p w14:paraId="43684D76">
            <w:pPr>
              <w:pStyle w:val="2"/>
              <w:ind w:left="0" w:leftChars="0" w:firstLine="0" w:firstLineChars="0"/>
            </w:pPr>
          </w:p>
        </w:tc>
      </w:tr>
    </w:tbl>
    <w:p w14:paraId="21BBEAA4">
      <w:pPr>
        <w:pStyle w:val="17"/>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52C06125">
      <w:pPr>
        <w:pStyle w:val="17"/>
        <w:adjustRightInd w:val="0"/>
        <w:snapToGrid w:val="0"/>
        <w:spacing w:before="0" w:beforeAutospacing="0" w:after="0" w:afterAutospacing="0" w:line="14" w:lineRule="auto"/>
        <w:jc w:val="center"/>
        <w:outlineLvl w:val="0"/>
        <w:rPr>
          <w:rFonts w:ascii="黑体" w:hAnsi="黑体" w:eastAsia="黑体"/>
          <w:snapToGrid w:val="0"/>
          <w:sz w:val="30"/>
          <w:szCs w:val="30"/>
        </w:rPr>
      </w:pPr>
    </w:p>
    <w:p w14:paraId="15400D3D">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8652"/>
      </w:tblGrid>
      <w:tr w14:paraId="75D8B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9" w:hRule="atLeast"/>
          <w:jc w:val="center"/>
        </w:trPr>
        <w:tc>
          <w:tcPr>
            <w:tcW w:w="800" w:type="dxa"/>
            <w:vAlign w:val="center"/>
          </w:tcPr>
          <w:p w14:paraId="22AB46BC">
            <w:pPr>
              <w:adjustRightInd w:val="0"/>
              <w:snapToGrid w:val="0"/>
              <w:jc w:val="center"/>
              <w:rPr>
                <w:rFonts w:ascii="宋体" w:hAnsi="宋体" w:cs="宋体"/>
                <w:kern w:val="0"/>
                <w:szCs w:val="21"/>
              </w:rPr>
            </w:pPr>
            <w:r>
              <w:rPr>
                <w:rFonts w:hint="eastAsia" w:ascii="宋体" w:hAnsi="宋体" w:cs="宋体"/>
                <w:kern w:val="0"/>
                <w:szCs w:val="21"/>
              </w:rPr>
              <w:t>区域</w:t>
            </w:r>
          </w:p>
          <w:p w14:paraId="0A2E3325">
            <w:pPr>
              <w:adjustRightInd w:val="0"/>
              <w:snapToGrid w:val="0"/>
              <w:jc w:val="center"/>
              <w:rPr>
                <w:rFonts w:ascii="宋体" w:hAnsi="宋体" w:cs="宋体"/>
                <w:kern w:val="0"/>
                <w:szCs w:val="21"/>
              </w:rPr>
            </w:pPr>
            <w:r>
              <w:rPr>
                <w:rFonts w:hint="eastAsia" w:ascii="宋体" w:hAnsi="宋体" w:cs="宋体"/>
                <w:kern w:val="0"/>
                <w:szCs w:val="21"/>
              </w:rPr>
              <w:t>环境</w:t>
            </w:r>
          </w:p>
          <w:p w14:paraId="1135ACCC">
            <w:pPr>
              <w:adjustRightInd w:val="0"/>
              <w:snapToGrid w:val="0"/>
              <w:jc w:val="center"/>
              <w:rPr>
                <w:rFonts w:ascii="宋体" w:hAnsi="宋体" w:cs="宋体"/>
                <w:kern w:val="0"/>
                <w:szCs w:val="21"/>
              </w:rPr>
            </w:pPr>
            <w:r>
              <w:rPr>
                <w:rFonts w:hint="eastAsia" w:ascii="宋体" w:hAnsi="宋体" w:cs="宋体"/>
                <w:kern w:val="0"/>
                <w:szCs w:val="21"/>
              </w:rPr>
              <w:t>质量</w:t>
            </w:r>
          </w:p>
          <w:p w14:paraId="4A3CDDCE">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14:paraId="37FDC5E4">
            <w:pPr>
              <w:spacing w:line="360" w:lineRule="auto"/>
              <w:rPr>
                <w:rStyle w:val="44"/>
                <w:b/>
                <w:sz w:val="24"/>
              </w:rPr>
            </w:pPr>
            <w:r>
              <w:rPr>
                <w:rStyle w:val="44"/>
                <w:b/>
                <w:sz w:val="24"/>
              </w:rPr>
              <w:t>建设项目所在地区域环境质量现状及主要环境问题</w:t>
            </w:r>
          </w:p>
          <w:p w14:paraId="6E762964">
            <w:pPr>
              <w:spacing w:line="360" w:lineRule="auto"/>
              <w:rPr>
                <w:rStyle w:val="44"/>
                <w:b/>
                <w:sz w:val="24"/>
              </w:rPr>
            </w:pPr>
            <w:r>
              <w:rPr>
                <w:rStyle w:val="44"/>
                <w:sz w:val="24"/>
              </w:rPr>
              <w:t>建设项目所在地区域环境质量现状及主要环境问题</w:t>
            </w:r>
          </w:p>
          <w:p w14:paraId="1CE03AFC">
            <w:pPr>
              <w:adjustRightInd w:val="0"/>
              <w:snapToGrid w:val="0"/>
              <w:spacing w:line="360" w:lineRule="auto"/>
              <w:ind w:firstLine="482" w:firstLineChars="200"/>
              <w:rPr>
                <w:b/>
                <w:sz w:val="24"/>
                <w:szCs w:val="22"/>
              </w:rPr>
            </w:pPr>
            <w:r>
              <w:rPr>
                <w:b/>
                <w:sz w:val="24"/>
                <w:szCs w:val="22"/>
              </w:rPr>
              <w:t>1、环境空气质量</w:t>
            </w:r>
          </w:p>
          <w:p w14:paraId="430493A4">
            <w:pPr>
              <w:adjustRightInd w:val="0"/>
              <w:spacing w:line="360" w:lineRule="auto"/>
              <w:ind w:firstLine="480" w:firstLineChars="200"/>
              <w:contextualSpacing/>
              <w:rPr>
                <w:kern w:val="0"/>
                <w:sz w:val="24"/>
              </w:rPr>
            </w:pPr>
            <w:r>
              <w:rPr>
                <w:rFonts w:hint="eastAsia"/>
                <w:kern w:val="0"/>
                <w:sz w:val="24"/>
              </w:rPr>
              <w:t>（1）</w:t>
            </w:r>
            <w:r>
              <w:rPr>
                <w:kern w:val="0"/>
                <w:sz w:val="24"/>
              </w:rPr>
              <w:t>区域环境空气质量达标区判定</w:t>
            </w:r>
          </w:p>
          <w:p w14:paraId="6FFD6032">
            <w:pPr>
              <w:pStyle w:val="45"/>
              <w:widowControl/>
              <w:ind w:firstLine="480"/>
            </w:pPr>
            <w:r>
              <w:t>本项目环境空气质量现状引用陕西省生态环境厅办公室202</w:t>
            </w:r>
            <w:r>
              <w:rPr>
                <w:rFonts w:hint="eastAsia"/>
              </w:rPr>
              <w:t>3</w:t>
            </w:r>
            <w:r>
              <w:t>年1月</w:t>
            </w:r>
            <w:r>
              <w:rPr>
                <w:rFonts w:hint="eastAsia"/>
              </w:rPr>
              <w:t>18</w:t>
            </w:r>
            <w:r>
              <w:t>日公布的《20</w:t>
            </w:r>
            <w:r>
              <w:rPr>
                <w:rFonts w:hint="eastAsia"/>
              </w:rPr>
              <w:t>22</w:t>
            </w:r>
            <w:r>
              <w:t>年12月及1-12月全省环境空气质量状况》中对</w:t>
            </w:r>
            <w:r>
              <w:rPr>
                <w:rFonts w:hint="eastAsia"/>
              </w:rPr>
              <w:t>鄠邑区</w:t>
            </w:r>
            <w:r>
              <w:t>空气状况统计数据，统计结果见下表：</w:t>
            </w:r>
          </w:p>
          <w:p w14:paraId="529BC140">
            <w:pPr>
              <w:numPr>
                <w:ilvl w:val="0"/>
                <w:numId w:val="1"/>
              </w:numPr>
              <w:adjustRightInd w:val="0"/>
              <w:snapToGrid w:val="0"/>
              <w:ind w:left="0" w:firstLine="0"/>
              <w:jc w:val="center"/>
              <w:rPr>
                <w:b/>
              </w:rPr>
            </w:pPr>
            <w:r>
              <w:rPr>
                <w:rFonts w:hint="eastAsia"/>
                <w:b/>
              </w:rPr>
              <w:t xml:space="preserve">    </w:t>
            </w:r>
            <w:r>
              <w:rPr>
                <w:b/>
              </w:rPr>
              <w:t>区域环境空气质量现状评价表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906"/>
              <w:gridCol w:w="1634"/>
              <w:gridCol w:w="1426"/>
              <w:gridCol w:w="887"/>
              <w:gridCol w:w="868"/>
            </w:tblGrid>
            <w:tr w14:paraId="3ED9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8" w:type="pct"/>
                  <w:noWrap/>
                  <w:vAlign w:val="center"/>
                </w:tcPr>
                <w:p w14:paraId="79DB22E4">
                  <w:pPr>
                    <w:widowControl/>
                    <w:wordWrap w:val="0"/>
                    <w:jc w:val="center"/>
                    <w:rPr>
                      <w:kern w:val="0"/>
                      <w:szCs w:val="21"/>
                    </w:rPr>
                  </w:pPr>
                  <w:r>
                    <w:rPr>
                      <w:kern w:val="0"/>
                      <w:szCs w:val="21"/>
                    </w:rPr>
                    <w:t>污染物</w:t>
                  </w:r>
                </w:p>
              </w:tc>
              <w:tc>
                <w:tcPr>
                  <w:tcW w:w="1864" w:type="pct"/>
                  <w:noWrap/>
                  <w:vAlign w:val="center"/>
                </w:tcPr>
                <w:p w14:paraId="3B0D3EBD">
                  <w:pPr>
                    <w:widowControl/>
                    <w:wordWrap w:val="0"/>
                    <w:jc w:val="center"/>
                    <w:rPr>
                      <w:kern w:val="0"/>
                      <w:szCs w:val="21"/>
                    </w:rPr>
                  </w:pPr>
                  <w:r>
                    <w:rPr>
                      <w:kern w:val="0"/>
                      <w:szCs w:val="21"/>
                    </w:rPr>
                    <w:t>年评价指标</w:t>
                  </w:r>
                </w:p>
              </w:tc>
              <w:tc>
                <w:tcPr>
                  <w:tcW w:w="830" w:type="pct"/>
                  <w:noWrap/>
                  <w:vAlign w:val="center"/>
                </w:tcPr>
                <w:p w14:paraId="1378FAC2">
                  <w:pPr>
                    <w:widowControl/>
                    <w:wordWrap w:val="0"/>
                    <w:jc w:val="center"/>
                    <w:rPr>
                      <w:kern w:val="0"/>
                      <w:szCs w:val="21"/>
                    </w:rPr>
                  </w:pPr>
                  <w:r>
                    <w:rPr>
                      <w:kern w:val="0"/>
                      <w:szCs w:val="21"/>
                    </w:rPr>
                    <w:t>现状浓度/（</w:t>
                  </w:r>
                  <w:r>
                    <w:rPr>
                      <w:szCs w:val="21"/>
                    </w:rPr>
                    <w:t>μ</w:t>
                  </w:r>
                  <w:r>
                    <w:rPr>
                      <w:kern w:val="0"/>
                      <w:szCs w:val="21"/>
                    </w:rPr>
                    <w:t>g/m</w:t>
                  </w:r>
                  <w:r>
                    <w:rPr>
                      <w:kern w:val="0"/>
                      <w:szCs w:val="21"/>
                      <w:vertAlign w:val="superscript"/>
                    </w:rPr>
                    <w:t>3</w:t>
                  </w:r>
                  <w:r>
                    <w:rPr>
                      <w:kern w:val="0"/>
                      <w:szCs w:val="21"/>
                    </w:rPr>
                    <w:t>）</w:t>
                  </w:r>
                </w:p>
              </w:tc>
              <w:tc>
                <w:tcPr>
                  <w:tcW w:w="847" w:type="pct"/>
                  <w:noWrap/>
                  <w:vAlign w:val="center"/>
                </w:tcPr>
                <w:p w14:paraId="20333DE9">
                  <w:pPr>
                    <w:widowControl/>
                    <w:wordWrap w:val="0"/>
                    <w:jc w:val="center"/>
                    <w:rPr>
                      <w:kern w:val="0"/>
                      <w:szCs w:val="21"/>
                    </w:rPr>
                  </w:pPr>
                  <w:r>
                    <w:rPr>
                      <w:kern w:val="0"/>
                      <w:szCs w:val="21"/>
                    </w:rPr>
                    <w:t>标准值（</w:t>
                  </w:r>
                  <w:r>
                    <w:rPr>
                      <w:szCs w:val="21"/>
                    </w:rPr>
                    <w:t>μ</w:t>
                  </w:r>
                  <w:r>
                    <w:rPr>
                      <w:kern w:val="0"/>
                      <w:szCs w:val="21"/>
                    </w:rPr>
                    <w:t>g/m</w:t>
                  </w:r>
                  <w:r>
                    <w:rPr>
                      <w:kern w:val="0"/>
                      <w:szCs w:val="21"/>
                      <w:vertAlign w:val="superscript"/>
                    </w:rPr>
                    <w:t>3</w:t>
                  </w:r>
                  <w:r>
                    <w:rPr>
                      <w:kern w:val="0"/>
                      <w:szCs w:val="21"/>
                    </w:rPr>
                    <w:t>）</w:t>
                  </w:r>
                </w:p>
              </w:tc>
              <w:tc>
                <w:tcPr>
                  <w:tcW w:w="526" w:type="pct"/>
                  <w:noWrap/>
                  <w:vAlign w:val="center"/>
                </w:tcPr>
                <w:p w14:paraId="595166BA">
                  <w:pPr>
                    <w:widowControl/>
                    <w:wordWrap w:val="0"/>
                    <w:jc w:val="center"/>
                    <w:rPr>
                      <w:kern w:val="0"/>
                      <w:szCs w:val="21"/>
                    </w:rPr>
                  </w:pPr>
                  <w:r>
                    <w:rPr>
                      <w:kern w:val="0"/>
                      <w:szCs w:val="21"/>
                    </w:rPr>
                    <w:t>占标率/%</w:t>
                  </w:r>
                </w:p>
              </w:tc>
              <w:tc>
                <w:tcPr>
                  <w:tcW w:w="515" w:type="pct"/>
                  <w:noWrap/>
                  <w:vAlign w:val="center"/>
                </w:tcPr>
                <w:p w14:paraId="1DFBFAED">
                  <w:pPr>
                    <w:widowControl/>
                    <w:wordWrap w:val="0"/>
                    <w:jc w:val="center"/>
                    <w:rPr>
                      <w:kern w:val="0"/>
                      <w:szCs w:val="21"/>
                    </w:rPr>
                  </w:pPr>
                  <w:r>
                    <w:rPr>
                      <w:kern w:val="0"/>
                      <w:szCs w:val="21"/>
                    </w:rPr>
                    <w:t>达标情况</w:t>
                  </w:r>
                </w:p>
              </w:tc>
            </w:tr>
            <w:tr w14:paraId="78C1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2214155B">
                  <w:pPr>
                    <w:widowControl/>
                    <w:wordWrap w:val="0"/>
                    <w:jc w:val="center"/>
                    <w:rPr>
                      <w:kern w:val="0"/>
                      <w:szCs w:val="21"/>
                    </w:rPr>
                  </w:pPr>
                  <w:r>
                    <w:rPr>
                      <w:kern w:val="0"/>
                      <w:szCs w:val="21"/>
                    </w:rPr>
                    <w:t>SO</w:t>
                  </w:r>
                  <w:r>
                    <w:rPr>
                      <w:kern w:val="0"/>
                      <w:szCs w:val="21"/>
                      <w:vertAlign w:val="subscript"/>
                    </w:rPr>
                    <w:t>2</w:t>
                  </w:r>
                </w:p>
              </w:tc>
              <w:tc>
                <w:tcPr>
                  <w:tcW w:w="1864" w:type="pct"/>
                  <w:noWrap/>
                  <w:vAlign w:val="center"/>
                </w:tcPr>
                <w:p w14:paraId="0176237A">
                  <w:pPr>
                    <w:widowControl/>
                    <w:wordWrap w:val="0"/>
                    <w:jc w:val="center"/>
                    <w:rPr>
                      <w:kern w:val="0"/>
                      <w:szCs w:val="21"/>
                    </w:rPr>
                  </w:pPr>
                  <w:r>
                    <w:rPr>
                      <w:kern w:val="0"/>
                      <w:szCs w:val="21"/>
                    </w:rPr>
                    <w:t>年平均质量浓度</w:t>
                  </w:r>
                </w:p>
              </w:tc>
              <w:tc>
                <w:tcPr>
                  <w:tcW w:w="830" w:type="pct"/>
                  <w:noWrap/>
                  <w:vAlign w:val="center"/>
                </w:tcPr>
                <w:p w14:paraId="41B4E042">
                  <w:pPr>
                    <w:widowControl/>
                    <w:wordWrap w:val="0"/>
                    <w:jc w:val="center"/>
                    <w:rPr>
                      <w:kern w:val="0"/>
                      <w:szCs w:val="21"/>
                    </w:rPr>
                  </w:pPr>
                  <w:r>
                    <w:rPr>
                      <w:rFonts w:hint="eastAsia"/>
                      <w:kern w:val="0"/>
                      <w:szCs w:val="21"/>
                    </w:rPr>
                    <w:t>8</w:t>
                  </w:r>
                </w:p>
              </w:tc>
              <w:tc>
                <w:tcPr>
                  <w:tcW w:w="847" w:type="pct"/>
                  <w:noWrap/>
                  <w:vAlign w:val="center"/>
                </w:tcPr>
                <w:p w14:paraId="745FE3EA">
                  <w:pPr>
                    <w:widowControl/>
                    <w:wordWrap w:val="0"/>
                    <w:jc w:val="center"/>
                    <w:rPr>
                      <w:kern w:val="0"/>
                      <w:szCs w:val="21"/>
                    </w:rPr>
                  </w:pPr>
                  <w:r>
                    <w:rPr>
                      <w:kern w:val="0"/>
                      <w:szCs w:val="21"/>
                    </w:rPr>
                    <w:t>60</w:t>
                  </w:r>
                </w:p>
              </w:tc>
              <w:tc>
                <w:tcPr>
                  <w:tcW w:w="526" w:type="pct"/>
                  <w:noWrap/>
                  <w:vAlign w:val="center"/>
                </w:tcPr>
                <w:p w14:paraId="0B7D28CE">
                  <w:pPr>
                    <w:keepLines/>
                    <w:widowControl/>
                    <w:wordWrap w:val="0"/>
                    <w:jc w:val="center"/>
                    <w:rPr>
                      <w:kern w:val="0"/>
                      <w:szCs w:val="21"/>
                    </w:rPr>
                  </w:pPr>
                  <w:r>
                    <w:rPr>
                      <w:rFonts w:hint="eastAsia"/>
                      <w:kern w:val="0"/>
                      <w:szCs w:val="21"/>
                    </w:rPr>
                    <w:t>13.33</w:t>
                  </w:r>
                </w:p>
              </w:tc>
              <w:tc>
                <w:tcPr>
                  <w:tcW w:w="515" w:type="pct"/>
                  <w:noWrap/>
                  <w:vAlign w:val="center"/>
                </w:tcPr>
                <w:p w14:paraId="112FCA94">
                  <w:pPr>
                    <w:widowControl/>
                    <w:wordWrap w:val="0"/>
                    <w:jc w:val="center"/>
                    <w:rPr>
                      <w:kern w:val="0"/>
                      <w:szCs w:val="21"/>
                    </w:rPr>
                  </w:pPr>
                  <w:r>
                    <w:rPr>
                      <w:rFonts w:hint="eastAsia"/>
                      <w:kern w:val="0"/>
                      <w:szCs w:val="21"/>
                    </w:rPr>
                    <w:t>达标</w:t>
                  </w:r>
                </w:p>
              </w:tc>
            </w:tr>
            <w:tr w14:paraId="3B98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23B4F167">
                  <w:pPr>
                    <w:widowControl/>
                    <w:wordWrap w:val="0"/>
                    <w:jc w:val="center"/>
                    <w:rPr>
                      <w:kern w:val="0"/>
                      <w:szCs w:val="21"/>
                    </w:rPr>
                  </w:pPr>
                  <w:r>
                    <w:rPr>
                      <w:kern w:val="0"/>
                      <w:szCs w:val="21"/>
                    </w:rPr>
                    <w:t>NO</w:t>
                  </w:r>
                  <w:r>
                    <w:rPr>
                      <w:kern w:val="0"/>
                      <w:szCs w:val="21"/>
                      <w:vertAlign w:val="subscript"/>
                    </w:rPr>
                    <w:t>2</w:t>
                  </w:r>
                </w:p>
              </w:tc>
              <w:tc>
                <w:tcPr>
                  <w:tcW w:w="1864" w:type="pct"/>
                  <w:noWrap/>
                  <w:vAlign w:val="center"/>
                </w:tcPr>
                <w:p w14:paraId="46C66F4A">
                  <w:pPr>
                    <w:widowControl/>
                    <w:wordWrap w:val="0"/>
                    <w:jc w:val="center"/>
                    <w:rPr>
                      <w:kern w:val="0"/>
                      <w:szCs w:val="21"/>
                    </w:rPr>
                  </w:pPr>
                  <w:r>
                    <w:rPr>
                      <w:kern w:val="0"/>
                      <w:szCs w:val="21"/>
                    </w:rPr>
                    <w:t>年平均质量浓度</w:t>
                  </w:r>
                </w:p>
              </w:tc>
              <w:tc>
                <w:tcPr>
                  <w:tcW w:w="830" w:type="pct"/>
                  <w:noWrap/>
                  <w:vAlign w:val="center"/>
                </w:tcPr>
                <w:p w14:paraId="7D8F4123">
                  <w:pPr>
                    <w:widowControl/>
                    <w:wordWrap w:val="0"/>
                    <w:jc w:val="center"/>
                    <w:rPr>
                      <w:kern w:val="0"/>
                      <w:szCs w:val="21"/>
                    </w:rPr>
                  </w:pPr>
                  <w:r>
                    <w:rPr>
                      <w:rFonts w:hint="eastAsia"/>
                      <w:kern w:val="0"/>
                      <w:szCs w:val="21"/>
                    </w:rPr>
                    <w:t>26</w:t>
                  </w:r>
                </w:p>
              </w:tc>
              <w:tc>
                <w:tcPr>
                  <w:tcW w:w="847" w:type="pct"/>
                  <w:noWrap/>
                  <w:vAlign w:val="center"/>
                </w:tcPr>
                <w:p w14:paraId="1C58ACA6">
                  <w:pPr>
                    <w:widowControl/>
                    <w:wordWrap w:val="0"/>
                    <w:jc w:val="center"/>
                    <w:rPr>
                      <w:kern w:val="0"/>
                      <w:szCs w:val="21"/>
                    </w:rPr>
                  </w:pPr>
                  <w:r>
                    <w:rPr>
                      <w:kern w:val="0"/>
                      <w:szCs w:val="21"/>
                    </w:rPr>
                    <w:t>40</w:t>
                  </w:r>
                </w:p>
              </w:tc>
              <w:tc>
                <w:tcPr>
                  <w:tcW w:w="526" w:type="pct"/>
                  <w:noWrap/>
                  <w:vAlign w:val="center"/>
                </w:tcPr>
                <w:p w14:paraId="27E98540">
                  <w:pPr>
                    <w:keepLines/>
                    <w:widowControl/>
                    <w:wordWrap w:val="0"/>
                    <w:jc w:val="center"/>
                    <w:rPr>
                      <w:kern w:val="0"/>
                      <w:szCs w:val="21"/>
                    </w:rPr>
                  </w:pPr>
                  <w:r>
                    <w:rPr>
                      <w:rFonts w:hint="eastAsia"/>
                      <w:kern w:val="0"/>
                      <w:szCs w:val="21"/>
                    </w:rPr>
                    <w:t>65.00</w:t>
                  </w:r>
                </w:p>
              </w:tc>
              <w:tc>
                <w:tcPr>
                  <w:tcW w:w="515" w:type="pct"/>
                  <w:noWrap/>
                  <w:vAlign w:val="center"/>
                </w:tcPr>
                <w:p w14:paraId="2AD6B599">
                  <w:pPr>
                    <w:widowControl/>
                    <w:wordWrap w:val="0"/>
                    <w:jc w:val="center"/>
                    <w:rPr>
                      <w:kern w:val="0"/>
                      <w:szCs w:val="21"/>
                    </w:rPr>
                  </w:pPr>
                  <w:r>
                    <w:rPr>
                      <w:rFonts w:hint="eastAsia"/>
                      <w:kern w:val="0"/>
                      <w:szCs w:val="21"/>
                    </w:rPr>
                    <w:t>达标</w:t>
                  </w:r>
                </w:p>
              </w:tc>
            </w:tr>
            <w:tr w14:paraId="3F13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53E56043">
                  <w:pPr>
                    <w:widowControl/>
                    <w:wordWrap w:val="0"/>
                    <w:jc w:val="center"/>
                    <w:rPr>
                      <w:kern w:val="0"/>
                      <w:szCs w:val="21"/>
                    </w:rPr>
                  </w:pPr>
                  <w:r>
                    <w:rPr>
                      <w:kern w:val="0"/>
                      <w:szCs w:val="21"/>
                    </w:rPr>
                    <w:t>PM</w:t>
                  </w:r>
                  <w:r>
                    <w:rPr>
                      <w:kern w:val="0"/>
                      <w:szCs w:val="21"/>
                      <w:vertAlign w:val="subscript"/>
                    </w:rPr>
                    <w:t>10</w:t>
                  </w:r>
                </w:p>
              </w:tc>
              <w:tc>
                <w:tcPr>
                  <w:tcW w:w="1864" w:type="pct"/>
                  <w:noWrap/>
                  <w:vAlign w:val="center"/>
                </w:tcPr>
                <w:p w14:paraId="2449D576">
                  <w:pPr>
                    <w:widowControl/>
                    <w:wordWrap w:val="0"/>
                    <w:jc w:val="center"/>
                    <w:rPr>
                      <w:kern w:val="0"/>
                      <w:szCs w:val="21"/>
                    </w:rPr>
                  </w:pPr>
                  <w:r>
                    <w:rPr>
                      <w:kern w:val="0"/>
                      <w:szCs w:val="21"/>
                    </w:rPr>
                    <w:t>年平均质量浓度</w:t>
                  </w:r>
                </w:p>
              </w:tc>
              <w:tc>
                <w:tcPr>
                  <w:tcW w:w="830" w:type="pct"/>
                  <w:noWrap/>
                  <w:vAlign w:val="center"/>
                </w:tcPr>
                <w:p w14:paraId="64F08F6A">
                  <w:pPr>
                    <w:widowControl/>
                    <w:wordWrap w:val="0"/>
                    <w:jc w:val="center"/>
                    <w:rPr>
                      <w:kern w:val="0"/>
                      <w:szCs w:val="21"/>
                    </w:rPr>
                  </w:pPr>
                  <w:r>
                    <w:rPr>
                      <w:rFonts w:hint="eastAsia"/>
                      <w:kern w:val="0"/>
                      <w:szCs w:val="21"/>
                    </w:rPr>
                    <w:t>79</w:t>
                  </w:r>
                </w:p>
              </w:tc>
              <w:tc>
                <w:tcPr>
                  <w:tcW w:w="847" w:type="pct"/>
                  <w:noWrap/>
                  <w:vAlign w:val="center"/>
                </w:tcPr>
                <w:p w14:paraId="3600951B">
                  <w:pPr>
                    <w:widowControl/>
                    <w:wordWrap w:val="0"/>
                    <w:jc w:val="center"/>
                    <w:rPr>
                      <w:kern w:val="0"/>
                      <w:szCs w:val="21"/>
                    </w:rPr>
                  </w:pPr>
                  <w:r>
                    <w:rPr>
                      <w:kern w:val="0"/>
                      <w:szCs w:val="21"/>
                    </w:rPr>
                    <w:t>70</w:t>
                  </w:r>
                </w:p>
              </w:tc>
              <w:tc>
                <w:tcPr>
                  <w:tcW w:w="526" w:type="pct"/>
                  <w:noWrap/>
                  <w:vAlign w:val="center"/>
                </w:tcPr>
                <w:p w14:paraId="26F15E52">
                  <w:pPr>
                    <w:widowControl/>
                    <w:wordWrap w:val="0"/>
                    <w:jc w:val="center"/>
                    <w:rPr>
                      <w:kern w:val="0"/>
                      <w:szCs w:val="21"/>
                    </w:rPr>
                  </w:pPr>
                  <w:r>
                    <w:rPr>
                      <w:rFonts w:hint="eastAsia"/>
                      <w:kern w:val="0"/>
                      <w:szCs w:val="21"/>
                    </w:rPr>
                    <w:t>112.86</w:t>
                  </w:r>
                </w:p>
              </w:tc>
              <w:tc>
                <w:tcPr>
                  <w:tcW w:w="515" w:type="pct"/>
                  <w:noWrap/>
                  <w:vAlign w:val="center"/>
                </w:tcPr>
                <w:p w14:paraId="4B1741DB">
                  <w:pPr>
                    <w:wordWrap w:val="0"/>
                    <w:jc w:val="center"/>
                    <w:rPr>
                      <w:szCs w:val="22"/>
                    </w:rPr>
                  </w:pPr>
                  <w:r>
                    <w:rPr>
                      <w:rFonts w:hint="eastAsia"/>
                      <w:kern w:val="0"/>
                      <w:szCs w:val="21"/>
                    </w:rPr>
                    <w:t>达标</w:t>
                  </w:r>
                </w:p>
              </w:tc>
            </w:tr>
            <w:tr w14:paraId="3048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0DAC8BB1">
                  <w:pPr>
                    <w:widowControl/>
                    <w:wordWrap w:val="0"/>
                    <w:jc w:val="center"/>
                    <w:rPr>
                      <w:kern w:val="0"/>
                      <w:szCs w:val="21"/>
                    </w:rPr>
                  </w:pPr>
                  <w:r>
                    <w:rPr>
                      <w:kern w:val="0"/>
                      <w:szCs w:val="21"/>
                    </w:rPr>
                    <w:t>PM</w:t>
                  </w:r>
                  <w:r>
                    <w:rPr>
                      <w:kern w:val="0"/>
                      <w:szCs w:val="21"/>
                      <w:vertAlign w:val="subscript"/>
                    </w:rPr>
                    <w:t>2.5</w:t>
                  </w:r>
                </w:p>
              </w:tc>
              <w:tc>
                <w:tcPr>
                  <w:tcW w:w="1864" w:type="pct"/>
                  <w:noWrap/>
                  <w:vAlign w:val="center"/>
                </w:tcPr>
                <w:p w14:paraId="5700C4F7">
                  <w:pPr>
                    <w:widowControl/>
                    <w:wordWrap w:val="0"/>
                    <w:jc w:val="center"/>
                    <w:rPr>
                      <w:kern w:val="0"/>
                      <w:szCs w:val="21"/>
                    </w:rPr>
                  </w:pPr>
                  <w:r>
                    <w:rPr>
                      <w:kern w:val="0"/>
                      <w:szCs w:val="21"/>
                    </w:rPr>
                    <w:t>年平均质量浓度</w:t>
                  </w:r>
                </w:p>
              </w:tc>
              <w:tc>
                <w:tcPr>
                  <w:tcW w:w="830" w:type="pct"/>
                  <w:noWrap/>
                  <w:vAlign w:val="center"/>
                </w:tcPr>
                <w:p w14:paraId="38A8E11B">
                  <w:pPr>
                    <w:widowControl/>
                    <w:wordWrap w:val="0"/>
                    <w:jc w:val="center"/>
                    <w:rPr>
                      <w:kern w:val="0"/>
                      <w:szCs w:val="21"/>
                    </w:rPr>
                  </w:pPr>
                  <w:r>
                    <w:rPr>
                      <w:rFonts w:hint="eastAsia"/>
                      <w:kern w:val="0"/>
                      <w:szCs w:val="21"/>
                    </w:rPr>
                    <w:t>48</w:t>
                  </w:r>
                </w:p>
              </w:tc>
              <w:tc>
                <w:tcPr>
                  <w:tcW w:w="847" w:type="pct"/>
                  <w:noWrap/>
                  <w:vAlign w:val="center"/>
                </w:tcPr>
                <w:p w14:paraId="0373DA78">
                  <w:pPr>
                    <w:widowControl/>
                    <w:wordWrap w:val="0"/>
                    <w:jc w:val="center"/>
                    <w:rPr>
                      <w:kern w:val="0"/>
                      <w:szCs w:val="21"/>
                    </w:rPr>
                  </w:pPr>
                  <w:r>
                    <w:rPr>
                      <w:kern w:val="0"/>
                      <w:szCs w:val="21"/>
                    </w:rPr>
                    <w:t>35</w:t>
                  </w:r>
                </w:p>
              </w:tc>
              <w:tc>
                <w:tcPr>
                  <w:tcW w:w="526" w:type="pct"/>
                  <w:noWrap/>
                  <w:vAlign w:val="center"/>
                </w:tcPr>
                <w:p w14:paraId="546472E4">
                  <w:pPr>
                    <w:widowControl/>
                    <w:wordWrap w:val="0"/>
                    <w:jc w:val="center"/>
                    <w:rPr>
                      <w:kern w:val="0"/>
                      <w:szCs w:val="21"/>
                    </w:rPr>
                  </w:pPr>
                  <w:r>
                    <w:rPr>
                      <w:rFonts w:hint="eastAsia"/>
                      <w:kern w:val="0"/>
                      <w:szCs w:val="21"/>
                    </w:rPr>
                    <w:t>137.14</w:t>
                  </w:r>
                </w:p>
              </w:tc>
              <w:tc>
                <w:tcPr>
                  <w:tcW w:w="515" w:type="pct"/>
                  <w:noWrap/>
                  <w:vAlign w:val="center"/>
                </w:tcPr>
                <w:p w14:paraId="37BF76CD">
                  <w:pPr>
                    <w:wordWrap w:val="0"/>
                    <w:jc w:val="center"/>
                    <w:rPr>
                      <w:szCs w:val="22"/>
                    </w:rPr>
                  </w:pPr>
                  <w:r>
                    <w:rPr>
                      <w:rFonts w:hint="eastAsia"/>
                      <w:kern w:val="0"/>
                      <w:szCs w:val="21"/>
                    </w:rPr>
                    <w:t>超标</w:t>
                  </w:r>
                </w:p>
              </w:tc>
            </w:tr>
            <w:tr w14:paraId="1040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3F879F6D">
                  <w:pPr>
                    <w:widowControl/>
                    <w:wordWrap w:val="0"/>
                    <w:jc w:val="center"/>
                    <w:rPr>
                      <w:kern w:val="0"/>
                      <w:szCs w:val="21"/>
                    </w:rPr>
                  </w:pPr>
                  <w:r>
                    <w:rPr>
                      <w:kern w:val="0"/>
                      <w:szCs w:val="21"/>
                    </w:rPr>
                    <w:t>CO</w:t>
                  </w:r>
                </w:p>
              </w:tc>
              <w:tc>
                <w:tcPr>
                  <w:tcW w:w="1864" w:type="pct"/>
                  <w:noWrap/>
                </w:tcPr>
                <w:p w14:paraId="6CCED812">
                  <w:pPr>
                    <w:wordWrap w:val="0"/>
                    <w:jc w:val="center"/>
                    <w:rPr>
                      <w:szCs w:val="21"/>
                    </w:rPr>
                  </w:pPr>
                  <w:r>
                    <w:rPr>
                      <w:szCs w:val="21"/>
                    </w:rPr>
                    <w:t>第95百分位数24小时平均浓度</w:t>
                  </w:r>
                </w:p>
              </w:tc>
              <w:tc>
                <w:tcPr>
                  <w:tcW w:w="830" w:type="pct"/>
                  <w:noWrap/>
                  <w:vAlign w:val="center"/>
                </w:tcPr>
                <w:p w14:paraId="1FF6A6C7">
                  <w:pPr>
                    <w:keepLines/>
                    <w:widowControl/>
                    <w:wordWrap w:val="0"/>
                    <w:jc w:val="center"/>
                    <w:rPr>
                      <w:kern w:val="0"/>
                      <w:szCs w:val="21"/>
                    </w:rPr>
                  </w:pPr>
                  <w:r>
                    <w:rPr>
                      <w:rFonts w:hint="eastAsia"/>
                      <w:kern w:val="0"/>
                      <w:szCs w:val="21"/>
                    </w:rPr>
                    <w:t>1500</w:t>
                  </w:r>
                </w:p>
              </w:tc>
              <w:tc>
                <w:tcPr>
                  <w:tcW w:w="847" w:type="pct"/>
                  <w:noWrap/>
                  <w:vAlign w:val="center"/>
                </w:tcPr>
                <w:p w14:paraId="51EB15B1">
                  <w:pPr>
                    <w:widowControl/>
                    <w:wordWrap w:val="0"/>
                    <w:jc w:val="center"/>
                    <w:rPr>
                      <w:kern w:val="0"/>
                      <w:szCs w:val="21"/>
                    </w:rPr>
                  </w:pPr>
                  <w:r>
                    <w:rPr>
                      <w:kern w:val="0"/>
                      <w:szCs w:val="21"/>
                    </w:rPr>
                    <w:t>4000</w:t>
                  </w:r>
                </w:p>
              </w:tc>
              <w:tc>
                <w:tcPr>
                  <w:tcW w:w="526" w:type="pct"/>
                  <w:noWrap/>
                  <w:vAlign w:val="center"/>
                </w:tcPr>
                <w:p w14:paraId="35B3C690">
                  <w:pPr>
                    <w:keepLines/>
                    <w:widowControl/>
                    <w:wordWrap w:val="0"/>
                    <w:jc w:val="center"/>
                    <w:rPr>
                      <w:kern w:val="0"/>
                      <w:szCs w:val="21"/>
                    </w:rPr>
                  </w:pPr>
                  <w:r>
                    <w:rPr>
                      <w:rFonts w:hint="eastAsia"/>
                      <w:kern w:val="0"/>
                      <w:szCs w:val="21"/>
                    </w:rPr>
                    <w:t>37.50</w:t>
                  </w:r>
                </w:p>
              </w:tc>
              <w:tc>
                <w:tcPr>
                  <w:tcW w:w="515" w:type="pct"/>
                  <w:noWrap/>
                  <w:vAlign w:val="center"/>
                </w:tcPr>
                <w:p w14:paraId="33611FAE">
                  <w:pPr>
                    <w:wordWrap w:val="0"/>
                    <w:jc w:val="center"/>
                    <w:rPr>
                      <w:szCs w:val="22"/>
                    </w:rPr>
                  </w:pPr>
                  <w:r>
                    <w:rPr>
                      <w:rFonts w:hint="eastAsia"/>
                      <w:kern w:val="0"/>
                      <w:szCs w:val="21"/>
                    </w:rPr>
                    <w:t>达标</w:t>
                  </w:r>
                </w:p>
              </w:tc>
            </w:tr>
            <w:tr w14:paraId="08DD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0280229D">
                  <w:pPr>
                    <w:widowControl/>
                    <w:wordWrap w:val="0"/>
                    <w:jc w:val="center"/>
                    <w:rPr>
                      <w:kern w:val="0"/>
                      <w:szCs w:val="21"/>
                    </w:rPr>
                  </w:pPr>
                  <w:r>
                    <w:rPr>
                      <w:kern w:val="0"/>
                      <w:szCs w:val="21"/>
                    </w:rPr>
                    <w:t>O</w:t>
                  </w:r>
                  <w:r>
                    <w:rPr>
                      <w:kern w:val="0"/>
                      <w:szCs w:val="21"/>
                      <w:vertAlign w:val="subscript"/>
                    </w:rPr>
                    <w:t>3</w:t>
                  </w:r>
                </w:p>
              </w:tc>
              <w:tc>
                <w:tcPr>
                  <w:tcW w:w="1864" w:type="pct"/>
                  <w:noWrap/>
                </w:tcPr>
                <w:p w14:paraId="55854713">
                  <w:pPr>
                    <w:wordWrap w:val="0"/>
                    <w:jc w:val="center"/>
                    <w:rPr>
                      <w:szCs w:val="21"/>
                    </w:rPr>
                  </w:pPr>
                  <w:r>
                    <w:rPr>
                      <w:szCs w:val="21"/>
                    </w:rPr>
                    <w:t>第90百分位数日最大8小时平均浓度</w:t>
                  </w:r>
                </w:p>
              </w:tc>
              <w:tc>
                <w:tcPr>
                  <w:tcW w:w="830" w:type="pct"/>
                  <w:noWrap/>
                  <w:vAlign w:val="center"/>
                </w:tcPr>
                <w:p w14:paraId="2D40148A">
                  <w:pPr>
                    <w:keepLines/>
                    <w:widowControl/>
                    <w:wordWrap w:val="0"/>
                    <w:jc w:val="center"/>
                    <w:rPr>
                      <w:rFonts w:eastAsia="等线"/>
                      <w:kern w:val="0"/>
                      <w:szCs w:val="21"/>
                    </w:rPr>
                  </w:pPr>
                  <w:r>
                    <w:rPr>
                      <w:rFonts w:hint="eastAsia" w:eastAsia="等线"/>
                      <w:kern w:val="0"/>
                      <w:szCs w:val="21"/>
                    </w:rPr>
                    <w:t>187</w:t>
                  </w:r>
                </w:p>
              </w:tc>
              <w:tc>
                <w:tcPr>
                  <w:tcW w:w="847" w:type="pct"/>
                  <w:noWrap/>
                  <w:vAlign w:val="center"/>
                </w:tcPr>
                <w:p w14:paraId="11D27968">
                  <w:pPr>
                    <w:widowControl/>
                    <w:wordWrap w:val="0"/>
                    <w:jc w:val="center"/>
                    <w:rPr>
                      <w:kern w:val="0"/>
                      <w:szCs w:val="21"/>
                    </w:rPr>
                  </w:pPr>
                  <w:r>
                    <w:rPr>
                      <w:kern w:val="0"/>
                      <w:szCs w:val="21"/>
                    </w:rPr>
                    <w:t>160</w:t>
                  </w:r>
                </w:p>
              </w:tc>
              <w:tc>
                <w:tcPr>
                  <w:tcW w:w="526" w:type="pct"/>
                  <w:noWrap/>
                  <w:vAlign w:val="center"/>
                </w:tcPr>
                <w:p w14:paraId="683C21BD">
                  <w:pPr>
                    <w:keepLines/>
                    <w:widowControl/>
                    <w:wordWrap w:val="0"/>
                    <w:jc w:val="center"/>
                    <w:rPr>
                      <w:kern w:val="0"/>
                      <w:szCs w:val="21"/>
                    </w:rPr>
                  </w:pPr>
                  <w:r>
                    <w:rPr>
                      <w:rFonts w:hint="eastAsia"/>
                      <w:kern w:val="0"/>
                      <w:szCs w:val="21"/>
                    </w:rPr>
                    <w:t>116.88</w:t>
                  </w:r>
                </w:p>
              </w:tc>
              <w:tc>
                <w:tcPr>
                  <w:tcW w:w="515" w:type="pct"/>
                  <w:noWrap/>
                  <w:vAlign w:val="center"/>
                </w:tcPr>
                <w:p w14:paraId="7F68AB7D">
                  <w:pPr>
                    <w:wordWrap w:val="0"/>
                    <w:jc w:val="center"/>
                    <w:rPr>
                      <w:szCs w:val="22"/>
                    </w:rPr>
                  </w:pPr>
                  <w:r>
                    <w:rPr>
                      <w:rFonts w:hint="eastAsia"/>
                      <w:kern w:val="0"/>
                      <w:szCs w:val="21"/>
                    </w:rPr>
                    <w:t>达标</w:t>
                  </w:r>
                </w:p>
              </w:tc>
            </w:tr>
          </w:tbl>
          <w:p w14:paraId="522CDF3A">
            <w:pPr>
              <w:snapToGrid w:val="0"/>
              <w:spacing w:line="360" w:lineRule="auto"/>
              <w:ind w:firstLine="480" w:firstLineChars="200"/>
              <w:rPr>
                <w:sz w:val="24"/>
              </w:rPr>
            </w:pPr>
            <w:r>
              <w:rPr>
                <w:sz w:val="24"/>
              </w:rPr>
              <w:t>由上表可知，</w:t>
            </w:r>
            <w:r>
              <w:rPr>
                <w:rFonts w:hint="eastAsia"/>
                <w:sz w:val="24"/>
              </w:rPr>
              <w:t>本项目所在</w:t>
            </w:r>
            <w:r>
              <w:rPr>
                <w:sz w:val="24"/>
              </w:rPr>
              <w:t>区域</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、CO第95百分位数24</w:t>
            </w:r>
            <w:r>
              <w:rPr>
                <w:sz w:val="24"/>
              </w:rPr>
              <w:t>h</w:t>
            </w:r>
            <w:r>
              <w:rPr>
                <w:rFonts w:hint="eastAsia"/>
                <w:sz w:val="24"/>
              </w:rPr>
              <w:t>平均</w:t>
            </w:r>
            <w:r>
              <w:rPr>
                <w:sz w:val="24"/>
              </w:rPr>
              <w:t>质量浓度</w:t>
            </w:r>
            <w:r>
              <w:rPr>
                <w:rFonts w:hint="eastAsia"/>
                <w:sz w:val="24"/>
              </w:rPr>
              <w:t>满足《环境空气质量标准》（GB3095-2012）的二级标准要求，PM</w:t>
            </w:r>
            <w:r>
              <w:rPr>
                <w:rFonts w:hint="eastAsia"/>
                <w:sz w:val="24"/>
                <w:vertAlign w:val="subscript"/>
              </w:rPr>
              <w:t>2.5</w:t>
            </w:r>
            <w:r>
              <w:rPr>
                <w:sz w:val="24"/>
              </w:rPr>
              <w:t>年平均质量浓度</w:t>
            </w:r>
            <w:r>
              <w:rPr>
                <w:rFonts w:hint="eastAsia"/>
                <w:sz w:val="24"/>
              </w:rPr>
              <w:t>、PM</w:t>
            </w:r>
            <w:r>
              <w:rPr>
                <w:rFonts w:hint="eastAsia"/>
                <w:sz w:val="24"/>
                <w:vertAlign w:val="subscript"/>
              </w:rPr>
              <w:t>10</w:t>
            </w:r>
            <w:r>
              <w:rPr>
                <w:sz w:val="24"/>
              </w:rPr>
              <w:t>年平均质量浓度</w:t>
            </w:r>
            <w:r>
              <w:rPr>
                <w:rFonts w:hint="eastAsia"/>
                <w:sz w:val="24"/>
              </w:rPr>
              <w:t>、O</w:t>
            </w:r>
            <w:r>
              <w:rPr>
                <w:rFonts w:hint="eastAsia"/>
                <w:sz w:val="24"/>
                <w:vertAlign w:val="subscript"/>
              </w:rPr>
              <w:t>3</w:t>
            </w:r>
            <w:r>
              <w:rPr>
                <w:rFonts w:hint="eastAsia"/>
                <w:sz w:val="24"/>
              </w:rPr>
              <w:t>第90百分位数日最大8</w:t>
            </w:r>
            <w:r>
              <w:rPr>
                <w:sz w:val="24"/>
              </w:rPr>
              <w:t>h平均质量</w:t>
            </w:r>
            <w:r>
              <w:rPr>
                <w:rFonts w:hint="eastAsia"/>
                <w:sz w:val="24"/>
              </w:rPr>
              <w:t>浓度不满足《环境空气质量标准》（GB3095-2012）的二级标准要求，因此项目所在评价区域为不达标区。</w:t>
            </w:r>
          </w:p>
          <w:p w14:paraId="54AE17F6">
            <w:pPr>
              <w:adjustRightInd w:val="0"/>
              <w:spacing w:line="360" w:lineRule="auto"/>
              <w:ind w:firstLine="480" w:firstLineChars="200"/>
              <w:contextualSpacing/>
              <w:rPr>
                <w:kern w:val="0"/>
                <w:sz w:val="24"/>
              </w:rPr>
            </w:pPr>
            <w:r>
              <w:rPr>
                <w:rFonts w:hint="eastAsia"/>
                <w:kern w:val="0"/>
                <w:sz w:val="24"/>
              </w:rPr>
              <w:t>（2）其他污染物</w:t>
            </w:r>
          </w:p>
          <w:p w14:paraId="77FBF884">
            <w:pPr>
              <w:snapToGrid w:val="0"/>
              <w:spacing w:line="360" w:lineRule="auto"/>
              <w:ind w:firstLine="480" w:firstLineChars="200"/>
              <w:rPr>
                <w:sz w:val="24"/>
              </w:rPr>
            </w:pPr>
            <w:r>
              <w:rPr>
                <w:rFonts w:hint="eastAsia"/>
                <w:sz w:val="24"/>
              </w:rPr>
              <w:t>本项目</w:t>
            </w:r>
            <w:r>
              <w:rPr>
                <w:sz w:val="24"/>
              </w:rPr>
              <w:t>所在区域环境</w:t>
            </w:r>
            <w:r>
              <w:rPr>
                <w:rFonts w:hint="eastAsia"/>
                <w:sz w:val="24"/>
              </w:rPr>
              <w:t>空气</w:t>
            </w:r>
            <w:r>
              <w:rPr>
                <w:sz w:val="24"/>
              </w:rPr>
              <w:t>其他污染</w:t>
            </w:r>
            <w:r>
              <w:rPr>
                <w:rFonts w:hint="eastAsia"/>
                <w:sz w:val="24"/>
              </w:rPr>
              <w:t>物为颗粒物和非甲烷总烃，其他污染物</w:t>
            </w:r>
            <w:r>
              <w:rPr>
                <w:sz w:val="24"/>
              </w:rPr>
              <w:t>环境</w:t>
            </w:r>
            <w:r>
              <w:rPr>
                <w:rFonts w:hint="eastAsia"/>
                <w:sz w:val="24"/>
              </w:rPr>
              <w:t>空气</w:t>
            </w:r>
            <w:r>
              <w:rPr>
                <w:sz w:val="24"/>
              </w:rPr>
              <w:t>质量</w:t>
            </w:r>
            <w:r>
              <w:rPr>
                <w:rFonts w:hint="eastAsia"/>
                <w:sz w:val="24"/>
              </w:rPr>
              <w:t>采用现状检测法，</w:t>
            </w:r>
            <w:r>
              <w:rPr>
                <w:rFonts w:hint="eastAsia" w:ascii="宋体" w:hAnsi="宋体" w:cs="宋体"/>
                <w:sz w:val="24"/>
              </w:rPr>
              <w:t>陕西诚顺翔电器设备有限责任公司</w:t>
            </w:r>
            <w:r>
              <w:rPr>
                <w:rFonts w:hint="eastAsia"/>
                <w:sz w:val="24"/>
              </w:rPr>
              <w:t>委托陕西青源环保科技有限公司</w:t>
            </w:r>
            <w:r>
              <w:rPr>
                <w:sz w:val="24"/>
              </w:rPr>
              <w:t>于20</w:t>
            </w:r>
            <w:r>
              <w:rPr>
                <w:rFonts w:hint="eastAsia"/>
                <w:sz w:val="24"/>
              </w:rPr>
              <w:t>23</w:t>
            </w:r>
            <w:r>
              <w:rPr>
                <w:sz w:val="24"/>
              </w:rPr>
              <w:t>年</w:t>
            </w:r>
            <w:r>
              <w:rPr>
                <w:rFonts w:hint="eastAsia"/>
                <w:sz w:val="24"/>
              </w:rPr>
              <w:t>2</w:t>
            </w:r>
            <w:r>
              <w:rPr>
                <w:sz w:val="24"/>
              </w:rPr>
              <w:t>月2</w:t>
            </w:r>
            <w:r>
              <w:rPr>
                <w:rFonts w:hint="eastAsia"/>
                <w:sz w:val="24"/>
              </w:rPr>
              <w:t>5</w:t>
            </w:r>
            <w:r>
              <w:rPr>
                <w:sz w:val="24"/>
              </w:rPr>
              <w:t>日~202</w:t>
            </w:r>
            <w:r>
              <w:rPr>
                <w:rFonts w:hint="eastAsia"/>
                <w:sz w:val="24"/>
              </w:rPr>
              <w:t>3</w:t>
            </w:r>
            <w:r>
              <w:rPr>
                <w:sz w:val="24"/>
              </w:rPr>
              <w:t>年</w:t>
            </w:r>
            <w:r>
              <w:rPr>
                <w:rFonts w:hint="eastAsia"/>
                <w:sz w:val="24"/>
              </w:rPr>
              <w:t>2</w:t>
            </w:r>
            <w:r>
              <w:rPr>
                <w:sz w:val="24"/>
              </w:rPr>
              <w:t>月</w:t>
            </w:r>
            <w:r>
              <w:rPr>
                <w:rFonts w:hint="eastAsia"/>
                <w:sz w:val="24"/>
              </w:rPr>
              <w:t>27</w:t>
            </w:r>
            <w:r>
              <w:rPr>
                <w:sz w:val="24"/>
              </w:rPr>
              <w:t>日对目</w:t>
            </w:r>
            <w:r>
              <w:rPr>
                <w:rFonts w:hint="eastAsia"/>
                <w:sz w:val="24"/>
              </w:rPr>
              <w:t>项目地下风向的</w:t>
            </w:r>
            <w:r>
              <w:rPr>
                <w:sz w:val="24"/>
              </w:rPr>
              <w:t>环境空气质量进行了监测</w:t>
            </w:r>
            <w:r>
              <w:rPr>
                <w:rFonts w:hint="eastAsia"/>
                <w:sz w:val="24"/>
              </w:rPr>
              <w:t>，</w:t>
            </w:r>
            <w:r>
              <w:rPr>
                <w:sz w:val="24"/>
              </w:rPr>
              <w:t>监测结果见</w:t>
            </w:r>
            <w:r>
              <w:rPr>
                <w:rFonts w:hint="eastAsia"/>
                <w:sz w:val="24"/>
              </w:rPr>
              <w:t>下表。</w:t>
            </w:r>
          </w:p>
          <w:p w14:paraId="54CEFA6F">
            <w:pPr>
              <w:pStyle w:val="9"/>
              <w:widowControl w:val="0"/>
              <w:numPr>
                <w:ilvl w:val="0"/>
                <w:numId w:val="1"/>
              </w:numPr>
              <w:adjustRightInd w:val="0"/>
              <w:spacing w:before="0" w:after="0" w:line="240" w:lineRule="auto"/>
              <w:ind w:left="0" w:right="0" w:firstLine="0"/>
              <w:jc w:val="center"/>
              <w:rPr>
                <w:b/>
                <w:bCs/>
                <w:sz w:val="21"/>
                <w:szCs w:val="24"/>
              </w:rPr>
            </w:pPr>
            <w:r>
              <w:rPr>
                <w:rFonts w:hint="eastAsia"/>
                <w:b/>
                <w:color w:val="FF0000"/>
                <w:sz w:val="21"/>
                <w:szCs w:val="24"/>
              </w:rPr>
              <w:t xml:space="preserve">    </w:t>
            </w:r>
            <w:r>
              <w:rPr>
                <w:rFonts w:hint="eastAsia"/>
                <w:b/>
                <w:sz w:val="21"/>
                <w:szCs w:val="24"/>
              </w:rPr>
              <w:t>其他污染物</w:t>
            </w:r>
            <w:r>
              <w:rPr>
                <w:b/>
                <w:sz w:val="21"/>
                <w:szCs w:val="24"/>
              </w:rPr>
              <w:t>环境质量现状监测结果表单位：</w:t>
            </w:r>
            <w:r>
              <w:rPr>
                <w:rFonts w:hint="eastAsia"/>
                <w:b/>
                <w:bCs/>
                <w:sz w:val="21"/>
                <w:szCs w:val="24"/>
              </w:rPr>
              <w:t>m</w:t>
            </w:r>
            <w:r>
              <w:rPr>
                <w:b/>
                <w:bCs/>
                <w:sz w:val="21"/>
                <w:szCs w:val="24"/>
              </w:rPr>
              <w:t>g/m</w:t>
            </w:r>
            <w:r>
              <w:rPr>
                <w:b/>
                <w:bCs/>
                <w:sz w:val="21"/>
                <w:szCs w:val="24"/>
                <w:vertAlign w:val="superscript"/>
              </w:rPr>
              <w:t>3</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266"/>
              <w:gridCol w:w="983"/>
              <w:gridCol w:w="1146"/>
              <w:gridCol w:w="1276"/>
              <w:gridCol w:w="1123"/>
              <w:gridCol w:w="984"/>
              <w:gridCol w:w="783"/>
            </w:tblGrid>
            <w:tr w14:paraId="78DD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67" w:type="dxa"/>
                  <w:vAlign w:val="center"/>
                </w:tcPr>
                <w:p w14:paraId="5A9F26F7">
                  <w:pPr>
                    <w:snapToGrid w:val="0"/>
                    <w:jc w:val="center"/>
                    <w:rPr>
                      <w:bCs/>
                      <w:kern w:val="0"/>
                      <w:szCs w:val="21"/>
                    </w:rPr>
                  </w:pPr>
                  <w:r>
                    <w:rPr>
                      <w:rFonts w:hint="eastAsia"/>
                      <w:bCs/>
                      <w:kern w:val="0"/>
                      <w:szCs w:val="21"/>
                    </w:rPr>
                    <w:t>监测</w:t>
                  </w:r>
                </w:p>
                <w:p w14:paraId="64B44500">
                  <w:pPr>
                    <w:snapToGrid w:val="0"/>
                    <w:jc w:val="center"/>
                    <w:rPr>
                      <w:bCs/>
                      <w:kern w:val="0"/>
                      <w:szCs w:val="21"/>
                    </w:rPr>
                  </w:pPr>
                  <w:r>
                    <w:rPr>
                      <w:rFonts w:hint="eastAsia"/>
                      <w:bCs/>
                      <w:kern w:val="0"/>
                      <w:szCs w:val="21"/>
                    </w:rPr>
                    <w:t>点位</w:t>
                  </w:r>
                </w:p>
              </w:tc>
              <w:tc>
                <w:tcPr>
                  <w:tcW w:w="1268" w:type="dxa"/>
                  <w:vAlign w:val="center"/>
                </w:tcPr>
                <w:p w14:paraId="0D142135">
                  <w:pPr>
                    <w:snapToGrid w:val="0"/>
                    <w:jc w:val="center"/>
                    <w:rPr>
                      <w:bCs/>
                      <w:kern w:val="0"/>
                      <w:szCs w:val="21"/>
                    </w:rPr>
                  </w:pPr>
                  <w:r>
                    <w:rPr>
                      <w:rFonts w:hint="eastAsia"/>
                      <w:bCs/>
                      <w:kern w:val="0"/>
                      <w:szCs w:val="21"/>
                    </w:rPr>
                    <w:t>污染物</w:t>
                  </w:r>
                </w:p>
              </w:tc>
              <w:tc>
                <w:tcPr>
                  <w:tcW w:w="985" w:type="dxa"/>
                  <w:vAlign w:val="center"/>
                </w:tcPr>
                <w:p w14:paraId="4C4A794F">
                  <w:pPr>
                    <w:snapToGrid w:val="0"/>
                    <w:jc w:val="center"/>
                    <w:rPr>
                      <w:bCs/>
                      <w:kern w:val="0"/>
                      <w:szCs w:val="21"/>
                    </w:rPr>
                  </w:pPr>
                  <w:r>
                    <w:rPr>
                      <w:rFonts w:hint="eastAsia"/>
                      <w:bCs/>
                      <w:kern w:val="0"/>
                      <w:szCs w:val="21"/>
                    </w:rPr>
                    <w:t>平均时间</w:t>
                  </w:r>
                </w:p>
              </w:tc>
              <w:tc>
                <w:tcPr>
                  <w:tcW w:w="1146" w:type="dxa"/>
                  <w:vAlign w:val="center"/>
                </w:tcPr>
                <w:p w14:paraId="761F3962">
                  <w:pPr>
                    <w:pStyle w:val="9"/>
                    <w:adjustRightInd w:val="0"/>
                    <w:spacing w:before="0" w:after="0" w:line="240" w:lineRule="auto"/>
                    <w:ind w:right="0"/>
                    <w:jc w:val="center"/>
                    <w:rPr>
                      <w:bCs/>
                      <w:sz w:val="21"/>
                      <w:szCs w:val="21"/>
                    </w:rPr>
                  </w:pPr>
                  <w:r>
                    <w:rPr>
                      <w:rFonts w:hint="eastAsia"/>
                      <w:bCs/>
                      <w:sz w:val="21"/>
                      <w:szCs w:val="21"/>
                    </w:rPr>
                    <w:t>评价标准/（</w:t>
                  </w:r>
                  <w:r>
                    <w:rPr>
                      <w:bCs/>
                      <w:sz w:val="21"/>
                      <w:szCs w:val="21"/>
                    </w:rPr>
                    <w:t>μg/m</w:t>
                  </w:r>
                  <w:r>
                    <w:rPr>
                      <w:bCs/>
                      <w:sz w:val="21"/>
                      <w:szCs w:val="21"/>
                      <w:vertAlign w:val="superscript"/>
                    </w:rPr>
                    <w:t>3</w:t>
                  </w:r>
                  <w:r>
                    <w:rPr>
                      <w:rFonts w:hint="eastAsia"/>
                      <w:bCs/>
                      <w:sz w:val="21"/>
                      <w:szCs w:val="21"/>
                    </w:rPr>
                    <w:t>）</w:t>
                  </w:r>
                </w:p>
              </w:tc>
              <w:tc>
                <w:tcPr>
                  <w:tcW w:w="1276" w:type="dxa"/>
                  <w:vAlign w:val="center"/>
                </w:tcPr>
                <w:p w14:paraId="6B290B7B">
                  <w:pPr>
                    <w:pStyle w:val="9"/>
                    <w:adjustRightInd w:val="0"/>
                    <w:spacing w:before="0" w:after="0" w:line="240" w:lineRule="auto"/>
                    <w:ind w:right="0"/>
                    <w:jc w:val="center"/>
                    <w:rPr>
                      <w:bCs/>
                      <w:sz w:val="21"/>
                      <w:szCs w:val="21"/>
                    </w:rPr>
                  </w:pPr>
                  <w:r>
                    <w:rPr>
                      <w:rFonts w:hint="eastAsia"/>
                      <w:bCs/>
                      <w:sz w:val="21"/>
                      <w:szCs w:val="21"/>
                    </w:rPr>
                    <w:t>监测浓度范围/（</w:t>
                  </w:r>
                  <w:r>
                    <w:rPr>
                      <w:bCs/>
                      <w:sz w:val="21"/>
                      <w:szCs w:val="21"/>
                    </w:rPr>
                    <w:t>μg/m</w:t>
                  </w:r>
                  <w:r>
                    <w:rPr>
                      <w:bCs/>
                      <w:sz w:val="21"/>
                      <w:szCs w:val="21"/>
                      <w:vertAlign w:val="superscript"/>
                    </w:rPr>
                    <w:t>3</w:t>
                  </w:r>
                  <w:r>
                    <w:rPr>
                      <w:rFonts w:hint="eastAsia"/>
                      <w:bCs/>
                      <w:sz w:val="21"/>
                      <w:szCs w:val="21"/>
                    </w:rPr>
                    <w:t>）</w:t>
                  </w:r>
                </w:p>
              </w:tc>
              <w:tc>
                <w:tcPr>
                  <w:tcW w:w="1125" w:type="dxa"/>
                  <w:vAlign w:val="center"/>
                </w:tcPr>
                <w:p w14:paraId="18711DE6">
                  <w:pPr>
                    <w:snapToGrid w:val="0"/>
                    <w:jc w:val="center"/>
                    <w:rPr>
                      <w:bCs/>
                      <w:kern w:val="0"/>
                      <w:szCs w:val="21"/>
                    </w:rPr>
                  </w:pPr>
                  <w:r>
                    <w:rPr>
                      <w:rFonts w:hint="eastAsia"/>
                      <w:bCs/>
                      <w:kern w:val="0"/>
                      <w:szCs w:val="21"/>
                    </w:rPr>
                    <w:t>最大浓度</w:t>
                  </w:r>
                  <w:r>
                    <w:rPr>
                      <w:bCs/>
                      <w:kern w:val="0"/>
                      <w:szCs w:val="21"/>
                    </w:rPr>
                    <w:t>占标率</w:t>
                  </w:r>
                  <w:r>
                    <w:rPr>
                      <w:rFonts w:hint="eastAsia"/>
                      <w:bCs/>
                      <w:kern w:val="0"/>
                      <w:szCs w:val="21"/>
                    </w:rPr>
                    <w:t>/%</w:t>
                  </w:r>
                </w:p>
              </w:tc>
              <w:tc>
                <w:tcPr>
                  <w:tcW w:w="986" w:type="dxa"/>
                  <w:vAlign w:val="center"/>
                </w:tcPr>
                <w:p w14:paraId="30D33F0D">
                  <w:pPr>
                    <w:snapToGrid w:val="0"/>
                    <w:jc w:val="center"/>
                    <w:rPr>
                      <w:bCs/>
                      <w:kern w:val="0"/>
                      <w:szCs w:val="21"/>
                    </w:rPr>
                  </w:pPr>
                  <w:r>
                    <w:rPr>
                      <w:rFonts w:hint="eastAsia"/>
                      <w:bCs/>
                      <w:kern w:val="0"/>
                      <w:szCs w:val="21"/>
                    </w:rPr>
                    <w:t>超标率/%</w:t>
                  </w:r>
                </w:p>
              </w:tc>
              <w:tc>
                <w:tcPr>
                  <w:tcW w:w="784" w:type="dxa"/>
                  <w:vAlign w:val="center"/>
                </w:tcPr>
                <w:p w14:paraId="34C27A12">
                  <w:pPr>
                    <w:snapToGrid w:val="0"/>
                    <w:jc w:val="center"/>
                    <w:rPr>
                      <w:bCs/>
                      <w:kern w:val="0"/>
                      <w:szCs w:val="21"/>
                    </w:rPr>
                  </w:pPr>
                  <w:r>
                    <w:rPr>
                      <w:rFonts w:hint="eastAsia"/>
                      <w:bCs/>
                      <w:kern w:val="0"/>
                      <w:szCs w:val="21"/>
                    </w:rPr>
                    <w:t>达标情况</w:t>
                  </w:r>
                </w:p>
              </w:tc>
            </w:tr>
            <w:tr w14:paraId="19B6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vAlign w:val="center"/>
                </w:tcPr>
                <w:p w14:paraId="1135BB6F">
                  <w:pPr>
                    <w:snapToGrid w:val="0"/>
                    <w:jc w:val="center"/>
                    <w:rPr>
                      <w:kern w:val="0"/>
                      <w:szCs w:val="21"/>
                    </w:rPr>
                  </w:pPr>
                  <w:r>
                    <w:rPr>
                      <w:rFonts w:hint="eastAsia"/>
                      <w:kern w:val="0"/>
                      <w:szCs w:val="21"/>
                    </w:rPr>
                    <w:t>厂址下风向</w:t>
                  </w:r>
                </w:p>
              </w:tc>
              <w:tc>
                <w:tcPr>
                  <w:tcW w:w="1268" w:type="dxa"/>
                  <w:vAlign w:val="center"/>
                </w:tcPr>
                <w:p w14:paraId="03BEBE4A">
                  <w:pPr>
                    <w:snapToGrid w:val="0"/>
                    <w:jc w:val="center"/>
                    <w:rPr>
                      <w:kern w:val="0"/>
                      <w:szCs w:val="21"/>
                    </w:rPr>
                  </w:pPr>
                  <w:r>
                    <w:rPr>
                      <w:rFonts w:hint="eastAsia"/>
                      <w:kern w:val="0"/>
                      <w:szCs w:val="21"/>
                    </w:rPr>
                    <w:t>TSP</w:t>
                  </w:r>
                </w:p>
              </w:tc>
              <w:tc>
                <w:tcPr>
                  <w:tcW w:w="985" w:type="dxa"/>
                  <w:vAlign w:val="center"/>
                </w:tcPr>
                <w:p w14:paraId="58BAD90F">
                  <w:pPr>
                    <w:snapToGrid w:val="0"/>
                    <w:jc w:val="center"/>
                    <w:rPr>
                      <w:kern w:val="0"/>
                      <w:szCs w:val="21"/>
                    </w:rPr>
                  </w:pPr>
                  <w:r>
                    <w:rPr>
                      <w:rFonts w:hint="eastAsia"/>
                      <w:kern w:val="0"/>
                      <w:szCs w:val="21"/>
                    </w:rPr>
                    <w:t>24小时</w:t>
                  </w:r>
                </w:p>
              </w:tc>
              <w:tc>
                <w:tcPr>
                  <w:tcW w:w="1146" w:type="dxa"/>
                  <w:vAlign w:val="center"/>
                </w:tcPr>
                <w:p w14:paraId="25B6119B">
                  <w:pPr>
                    <w:snapToGrid w:val="0"/>
                    <w:jc w:val="center"/>
                    <w:rPr>
                      <w:kern w:val="0"/>
                      <w:szCs w:val="21"/>
                    </w:rPr>
                  </w:pPr>
                  <w:r>
                    <w:rPr>
                      <w:rFonts w:hint="eastAsia"/>
                      <w:kern w:val="0"/>
                      <w:szCs w:val="21"/>
                    </w:rPr>
                    <w:t>300</w:t>
                  </w:r>
                </w:p>
              </w:tc>
              <w:tc>
                <w:tcPr>
                  <w:tcW w:w="1276" w:type="dxa"/>
                  <w:vAlign w:val="center"/>
                </w:tcPr>
                <w:p w14:paraId="74BAD561">
                  <w:pPr>
                    <w:snapToGrid w:val="0"/>
                    <w:jc w:val="center"/>
                    <w:rPr>
                      <w:kern w:val="0"/>
                      <w:szCs w:val="21"/>
                    </w:rPr>
                  </w:pPr>
                  <w:r>
                    <w:rPr>
                      <w:rFonts w:hint="eastAsia"/>
                    </w:rPr>
                    <w:t>239-246</w:t>
                  </w:r>
                </w:p>
              </w:tc>
              <w:tc>
                <w:tcPr>
                  <w:tcW w:w="1125" w:type="dxa"/>
                  <w:vAlign w:val="center"/>
                </w:tcPr>
                <w:p w14:paraId="715AD482">
                  <w:pPr>
                    <w:snapToGrid w:val="0"/>
                    <w:jc w:val="center"/>
                    <w:rPr>
                      <w:kern w:val="0"/>
                      <w:szCs w:val="21"/>
                    </w:rPr>
                  </w:pPr>
                  <w:r>
                    <w:rPr>
                      <w:rFonts w:hint="eastAsia"/>
                    </w:rPr>
                    <w:t>82.00</w:t>
                  </w:r>
                </w:p>
              </w:tc>
              <w:tc>
                <w:tcPr>
                  <w:tcW w:w="986" w:type="dxa"/>
                  <w:vAlign w:val="center"/>
                </w:tcPr>
                <w:p w14:paraId="2C9567CB">
                  <w:pPr>
                    <w:snapToGrid w:val="0"/>
                    <w:jc w:val="center"/>
                    <w:rPr>
                      <w:kern w:val="0"/>
                      <w:szCs w:val="21"/>
                    </w:rPr>
                  </w:pPr>
                  <w:r>
                    <w:rPr>
                      <w:rFonts w:hint="eastAsia"/>
                      <w:kern w:val="0"/>
                      <w:szCs w:val="21"/>
                    </w:rPr>
                    <w:t>0</w:t>
                  </w:r>
                </w:p>
              </w:tc>
              <w:tc>
                <w:tcPr>
                  <w:tcW w:w="784" w:type="dxa"/>
                  <w:vAlign w:val="center"/>
                </w:tcPr>
                <w:p w14:paraId="7E91C675">
                  <w:pPr>
                    <w:snapToGrid w:val="0"/>
                    <w:jc w:val="center"/>
                    <w:rPr>
                      <w:kern w:val="0"/>
                      <w:szCs w:val="21"/>
                    </w:rPr>
                  </w:pPr>
                  <w:r>
                    <w:rPr>
                      <w:rFonts w:hint="eastAsia"/>
                      <w:kern w:val="0"/>
                      <w:szCs w:val="21"/>
                    </w:rPr>
                    <w:t>达标</w:t>
                  </w:r>
                </w:p>
              </w:tc>
            </w:tr>
            <w:tr w14:paraId="31E9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vAlign w:val="center"/>
                </w:tcPr>
                <w:p w14:paraId="5D0D56E8">
                  <w:pPr>
                    <w:snapToGrid w:val="0"/>
                    <w:jc w:val="center"/>
                    <w:rPr>
                      <w:kern w:val="0"/>
                      <w:szCs w:val="21"/>
                    </w:rPr>
                  </w:pPr>
                </w:p>
              </w:tc>
              <w:tc>
                <w:tcPr>
                  <w:tcW w:w="1268" w:type="dxa"/>
                  <w:vAlign w:val="center"/>
                </w:tcPr>
                <w:p w14:paraId="1766944A">
                  <w:pPr>
                    <w:snapToGrid w:val="0"/>
                    <w:jc w:val="center"/>
                    <w:rPr>
                      <w:kern w:val="0"/>
                      <w:szCs w:val="21"/>
                    </w:rPr>
                  </w:pPr>
                  <w:r>
                    <w:rPr>
                      <w:rFonts w:hint="eastAsia"/>
                      <w:kern w:val="0"/>
                      <w:szCs w:val="21"/>
                    </w:rPr>
                    <w:t>非甲烷总烃</w:t>
                  </w:r>
                </w:p>
              </w:tc>
              <w:tc>
                <w:tcPr>
                  <w:tcW w:w="985" w:type="dxa"/>
                  <w:vAlign w:val="center"/>
                </w:tcPr>
                <w:p w14:paraId="4EF8F5FD">
                  <w:pPr>
                    <w:snapToGrid w:val="0"/>
                    <w:jc w:val="center"/>
                    <w:rPr>
                      <w:kern w:val="0"/>
                      <w:szCs w:val="21"/>
                    </w:rPr>
                  </w:pPr>
                  <w:r>
                    <w:rPr>
                      <w:kern w:val="0"/>
                      <w:szCs w:val="21"/>
                    </w:rPr>
                    <w:t>1</w:t>
                  </w:r>
                  <w:r>
                    <w:rPr>
                      <w:rFonts w:hint="eastAsia"/>
                      <w:kern w:val="0"/>
                      <w:szCs w:val="21"/>
                    </w:rPr>
                    <w:t>小时</w:t>
                  </w:r>
                </w:p>
              </w:tc>
              <w:tc>
                <w:tcPr>
                  <w:tcW w:w="1146" w:type="dxa"/>
                  <w:vAlign w:val="center"/>
                </w:tcPr>
                <w:p w14:paraId="717F7167">
                  <w:pPr>
                    <w:snapToGrid w:val="0"/>
                    <w:jc w:val="center"/>
                    <w:rPr>
                      <w:kern w:val="0"/>
                      <w:szCs w:val="21"/>
                    </w:rPr>
                  </w:pPr>
                  <w:r>
                    <w:rPr>
                      <w:kern w:val="0"/>
                      <w:szCs w:val="21"/>
                    </w:rPr>
                    <w:t>2000</w:t>
                  </w:r>
                </w:p>
              </w:tc>
              <w:tc>
                <w:tcPr>
                  <w:tcW w:w="1276" w:type="dxa"/>
                  <w:vAlign w:val="center"/>
                </w:tcPr>
                <w:p w14:paraId="30FBF644">
                  <w:pPr>
                    <w:snapToGrid w:val="0"/>
                    <w:jc w:val="center"/>
                  </w:pPr>
                  <w:r>
                    <w:rPr>
                      <w:rFonts w:hint="eastAsia"/>
                    </w:rPr>
                    <w:t>430-660</w:t>
                  </w:r>
                </w:p>
              </w:tc>
              <w:tc>
                <w:tcPr>
                  <w:tcW w:w="1125" w:type="dxa"/>
                  <w:vAlign w:val="center"/>
                </w:tcPr>
                <w:p w14:paraId="3F7EE486">
                  <w:pPr>
                    <w:snapToGrid w:val="0"/>
                    <w:jc w:val="center"/>
                  </w:pPr>
                  <w:r>
                    <w:rPr>
                      <w:rFonts w:hint="eastAsia"/>
                    </w:rPr>
                    <w:t>33.00</w:t>
                  </w:r>
                </w:p>
              </w:tc>
              <w:tc>
                <w:tcPr>
                  <w:tcW w:w="986" w:type="dxa"/>
                  <w:vAlign w:val="center"/>
                </w:tcPr>
                <w:p w14:paraId="2A80B59D">
                  <w:pPr>
                    <w:snapToGrid w:val="0"/>
                    <w:jc w:val="center"/>
                    <w:rPr>
                      <w:kern w:val="0"/>
                      <w:szCs w:val="21"/>
                    </w:rPr>
                  </w:pPr>
                  <w:r>
                    <w:rPr>
                      <w:rFonts w:hint="eastAsia"/>
                      <w:kern w:val="0"/>
                      <w:szCs w:val="21"/>
                    </w:rPr>
                    <w:t>0</w:t>
                  </w:r>
                </w:p>
              </w:tc>
              <w:tc>
                <w:tcPr>
                  <w:tcW w:w="784" w:type="dxa"/>
                  <w:vAlign w:val="center"/>
                </w:tcPr>
                <w:p w14:paraId="24B9F0AB">
                  <w:pPr>
                    <w:snapToGrid w:val="0"/>
                    <w:jc w:val="center"/>
                    <w:rPr>
                      <w:kern w:val="0"/>
                      <w:szCs w:val="21"/>
                    </w:rPr>
                  </w:pPr>
                  <w:r>
                    <w:rPr>
                      <w:rFonts w:hint="eastAsia"/>
                      <w:kern w:val="0"/>
                      <w:szCs w:val="21"/>
                    </w:rPr>
                    <w:t>达标</w:t>
                  </w:r>
                </w:p>
              </w:tc>
            </w:tr>
          </w:tbl>
          <w:p w14:paraId="3DEB429B">
            <w:pPr>
              <w:adjustRightInd w:val="0"/>
              <w:snapToGrid w:val="0"/>
              <w:spacing w:line="360" w:lineRule="auto"/>
              <w:ind w:firstLine="480" w:firstLineChars="200"/>
              <w:rPr>
                <w:sz w:val="24"/>
                <w:szCs w:val="22"/>
              </w:rPr>
            </w:pPr>
            <w:r>
              <w:rPr>
                <w:sz w:val="24"/>
                <w:szCs w:val="22"/>
              </w:rPr>
              <w:t>根据监测结果可知，本项目区域环境空气中</w:t>
            </w:r>
            <w:r>
              <w:rPr>
                <w:rFonts w:hint="eastAsia"/>
                <w:sz w:val="24"/>
                <w:szCs w:val="22"/>
              </w:rPr>
              <w:t>TSP</w:t>
            </w:r>
            <w:r>
              <w:rPr>
                <w:sz w:val="24"/>
                <w:szCs w:val="22"/>
              </w:rPr>
              <w:t>浓度为</w:t>
            </w:r>
            <w:r>
              <w:rPr>
                <w:rFonts w:hint="eastAsia"/>
                <w:sz w:val="24"/>
                <w:szCs w:val="22"/>
              </w:rPr>
              <w:t>93~148</w:t>
            </w:r>
            <w:r>
              <w:rPr>
                <w:sz w:val="24"/>
                <w:szCs w:val="22"/>
              </w:rPr>
              <w:t>μg/m</w:t>
            </w:r>
            <w:r>
              <w:rPr>
                <w:sz w:val="24"/>
                <w:szCs w:val="22"/>
                <w:vertAlign w:val="superscript"/>
              </w:rPr>
              <w:t>3</w:t>
            </w:r>
            <w:r>
              <w:rPr>
                <w:sz w:val="24"/>
                <w:szCs w:val="22"/>
              </w:rPr>
              <w:t>，满足</w:t>
            </w:r>
            <w:r>
              <w:rPr>
                <w:rFonts w:hint="eastAsia"/>
                <w:sz w:val="24"/>
                <w:szCs w:val="22"/>
              </w:rPr>
              <w:t>《环境空气质量标准》（</w:t>
            </w:r>
            <w:r>
              <w:rPr>
                <w:sz w:val="24"/>
                <w:szCs w:val="22"/>
              </w:rPr>
              <w:t>GB3095-2012</w:t>
            </w:r>
            <w:r>
              <w:rPr>
                <w:rFonts w:hint="eastAsia"/>
                <w:sz w:val="24"/>
                <w:szCs w:val="22"/>
              </w:rPr>
              <w:t>）</w:t>
            </w:r>
            <w:r>
              <w:rPr>
                <w:sz w:val="24"/>
                <w:szCs w:val="22"/>
              </w:rPr>
              <w:t>中的二级标准</w:t>
            </w:r>
            <w:r>
              <w:rPr>
                <w:rFonts w:hint="eastAsia"/>
                <w:sz w:val="24"/>
                <w:szCs w:val="22"/>
              </w:rPr>
              <w:t>（300</w:t>
            </w:r>
            <w:r>
              <w:rPr>
                <w:sz w:val="24"/>
                <w:szCs w:val="22"/>
              </w:rPr>
              <w:t>μg/m</w:t>
            </w:r>
            <w:r>
              <w:rPr>
                <w:sz w:val="24"/>
                <w:szCs w:val="22"/>
                <w:vertAlign w:val="superscript"/>
              </w:rPr>
              <w:t>3</w:t>
            </w:r>
            <w:r>
              <w:rPr>
                <w:rFonts w:hint="eastAsia"/>
                <w:sz w:val="24"/>
                <w:szCs w:val="22"/>
              </w:rPr>
              <w:t>）。本项目区域环境空气中非甲烷总烃浓度为101-109</w:t>
            </w:r>
            <w:r>
              <w:rPr>
                <w:sz w:val="24"/>
                <w:szCs w:val="22"/>
              </w:rPr>
              <w:t>μg/m</w:t>
            </w:r>
            <w:r>
              <w:rPr>
                <w:sz w:val="24"/>
                <w:szCs w:val="22"/>
                <w:vertAlign w:val="superscript"/>
              </w:rPr>
              <w:t>3</w:t>
            </w:r>
            <w:r>
              <w:rPr>
                <w:rFonts w:hint="eastAsia"/>
                <w:sz w:val="24"/>
                <w:szCs w:val="22"/>
              </w:rPr>
              <w:t>，满足《大气污染物综合排放标准详解》中的标准要求（2000</w:t>
            </w:r>
            <w:r>
              <w:rPr>
                <w:sz w:val="24"/>
                <w:szCs w:val="22"/>
              </w:rPr>
              <w:t>μg/m</w:t>
            </w:r>
            <w:r>
              <w:rPr>
                <w:sz w:val="24"/>
                <w:szCs w:val="22"/>
                <w:vertAlign w:val="superscript"/>
              </w:rPr>
              <w:t>3</w:t>
            </w:r>
            <w:r>
              <w:rPr>
                <w:rFonts w:hint="eastAsia"/>
                <w:sz w:val="24"/>
                <w:szCs w:val="22"/>
              </w:rPr>
              <w:t>）。</w:t>
            </w:r>
          </w:p>
          <w:p w14:paraId="445CD4E2">
            <w:pPr>
              <w:adjustRightInd w:val="0"/>
              <w:snapToGrid w:val="0"/>
              <w:spacing w:line="360" w:lineRule="auto"/>
              <w:ind w:firstLine="482" w:firstLineChars="200"/>
              <w:rPr>
                <w:b/>
                <w:sz w:val="24"/>
              </w:rPr>
            </w:pPr>
            <w:r>
              <w:rPr>
                <w:rFonts w:hint="eastAsia"/>
                <w:b/>
                <w:sz w:val="24"/>
              </w:rPr>
              <w:t>2、</w:t>
            </w:r>
            <w:r>
              <w:rPr>
                <w:b/>
                <w:sz w:val="24"/>
              </w:rPr>
              <w:t>声环境质量现状</w:t>
            </w:r>
          </w:p>
          <w:p w14:paraId="786995C0">
            <w:pPr>
              <w:wordWrap w:val="0"/>
              <w:adjustRightInd w:val="0"/>
              <w:snapToGrid w:val="0"/>
              <w:spacing w:line="360" w:lineRule="auto"/>
              <w:ind w:firstLine="480" w:firstLineChars="200"/>
              <w:jc w:val="left"/>
              <w:rPr>
                <w:sz w:val="24"/>
              </w:rPr>
            </w:pPr>
            <w:r>
              <w:rPr>
                <w:rFonts w:hint="eastAsia"/>
                <w:sz w:val="24"/>
              </w:rPr>
              <w:t>本项目周边50m范围无声环境保护目标，故本项目未监测声环境质量现状。</w:t>
            </w:r>
          </w:p>
          <w:p w14:paraId="344B37B5">
            <w:pPr>
              <w:adjustRightInd w:val="0"/>
              <w:snapToGrid w:val="0"/>
              <w:spacing w:line="360" w:lineRule="auto"/>
              <w:ind w:firstLine="482" w:firstLineChars="200"/>
              <w:rPr>
                <w:b/>
                <w:bCs/>
                <w:sz w:val="24"/>
              </w:rPr>
            </w:pPr>
            <w:r>
              <w:rPr>
                <w:b/>
                <w:bCs/>
                <w:sz w:val="24"/>
              </w:rPr>
              <w:t>3、土壤、地下水环境</w:t>
            </w:r>
            <w:r>
              <w:rPr>
                <w:b/>
                <w:bCs/>
                <w:kern w:val="21"/>
                <w:sz w:val="24"/>
              </w:rPr>
              <w:t>质量现状</w:t>
            </w:r>
          </w:p>
          <w:p w14:paraId="381EBCAE">
            <w:pPr>
              <w:adjustRightInd w:val="0"/>
              <w:snapToGrid w:val="0"/>
              <w:spacing w:line="360" w:lineRule="auto"/>
              <w:ind w:firstLine="480" w:firstLineChars="200"/>
              <w:rPr>
                <w:sz w:val="24"/>
              </w:rPr>
            </w:pPr>
            <w:r>
              <w:rPr>
                <w:sz w:val="24"/>
              </w:rPr>
              <w:t>本项目在租赁厂房内建设，租赁厂房已全部硬化，500米范围内没有水井，根据《关于土壤破坏性监测问题的回复》（部长信箱），项目租赁已建成厂房，厂区地面全部硬化，故可不进行土壤质量现状监测。</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1"/>
              <w:gridCol w:w="4415"/>
            </w:tblGrid>
            <w:tr w14:paraId="704F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589BA2FA">
                  <w:pPr>
                    <w:pStyle w:val="15"/>
                    <w:ind w:left="0" w:leftChars="0" w:firstLine="0" w:firstLineChars="0"/>
                    <w:rPr>
                      <w:rFonts w:ascii="Times New Roman" w:hAnsi="Times New Roman" w:cs="Times New Roman"/>
                      <w:b/>
                      <w:bCs/>
                      <w:kern w:val="2"/>
                      <w:szCs w:val="24"/>
                    </w:rPr>
                  </w:pPr>
                  <w:r>
                    <w:rPr>
                      <w:rFonts w:ascii="Times New Roman" w:hAnsi="Times New Roman" w:cs="Times New Roman"/>
                      <w:b/>
                      <w:bCs/>
                      <w:kern w:val="2"/>
                      <w:szCs w:val="24"/>
                    </w:rPr>
                    <w:drawing>
                      <wp:inline distT="0" distB="0" distL="0" distR="0">
                        <wp:extent cx="2350770" cy="2233930"/>
                        <wp:effectExtent l="19050" t="0" r="0" b="0"/>
                        <wp:docPr id="1" name="图片 0" descr="空厂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空厂房4.jpg"/>
                                <pic:cNvPicPr>
                                  <a:picLocks noChangeAspect="1"/>
                                </pic:cNvPicPr>
                              </pic:nvPicPr>
                              <pic:blipFill>
                                <a:blip r:embed="rId12" cstate="print"/>
                                <a:stretch>
                                  <a:fillRect/>
                                </a:stretch>
                              </pic:blipFill>
                              <pic:spPr>
                                <a:xfrm>
                                  <a:off x="0" y="0"/>
                                  <a:ext cx="2363447" cy="2246366"/>
                                </a:xfrm>
                                <a:prstGeom prst="rect">
                                  <a:avLst/>
                                </a:prstGeom>
                              </pic:spPr>
                            </pic:pic>
                          </a:graphicData>
                        </a:graphic>
                      </wp:inline>
                    </w:drawing>
                  </w:r>
                </w:p>
              </w:tc>
              <w:tc>
                <w:tcPr>
                  <w:tcW w:w="2500" w:type="pct"/>
                  <w:vAlign w:val="center"/>
                </w:tcPr>
                <w:p w14:paraId="0CBC987E">
                  <w:pPr>
                    <w:pStyle w:val="15"/>
                    <w:ind w:left="0" w:leftChars="0" w:firstLine="0" w:firstLineChars="0"/>
                    <w:rPr>
                      <w:rFonts w:ascii="Times New Roman" w:hAnsi="Times New Roman" w:cs="Times New Roman"/>
                      <w:b/>
                      <w:bCs/>
                      <w:kern w:val="2"/>
                      <w:szCs w:val="24"/>
                    </w:rPr>
                  </w:pPr>
                  <w:r>
                    <w:rPr>
                      <w:rFonts w:ascii="Times New Roman" w:hAnsi="Times New Roman" w:cs="Times New Roman"/>
                      <w:b/>
                      <w:bCs/>
                      <w:kern w:val="2"/>
                      <w:szCs w:val="24"/>
                    </w:rPr>
                    <w:drawing>
                      <wp:inline distT="0" distB="0" distL="0" distR="0">
                        <wp:extent cx="2647315" cy="2263775"/>
                        <wp:effectExtent l="19050" t="0" r="166" b="0"/>
                        <wp:docPr id="2" name="图片 1" descr="空厂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空厂房2.jpg"/>
                                <pic:cNvPicPr>
                                  <a:picLocks noChangeAspect="1"/>
                                </pic:cNvPicPr>
                              </pic:nvPicPr>
                              <pic:blipFill>
                                <a:blip r:embed="rId13" cstate="print"/>
                                <a:stretch>
                                  <a:fillRect/>
                                </a:stretch>
                              </pic:blipFill>
                              <pic:spPr>
                                <a:xfrm>
                                  <a:off x="0" y="0"/>
                                  <a:ext cx="2648034" cy="2264060"/>
                                </a:xfrm>
                                <a:prstGeom prst="rect">
                                  <a:avLst/>
                                </a:prstGeom>
                              </pic:spPr>
                            </pic:pic>
                          </a:graphicData>
                        </a:graphic>
                      </wp:inline>
                    </w:drawing>
                  </w:r>
                </w:p>
              </w:tc>
            </w:tr>
          </w:tbl>
          <w:p w14:paraId="13974691">
            <w:pPr>
              <w:pStyle w:val="2"/>
            </w:pPr>
          </w:p>
        </w:tc>
      </w:tr>
      <w:tr w14:paraId="51F9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00" w:type="dxa"/>
            <w:vAlign w:val="center"/>
          </w:tcPr>
          <w:p w14:paraId="6CD0FC7E">
            <w:pPr>
              <w:adjustRightInd w:val="0"/>
              <w:snapToGrid w:val="0"/>
              <w:jc w:val="center"/>
              <w:rPr>
                <w:rFonts w:ascii="宋体" w:hAnsi="宋体" w:cs="宋体"/>
                <w:kern w:val="0"/>
                <w:szCs w:val="21"/>
              </w:rPr>
            </w:pPr>
            <w:r>
              <w:rPr>
                <w:rFonts w:hint="eastAsia" w:ascii="宋体" w:hAnsi="宋体" w:cs="宋体"/>
                <w:kern w:val="0"/>
                <w:szCs w:val="21"/>
              </w:rPr>
              <w:t>环境</w:t>
            </w:r>
          </w:p>
          <w:p w14:paraId="6EE04FB8">
            <w:pPr>
              <w:adjustRightInd w:val="0"/>
              <w:snapToGrid w:val="0"/>
              <w:jc w:val="center"/>
              <w:rPr>
                <w:rFonts w:ascii="宋体" w:hAnsi="宋体" w:cs="宋体"/>
                <w:kern w:val="0"/>
                <w:szCs w:val="21"/>
              </w:rPr>
            </w:pPr>
            <w:r>
              <w:rPr>
                <w:rFonts w:hint="eastAsia" w:ascii="宋体" w:hAnsi="宋体" w:cs="宋体"/>
                <w:kern w:val="0"/>
                <w:szCs w:val="21"/>
              </w:rPr>
              <w:t>保护</w:t>
            </w:r>
          </w:p>
          <w:p w14:paraId="3E14662B">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14:paraId="6F3C41E2">
            <w:pPr>
              <w:spacing w:after="120"/>
              <w:rPr>
                <w:b/>
                <w:sz w:val="24"/>
              </w:rPr>
            </w:pPr>
            <w:r>
              <w:rPr>
                <w:b/>
                <w:sz w:val="24"/>
              </w:rPr>
              <w:t>3.2主要环境保护目标</w:t>
            </w:r>
          </w:p>
          <w:p w14:paraId="4A6FBABD">
            <w:pPr>
              <w:adjustRightInd w:val="0"/>
              <w:snapToGrid w:val="0"/>
              <w:spacing w:line="360" w:lineRule="auto"/>
              <w:ind w:firstLine="480" w:firstLineChars="200"/>
              <w:rPr>
                <w:sz w:val="24"/>
              </w:rPr>
            </w:pPr>
            <w:r>
              <w:rPr>
                <w:sz w:val="24"/>
              </w:rPr>
              <w:t>本项目位于</w:t>
            </w:r>
            <w:r>
              <w:rPr>
                <w:rFonts w:hint="eastAsia" w:ascii="宋体" w:hAnsi="宋体" w:cs="宋体"/>
                <w:sz w:val="24"/>
              </w:rPr>
              <w:t>西安市鄠邑区大唐二电厂南侧</w:t>
            </w:r>
            <w:r>
              <w:rPr>
                <w:rFonts w:hint="eastAsia" w:hAnsi="宋体"/>
                <w:sz w:val="24"/>
              </w:rPr>
              <w:t>，</w:t>
            </w:r>
            <w:r>
              <w:rPr>
                <w:rFonts w:hint="eastAsia"/>
                <w:sz w:val="24"/>
              </w:rPr>
              <w:t>项目厂界5</w:t>
            </w:r>
            <w:r>
              <w:rPr>
                <w:sz w:val="24"/>
              </w:rPr>
              <w:t>00</w:t>
            </w:r>
            <w:r>
              <w:rPr>
                <w:rFonts w:hint="eastAsia"/>
                <w:sz w:val="24"/>
              </w:rPr>
              <w:t>m范围内主要大气环境保护目标如下表：</w:t>
            </w:r>
          </w:p>
          <w:p w14:paraId="19FD7A9E">
            <w:pPr>
              <w:pStyle w:val="9"/>
              <w:widowControl w:val="0"/>
              <w:numPr>
                <w:ilvl w:val="0"/>
                <w:numId w:val="1"/>
              </w:numPr>
              <w:adjustRightInd w:val="0"/>
              <w:spacing w:before="0" w:after="0" w:line="240" w:lineRule="auto"/>
              <w:ind w:left="0" w:right="0" w:firstLine="0"/>
              <w:jc w:val="center"/>
              <w:rPr>
                <w:b/>
                <w:sz w:val="21"/>
                <w:szCs w:val="24"/>
              </w:rPr>
            </w:pPr>
            <w:r>
              <w:rPr>
                <w:rFonts w:hint="eastAsia"/>
                <w:b/>
                <w:sz w:val="21"/>
                <w:szCs w:val="24"/>
              </w:rPr>
              <w:t xml:space="preserve">    主要环境保护目标</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1"/>
              <w:gridCol w:w="1227"/>
              <w:gridCol w:w="1424"/>
              <w:gridCol w:w="1319"/>
              <w:gridCol w:w="1087"/>
              <w:gridCol w:w="660"/>
              <w:gridCol w:w="657"/>
              <w:gridCol w:w="662"/>
              <w:gridCol w:w="709"/>
            </w:tblGrid>
            <w:tr w14:paraId="5B0544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428" w:type="pct"/>
                  <w:vMerge w:val="restart"/>
                  <w:vAlign w:val="center"/>
                </w:tcPr>
                <w:p w14:paraId="3D01CBAA">
                  <w:pPr>
                    <w:snapToGrid w:val="0"/>
                    <w:jc w:val="center"/>
                    <w:rPr>
                      <w:szCs w:val="21"/>
                    </w:rPr>
                  </w:pPr>
                  <w:bookmarkStart w:id="3" w:name="_Hlk49432998"/>
                  <w:r>
                    <w:rPr>
                      <w:rFonts w:hint="eastAsia"/>
                      <w:szCs w:val="21"/>
                    </w:rPr>
                    <w:t>环境要素</w:t>
                  </w:r>
                </w:p>
              </w:tc>
              <w:tc>
                <w:tcPr>
                  <w:tcW w:w="751" w:type="pct"/>
                  <w:vMerge w:val="restart"/>
                  <w:vAlign w:val="center"/>
                </w:tcPr>
                <w:p w14:paraId="1BF7095B">
                  <w:pPr>
                    <w:snapToGrid w:val="0"/>
                    <w:jc w:val="center"/>
                    <w:rPr>
                      <w:szCs w:val="21"/>
                    </w:rPr>
                  </w:pPr>
                  <w:r>
                    <w:rPr>
                      <w:rFonts w:hint="eastAsia"/>
                      <w:szCs w:val="21"/>
                    </w:rPr>
                    <w:t>名称</w:t>
                  </w:r>
                </w:p>
              </w:tc>
              <w:tc>
                <w:tcPr>
                  <w:tcW w:w="1465" w:type="pct"/>
                  <w:gridSpan w:val="2"/>
                  <w:tcBorders>
                    <w:bottom w:val="single" w:color="auto" w:sz="4" w:space="0"/>
                    <w:right w:val="single" w:color="auto" w:sz="4" w:space="0"/>
                  </w:tcBorders>
                  <w:vAlign w:val="center"/>
                </w:tcPr>
                <w:p w14:paraId="765EE16C">
                  <w:pPr>
                    <w:snapToGrid w:val="0"/>
                    <w:jc w:val="center"/>
                    <w:rPr>
                      <w:szCs w:val="21"/>
                    </w:rPr>
                  </w:pPr>
                  <w:r>
                    <w:rPr>
                      <w:rFonts w:hint="eastAsia"/>
                      <w:szCs w:val="21"/>
                    </w:rPr>
                    <w:t>坐标</w:t>
                  </w:r>
                </w:p>
              </w:tc>
              <w:tc>
                <w:tcPr>
                  <w:tcW w:w="668" w:type="pct"/>
                  <w:vMerge w:val="restart"/>
                  <w:tcBorders>
                    <w:left w:val="single" w:color="auto" w:sz="4" w:space="0"/>
                    <w:right w:val="single" w:color="auto" w:sz="4" w:space="0"/>
                  </w:tcBorders>
                  <w:vAlign w:val="center"/>
                </w:tcPr>
                <w:p w14:paraId="4DE7C191">
                  <w:pPr>
                    <w:snapToGrid w:val="0"/>
                    <w:jc w:val="center"/>
                    <w:rPr>
                      <w:szCs w:val="21"/>
                    </w:rPr>
                  </w:pPr>
                  <w:r>
                    <w:rPr>
                      <w:rFonts w:hint="eastAsia"/>
                      <w:szCs w:val="21"/>
                    </w:rPr>
                    <w:t>保护对象</w:t>
                  </w:r>
                </w:p>
              </w:tc>
              <w:tc>
                <w:tcPr>
                  <w:tcW w:w="415" w:type="pct"/>
                  <w:vMerge w:val="restart"/>
                  <w:tcBorders>
                    <w:left w:val="single" w:color="auto" w:sz="4" w:space="0"/>
                  </w:tcBorders>
                  <w:vAlign w:val="center"/>
                </w:tcPr>
                <w:p w14:paraId="640EE3B0">
                  <w:pPr>
                    <w:snapToGrid w:val="0"/>
                    <w:jc w:val="center"/>
                    <w:rPr>
                      <w:szCs w:val="21"/>
                    </w:rPr>
                  </w:pPr>
                  <w:r>
                    <w:rPr>
                      <w:rFonts w:hint="eastAsia"/>
                      <w:szCs w:val="21"/>
                    </w:rPr>
                    <w:t>保护</w:t>
                  </w:r>
                  <w:r>
                    <w:rPr>
                      <w:szCs w:val="21"/>
                    </w:rPr>
                    <w:t>内容</w:t>
                  </w:r>
                </w:p>
              </w:tc>
              <w:tc>
                <w:tcPr>
                  <w:tcW w:w="413" w:type="pct"/>
                  <w:vMerge w:val="restart"/>
                  <w:vAlign w:val="center"/>
                </w:tcPr>
                <w:p w14:paraId="77091C4E">
                  <w:pPr>
                    <w:snapToGrid w:val="0"/>
                    <w:jc w:val="center"/>
                    <w:rPr>
                      <w:szCs w:val="21"/>
                    </w:rPr>
                  </w:pPr>
                  <w:r>
                    <w:rPr>
                      <w:rFonts w:hint="eastAsia"/>
                      <w:szCs w:val="21"/>
                    </w:rPr>
                    <w:t>环境</w:t>
                  </w:r>
                  <w:r>
                    <w:rPr>
                      <w:szCs w:val="21"/>
                    </w:rPr>
                    <w:t>功能区</w:t>
                  </w:r>
                </w:p>
              </w:tc>
              <w:tc>
                <w:tcPr>
                  <w:tcW w:w="416" w:type="pct"/>
                  <w:vMerge w:val="restart"/>
                  <w:vAlign w:val="center"/>
                </w:tcPr>
                <w:p w14:paraId="00607AEE">
                  <w:pPr>
                    <w:snapToGrid w:val="0"/>
                    <w:jc w:val="center"/>
                    <w:rPr>
                      <w:szCs w:val="21"/>
                    </w:rPr>
                  </w:pPr>
                  <w:r>
                    <w:rPr>
                      <w:rFonts w:hint="eastAsia"/>
                      <w:szCs w:val="21"/>
                    </w:rPr>
                    <w:t>相对</w:t>
                  </w:r>
                  <w:r>
                    <w:rPr>
                      <w:szCs w:val="21"/>
                    </w:rPr>
                    <w:t>厂址</w:t>
                  </w:r>
                  <w:r>
                    <w:rPr>
                      <w:rFonts w:hint="eastAsia"/>
                      <w:szCs w:val="21"/>
                    </w:rPr>
                    <w:t>方位</w:t>
                  </w:r>
                </w:p>
              </w:tc>
              <w:tc>
                <w:tcPr>
                  <w:tcW w:w="444" w:type="pct"/>
                  <w:vMerge w:val="restart"/>
                  <w:vAlign w:val="center"/>
                </w:tcPr>
                <w:p w14:paraId="632DAD86">
                  <w:pPr>
                    <w:snapToGrid w:val="0"/>
                    <w:jc w:val="center"/>
                    <w:rPr>
                      <w:szCs w:val="21"/>
                    </w:rPr>
                  </w:pPr>
                  <w:r>
                    <w:rPr>
                      <w:rFonts w:hint="eastAsia"/>
                      <w:szCs w:val="21"/>
                    </w:rPr>
                    <w:t>相对厂界距离/</w:t>
                  </w:r>
                  <w:r>
                    <w:rPr>
                      <w:szCs w:val="21"/>
                    </w:rPr>
                    <w:t>m</w:t>
                  </w:r>
                </w:p>
              </w:tc>
            </w:tr>
            <w:tr w14:paraId="42A3E8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428" w:type="pct"/>
                  <w:vMerge w:val="continue"/>
                  <w:vAlign w:val="center"/>
                </w:tcPr>
                <w:p w14:paraId="6552900A">
                  <w:pPr>
                    <w:snapToGrid w:val="0"/>
                    <w:jc w:val="center"/>
                    <w:rPr>
                      <w:szCs w:val="21"/>
                    </w:rPr>
                  </w:pPr>
                </w:p>
              </w:tc>
              <w:tc>
                <w:tcPr>
                  <w:tcW w:w="751" w:type="pct"/>
                  <w:vMerge w:val="continue"/>
                  <w:vAlign w:val="center"/>
                </w:tcPr>
                <w:p w14:paraId="3A19FD36">
                  <w:pPr>
                    <w:snapToGrid w:val="0"/>
                    <w:jc w:val="center"/>
                    <w:rPr>
                      <w:szCs w:val="21"/>
                    </w:rPr>
                  </w:pPr>
                </w:p>
              </w:tc>
              <w:tc>
                <w:tcPr>
                  <w:tcW w:w="783" w:type="pct"/>
                  <w:tcBorders>
                    <w:top w:val="single" w:color="auto" w:sz="4" w:space="0"/>
                    <w:right w:val="single" w:color="auto" w:sz="4" w:space="0"/>
                  </w:tcBorders>
                  <w:vAlign w:val="center"/>
                </w:tcPr>
                <w:p w14:paraId="1361A0B7">
                  <w:pPr>
                    <w:snapToGrid w:val="0"/>
                    <w:jc w:val="center"/>
                    <w:rPr>
                      <w:szCs w:val="21"/>
                    </w:rPr>
                  </w:pPr>
                  <w:r>
                    <w:rPr>
                      <w:rFonts w:hint="eastAsia"/>
                      <w:szCs w:val="21"/>
                    </w:rPr>
                    <w:t>东经</w:t>
                  </w:r>
                </w:p>
              </w:tc>
              <w:tc>
                <w:tcPr>
                  <w:tcW w:w="682" w:type="pct"/>
                  <w:tcBorders>
                    <w:top w:val="single" w:color="auto" w:sz="4" w:space="0"/>
                    <w:left w:val="single" w:color="auto" w:sz="4" w:space="0"/>
                    <w:right w:val="single" w:color="auto" w:sz="4" w:space="0"/>
                  </w:tcBorders>
                  <w:vAlign w:val="center"/>
                </w:tcPr>
                <w:p w14:paraId="4FC5B4AF">
                  <w:pPr>
                    <w:snapToGrid w:val="0"/>
                    <w:jc w:val="center"/>
                    <w:rPr>
                      <w:szCs w:val="21"/>
                    </w:rPr>
                  </w:pPr>
                  <w:r>
                    <w:rPr>
                      <w:rFonts w:hint="eastAsia"/>
                      <w:szCs w:val="21"/>
                    </w:rPr>
                    <w:t>北纬</w:t>
                  </w:r>
                </w:p>
              </w:tc>
              <w:tc>
                <w:tcPr>
                  <w:tcW w:w="668" w:type="pct"/>
                  <w:vMerge w:val="continue"/>
                  <w:tcBorders>
                    <w:left w:val="single" w:color="auto" w:sz="4" w:space="0"/>
                    <w:right w:val="single" w:color="auto" w:sz="4" w:space="0"/>
                  </w:tcBorders>
                  <w:vAlign w:val="center"/>
                </w:tcPr>
                <w:p w14:paraId="6225EB48">
                  <w:pPr>
                    <w:snapToGrid w:val="0"/>
                    <w:jc w:val="center"/>
                    <w:rPr>
                      <w:szCs w:val="21"/>
                      <w:highlight w:val="yellow"/>
                    </w:rPr>
                  </w:pPr>
                </w:p>
              </w:tc>
              <w:tc>
                <w:tcPr>
                  <w:tcW w:w="415" w:type="pct"/>
                  <w:vMerge w:val="continue"/>
                  <w:tcBorders>
                    <w:left w:val="single" w:color="auto" w:sz="4" w:space="0"/>
                  </w:tcBorders>
                  <w:vAlign w:val="center"/>
                </w:tcPr>
                <w:p w14:paraId="026CE7F8">
                  <w:pPr>
                    <w:snapToGrid w:val="0"/>
                    <w:jc w:val="center"/>
                    <w:rPr>
                      <w:szCs w:val="21"/>
                      <w:highlight w:val="yellow"/>
                    </w:rPr>
                  </w:pPr>
                </w:p>
              </w:tc>
              <w:tc>
                <w:tcPr>
                  <w:tcW w:w="413" w:type="pct"/>
                  <w:vMerge w:val="continue"/>
                  <w:vAlign w:val="center"/>
                </w:tcPr>
                <w:p w14:paraId="46037678">
                  <w:pPr>
                    <w:snapToGrid w:val="0"/>
                    <w:jc w:val="center"/>
                    <w:rPr>
                      <w:szCs w:val="21"/>
                      <w:highlight w:val="yellow"/>
                    </w:rPr>
                  </w:pPr>
                </w:p>
              </w:tc>
              <w:tc>
                <w:tcPr>
                  <w:tcW w:w="416" w:type="pct"/>
                  <w:vMerge w:val="continue"/>
                  <w:vAlign w:val="center"/>
                </w:tcPr>
                <w:p w14:paraId="4364B960">
                  <w:pPr>
                    <w:snapToGrid w:val="0"/>
                    <w:jc w:val="center"/>
                    <w:rPr>
                      <w:szCs w:val="21"/>
                      <w:highlight w:val="yellow"/>
                    </w:rPr>
                  </w:pPr>
                </w:p>
              </w:tc>
              <w:tc>
                <w:tcPr>
                  <w:tcW w:w="444" w:type="pct"/>
                  <w:vMerge w:val="continue"/>
                  <w:vAlign w:val="center"/>
                </w:tcPr>
                <w:p w14:paraId="695F9EDE">
                  <w:pPr>
                    <w:snapToGrid w:val="0"/>
                    <w:jc w:val="center"/>
                    <w:rPr>
                      <w:szCs w:val="21"/>
                      <w:highlight w:val="yellow"/>
                    </w:rPr>
                  </w:pPr>
                </w:p>
              </w:tc>
            </w:tr>
            <w:tr w14:paraId="2BDC3F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428" w:type="pct"/>
                  <w:vMerge w:val="restart"/>
                  <w:vAlign w:val="center"/>
                </w:tcPr>
                <w:p w14:paraId="1D1B5E5A">
                  <w:pPr>
                    <w:jc w:val="center"/>
                    <w:rPr>
                      <w:szCs w:val="21"/>
                    </w:rPr>
                  </w:pPr>
                  <w:r>
                    <w:rPr>
                      <w:rFonts w:hint="eastAsia"/>
                      <w:szCs w:val="21"/>
                    </w:rPr>
                    <w:t>环境空气</w:t>
                  </w:r>
                </w:p>
              </w:tc>
              <w:tc>
                <w:tcPr>
                  <w:tcW w:w="751" w:type="pct"/>
                  <w:vAlign w:val="center"/>
                </w:tcPr>
                <w:p w14:paraId="0655F1FB">
                  <w:pPr>
                    <w:jc w:val="center"/>
                    <w:rPr>
                      <w:szCs w:val="21"/>
                    </w:rPr>
                  </w:pPr>
                  <w:r>
                    <w:rPr>
                      <w:rFonts w:hint="eastAsia"/>
                      <w:szCs w:val="21"/>
                    </w:rPr>
                    <w:t>阳光华庭</w:t>
                  </w:r>
                </w:p>
              </w:tc>
              <w:tc>
                <w:tcPr>
                  <w:tcW w:w="783" w:type="pct"/>
                  <w:tcBorders>
                    <w:right w:val="single" w:color="auto" w:sz="4" w:space="0"/>
                  </w:tcBorders>
                  <w:vAlign w:val="center"/>
                </w:tcPr>
                <w:p w14:paraId="5C8CFC81">
                  <w:pPr>
                    <w:adjustRightInd w:val="0"/>
                    <w:snapToGrid w:val="0"/>
                    <w:jc w:val="center"/>
                    <w:rPr>
                      <w:szCs w:val="21"/>
                    </w:rPr>
                  </w:pPr>
                  <w:r>
                    <w:rPr>
                      <w:szCs w:val="21"/>
                    </w:rPr>
                    <w:t>108.623319</w:t>
                  </w:r>
                  <w:r>
                    <w:rPr>
                      <w:rFonts w:hint="eastAsia"/>
                      <w:szCs w:val="21"/>
                    </w:rPr>
                    <w:t>°</w:t>
                  </w:r>
                </w:p>
              </w:tc>
              <w:tc>
                <w:tcPr>
                  <w:tcW w:w="682" w:type="pct"/>
                  <w:tcBorders>
                    <w:left w:val="single" w:color="auto" w:sz="4" w:space="0"/>
                    <w:right w:val="single" w:color="auto" w:sz="4" w:space="0"/>
                  </w:tcBorders>
                  <w:vAlign w:val="center"/>
                </w:tcPr>
                <w:p w14:paraId="7E8D7620">
                  <w:pPr>
                    <w:adjustRightInd w:val="0"/>
                    <w:snapToGrid w:val="0"/>
                    <w:jc w:val="center"/>
                    <w:rPr>
                      <w:szCs w:val="21"/>
                    </w:rPr>
                  </w:pPr>
                  <w:r>
                    <w:rPr>
                      <w:szCs w:val="21"/>
                    </w:rPr>
                    <w:t>34.068782</w:t>
                  </w:r>
                  <w:r>
                    <w:rPr>
                      <w:rFonts w:hint="eastAsia"/>
                      <w:szCs w:val="21"/>
                    </w:rPr>
                    <w:t>°</w:t>
                  </w:r>
                </w:p>
              </w:tc>
              <w:tc>
                <w:tcPr>
                  <w:tcW w:w="668" w:type="pct"/>
                  <w:tcBorders>
                    <w:left w:val="single" w:color="auto" w:sz="4" w:space="0"/>
                    <w:right w:val="single" w:color="auto" w:sz="4" w:space="0"/>
                  </w:tcBorders>
                  <w:vAlign w:val="center"/>
                </w:tcPr>
                <w:p w14:paraId="6200040A">
                  <w:pPr>
                    <w:adjustRightInd w:val="0"/>
                    <w:snapToGrid w:val="0"/>
                    <w:jc w:val="center"/>
                    <w:rPr>
                      <w:szCs w:val="21"/>
                    </w:rPr>
                  </w:pPr>
                  <w:r>
                    <w:rPr>
                      <w:rFonts w:hint="eastAsia"/>
                      <w:szCs w:val="21"/>
                    </w:rPr>
                    <w:t>1280人</w:t>
                  </w:r>
                </w:p>
              </w:tc>
              <w:tc>
                <w:tcPr>
                  <w:tcW w:w="415" w:type="pct"/>
                  <w:vMerge w:val="restart"/>
                  <w:tcBorders>
                    <w:left w:val="single" w:color="auto" w:sz="4" w:space="0"/>
                  </w:tcBorders>
                  <w:vAlign w:val="center"/>
                </w:tcPr>
                <w:p w14:paraId="25FD664C">
                  <w:pPr>
                    <w:jc w:val="center"/>
                    <w:rPr>
                      <w:szCs w:val="21"/>
                    </w:rPr>
                  </w:pPr>
                  <w:r>
                    <w:rPr>
                      <w:rFonts w:hint="eastAsia"/>
                      <w:szCs w:val="21"/>
                    </w:rPr>
                    <w:t>大气环境</w:t>
                  </w:r>
                </w:p>
              </w:tc>
              <w:tc>
                <w:tcPr>
                  <w:tcW w:w="413" w:type="pct"/>
                  <w:vMerge w:val="restart"/>
                  <w:vAlign w:val="center"/>
                </w:tcPr>
                <w:p w14:paraId="3BE4630B">
                  <w:pPr>
                    <w:jc w:val="center"/>
                    <w:rPr>
                      <w:szCs w:val="21"/>
                    </w:rPr>
                  </w:pPr>
                  <w:r>
                    <w:rPr>
                      <w:rFonts w:hint="eastAsia"/>
                      <w:szCs w:val="21"/>
                    </w:rPr>
                    <w:t>二类区</w:t>
                  </w:r>
                </w:p>
              </w:tc>
              <w:tc>
                <w:tcPr>
                  <w:tcW w:w="416" w:type="pct"/>
                  <w:vAlign w:val="center"/>
                </w:tcPr>
                <w:p w14:paraId="0772D4A7">
                  <w:pPr>
                    <w:jc w:val="center"/>
                    <w:rPr>
                      <w:szCs w:val="21"/>
                    </w:rPr>
                  </w:pPr>
                  <w:r>
                    <w:rPr>
                      <w:rFonts w:hint="eastAsia"/>
                      <w:szCs w:val="21"/>
                    </w:rPr>
                    <w:t>SE</w:t>
                  </w:r>
                </w:p>
              </w:tc>
              <w:tc>
                <w:tcPr>
                  <w:tcW w:w="444" w:type="pct"/>
                  <w:vAlign w:val="center"/>
                </w:tcPr>
                <w:p w14:paraId="50766D52">
                  <w:pPr>
                    <w:jc w:val="center"/>
                    <w:rPr>
                      <w:szCs w:val="21"/>
                    </w:rPr>
                  </w:pPr>
                  <w:r>
                    <w:rPr>
                      <w:rFonts w:hint="eastAsia"/>
                      <w:szCs w:val="21"/>
                    </w:rPr>
                    <w:t>234m</w:t>
                  </w:r>
                </w:p>
              </w:tc>
            </w:tr>
            <w:tr w14:paraId="06A4AF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428" w:type="pct"/>
                  <w:vMerge w:val="continue"/>
                  <w:vAlign w:val="center"/>
                </w:tcPr>
                <w:p w14:paraId="73E25DE3">
                  <w:pPr>
                    <w:jc w:val="center"/>
                    <w:rPr>
                      <w:szCs w:val="21"/>
                    </w:rPr>
                  </w:pPr>
                </w:p>
              </w:tc>
              <w:tc>
                <w:tcPr>
                  <w:tcW w:w="751" w:type="pct"/>
                  <w:vAlign w:val="center"/>
                </w:tcPr>
                <w:p w14:paraId="0F10F239">
                  <w:pPr>
                    <w:jc w:val="center"/>
                    <w:rPr>
                      <w:szCs w:val="21"/>
                    </w:rPr>
                  </w:pPr>
                  <w:r>
                    <w:rPr>
                      <w:rFonts w:hint="eastAsia"/>
                      <w:szCs w:val="21"/>
                    </w:rPr>
                    <w:t>惠安集团惠北社区十街坊</w:t>
                  </w:r>
                </w:p>
              </w:tc>
              <w:tc>
                <w:tcPr>
                  <w:tcW w:w="783" w:type="pct"/>
                  <w:tcBorders>
                    <w:right w:val="single" w:color="auto" w:sz="4" w:space="0"/>
                  </w:tcBorders>
                  <w:vAlign w:val="center"/>
                </w:tcPr>
                <w:p w14:paraId="6F4BA65A">
                  <w:pPr>
                    <w:adjustRightInd w:val="0"/>
                    <w:snapToGrid w:val="0"/>
                    <w:jc w:val="center"/>
                    <w:rPr>
                      <w:szCs w:val="21"/>
                    </w:rPr>
                  </w:pPr>
                  <w:r>
                    <w:rPr>
                      <w:szCs w:val="21"/>
                    </w:rPr>
                    <w:t>108.622621</w:t>
                  </w:r>
                  <w:r>
                    <w:rPr>
                      <w:rFonts w:hint="eastAsia"/>
                      <w:szCs w:val="21"/>
                    </w:rPr>
                    <w:t>°</w:t>
                  </w:r>
                </w:p>
              </w:tc>
              <w:tc>
                <w:tcPr>
                  <w:tcW w:w="682" w:type="pct"/>
                  <w:tcBorders>
                    <w:left w:val="single" w:color="auto" w:sz="4" w:space="0"/>
                    <w:right w:val="single" w:color="auto" w:sz="4" w:space="0"/>
                  </w:tcBorders>
                  <w:vAlign w:val="center"/>
                </w:tcPr>
                <w:p w14:paraId="5BB04AD3">
                  <w:pPr>
                    <w:adjustRightInd w:val="0"/>
                    <w:snapToGrid w:val="0"/>
                    <w:jc w:val="center"/>
                    <w:rPr>
                      <w:szCs w:val="21"/>
                    </w:rPr>
                  </w:pPr>
                  <w:r>
                    <w:rPr>
                      <w:szCs w:val="21"/>
                    </w:rPr>
                    <w:t>34.067731</w:t>
                  </w:r>
                  <w:r>
                    <w:rPr>
                      <w:rFonts w:hint="eastAsia"/>
                      <w:szCs w:val="21"/>
                    </w:rPr>
                    <w:t>°</w:t>
                  </w:r>
                </w:p>
              </w:tc>
              <w:tc>
                <w:tcPr>
                  <w:tcW w:w="668" w:type="pct"/>
                  <w:tcBorders>
                    <w:left w:val="single" w:color="auto" w:sz="4" w:space="0"/>
                    <w:right w:val="single" w:color="auto" w:sz="4" w:space="0"/>
                  </w:tcBorders>
                  <w:vAlign w:val="center"/>
                </w:tcPr>
                <w:p w14:paraId="5D5A8D07">
                  <w:pPr>
                    <w:adjustRightInd w:val="0"/>
                    <w:snapToGrid w:val="0"/>
                    <w:jc w:val="center"/>
                    <w:rPr>
                      <w:szCs w:val="21"/>
                    </w:rPr>
                  </w:pPr>
                  <w:r>
                    <w:rPr>
                      <w:rFonts w:hint="eastAsia"/>
                      <w:szCs w:val="21"/>
                    </w:rPr>
                    <w:t>900人</w:t>
                  </w:r>
                </w:p>
              </w:tc>
              <w:tc>
                <w:tcPr>
                  <w:tcW w:w="415" w:type="pct"/>
                  <w:vMerge w:val="continue"/>
                  <w:tcBorders>
                    <w:left w:val="single" w:color="auto" w:sz="4" w:space="0"/>
                  </w:tcBorders>
                  <w:vAlign w:val="center"/>
                </w:tcPr>
                <w:p w14:paraId="4AA27599">
                  <w:pPr>
                    <w:jc w:val="center"/>
                    <w:rPr>
                      <w:szCs w:val="21"/>
                    </w:rPr>
                  </w:pPr>
                </w:p>
              </w:tc>
              <w:tc>
                <w:tcPr>
                  <w:tcW w:w="413" w:type="pct"/>
                  <w:vMerge w:val="continue"/>
                  <w:vAlign w:val="center"/>
                </w:tcPr>
                <w:p w14:paraId="5AE4DF9B">
                  <w:pPr>
                    <w:jc w:val="center"/>
                    <w:rPr>
                      <w:szCs w:val="21"/>
                    </w:rPr>
                  </w:pPr>
                </w:p>
              </w:tc>
              <w:tc>
                <w:tcPr>
                  <w:tcW w:w="416" w:type="pct"/>
                  <w:vAlign w:val="center"/>
                </w:tcPr>
                <w:p w14:paraId="62C3E991">
                  <w:pPr>
                    <w:jc w:val="center"/>
                    <w:rPr>
                      <w:szCs w:val="21"/>
                    </w:rPr>
                  </w:pPr>
                  <w:r>
                    <w:rPr>
                      <w:rFonts w:hint="eastAsia"/>
                      <w:szCs w:val="21"/>
                    </w:rPr>
                    <w:t>S</w:t>
                  </w:r>
                </w:p>
              </w:tc>
              <w:tc>
                <w:tcPr>
                  <w:tcW w:w="444" w:type="pct"/>
                  <w:vAlign w:val="center"/>
                </w:tcPr>
                <w:p w14:paraId="62EFB086">
                  <w:pPr>
                    <w:jc w:val="center"/>
                    <w:rPr>
                      <w:szCs w:val="21"/>
                    </w:rPr>
                  </w:pPr>
                  <w:r>
                    <w:rPr>
                      <w:rFonts w:hint="eastAsia"/>
                      <w:szCs w:val="21"/>
                    </w:rPr>
                    <w:t>397m</w:t>
                  </w:r>
                </w:p>
              </w:tc>
            </w:tr>
            <w:tr w14:paraId="1E2AD8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428" w:type="pct"/>
                  <w:vMerge w:val="continue"/>
                  <w:vAlign w:val="center"/>
                </w:tcPr>
                <w:p w14:paraId="41C25383">
                  <w:pPr>
                    <w:jc w:val="center"/>
                    <w:rPr>
                      <w:szCs w:val="21"/>
                    </w:rPr>
                  </w:pPr>
                </w:p>
              </w:tc>
              <w:tc>
                <w:tcPr>
                  <w:tcW w:w="751" w:type="pct"/>
                  <w:vAlign w:val="center"/>
                </w:tcPr>
                <w:p w14:paraId="57E9D8E0">
                  <w:pPr>
                    <w:jc w:val="center"/>
                    <w:rPr>
                      <w:szCs w:val="21"/>
                    </w:rPr>
                  </w:pPr>
                  <w:r>
                    <w:rPr>
                      <w:rFonts w:hint="eastAsia"/>
                      <w:szCs w:val="21"/>
                    </w:rPr>
                    <w:t>惠安集团惠北社区六街坊</w:t>
                  </w:r>
                </w:p>
              </w:tc>
              <w:tc>
                <w:tcPr>
                  <w:tcW w:w="783" w:type="pct"/>
                  <w:tcBorders>
                    <w:right w:val="single" w:color="auto" w:sz="4" w:space="0"/>
                  </w:tcBorders>
                  <w:vAlign w:val="center"/>
                </w:tcPr>
                <w:p w14:paraId="21A0F951">
                  <w:pPr>
                    <w:adjustRightInd w:val="0"/>
                    <w:snapToGrid w:val="0"/>
                    <w:jc w:val="center"/>
                    <w:rPr>
                      <w:szCs w:val="21"/>
                    </w:rPr>
                  </w:pPr>
                  <w:r>
                    <w:rPr>
                      <w:szCs w:val="21"/>
                    </w:rPr>
                    <w:t>108.625042</w:t>
                  </w:r>
                  <w:r>
                    <w:rPr>
                      <w:rFonts w:hint="eastAsia"/>
                      <w:szCs w:val="21"/>
                    </w:rPr>
                    <w:t>°</w:t>
                  </w:r>
                </w:p>
              </w:tc>
              <w:tc>
                <w:tcPr>
                  <w:tcW w:w="682" w:type="pct"/>
                  <w:tcBorders>
                    <w:left w:val="single" w:color="auto" w:sz="4" w:space="0"/>
                    <w:right w:val="single" w:color="auto" w:sz="4" w:space="0"/>
                  </w:tcBorders>
                  <w:vAlign w:val="center"/>
                </w:tcPr>
                <w:p w14:paraId="6B13483B">
                  <w:pPr>
                    <w:adjustRightInd w:val="0"/>
                    <w:snapToGrid w:val="0"/>
                    <w:jc w:val="center"/>
                    <w:rPr>
                      <w:szCs w:val="21"/>
                    </w:rPr>
                  </w:pPr>
                  <w:r>
                    <w:rPr>
                      <w:szCs w:val="21"/>
                    </w:rPr>
                    <w:t>34.069561</w:t>
                  </w:r>
                  <w:r>
                    <w:rPr>
                      <w:rFonts w:hint="eastAsia"/>
                      <w:szCs w:val="21"/>
                    </w:rPr>
                    <w:t>°</w:t>
                  </w:r>
                </w:p>
              </w:tc>
              <w:tc>
                <w:tcPr>
                  <w:tcW w:w="668" w:type="pct"/>
                  <w:tcBorders>
                    <w:left w:val="single" w:color="auto" w:sz="4" w:space="0"/>
                    <w:right w:val="single" w:color="auto" w:sz="4" w:space="0"/>
                  </w:tcBorders>
                  <w:vAlign w:val="center"/>
                </w:tcPr>
                <w:p w14:paraId="23ECAAE5">
                  <w:pPr>
                    <w:adjustRightInd w:val="0"/>
                    <w:snapToGrid w:val="0"/>
                    <w:jc w:val="center"/>
                    <w:rPr>
                      <w:szCs w:val="21"/>
                    </w:rPr>
                  </w:pPr>
                  <w:r>
                    <w:rPr>
                      <w:rFonts w:hint="eastAsia"/>
                      <w:szCs w:val="21"/>
                    </w:rPr>
                    <w:t>240人</w:t>
                  </w:r>
                </w:p>
              </w:tc>
              <w:tc>
                <w:tcPr>
                  <w:tcW w:w="415" w:type="pct"/>
                  <w:vMerge w:val="continue"/>
                  <w:tcBorders>
                    <w:left w:val="single" w:color="auto" w:sz="4" w:space="0"/>
                  </w:tcBorders>
                  <w:vAlign w:val="center"/>
                </w:tcPr>
                <w:p w14:paraId="7C2D0557">
                  <w:pPr>
                    <w:jc w:val="center"/>
                    <w:rPr>
                      <w:szCs w:val="21"/>
                    </w:rPr>
                  </w:pPr>
                </w:p>
              </w:tc>
              <w:tc>
                <w:tcPr>
                  <w:tcW w:w="413" w:type="pct"/>
                  <w:vMerge w:val="continue"/>
                  <w:vAlign w:val="center"/>
                </w:tcPr>
                <w:p w14:paraId="15B862D2">
                  <w:pPr>
                    <w:jc w:val="center"/>
                    <w:rPr>
                      <w:szCs w:val="21"/>
                    </w:rPr>
                  </w:pPr>
                </w:p>
              </w:tc>
              <w:tc>
                <w:tcPr>
                  <w:tcW w:w="416" w:type="pct"/>
                  <w:vAlign w:val="center"/>
                </w:tcPr>
                <w:p w14:paraId="5FB3EAA8">
                  <w:pPr>
                    <w:jc w:val="center"/>
                    <w:rPr>
                      <w:szCs w:val="21"/>
                    </w:rPr>
                  </w:pPr>
                  <w:r>
                    <w:rPr>
                      <w:rFonts w:hint="eastAsia"/>
                      <w:szCs w:val="21"/>
                    </w:rPr>
                    <w:t>SE</w:t>
                  </w:r>
                </w:p>
              </w:tc>
              <w:tc>
                <w:tcPr>
                  <w:tcW w:w="444" w:type="pct"/>
                  <w:vAlign w:val="center"/>
                </w:tcPr>
                <w:p w14:paraId="7409D7D2">
                  <w:pPr>
                    <w:jc w:val="center"/>
                    <w:rPr>
                      <w:szCs w:val="21"/>
                    </w:rPr>
                  </w:pPr>
                  <w:r>
                    <w:rPr>
                      <w:rFonts w:hint="eastAsia"/>
                      <w:szCs w:val="21"/>
                    </w:rPr>
                    <w:t>367m</w:t>
                  </w:r>
                </w:p>
              </w:tc>
            </w:tr>
            <w:tr w14:paraId="47A1A3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428" w:type="pct"/>
                  <w:vMerge w:val="continue"/>
                  <w:vAlign w:val="center"/>
                </w:tcPr>
                <w:p w14:paraId="58B79CB1">
                  <w:pPr>
                    <w:jc w:val="center"/>
                    <w:rPr>
                      <w:szCs w:val="21"/>
                    </w:rPr>
                  </w:pPr>
                </w:p>
              </w:tc>
              <w:tc>
                <w:tcPr>
                  <w:tcW w:w="751" w:type="pct"/>
                  <w:vAlign w:val="center"/>
                </w:tcPr>
                <w:p w14:paraId="6C22544A">
                  <w:pPr>
                    <w:jc w:val="center"/>
                    <w:rPr>
                      <w:szCs w:val="21"/>
                    </w:rPr>
                  </w:pPr>
                  <w:r>
                    <w:rPr>
                      <w:rFonts w:hint="eastAsia"/>
                      <w:szCs w:val="21"/>
                    </w:rPr>
                    <w:t>惠安集团惠北社区八街坊</w:t>
                  </w:r>
                </w:p>
              </w:tc>
              <w:tc>
                <w:tcPr>
                  <w:tcW w:w="783" w:type="pct"/>
                  <w:tcBorders>
                    <w:right w:val="single" w:color="auto" w:sz="4" w:space="0"/>
                  </w:tcBorders>
                  <w:vAlign w:val="center"/>
                </w:tcPr>
                <w:p w14:paraId="50DD7414">
                  <w:pPr>
                    <w:adjustRightInd w:val="0"/>
                    <w:snapToGrid w:val="0"/>
                    <w:jc w:val="center"/>
                    <w:rPr>
                      <w:szCs w:val="21"/>
                    </w:rPr>
                  </w:pPr>
                  <w:r>
                    <w:rPr>
                      <w:szCs w:val="21"/>
                    </w:rPr>
                    <w:t>108.625050</w:t>
                  </w:r>
                  <w:r>
                    <w:rPr>
                      <w:rFonts w:hint="eastAsia"/>
                      <w:szCs w:val="21"/>
                    </w:rPr>
                    <w:t>°</w:t>
                  </w:r>
                </w:p>
              </w:tc>
              <w:tc>
                <w:tcPr>
                  <w:tcW w:w="682" w:type="pct"/>
                  <w:tcBorders>
                    <w:left w:val="single" w:color="auto" w:sz="4" w:space="0"/>
                    <w:right w:val="single" w:color="auto" w:sz="4" w:space="0"/>
                  </w:tcBorders>
                  <w:vAlign w:val="center"/>
                </w:tcPr>
                <w:p w14:paraId="3174EA59">
                  <w:pPr>
                    <w:adjustRightInd w:val="0"/>
                    <w:snapToGrid w:val="0"/>
                    <w:jc w:val="center"/>
                    <w:rPr>
                      <w:szCs w:val="21"/>
                    </w:rPr>
                  </w:pPr>
                  <w:r>
                    <w:rPr>
                      <w:szCs w:val="21"/>
                    </w:rPr>
                    <w:t>34.068429</w:t>
                  </w:r>
                  <w:r>
                    <w:rPr>
                      <w:rFonts w:hint="eastAsia"/>
                      <w:szCs w:val="21"/>
                    </w:rPr>
                    <w:t>°</w:t>
                  </w:r>
                </w:p>
              </w:tc>
              <w:tc>
                <w:tcPr>
                  <w:tcW w:w="668" w:type="pct"/>
                  <w:tcBorders>
                    <w:left w:val="single" w:color="auto" w:sz="4" w:space="0"/>
                    <w:right w:val="single" w:color="auto" w:sz="4" w:space="0"/>
                  </w:tcBorders>
                  <w:vAlign w:val="center"/>
                </w:tcPr>
                <w:p w14:paraId="5C25CBC6">
                  <w:pPr>
                    <w:adjustRightInd w:val="0"/>
                    <w:snapToGrid w:val="0"/>
                    <w:jc w:val="center"/>
                    <w:rPr>
                      <w:szCs w:val="21"/>
                    </w:rPr>
                  </w:pPr>
                  <w:r>
                    <w:rPr>
                      <w:rFonts w:hint="eastAsia"/>
                      <w:szCs w:val="21"/>
                    </w:rPr>
                    <w:t>300人</w:t>
                  </w:r>
                </w:p>
              </w:tc>
              <w:tc>
                <w:tcPr>
                  <w:tcW w:w="415" w:type="pct"/>
                  <w:vMerge w:val="continue"/>
                  <w:tcBorders>
                    <w:left w:val="single" w:color="auto" w:sz="4" w:space="0"/>
                  </w:tcBorders>
                  <w:vAlign w:val="center"/>
                </w:tcPr>
                <w:p w14:paraId="51D57F1B">
                  <w:pPr>
                    <w:jc w:val="center"/>
                    <w:rPr>
                      <w:szCs w:val="21"/>
                    </w:rPr>
                  </w:pPr>
                </w:p>
              </w:tc>
              <w:tc>
                <w:tcPr>
                  <w:tcW w:w="413" w:type="pct"/>
                  <w:vMerge w:val="continue"/>
                  <w:vAlign w:val="center"/>
                </w:tcPr>
                <w:p w14:paraId="589B01B9">
                  <w:pPr>
                    <w:jc w:val="center"/>
                    <w:rPr>
                      <w:szCs w:val="21"/>
                    </w:rPr>
                  </w:pPr>
                </w:p>
              </w:tc>
              <w:tc>
                <w:tcPr>
                  <w:tcW w:w="416" w:type="pct"/>
                  <w:vAlign w:val="center"/>
                </w:tcPr>
                <w:p w14:paraId="13691B5F">
                  <w:pPr>
                    <w:jc w:val="center"/>
                    <w:rPr>
                      <w:szCs w:val="21"/>
                    </w:rPr>
                  </w:pPr>
                  <w:r>
                    <w:rPr>
                      <w:rFonts w:hint="eastAsia"/>
                      <w:szCs w:val="21"/>
                    </w:rPr>
                    <w:t>SE</w:t>
                  </w:r>
                </w:p>
              </w:tc>
              <w:tc>
                <w:tcPr>
                  <w:tcW w:w="444" w:type="pct"/>
                  <w:vAlign w:val="center"/>
                </w:tcPr>
                <w:p w14:paraId="15099DE8">
                  <w:pPr>
                    <w:jc w:val="center"/>
                    <w:rPr>
                      <w:szCs w:val="21"/>
                    </w:rPr>
                  </w:pPr>
                  <w:r>
                    <w:rPr>
                      <w:rFonts w:hint="eastAsia"/>
                      <w:szCs w:val="21"/>
                    </w:rPr>
                    <w:t>422m</w:t>
                  </w:r>
                </w:p>
              </w:tc>
            </w:tr>
            <w:tr w14:paraId="2098DA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428" w:type="pct"/>
                  <w:vMerge w:val="continue"/>
                  <w:vAlign w:val="center"/>
                </w:tcPr>
                <w:p w14:paraId="74CDAC32">
                  <w:pPr>
                    <w:jc w:val="center"/>
                    <w:rPr>
                      <w:szCs w:val="21"/>
                    </w:rPr>
                  </w:pPr>
                </w:p>
              </w:tc>
              <w:tc>
                <w:tcPr>
                  <w:tcW w:w="751" w:type="pct"/>
                  <w:vAlign w:val="center"/>
                </w:tcPr>
                <w:p w14:paraId="5EB00F0F">
                  <w:pPr>
                    <w:jc w:val="center"/>
                    <w:rPr>
                      <w:szCs w:val="21"/>
                    </w:rPr>
                  </w:pPr>
                  <w:r>
                    <w:rPr>
                      <w:rFonts w:hint="eastAsia"/>
                      <w:szCs w:val="21"/>
                    </w:rPr>
                    <w:t>仪表厂社区</w:t>
                  </w:r>
                </w:p>
              </w:tc>
              <w:tc>
                <w:tcPr>
                  <w:tcW w:w="783" w:type="pct"/>
                  <w:tcBorders>
                    <w:right w:val="single" w:color="auto" w:sz="4" w:space="0"/>
                  </w:tcBorders>
                  <w:vAlign w:val="center"/>
                </w:tcPr>
                <w:p w14:paraId="7F431025">
                  <w:pPr>
                    <w:adjustRightInd w:val="0"/>
                    <w:snapToGrid w:val="0"/>
                    <w:jc w:val="center"/>
                    <w:rPr>
                      <w:szCs w:val="21"/>
                    </w:rPr>
                  </w:pPr>
                  <w:r>
                    <w:rPr>
                      <w:szCs w:val="21"/>
                    </w:rPr>
                    <w:t>108.617438</w:t>
                  </w:r>
                  <w:r>
                    <w:rPr>
                      <w:rFonts w:hint="eastAsia"/>
                      <w:szCs w:val="21"/>
                    </w:rPr>
                    <w:t>°</w:t>
                  </w:r>
                </w:p>
              </w:tc>
              <w:tc>
                <w:tcPr>
                  <w:tcW w:w="682" w:type="pct"/>
                  <w:tcBorders>
                    <w:left w:val="single" w:color="auto" w:sz="4" w:space="0"/>
                    <w:right w:val="single" w:color="auto" w:sz="4" w:space="0"/>
                  </w:tcBorders>
                  <w:vAlign w:val="center"/>
                </w:tcPr>
                <w:p w14:paraId="62AFB399">
                  <w:pPr>
                    <w:adjustRightInd w:val="0"/>
                    <w:snapToGrid w:val="0"/>
                    <w:jc w:val="center"/>
                    <w:rPr>
                      <w:szCs w:val="21"/>
                    </w:rPr>
                  </w:pPr>
                  <w:r>
                    <w:rPr>
                      <w:szCs w:val="21"/>
                    </w:rPr>
                    <w:t>34.068123</w:t>
                  </w:r>
                  <w:r>
                    <w:rPr>
                      <w:rFonts w:hint="eastAsia"/>
                      <w:szCs w:val="21"/>
                    </w:rPr>
                    <w:t>°</w:t>
                  </w:r>
                </w:p>
              </w:tc>
              <w:tc>
                <w:tcPr>
                  <w:tcW w:w="668" w:type="pct"/>
                  <w:tcBorders>
                    <w:left w:val="single" w:color="auto" w:sz="4" w:space="0"/>
                    <w:right w:val="single" w:color="auto" w:sz="4" w:space="0"/>
                  </w:tcBorders>
                  <w:vAlign w:val="center"/>
                </w:tcPr>
                <w:p w14:paraId="3C461405">
                  <w:pPr>
                    <w:adjustRightInd w:val="0"/>
                    <w:snapToGrid w:val="0"/>
                    <w:jc w:val="center"/>
                    <w:rPr>
                      <w:szCs w:val="21"/>
                    </w:rPr>
                  </w:pPr>
                  <w:r>
                    <w:rPr>
                      <w:rFonts w:hint="eastAsia"/>
                      <w:szCs w:val="21"/>
                    </w:rPr>
                    <w:t>700人</w:t>
                  </w:r>
                </w:p>
              </w:tc>
              <w:tc>
                <w:tcPr>
                  <w:tcW w:w="415" w:type="pct"/>
                  <w:vMerge w:val="continue"/>
                  <w:tcBorders>
                    <w:left w:val="single" w:color="auto" w:sz="4" w:space="0"/>
                  </w:tcBorders>
                  <w:vAlign w:val="center"/>
                </w:tcPr>
                <w:p w14:paraId="6B2E528B">
                  <w:pPr>
                    <w:jc w:val="center"/>
                    <w:rPr>
                      <w:szCs w:val="21"/>
                    </w:rPr>
                  </w:pPr>
                </w:p>
              </w:tc>
              <w:tc>
                <w:tcPr>
                  <w:tcW w:w="413" w:type="pct"/>
                  <w:vMerge w:val="continue"/>
                  <w:vAlign w:val="center"/>
                </w:tcPr>
                <w:p w14:paraId="5B9C7175">
                  <w:pPr>
                    <w:jc w:val="center"/>
                    <w:rPr>
                      <w:szCs w:val="21"/>
                    </w:rPr>
                  </w:pPr>
                </w:p>
              </w:tc>
              <w:tc>
                <w:tcPr>
                  <w:tcW w:w="416" w:type="pct"/>
                  <w:vAlign w:val="center"/>
                </w:tcPr>
                <w:p w14:paraId="29EAAA9C">
                  <w:pPr>
                    <w:jc w:val="center"/>
                    <w:rPr>
                      <w:szCs w:val="21"/>
                    </w:rPr>
                  </w:pPr>
                  <w:r>
                    <w:rPr>
                      <w:rFonts w:hint="eastAsia"/>
                      <w:szCs w:val="21"/>
                    </w:rPr>
                    <w:t>SW</w:t>
                  </w:r>
                </w:p>
              </w:tc>
              <w:tc>
                <w:tcPr>
                  <w:tcW w:w="444" w:type="pct"/>
                  <w:vAlign w:val="center"/>
                </w:tcPr>
                <w:p w14:paraId="06A4AD99">
                  <w:pPr>
                    <w:jc w:val="center"/>
                    <w:rPr>
                      <w:szCs w:val="21"/>
                    </w:rPr>
                  </w:pPr>
                  <w:r>
                    <w:rPr>
                      <w:rFonts w:hint="eastAsia"/>
                      <w:szCs w:val="21"/>
                    </w:rPr>
                    <w:t>352m</w:t>
                  </w:r>
                </w:p>
              </w:tc>
            </w:tr>
            <w:bookmarkEnd w:id="3"/>
          </w:tbl>
          <w:p w14:paraId="583A23F7">
            <w:pPr>
              <w:adjustRightInd w:val="0"/>
              <w:snapToGrid w:val="0"/>
              <w:jc w:val="center"/>
              <w:rPr>
                <w:rFonts w:ascii="宋体" w:hAnsi="宋体" w:cs="宋体"/>
                <w:kern w:val="0"/>
                <w:szCs w:val="21"/>
              </w:rPr>
            </w:pPr>
          </w:p>
        </w:tc>
      </w:tr>
      <w:tr w14:paraId="51C29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00" w:type="dxa"/>
            <w:tcMar>
              <w:left w:w="28" w:type="dxa"/>
              <w:right w:w="28" w:type="dxa"/>
            </w:tcMar>
            <w:vAlign w:val="center"/>
          </w:tcPr>
          <w:p w14:paraId="6E1EF41A">
            <w:pPr>
              <w:adjustRightInd w:val="0"/>
              <w:snapToGrid w:val="0"/>
              <w:jc w:val="center"/>
              <w:rPr>
                <w:color w:val="000000"/>
                <w:kern w:val="0"/>
                <w:sz w:val="24"/>
              </w:rPr>
            </w:pPr>
            <w:r>
              <w:rPr>
                <w:rFonts w:hint="eastAsia"/>
                <w:color w:val="000000"/>
                <w:kern w:val="0"/>
                <w:sz w:val="24"/>
              </w:rPr>
              <w:t>污染</w:t>
            </w:r>
          </w:p>
          <w:p w14:paraId="64BFB196">
            <w:pPr>
              <w:adjustRightInd w:val="0"/>
              <w:snapToGrid w:val="0"/>
              <w:jc w:val="center"/>
              <w:rPr>
                <w:color w:val="000000"/>
                <w:kern w:val="0"/>
                <w:sz w:val="24"/>
              </w:rPr>
            </w:pPr>
            <w:r>
              <w:rPr>
                <w:rFonts w:hint="eastAsia"/>
                <w:color w:val="000000"/>
                <w:kern w:val="0"/>
                <w:sz w:val="24"/>
              </w:rPr>
              <w:t>物排</w:t>
            </w:r>
          </w:p>
          <w:p w14:paraId="05F7B472">
            <w:pPr>
              <w:adjustRightInd w:val="0"/>
              <w:snapToGrid w:val="0"/>
              <w:jc w:val="center"/>
              <w:rPr>
                <w:color w:val="000000"/>
                <w:kern w:val="0"/>
                <w:sz w:val="24"/>
              </w:rPr>
            </w:pPr>
            <w:r>
              <w:rPr>
                <w:rFonts w:hint="eastAsia"/>
                <w:color w:val="000000"/>
                <w:kern w:val="0"/>
                <w:sz w:val="24"/>
              </w:rPr>
              <w:t>放控</w:t>
            </w:r>
          </w:p>
          <w:p w14:paraId="3CB36773">
            <w:pPr>
              <w:adjustRightInd w:val="0"/>
              <w:snapToGrid w:val="0"/>
              <w:jc w:val="center"/>
              <w:rPr>
                <w:color w:val="000000"/>
                <w:kern w:val="0"/>
                <w:sz w:val="24"/>
              </w:rPr>
            </w:pPr>
            <w:r>
              <w:rPr>
                <w:rFonts w:hint="eastAsia"/>
                <w:color w:val="000000"/>
                <w:kern w:val="0"/>
                <w:sz w:val="24"/>
              </w:rPr>
              <w:t>制标</w:t>
            </w:r>
          </w:p>
          <w:p w14:paraId="3CC69727">
            <w:pPr>
              <w:adjustRightInd w:val="0"/>
              <w:snapToGrid w:val="0"/>
              <w:jc w:val="center"/>
              <w:rPr>
                <w:rFonts w:ascii="宋体" w:hAnsi="宋体" w:cs="宋体"/>
                <w:kern w:val="0"/>
                <w:szCs w:val="21"/>
              </w:rPr>
            </w:pPr>
            <w:r>
              <w:rPr>
                <w:rFonts w:hint="eastAsia"/>
                <w:color w:val="000000"/>
                <w:kern w:val="0"/>
                <w:sz w:val="24"/>
              </w:rPr>
              <w:t>准</w:t>
            </w:r>
          </w:p>
        </w:tc>
        <w:tc>
          <w:tcPr>
            <w:tcW w:w="8190" w:type="dxa"/>
            <w:vAlign w:val="center"/>
          </w:tcPr>
          <w:p w14:paraId="42CEC786">
            <w:pPr>
              <w:adjustRightInd w:val="0"/>
              <w:snapToGrid w:val="0"/>
              <w:spacing w:line="360" w:lineRule="auto"/>
              <w:rPr>
                <w:b/>
                <w:sz w:val="24"/>
              </w:rPr>
            </w:pPr>
            <w:r>
              <w:rPr>
                <w:rFonts w:hint="eastAsia"/>
                <w:b/>
                <w:sz w:val="24"/>
              </w:rPr>
              <w:t>3.3污染物排放控制标准</w:t>
            </w:r>
          </w:p>
          <w:p w14:paraId="4E4D7B05">
            <w:pPr>
              <w:adjustRightInd w:val="0"/>
              <w:snapToGrid w:val="0"/>
              <w:spacing w:line="360" w:lineRule="auto"/>
              <w:ind w:firstLine="482" w:firstLineChars="200"/>
              <w:rPr>
                <w:b/>
                <w:sz w:val="24"/>
              </w:rPr>
            </w:pPr>
            <w:r>
              <w:rPr>
                <w:b/>
                <w:sz w:val="24"/>
              </w:rPr>
              <w:t>1</w:t>
            </w:r>
            <w:r>
              <w:rPr>
                <w:rFonts w:hint="eastAsia"/>
                <w:b/>
                <w:sz w:val="24"/>
              </w:rPr>
              <w:t>、</w:t>
            </w:r>
            <w:r>
              <w:rPr>
                <w:b/>
                <w:sz w:val="24"/>
              </w:rPr>
              <w:t>大气污染物排放标准</w:t>
            </w:r>
          </w:p>
          <w:p w14:paraId="4A81DD05">
            <w:pPr>
              <w:pStyle w:val="8"/>
              <w:wordWrap w:val="0"/>
              <w:spacing w:line="360" w:lineRule="auto"/>
              <w:ind w:firstLine="480" w:firstLineChars="200"/>
              <w:rPr>
                <w:kern w:val="2"/>
                <w:szCs w:val="24"/>
              </w:rPr>
            </w:pPr>
            <w:r>
              <w:rPr>
                <w:kern w:val="2"/>
                <w:szCs w:val="24"/>
              </w:rPr>
              <w:t>项目施工期扬尘执行陕西省地方标准《施工场界扬尘排放限值》（DB61/1078-2017）中的相关标准；运营期</w:t>
            </w:r>
            <w:r>
              <w:rPr>
                <w:rFonts w:hint="eastAsia"/>
                <w:kern w:val="2"/>
                <w:szCs w:val="24"/>
              </w:rPr>
              <w:t>产生的产生的颗粒物执行</w:t>
            </w:r>
            <w:r>
              <w:rPr>
                <w:kern w:val="2"/>
                <w:szCs w:val="24"/>
              </w:rPr>
              <w:t>《大气污染物综合排放标准》（GB16297-1996）</w:t>
            </w:r>
            <w:r>
              <w:rPr>
                <w:rFonts w:hint="eastAsia"/>
                <w:kern w:val="2"/>
                <w:szCs w:val="24"/>
              </w:rPr>
              <w:t>表2中的二级标准及无组织监控点浓度限值</w:t>
            </w:r>
            <w:r>
              <w:rPr>
                <w:rFonts w:hint="eastAsia"/>
              </w:rPr>
              <w:t>；液化石油气燃烧产生的废气执</w:t>
            </w:r>
            <w:r>
              <w:t>行</w:t>
            </w:r>
            <w:r>
              <w:rPr>
                <w:color w:val="000000" w:themeColor="text1"/>
                <w14:textFill>
                  <w14:solidFill>
                    <w14:schemeClr w14:val="tx1"/>
                  </w14:solidFill>
                </w14:textFill>
              </w:rPr>
              <w:t>《锅炉大气污染物排放标准》（DB61/1226-2018）表3中的</w:t>
            </w:r>
            <w:r>
              <w:rPr>
                <w:rFonts w:hint="eastAsia"/>
                <w:color w:val="000000" w:themeColor="text1"/>
                <w14:textFill>
                  <w14:solidFill>
                    <w14:schemeClr w14:val="tx1"/>
                  </w14:solidFill>
                </w14:textFill>
              </w:rPr>
              <w:t>其他燃气</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w:t>
            </w:r>
            <w:r>
              <w:rPr>
                <w:rFonts w:hint="eastAsia"/>
              </w:rPr>
              <w:t>天然气燃烧产生的废气执</w:t>
            </w:r>
            <w:r>
              <w:t>行</w:t>
            </w:r>
            <w:r>
              <w:rPr>
                <w:color w:val="000000" w:themeColor="text1"/>
                <w14:textFill>
                  <w14:solidFill>
                    <w14:schemeClr w14:val="tx1"/>
                  </w14:solidFill>
                </w14:textFill>
              </w:rPr>
              <w:t>《锅炉大气污染物排放标准》（DB61/1226-2018）表3中的</w:t>
            </w:r>
            <w:r>
              <w:rPr>
                <w:rFonts w:hint="eastAsia"/>
                <w:color w:val="000000" w:themeColor="text1"/>
                <w14:textFill>
                  <w14:solidFill>
                    <w14:schemeClr w14:val="tx1"/>
                  </w14:solidFill>
                </w14:textFill>
              </w:rPr>
              <w:t>天然气</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；运营期</w:t>
            </w:r>
            <w:r>
              <w:rPr>
                <w:rFonts w:hint="eastAsia"/>
              </w:rPr>
              <w:t>产生的非甲烷总烃执行</w:t>
            </w:r>
            <w:r>
              <w:t>《</w:t>
            </w:r>
            <w:r>
              <w:rPr>
                <w:rFonts w:hint="eastAsia"/>
              </w:rPr>
              <w:t>挥发性有机物</w:t>
            </w:r>
            <w:r>
              <w:t>排放</w:t>
            </w:r>
            <w:r>
              <w:rPr>
                <w:rFonts w:hint="eastAsia"/>
              </w:rPr>
              <w:t>控制</w:t>
            </w:r>
            <w:r>
              <w:t>标准》（</w:t>
            </w:r>
            <w:r>
              <w:rPr>
                <w:rFonts w:hint="eastAsia"/>
              </w:rPr>
              <w:t>D</w:t>
            </w:r>
            <w:r>
              <w:t>B</w:t>
            </w:r>
            <w:r>
              <w:rPr>
                <w:rFonts w:hint="eastAsia"/>
              </w:rPr>
              <w:t>61/T1061</w:t>
            </w:r>
            <w:r>
              <w:t>-</w:t>
            </w:r>
            <w:r>
              <w:rPr>
                <w:rFonts w:hint="eastAsia"/>
              </w:rPr>
              <w:t>2017</w:t>
            </w:r>
            <w:r>
              <w:t>）</w:t>
            </w:r>
            <w:r>
              <w:rPr>
                <w:rFonts w:hint="eastAsia"/>
              </w:rPr>
              <w:t>表1中表面涂装行业有组织执行标准及表3中无组织排放限值；执行</w:t>
            </w:r>
            <w:r>
              <w:t>具体数值如下：</w:t>
            </w:r>
          </w:p>
          <w:p w14:paraId="057B78E1">
            <w:pPr>
              <w:pStyle w:val="47"/>
              <w:rPr>
                <w:color w:val="0000FF"/>
              </w:rPr>
            </w:pPr>
            <w:r>
              <w:rPr>
                <w:rFonts w:hint="eastAsia"/>
              </w:rPr>
              <w:t xml:space="preserve">    大气</w:t>
            </w:r>
            <w:r>
              <w:t>污染排放标准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136"/>
              <w:gridCol w:w="1272"/>
              <w:gridCol w:w="2691"/>
              <w:gridCol w:w="1890"/>
            </w:tblGrid>
            <w:tr w14:paraId="56E8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27" w:type="pct"/>
                  <w:gridSpan w:val="2"/>
                  <w:vAlign w:val="center"/>
                </w:tcPr>
                <w:p w14:paraId="0C044A98">
                  <w:pPr>
                    <w:jc w:val="center"/>
                    <w:rPr>
                      <w:szCs w:val="21"/>
                    </w:rPr>
                  </w:pPr>
                  <w:r>
                    <w:rPr>
                      <w:rFonts w:hint="eastAsia"/>
                      <w:szCs w:val="21"/>
                    </w:rPr>
                    <w:t>标准名称</w:t>
                  </w:r>
                </w:p>
              </w:tc>
              <w:tc>
                <w:tcPr>
                  <w:tcW w:w="755" w:type="pct"/>
                  <w:vAlign w:val="center"/>
                </w:tcPr>
                <w:p w14:paraId="6E961F04">
                  <w:pPr>
                    <w:jc w:val="center"/>
                    <w:rPr>
                      <w:szCs w:val="21"/>
                    </w:rPr>
                  </w:pPr>
                  <w:r>
                    <w:rPr>
                      <w:rFonts w:hint="eastAsia"/>
                      <w:szCs w:val="21"/>
                    </w:rPr>
                    <w:t>污染因子</w:t>
                  </w:r>
                </w:p>
              </w:tc>
              <w:tc>
                <w:tcPr>
                  <w:tcW w:w="2718" w:type="pct"/>
                  <w:gridSpan w:val="2"/>
                  <w:vAlign w:val="center"/>
                </w:tcPr>
                <w:p w14:paraId="65250ECE">
                  <w:pPr>
                    <w:jc w:val="center"/>
                    <w:rPr>
                      <w:szCs w:val="21"/>
                    </w:rPr>
                  </w:pPr>
                  <w:r>
                    <w:rPr>
                      <w:rFonts w:hint="eastAsia"/>
                      <w:szCs w:val="21"/>
                    </w:rPr>
                    <w:t>标准值</w:t>
                  </w:r>
                </w:p>
              </w:tc>
            </w:tr>
            <w:tr w14:paraId="667F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27" w:type="pct"/>
                  <w:gridSpan w:val="2"/>
                  <w:vMerge w:val="restart"/>
                  <w:vAlign w:val="center"/>
                </w:tcPr>
                <w:p w14:paraId="706F3BE7">
                  <w:pPr>
                    <w:jc w:val="center"/>
                    <w:rPr>
                      <w:rFonts w:hAnsi="宋体"/>
                      <w:szCs w:val="21"/>
                    </w:rPr>
                  </w:pPr>
                  <w:r>
                    <w:rPr>
                      <w:rFonts w:hAnsi="宋体"/>
                      <w:szCs w:val="21"/>
                    </w:rPr>
                    <w:t>《大气污染物综合排放标准》（</w:t>
                  </w:r>
                  <w:r>
                    <w:rPr>
                      <w:szCs w:val="21"/>
                    </w:rPr>
                    <w:t>GB16297-1996</w:t>
                  </w:r>
                  <w:r>
                    <w:rPr>
                      <w:rFonts w:hAnsi="宋体"/>
                      <w:szCs w:val="21"/>
                    </w:rPr>
                    <w:t>）</w:t>
                  </w:r>
                </w:p>
              </w:tc>
              <w:tc>
                <w:tcPr>
                  <w:tcW w:w="755" w:type="pct"/>
                  <w:vMerge w:val="restart"/>
                  <w:vAlign w:val="center"/>
                </w:tcPr>
                <w:p w14:paraId="25CF185D">
                  <w:pPr>
                    <w:jc w:val="center"/>
                    <w:rPr>
                      <w:rFonts w:ascii="宋体" w:hAnsi="宋体"/>
                    </w:rPr>
                  </w:pPr>
                  <w:r>
                    <w:rPr>
                      <w:rFonts w:hint="eastAsia" w:ascii="宋体" w:hAnsi="宋体"/>
                    </w:rPr>
                    <w:t>颗粒物</w:t>
                  </w:r>
                </w:p>
              </w:tc>
              <w:tc>
                <w:tcPr>
                  <w:tcW w:w="1597" w:type="pct"/>
                  <w:vAlign w:val="center"/>
                </w:tcPr>
                <w:p w14:paraId="755DB711">
                  <w:pPr>
                    <w:jc w:val="center"/>
                    <w:rPr>
                      <w:rFonts w:hAnsi="宋体"/>
                      <w:szCs w:val="21"/>
                    </w:rPr>
                  </w:pPr>
                  <w:r>
                    <w:rPr>
                      <w:rFonts w:hint="eastAsia" w:hAnsi="宋体"/>
                      <w:szCs w:val="21"/>
                    </w:rPr>
                    <w:t>最高允许排放浓度</w:t>
                  </w:r>
                </w:p>
              </w:tc>
              <w:tc>
                <w:tcPr>
                  <w:tcW w:w="1121" w:type="pct"/>
                  <w:vAlign w:val="center"/>
                </w:tcPr>
                <w:p w14:paraId="3BAEBA59">
                  <w:pPr>
                    <w:adjustRightInd w:val="0"/>
                    <w:snapToGrid w:val="0"/>
                    <w:jc w:val="center"/>
                    <w:rPr>
                      <w:szCs w:val="21"/>
                    </w:rPr>
                  </w:pPr>
                  <w:r>
                    <w:rPr>
                      <w:rFonts w:hint="eastAsia"/>
                      <w:szCs w:val="21"/>
                    </w:rPr>
                    <w:t>120m</w:t>
                  </w:r>
                  <w:r>
                    <w:rPr>
                      <w:szCs w:val="21"/>
                    </w:rPr>
                    <w:t>g/m</w:t>
                  </w:r>
                  <w:r>
                    <w:rPr>
                      <w:szCs w:val="21"/>
                      <w:vertAlign w:val="superscript"/>
                    </w:rPr>
                    <w:t>3</w:t>
                  </w:r>
                </w:p>
              </w:tc>
            </w:tr>
            <w:tr w14:paraId="4D44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27" w:type="pct"/>
                  <w:gridSpan w:val="2"/>
                  <w:vMerge w:val="continue"/>
                  <w:vAlign w:val="center"/>
                </w:tcPr>
                <w:p w14:paraId="5F981836">
                  <w:pPr>
                    <w:jc w:val="center"/>
                    <w:rPr>
                      <w:rFonts w:hAnsi="宋体"/>
                      <w:szCs w:val="21"/>
                    </w:rPr>
                  </w:pPr>
                </w:p>
              </w:tc>
              <w:tc>
                <w:tcPr>
                  <w:tcW w:w="755" w:type="pct"/>
                  <w:vMerge w:val="continue"/>
                  <w:vAlign w:val="center"/>
                </w:tcPr>
                <w:p w14:paraId="03558594">
                  <w:pPr>
                    <w:jc w:val="center"/>
                    <w:rPr>
                      <w:rFonts w:ascii="宋体" w:hAnsi="宋体"/>
                    </w:rPr>
                  </w:pPr>
                </w:p>
              </w:tc>
              <w:tc>
                <w:tcPr>
                  <w:tcW w:w="1597" w:type="pct"/>
                  <w:vAlign w:val="center"/>
                </w:tcPr>
                <w:p w14:paraId="59884C2D">
                  <w:pPr>
                    <w:jc w:val="center"/>
                    <w:rPr>
                      <w:rFonts w:hAnsi="宋体"/>
                      <w:szCs w:val="21"/>
                    </w:rPr>
                  </w:pPr>
                  <w:r>
                    <w:rPr>
                      <w:rFonts w:hint="eastAsia" w:hAnsi="宋体"/>
                      <w:szCs w:val="21"/>
                    </w:rPr>
                    <w:t>最高允许排放速率</w:t>
                  </w:r>
                </w:p>
              </w:tc>
              <w:tc>
                <w:tcPr>
                  <w:tcW w:w="1121" w:type="pct"/>
                  <w:vAlign w:val="center"/>
                </w:tcPr>
                <w:p w14:paraId="32532BF7">
                  <w:pPr>
                    <w:adjustRightInd w:val="0"/>
                    <w:snapToGrid w:val="0"/>
                    <w:jc w:val="center"/>
                    <w:rPr>
                      <w:szCs w:val="21"/>
                    </w:rPr>
                  </w:pPr>
                  <w:r>
                    <w:rPr>
                      <w:rFonts w:hint="eastAsia"/>
                      <w:szCs w:val="21"/>
                    </w:rPr>
                    <w:t>4.46kg/h</w:t>
                  </w:r>
                </w:p>
              </w:tc>
            </w:tr>
            <w:tr w14:paraId="00FB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27" w:type="pct"/>
                  <w:gridSpan w:val="2"/>
                  <w:vMerge w:val="continue"/>
                  <w:vAlign w:val="center"/>
                </w:tcPr>
                <w:p w14:paraId="185EE1FB">
                  <w:pPr>
                    <w:jc w:val="center"/>
                    <w:rPr>
                      <w:rFonts w:hAnsi="宋体"/>
                      <w:szCs w:val="21"/>
                    </w:rPr>
                  </w:pPr>
                </w:p>
              </w:tc>
              <w:tc>
                <w:tcPr>
                  <w:tcW w:w="755" w:type="pct"/>
                  <w:vMerge w:val="continue"/>
                  <w:vAlign w:val="center"/>
                </w:tcPr>
                <w:p w14:paraId="3675E2A6">
                  <w:pPr>
                    <w:jc w:val="center"/>
                    <w:rPr>
                      <w:rFonts w:ascii="宋体" w:hAnsi="宋体"/>
                    </w:rPr>
                  </w:pPr>
                </w:p>
              </w:tc>
              <w:tc>
                <w:tcPr>
                  <w:tcW w:w="1597" w:type="pct"/>
                  <w:vAlign w:val="center"/>
                </w:tcPr>
                <w:p w14:paraId="7D277CCC">
                  <w:pPr>
                    <w:jc w:val="center"/>
                    <w:rPr>
                      <w:rFonts w:hAnsi="宋体"/>
                      <w:szCs w:val="21"/>
                    </w:rPr>
                  </w:pPr>
                  <w:r>
                    <w:rPr>
                      <w:rFonts w:hint="eastAsia" w:hAnsi="宋体"/>
                      <w:szCs w:val="21"/>
                    </w:rPr>
                    <w:t>周界外浓度最高点</w:t>
                  </w:r>
                </w:p>
              </w:tc>
              <w:tc>
                <w:tcPr>
                  <w:tcW w:w="1121" w:type="pct"/>
                  <w:vAlign w:val="center"/>
                </w:tcPr>
                <w:p w14:paraId="78D9F49B">
                  <w:pPr>
                    <w:adjustRightInd w:val="0"/>
                    <w:snapToGrid w:val="0"/>
                    <w:jc w:val="center"/>
                    <w:rPr>
                      <w:szCs w:val="21"/>
                    </w:rPr>
                  </w:pPr>
                  <w:r>
                    <w:rPr>
                      <w:rFonts w:hint="eastAsia"/>
                      <w:szCs w:val="21"/>
                    </w:rPr>
                    <w:t>1.0mg/m</w:t>
                  </w:r>
                  <w:r>
                    <w:rPr>
                      <w:rFonts w:hint="eastAsia"/>
                      <w:szCs w:val="21"/>
                      <w:vertAlign w:val="superscript"/>
                    </w:rPr>
                    <w:t>3</w:t>
                  </w:r>
                </w:p>
              </w:tc>
            </w:tr>
            <w:tr w14:paraId="5974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27" w:type="pct"/>
                  <w:gridSpan w:val="2"/>
                  <w:vMerge w:val="restart"/>
                  <w:vAlign w:val="center"/>
                </w:tcPr>
                <w:p w14:paraId="254C06CD">
                  <w:pPr>
                    <w:wordWrap w:val="0"/>
                    <w:jc w:val="center"/>
                    <w:rPr>
                      <w:rFonts w:hAnsi="宋体"/>
                      <w:szCs w:val="21"/>
                    </w:rPr>
                  </w:pPr>
                  <w:r>
                    <w:rPr>
                      <w:rFonts w:hint="eastAsia" w:hAnsi="宋体"/>
                      <w:szCs w:val="21"/>
                    </w:rPr>
                    <w:t>《锅炉大气污染物排放标准》（DB61/1226-2018）表3中的</w:t>
                  </w:r>
                  <w:r>
                    <w:rPr>
                      <w:rFonts w:hint="eastAsia"/>
                      <w:color w:val="000000" w:themeColor="text1"/>
                      <w14:textFill>
                        <w14:solidFill>
                          <w14:schemeClr w14:val="tx1"/>
                        </w14:solidFill>
                      </w14:textFill>
                    </w:rPr>
                    <w:t>天然气</w:t>
                  </w:r>
                  <w:r>
                    <w:rPr>
                      <w:rFonts w:hint="eastAsia" w:hAnsi="宋体"/>
                      <w:szCs w:val="21"/>
                    </w:rPr>
                    <w:t>标准</w:t>
                  </w:r>
                </w:p>
              </w:tc>
              <w:tc>
                <w:tcPr>
                  <w:tcW w:w="755" w:type="pct"/>
                  <w:vAlign w:val="center"/>
                </w:tcPr>
                <w:p w14:paraId="1706FE6B">
                  <w:pPr>
                    <w:jc w:val="center"/>
                    <w:rPr>
                      <w:rFonts w:ascii="宋体" w:hAnsi="宋体"/>
                    </w:rPr>
                  </w:pPr>
                  <w:r>
                    <w:rPr>
                      <w:rFonts w:hint="eastAsia" w:ascii="宋体" w:hAnsi="宋体"/>
                    </w:rPr>
                    <w:t>颗粒物</w:t>
                  </w:r>
                </w:p>
              </w:tc>
              <w:tc>
                <w:tcPr>
                  <w:tcW w:w="1597" w:type="pct"/>
                  <w:vAlign w:val="center"/>
                </w:tcPr>
                <w:p w14:paraId="49ADAF48">
                  <w:pPr>
                    <w:jc w:val="center"/>
                    <w:rPr>
                      <w:szCs w:val="21"/>
                      <w:vertAlign w:val="superscript"/>
                    </w:rPr>
                  </w:pPr>
                  <w:r>
                    <w:rPr>
                      <w:rFonts w:hAnsi="宋体"/>
                      <w:szCs w:val="21"/>
                    </w:rPr>
                    <w:t>最高允许排放浓度</w:t>
                  </w:r>
                </w:p>
              </w:tc>
              <w:tc>
                <w:tcPr>
                  <w:tcW w:w="1121" w:type="pct"/>
                  <w:vAlign w:val="center"/>
                </w:tcPr>
                <w:p w14:paraId="442FFE15">
                  <w:pPr>
                    <w:adjustRightInd w:val="0"/>
                    <w:snapToGrid w:val="0"/>
                    <w:jc w:val="center"/>
                    <w:rPr>
                      <w:bCs/>
                      <w:kern w:val="24"/>
                      <w:szCs w:val="21"/>
                    </w:rPr>
                  </w:pPr>
                  <w:r>
                    <w:rPr>
                      <w:rFonts w:hint="eastAsia"/>
                      <w:szCs w:val="21"/>
                    </w:rPr>
                    <w:t>10</w:t>
                  </w:r>
                  <w:r>
                    <w:rPr>
                      <w:szCs w:val="21"/>
                    </w:rPr>
                    <w:t>mg/m</w:t>
                  </w:r>
                  <w:r>
                    <w:rPr>
                      <w:szCs w:val="21"/>
                      <w:vertAlign w:val="superscript"/>
                    </w:rPr>
                    <w:t>3</w:t>
                  </w:r>
                </w:p>
              </w:tc>
            </w:tr>
            <w:tr w14:paraId="18CF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27" w:type="pct"/>
                  <w:gridSpan w:val="2"/>
                  <w:vMerge w:val="continue"/>
                  <w:vAlign w:val="center"/>
                </w:tcPr>
                <w:p w14:paraId="4F7C5E1B">
                  <w:pPr>
                    <w:wordWrap w:val="0"/>
                    <w:jc w:val="center"/>
                    <w:rPr>
                      <w:rFonts w:hAnsi="宋体"/>
                      <w:szCs w:val="21"/>
                    </w:rPr>
                  </w:pPr>
                </w:p>
              </w:tc>
              <w:tc>
                <w:tcPr>
                  <w:tcW w:w="755" w:type="pct"/>
                  <w:vAlign w:val="center"/>
                </w:tcPr>
                <w:p w14:paraId="2D8B0167">
                  <w:pPr>
                    <w:jc w:val="center"/>
                    <w:rPr>
                      <w:szCs w:val="21"/>
                    </w:rPr>
                  </w:pPr>
                  <w:r>
                    <w:rPr>
                      <w:rFonts w:hint="eastAsia"/>
                      <w:szCs w:val="21"/>
                    </w:rPr>
                    <w:t>二氧化硫</w:t>
                  </w:r>
                </w:p>
              </w:tc>
              <w:tc>
                <w:tcPr>
                  <w:tcW w:w="1597" w:type="pct"/>
                  <w:vAlign w:val="center"/>
                </w:tcPr>
                <w:p w14:paraId="28BB6E99">
                  <w:pPr>
                    <w:jc w:val="center"/>
                    <w:rPr>
                      <w:rFonts w:hAnsi="宋体"/>
                      <w:szCs w:val="21"/>
                    </w:rPr>
                  </w:pPr>
                  <w:r>
                    <w:rPr>
                      <w:rFonts w:hint="eastAsia" w:hAnsi="宋体"/>
                      <w:szCs w:val="21"/>
                    </w:rPr>
                    <w:t>最高允许排放浓度</w:t>
                  </w:r>
                </w:p>
              </w:tc>
              <w:tc>
                <w:tcPr>
                  <w:tcW w:w="1121" w:type="pct"/>
                  <w:vAlign w:val="center"/>
                </w:tcPr>
                <w:p w14:paraId="7E26276D">
                  <w:pPr>
                    <w:adjustRightInd w:val="0"/>
                    <w:snapToGrid w:val="0"/>
                    <w:jc w:val="center"/>
                    <w:rPr>
                      <w:szCs w:val="21"/>
                    </w:rPr>
                  </w:pPr>
                  <w:r>
                    <w:rPr>
                      <w:rFonts w:hint="eastAsia"/>
                      <w:szCs w:val="21"/>
                    </w:rPr>
                    <w:t>20</w:t>
                  </w:r>
                  <w:r>
                    <w:rPr>
                      <w:szCs w:val="21"/>
                    </w:rPr>
                    <w:t>mg/m</w:t>
                  </w:r>
                  <w:r>
                    <w:rPr>
                      <w:szCs w:val="21"/>
                      <w:vertAlign w:val="superscript"/>
                    </w:rPr>
                    <w:t>3</w:t>
                  </w:r>
                </w:p>
              </w:tc>
            </w:tr>
            <w:tr w14:paraId="45C9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27" w:type="pct"/>
                  <w:gridSpan w:val="2"/>
                  <w:vMerge w:val="continue"/>
                  <w:vAlign w:val="center"/>
                </w:tcPr>
                <w:p w14:paraId="2228F2C8">
                  <w:pPr>
                    <w:wordWrap w:val="0"/>
                    <w:jc w:val="center"/>
                    <w:rPr>
                      <w:rFonts w:hAnsi="宋体"/>
                      <w:szCs w:val="21"/>
                    </w:rPr>
                  </w:pPr>
                </w:p>
              </w:tc>
              <w:tc>
                <w:tcPr>
                  <w:tcW w:w="755" w:type="pct"/>
                  <w:vAlign w:val="center"/>
                </w:tcPr>
                <w:p w14:paraId="38249A60">
                  <w:pPr>
                    <w:jc w:val="center"/>
                    <w:rPr>
                      <w:szCs w:val="21"/>
                    </w:rPr>
                  </w:pPr>
                  <w:r>
                    <w:rPr>
                      <w:rFonts w:hint="eastAsia"/>
                      <w:szCs w:val="21"/>
                    </w:rPr>
                    <w:t>氮氧化物</w:t>
                  </w:r>
                </w:p>
              </w:tc>
              <w:tc>
                <w:tcPr>
                  <w:tcW w:w="1597" w:type="pct"/>
                  <w:vAlign w:val="center"/>
                </w:tcPr>
                <w:p w14:paraId="3CC68742">
                  <w:pPr>
                    <w:jc w:val="center"/>
                    <w:rPr>
                      <w:rFonts w:hAnsi="宋体"/>
                      <w:szCs w:val="21"/>
                    </w:rPr>
                  </w:pPr>
                  <w:r>
                    <w:rPr>
                      <w:rFonts w:hint="eastAsia" w:hAnsi="宋体"/>
                      <w:szCs w:val="21"/>
                    </w:rPr>
                    <w:t>最高允许排放浓度</w:t>
                  </w:r>
                </w:p>
              </w:tc>
              <w:tc>
                <w:tcPr>
                  <w:tcW w:w="1121" w:type="pct"/>
                  <w:vAlign w:val="center"/>
                </w:tcPr>
                <w:p w14:paraId="79F28B36">
                  <w:pPr>
                    <w:adjustRightInd w:val="0"/>
                    <w:snapToGrid w:val="0"/>
                    <w:jc w:val="center"/>
                    <w:rPr>
                      <w:bCs/>
                      <w:kern w:val="24"/>
                      <w:szCs w:val="21"/>
                    </w:rPr>
                  </w:pPr>
                  <w:r>
                    <w:rPr>
                      <w:rFonts w:hint="eastAsia"/>
                      <w:szCs w:val="21"/>
                    </w:rPr>
                    <w:t>50</w:t>
                  </w:r>
                  <w:r>
                    <w:rPr>
                      <w:szCs w:val="21"/>
                    </w:rPr>
                    <w:t>mg/m</w:t>
                  </w:r>
                  <w:r>
                    <w:rPr>
                      <w:szCs w:val="21"/>
                      <w:vertAlign w:val="superscript"/>
                    </w:rPr>
                    <w:t>3</w:t>
                  </w:r>
                </w:p>
              </w:tc>
            </w:tr>
            <w:tr w14:paraId="0180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27" w:type="pct"/>
                  <w:gridSpan w:val="2"/>
                  <w:vMerge w:val="restart"/>
                  <w:vAlign w:val="center"/>
                </w:tcPr>
                <w:p w14:paraId="59E85458">
                  <w:pPr>
                    <w:wordWrap w:val="0"/>
                    <w:jc w:val="center"/>
                    <w:rPr>
                      <w:rFonts w:hAnsi="宋体"/>
                      <w:szCs w:val="21"/>
                    </w:rPr>
                  </w:pPr>
                  <w:r>
                    <w:rPr>
                      <w:color w:val="000000" w:themeColor="text1"/>
                      <w14:textFill>
                        <w14:solidFill>
                          <w14:schemeClr w14:val="tx1"/>
                        </w14:solidFill>
                      </w14:textFill>
                    </w:rPr>
                    <w:t>锅炉大气污染物排放标准》（DB61/1226-2018）表3中的</w:t>
                  </w:r>
                  <w:r>
                    <w:rPr>
                      <w:rFonts w:hint="eastAsia" w:hAnsi="宋体"/>
                      <w:szCs w:val="21"/>
                    </w:rPr>
                    <w:t>其他燃气</w:t>
                  </w:r>
                  <w:r>
                    <w:rPr>
                      <w:color w:val="000000" w:themeColor="text1"/>
                      <w14:textFill>
                        <w14:solidFill>
                          <w14:schemeClr w14:val="tx1"/>
                        </w14:solidFill>
                      </w14:textFill>
                    </w:rPr>
                    <w:t>标准</w:t>
                  </w:r>
                </w:p>
              </w:tc>
              <w:tc>
                <w:tcPr>
                  <w:tcW w:w="755" w:type="pct"/>
                  <w:vAlign w:val="center"/>
                </w:tcPr>
                <w:p w14:paraId="7A588AF5">
                  <w:pPr>
                    <w:jc w:val="center"/>
                    <w:rPr>
                      <w:rFonts w:ascii="宋体" w:hAnsi="宋体"/>
                    </w:rPr>
                  </w:pPr>
                  <w:r>
                    <w:rPr>
                      <w:rFonts w:hint="eastAsia" w:ascii="宋体" w:hAnsi="宋体"/>
                    </w:rPr>
                    <w:t>颗粒物</w:t>
                  </w:r>
                </w:p>
              </w:tc>
              <w:tc>
                <w:tcPr>
                  <w:tcW w:w="1597" w:type="pct"/>
                  <w:vAlign w:val="center"/>
                </w:tcPr>
                <w:p w14:paraId="21F7EEE2">
                  <w:pPr>
                    <w:jc w:val="center"/>
                    <w:rPr>
                      <w:szCs w:val="21"/>
                      <w:vertAlign w:val="superscript"/>
                    </w:rPr>
                  </w:pPr>
                  <w:r>
                    <w:rPr>
                      <w:rFonts w:hAnsi="宋体"/>
                      <w:szCs w:val="21"/>
                    </w:rPr>
                    <w:t>最高允许排放浓度</w:t>
                  </w:r>
                </w:p>
              </w:tc>
              <w:tc>
                <w:tcPr>
                  <w:tcW w:w="1121" w:type="pct"/>
                  <w:vAlign w:val="center"/>
                </w:tcPr>
                <w:p w14:paraId="14F820FF">
                  <w:pPr>
                    <w:adjustRightInd w:val="0"/>
                    <w:snapToGrid w:val="0"/>
                    <w:jc w:val="center"/>
                    <w:rPr>
                      <w:szCs w:val="21"/>
                    </w:rPr>
                  </w:pPr>
                  <w:r>
                    <w:rPr>
                      <w:rFonts w:hint="eastAsia"/>
                      <w:szCs w:val="21"/>
                    </w:rPr>
                    <w:t>10</w:t>
                  </w:r>
                  <w:r>
                    <w:rPr>
                      <w:szCs w:val="21"/>
                    </w:rPr>
                    <w:t xml:space="preserve"> mg/m</w:t>
                  </w:r>
                  <w:r>
                    <w:rPr>
                      <w:szCs w:val="21"/>
                      <w:vertAlign w:val="superscript"/>
                    </w:rPr>
                    <w:t>3</w:t>
                  </w:r>
                </w:p>
              </w:tc>
            </w:tr>
            <w:tr w14:paraId="4D99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27" w:type="pct"/>
                  <w:gridSpan w:val="2"/>
                  <w:vMerge w:val="continue"/>
                  <w:vAlign w:val="center"/>
                </w:tcPr>
                <w:p w14:paraId="19ED063F">
                  <w:pPr>
                    <w:wordWrap w:val="0"/>
                    <w:jc w:val="center"/>
                    <w:rPr>
                      <w:rFonts w:hAnsi="宋体"/>
                      <w:szCs w:val="21"/>
                    </w:rPr>
                  </w:pPr>
                </w:p>
              </w:tc>
              <w:tc>
                <w:tcPr>
                  <w:tcW w:w="755" w:type="pct"/>
                  <w:vAlign w:val="center"/>
                </w:tcPr>
                <w:p w14:paraId="6C78A827">
                  <w:pPr>
                    <w:jc w:val="center"/>
                    <w:rPr>
                      <w:szCs w:val="21"/>
                    </w:rPr>
                  </w:pPr>
                  <w:r>
                    <w:rPr>
                      <w:rFonts w:hint="eastAsia"/>
                      <w:szCs w:val="21"/>
                    </w:rPr>
                    <w:t>二氧化硫</w:t>
                  </w:r>
                </w:p>
              </w:tc>
              <w:tc>
                <w:tcPr>
                  <w:tcW w:w="1597" w:type="pct"/>
                  <w:vAlign w:val="center"/>
                </w:tcPr>
                <w:p w14:paraId="100135ED">
                  <w:pPr>
                    <w:jc w:val="center"/>
                    <w:rPr>
                      <w:rFonts w:hAnsi="宋体"/>
                      <w:szCs w:val="21"/>
                    </w:rPr>
                  </w:pPr>
                  <w:r>
                    <w:rPr>
                      <w:rFonts w:hint="eastAsia" w:hAnsi="宋体"/>
                      <w:szCs w:val="21"/>
                    </w:rPr>
                    <w:t>最高允许排放浓度</w:t>
                  </w:r>
                </w:p>
              </w:tc>
              <w:tc>
                <w:tcPr>
                  <w:tcW w:w="1121" w:type="pct"/>
                  <w:vAlign w:val="center"/>
                </w:tcPr>
                <w:p w14:paraId="6F857E90">
                  <w:pPr>
                    <w:adjustRightInd w:val="0"/>
                    <w:snapToGrid w:val="0"/>
                    <w:jc w:val="center"/>
                    <w:rPr>
                      <w:szCs w:val="21"/>
                    </w:rPr>
                  </w:pPr>
                  <w:r>
                    <w:rPr>
                      <w:rFonts w:hint="eastAsia"/>
                      <w:szCs w:val="21"/>
                    </w:rPr>
                    <w:t>50</w:t>
                  </w:r>
                  <w:r>
                    <w:rPr>
                      <w:szCs w:val="21"/>
                    </w:rPr>
                    <w:t xml:space="preserve"> mg/m</w:t>
                  </w:r>
                  <w:r>
                    <w:rPr>
                      <w:szCs w:val="21"/>
                      <w:vertAlign w:val="superscript"/>
                    </w:rPr>
                    <w:t>3</w:t>
                  </w:r>
                </w:p>
              </w:tc>
            </w:tr>
            <w:tr w14:paraId="4E85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27" w:type="pct"/>
                  <w:gridSpan w:val="2"/>
                  <w:vMerge w:val="continue"/>
                  <w:vAlign w:val="center"/>
                </w:tcPr>
                <w:p w14:paraId="30F30244">
                  <w:pPr>
                    <w:wordWrap w:val="0"/>
                    <w:jc w:val="center"/>
                    <w:rPr>
                      <w:rFonts w:hAnsi="宋体"/>
                      <w:szCs w:val="21"/>
                    </w:rPr>
                  </w:pPr>
                </w:p>
              </w:tc>
              <w:tc>
                <w:tcPr>
                  <w:tcW w:w="755" w:type="pct"/>
                  <w:vAlign w:val="center"/>
                </w:tcPr>
                <w:p w14:paraId="278C7057">
                  <w:pPr>
                    <w:jc w:val="center"/>
                    <w:rPr>
                      <w:szCs w:val="21"/>
                    </w:rPr>
                  </w:pPr>
                  <w:r>
                    <w:rPr>
                      <w:rFonts w:hint="eastAsia"/>
                      <w:szCs w:val="21"/>
                    </w:rPr>
                    <w:t>氮氧化物</w:t>
                  </w:r>
                </w:p>
              </w:tc>
              <w:tc>
                <w:tcPr>
                  <w:tcW w:w="1597" w:type="pct"/>
                  <w:vAlign w:val="center"/>
                </w:tcPr>
                <w:p w14:paraId="39212055">
                  <w:pPr>
                    <w:jc w:val="center"/>
                    <w:rPr>
                      <w:rFonts w:hAnsi="宋体"/>
                      <w:szCs w:val="21"/>
                    </w:rPr>
                  </w:pPr>
                  <w:r>
                    <w:rPr>
                      <w:rFonts w:hint="eastAsia" w:hAnsi="宋体"/>
                      <w:szCs w:val="21"/>
                    </w:rPr>
                    <w:t>最高允许排放浓度</w:t>
                  </w:r>
                </w:p>
              </w:tc>
              <w:tc>
                <w:tcPr>
                  <w:tcW w:w="1121" w:type="pct"/>
                  <w:vAlign w:val="center"/>
                </w:tcPr>
                <w:p w14:paraId="45D74A77">
                  <w:pPr>
                    <w:adjustRightInd w:val="0"/>
                    <w:snapToGrid w:val="0"/>
                    <w:jc w:val="center"/>
                    <w:rPr>
                      <w:szCs w:val="21"/>
                    </w:rPr>
                  </w:pPr>
                  <w:r>
                    <w:rPr>
                      <w:rFonts w:hint="eastAsia"/>
                      <w:szCs w:val="21"/>
                    </w:rPr>
                    <w:t>150</w:t>
                  </w:r>
                  <w:r>
                    <w:rPr>
                      <w:szCs w:val="21"/>
                    </w:rPr>
                    <w:t xml:space="preserve"> mg/m</w:t>
                  </w:r>
                  <w:r>
                    <w:rPr>
                      <w:szCs w:val="21"/>
                      <w:vertAlign w:val="superscript"/>
                    </w:rPr>
                    <w:t>3</w:t>
                  </w:r>
                </w:p>
              </w:tc>
            </w:tr>
            <w:tr w14:paraId="4FAC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527" w:type="pct"/>
                  <w:gridSpan w:val="2"/>
                  <w:vAlign w:val="center"/>
                </w:tcPr>
                <w:p w14:paraId="0A63101E">
                  <w:pPr>
                    <w:wordWrap w:val="0"/>
                    <w:jc w:val="center"/>
                    <w:rPr>
                      <w:rFonts w:hAnsi="宋体"/>
                      <w:szCs w:val="21"/>
                    </w:rPr>
                  </w:pPr>
                  <w:r>
                    <w:rPr>
                      <w:rFonts w:hAnsi="宋体"/>
                      <w:szCs w:val="21"/>
                    </w:rPr>
                    <w:t>《</w:t>
                  </w:r>
                  <w:r>
                    <w:rPr>
                      <w:rFonts w:hint="eastAsia" w:hAnsi="宋体"/>
                      <w:szCs w:val="21"/>
                    </w:rPr>
                    <w:t>挥发性有机物无组织</w:t>
                  </w:r>
                  <w:r>
                    <w:rPr>
                      <w:rFonts w:hAnsi="宋体"/>
                      <w:szCs w:val="21"/>
                    </w:rPr>
                    <w:t>排放</w:t>
                  </w:r>
                  <w:r>
                    <w:rPr>
                      <w:rFonts w:hint="eastAsia" w:hAnsi="宋体"/>
                      <w:szCs w:val="21"/>
                    </w:rPr>
                    <w:t>控制</w:t>
                  </w:r>
                  <w:r>
                    <w:rPr>
                      <w:rFonts w:hAnsi="宋体"/>
                      <w:szCs w:val="21"/>
                    </w:rPr>
                    <w:t>标准》（</w:t>
                  </w:r>
                  <w:r>
                    <w:rPr>
                      <w:rFonts w:hint="eastAsia"/>
                      <w:szCs w:val="21"/>
                    </w:rPr>
                    <w:t>G</w:t>
                  </w:r>
                  <w:r>
                    <w:rPr>
                      <w:szCs w:val="21"/>
                    </w:rPr>
                    <w:t>B</w:t>
                  </w:r>
                  <w:r>
                    <w:rPr>
                      <w:rFonts w:hint="eastAsia"/>
                      <w:szCs w:val="21"/>
                    </w:rPr>
                    <w:t>37822-2019</w:t>
                  </w:r>
                  <w:r>
                    <w:rPr>
                      <w:rFonts w:hAnsi="宋体"/>
                      <w:szCs w:val="21"/>
                    </w:rPr>
                    <w:t>）</w:t>
                  </w:r>
                </w:p>
              </w:tc>
              <w:tc>
                <w:tcPr>
                  <w:tcW w:w="755" w:type="pct"/>
                  <w:vAlign w:val="center"/>
                </w:tcPr>
                <w:p w14:paraId="61DD1E37">
                  <w:pPr>
                    <w:jc w:val="center"/>
                    <w:rPr>
                      <w:szCs w:val="21"/>
                    </w:rPr>
                  </w:pPr>
                  <w:r>
                    <w:rPr>
                      <w:rFonts w:hint="eastAsia"/>
                      <w:szCs w:val="21"/>
                    </w:rPr>
                    <w:t>非甲烷总烃</w:t>
                  </w:r>
                </w:p>
              </w:tc>
              <w:tc>
                <w:tcPr>
                  <w:tcW w:w="1597" w:type="pct"/>
                  <w:vAlign w:val="center"/>
                </w:tcPr>
                <w:p w14:paraId="07A3A822">
                  <w:pPr>
                    <w:adjustRightInd w:val="0"/>
                    <w:snapToGrid w:val="0"/>
                    <w:jc w:val="center"/>
                    <w:rPr>
                      <w:rFonts w:hAnsi="宋体"/>
                      <w:szCs w:val="21"/>
                    </w:rPr>
                  </w:pPr>
                  <w:r>
                    <w:rPr>
                      <w:rFonts w:hint="eastAsia" w:hAnsi="宋体"/>
                      <w:szCs w:val="21"/>
                    </w:rPr>
                    <w:t>监控点处1h平均浓度值</w:t>
                  </w:r>
                </w:p>
              </w:tc>
              <w:tc>
                <w:tcPr>
                  <w:tcW w:w="1121" w:type="pct"/>
                  <w:vAlign w:val="center"/>
                </w:tcPr>
                <w:p w14:paraId="27F40472">
                  <w:pPr>
                    <w:adjustRightInd w:val="0"/>
                    <w:snapToGrid w:val="0"/>
                    <w:jc w:val="center"/>
                    <w:rPr>
                      <w:szCs w:val="21"/>
                    </w:rPr>
                  </w:pPr>
                  <w:r>
                    <w:rPr>
                      <w:rFonts w:hint="eastAsia"/>
                      <w:szCs w:val="21"/>
                    </w:rPr>
                    <w:t>6</w:t>
                  </w:r>
                  <w:r>
                    <w:rPr>
                      <w:szCs w:val="21"/>
                    </w:rPr>
                    <w:t>mg/m</w:t>
                  </w:r>
                  <w:r>
                    <w:rPr>
                      <w:szCs w:val="21"/>
                      <w:vertAlign w:val="superscript"/>
                    </w:rPr>
                    <w:t>3</w:t>
                  </w:r>
                </w:p>
              </w:tc>
            </w:tr>
            <w:tr w14:paraId="4646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53" w:type="pct"/>
                  <w:vMerge w:val="restart"/>
                  <w:vAlign w:val="center"/>
                </w:tcPr>
                <w:p w14:paraId="0209AA08">
                  <w:pPr>
                    <w:wordWrap w:val="0"/>
                    <w:jc w:val="center"/>
                    <w:rPr>
                      <w:szCs w:val="21"/>
                    </w:rPr>
                  </w:pPr>
                  <w:r>
                    <w:rPr>
                      <w:rFonts w:hAnsi="宋体"/>
                      <w:szCs w:val="21"/>
                    </w:rPr>
                    <w:t>《</w:t>
                  </w:r>
                  <w:r>
                    <w:rPr>
                      <w:rFonts w:hint="eastAsia" w:hAnsi="宋体"/>
                      <w:szCs w:val="21"/>
                    </w:rPr>
                    <w:t>挥发性有机物</w:t>
                  </w:r>
                  <w:r>
                    <w:rPr>
                      <w:rFonts w:hAnsi="宋体"/>
                      <w:szCs w:val="21"/>
                    </w:rPr>
                    <w:t>排放</w:t>
                  </w:r>
                  <w:r>
                    <w:rPr>
                      <w:rFonts w:hint="eastAsia" w:hAnsi="宋体"/>
                      <w:szCs w:val="21"/>
                    </w:rPr>
                    <w:t>控制</w:t>
                  </w:r>
                  <w:r>
                    <w:rPr>
                      <w:rFonts w:hAnsi="宋体"/>
                      <w:szCs w:val="21"/>
                    </w:rPr>
                    <w:t>标准》（</w:t>
                  </w:r>
                  <w:r>
                    <w:rPr>
                      <w:rFonts w:hint="eastAsia"/>
                      <w:szCs w:val="21"/>
                    </w:rPr>
                    <w:t>D</w:t>
                  </w:r>
                  <w:r>
                    <w:rPr>
                      <w:szCs w:val="21"/>
                    </w:rPr>
                    <w:t>B</w:t>
                  </w:r>
                  <w:r>
                    <w:rPr>
                      <w:rFonts w:hint="eastAsia"/>
                      <w:szCs w:val="21"/>
                    </w:rPr>
                    <w:t>61/T1061</w:t>
                  </w:r>
                  <w:r>
                    <w:rPr>
                      <w:szCs w:val="21"/>
                    </w:rPr>
                    <w:t>-</w:t>
                  </w:r>
                  <w:r>
                    <w:rPr>
                      <w:rFonts w:hint="eastAsia"/>
                      <w:szCs w:val="21"/>
                    </w:rPr>
                    <w:t>2017</w:t>
                  </w:r>
                  <w:r>
                    <w:rPr>
                      <w:rFonts w:hAnsi="宋体"/>
                      <w:szCs w:val="21"/>
                    </w:rPr>
                    <w:t>）</w:t>
                  </w:r>
                </w:p>
              </w:tc>
              <w:tc>
                <w:tcPr>
                  <w:tcW w:w="674" w:type="pct"/>
                  <w:vMerge w:val="restart"/>
                  <w:vAlign w:val="center"/>
                </w:tcPr>
                <w:p w14:paraId="74294CDF">
                  <w:pPr>
                    <w:wordWrap w:val="0"/>
                    <w:jc w:val="center"/>
                    <w:rPr>
                      <w:szCs w:val="21"/>
                    </w:rPr>
                  </w:pPr>
                  <w:r>
                    <w:rPr>
                      <w:rFonts w:hint="eastAsia" w:hAnsi="宋体"/>
                      <w:szCs w:val="21"/>
                    </w:rPr>
                    <w:t>表面涂装行业</w:t>
                  </w:r>
                </w:p>
              </w:tc>
              <w:tc>
                <w:tcPr>
                  <w:tcW w:w="755" w:type="pct"/>
                  <w:vMerge w:val="restart"/>
                  <w:vAlign w:val="center"/>
                </w:tcPr>
                <w:p w14:paraId="08579D85">
                  <w:pPr>
                    <w:jc w:val="center"/>
                    <w:rPr>
                      <w:szCs w:val="21"/>
                    </w:rPr>
                  </w:pPr>
                  <w:r>
                    <w:rPr>
                      <w:rFonts w:hint="eastAsia"/>
                      <w:szCs w:val="21"/>
                    </w:rPr>
                    <w:t>非甲烷总烃</w:t>
                  </w:r>
                </w:p>
              </w:tc>
              <w:tc>
                <w:tcPr>
                  <w:tcW w:w="1597" w:type="pct"/>
                  <w:vAlign w:val="center"/>
                </w:tcPr>
                <w:p w14:paraId="6451FF3A">
                  <w:pPr>
                    <w:adjustRightInd w:val="0"/>
                    <w:snapToGrid w:val="0"/>
                    <w:jc w:val="center"/>
                    <w:rPr>
                      <w:rFonts w:hAnsi="宋体"/>
                      <w:szCs w:val="21"/>
                    </w:rPr>
                  </w:pPr>
                  <w:r>
                    <w:rPr>
                      <w:rFonts w:hint="eastAsia" w:hAnsi="宋体"/>
                      <w:szCs w:val="21"/>
                    </w:rPr>
                    <w:t>最高允许排放浓度</w:t>
                  </w:r>
                </w:p>
              </w:tc>
              <w:tc>
                <w:tcPr>
                  <w:tcW w:w="1121" w:type="pct"/>
                  <w:vAlign w:val="center"/>
                </w:tcPr>
                <w:p w14:paraId="18EF6478">
                  <w:pPr>
                    <w:adjustRightInd w:val="0"/>
                    <w:snapToGrid w:val="0"/>
                    <w:jc w:val="center"/>
                    <w:rPr>
                      <w:rFonts w:hAnsi="宋体"/>
                      <w:szCs w:val="21"/>
                    </w:rPr>
                  </w:pPr>
                  <w:r>
                    <w:rPr>
                      <w:rFonts w:hint="eastAsia"/>
                      <w:szCs w:val="21"/>
                    </w:rPr>
                    <w:t>5</w:t>
                  </w:r>
                  <w:r>
                    <w:rPr>
                      <w:szCs w:val="21"/>
                    </w:rPr>
                    <w:t>0mg/m</w:t>
                  </w:r>
                  <w:r>
                    <w:rPr>
                      <w:szCs w:val="21"/>
                      <w:vertAlign w:val="superscript"/>
                    </w:rPr>
                    <w:t>3</w:t>
                  </w:r>
                </w:p>
              </w:tc>
            </w:tr>
            <w:tr w14:paraId="393F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53" w:type="pct"/>
                  <w:vMerge w:val="continue"/>
                  <w:vAlign w:val="center"/>
                </w:tcPr>
                <w:p w14:paraId="26E0C743">
                  <w:pPr>
                    <w:wordWrap w:val="0"/>
                    <w:jc w:val="center"/>
                    <w:rPr>
                      <w:rFonts w:hAnsi="宋体"/>
                      <w:szCs w:val="21"/>
                    </w:rPr>
                  </w:pPr>
                </w:p>
              </w:tc>
              <w:tc>
                <w:tcPr>
                  <w:tcW w:w="674" w:type="pct"/>
                  <w:vMerge w:val="continue"/>
                  <w:vAlign w:val="center"/>
                </w:tcPr>
                <w:p w14:paraId="576426DC">
                  <w:pPr>
                    <w:wordWrap w:val="0"/>
                    <w:jc w:val="center"/>
                    <w:rPr>
                      <w:rFonts w:hAnsi="宋体"/>
                      <w:szCs w:val="21"/>
                    </w:rPr>
                  </w:pPr>
                </w:p>
              </w:tc>
              <w:tc>
                <w:tcPr>
                  <w:tcW w:w="755" w:type="pct"/>
                  <w:vMerge w:val="continue"/>
                  <w:vAlign w:val="center"/>
                </w:tcPr>
                <w:p w14:paraId="048DAFF6">
                  <w:pPr>
                    <w:jc w:val="center"/>
                    <w:rPr>
                      <w:szCs w:val="21"/>
                    </w:rPr>
                  </w:pPr>
                </w:p>
              </w:tc>
              <w:tc>
                <w:tcPr>
                  <w:tcW w:w="1597" w:type="pct"/>
                  <w:vAlign w:val="center"/>
                </w:tcPr>
                <w:p w14:paraId="1CAB1828">
                  <w:pPr>
                    <w:adjustRightInd w:val="0"/>
                    <w:snapToGrid w:val="0"/>
                    <w:jc w:val="center"/>
                    <w:rPr>
                      <w:rFonts w:hAnsi="宋体"/>
                      <w:szCs w:val="21"/>
                    </w:rPr>
                  </w:pPr>
                  <w:r>
                    <w:rPr>
                      <w:rFonts w:hint="eastAsia" w:hAnsi="宋体"/>
                      <w:szCs w:val="21"/>
                    </w:rPr>
                    <w:t>最低去除效率</w:t>
                  </w:r>
                </w:p>
              </w:tc>
              <w:tc>
                <w:tcPr>
                  <w:tcW w:w="1121" w:type="pct"/>
                  <w:vAlign w:val="center"/>
                </w:tcPr>
                <w:p w14:paraId="701A6FC8">
                  <w:pPr>
                    <w:adjustRightInd w:val="0"/>
                    <w:snapToGrid w:val="0"/>
                    <w:jc w:val="center"/>
                    <w:rPr>
                      <w:rFonts w:hAnsi="宋体"/>
                      <w:szCs w:val="21"/>
                    </w:rPr>
                  </w:pPr>
                  <w:r>
                    <w:rPr>
                      <w:rFonts w:hint="eastAsia" w:hAnsi="宋体"/>
                      <w:szCs w:val="21"/>
                    </w:rPr>
                    <w:t>85%</w:t>
                  </w:r>
                </w:p>
              </w:tc>
            </w:tr>
            <w:tr w14:paraId="1616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3" w:type="pct"/>
                  <w:vMerge w:val="continue"/>
                  <w:vAlign w:val="center"/>
                </w:tcPr>
                <w:p w14:paraId="4A6961D9">
                  <w:pPr>
                    <w:wordWrap w:val="0"/>
                    <w:jc w:val="center"/>
                    <w:rPr>
                      <w:rFonts w:hAnsi="宋体"/>
                      <w:szCs w:val="21"/>
                    </w:rPr>
                  </w:pPr>
                </w:p>
              </w:tc>
              <w:tc>
                <w:tcPr>
                  <w:tcW w:w="674" w:type="pct"/>
                  <w:vAlign w:val="center"/>
                </w:tcPr>
                <w:p w14:paraId="7ADA5C47">
                  <w:pPr>
                    <w:wordWrap w:val="0"/>
                    <w:jc w:val="center"/>
                    <w:rPr>
                      <w:rFonts w:hAnsi="宋体"/>
                      <w:szCs w:val="21"/>
                    </w:rPr>
                  </w:pPr>
                  <w:r>
                    <w:rPr>
                      <w:rFonts w:hint="eastAsia" w:hAnsi="宋体"/>
                      <w:szCs w:val="21"/>
                    </w:rPr>
                    <w:t>/</w:t>
                  </w:r>
                </w:p>
              </w:tc>
              <w:tc>
                <w:tcPr>
                  <w:tcW w:w="755" w:type="pct"/>
                  <w:vMerge w:val="continue"/>
                  <w:vAlign w:val="center"/>
                </w:tcPr>
                <w:p w14:paraId="00B02E5F">
                  <w:pPr>
                    <w:jc w:val="center"/>
                    <w:rPr>
                      <w:szCs w:val="21"/>
                    </w:rPr>
                  </w:pPr>
                </w:p>
              </w:tc>
              <w:tc>
                <w:tcPr>
                  <w:tcW w:w="1597" w:type="pct"/>
                  <w:vAlign w:val="center"/>
                </w:tcPr>
                <w:p w14:paraId="7BA06CB0">
                  <w:pPr>
                    <w:adjustRightInd w:val="0"/>
                    <w:snapToGrid w:val="0"/>
                    <w:jc w:val="center"/>
                    <w:rPr>
                      <w:rFonts w:hAnsi="宋体"/>
                      <w:szCs w:val="21"/>
                    </w:rPr>
                  </w:pPr>
                  <w:r>
                    <w:rPr>
                      <w:rFonts w:hint="eastAsia" w:hAnsi="宋体"/>
                      <w:szCs w:val="21"/>
                    </w:rPr>
                    <w:t>边界监控点浓度限值</w:t>
                  </w:r>
                </w:p>
              </w:tc>
              <w:tc>
                <w:tcPr>
                  <w:tcW w:w="1121" w:type="pct"/>
                  <w:vAlign w:val="center"/>
                </w:tcPr>
                <w:p w14:paraId="4E781B1B">
                  <w:pPr>
                    <w:adjustRightInd w:val="0"/>
                    <w:snapToGrid w:val="0"/>
                    <w:jc w:val="center"/>
                    <w:rPr>
                      <w:rFonts w:hAnsi="宋体"/>
                      <w:szCs w:val="21"/>
                    </w:rPr>
                  </w:pPr>
                  <w:r>
                    <w:rPr>
                      <w:rFonts w:hint="eastAsia"/>
                      <w:szCs w:val="21"/>
                    </w:rPr>
                    <w:t>3.0mg/m</w:t>
                  </w:r>
                  <w:r>
                    <w:rPr>
                      <w:rFonts w:hint="eastAsia"/>
                      <w:szCs w:val="21"/>
                      <w:vertAlign w:val="superscript"/>
                    </w:rPr>
                    <w:t>3</w:t>
                  </w:r>
                </w:p>
              </w:tc>
            </w:tr>
          </w:tbl>
          <w:p w14:paraId="3E563EFD">
            <w:pPr>
              <w:adjustRightInd w:val="0"/>
              <w:snapToGrid w:val="0"/>
              <w:spacing w:line="360" w:lineRule="auto"/>
              <w:ind w:firstLine="482" w:firstLineChars="200"/>
              <w:rPr>
                <w:b/>
                <w:sz w:val="24"/>
              </w:rPr>
            </w:pPr>
            <w:r>
              <w:rPr>
                <w:rFonts w:hint="eastAsia"/>
                <w:b/>
                <w:sz w:val="24"/>
              </w:rPr>
              <w:t>2、</w:t>
            </w:r>
            <w:r>
              <w:rPr>
                <w:b/>
                <w:sz w:val="24"/>
              </w:rPr>
              <w:t>噪声排放标准</w:t>
            </w:r>
          </w:p>
          <w:p w14:paraId="6EFDB62A">
            <w:pPr>
              <w:adjustRightInd w:val="0"/>
              <w:snapToGrid w:val="0"/>
              <w:spacing w:line="360" w:lineRule="auto"/>
              <w:ind w:firstLine="480" w:firstLineChars="200"/>
              <w:rPr>
                <w:sz w:val="24"/>
              </w:rPr>
            </w:pPr>
            <w:r>
              <w:rPr>
                <w:rFonts w:hint="eastAsia"/>
                <w:sz w:val="24"/>
              </w:rPr>
              <w:t>项目</w:t>
            </w:r>
            <w:r>
              <w:rPr>
                <w:sz w:val="24"/>
              </w:rPr>
              <w:t>运营期厂界</w:t>
            </w:r>
            <w:r>
              <w:rPr>
                <w:rFonts w:hint="eastAsia"/>
                <w:sz w:val="24"/>
              </w:rPr>
              <w:t>四周</w:t>
            </w:r>
            <w:r>
              <w:rPr>
                <w:sz w:val="24"/>
              </w:rPr>
              <w:t>噪声执行《工业企业厂界环境噪声排放标准》（GB12348-2008）中</w:t>
            </w:r>
            <w:r>
              <w:rPr>
                <w:rFonts w:hint="eastAsia"/>
                <w:sz w:val="24"/>
              </w:rPr>
              <w:t>3</w:t>
            </w:r>
            <w:r>
              <w:rPr>
                <w:sz w:val="24"/>
              </w:rPr>
              <w:t>类标准</w:t>
            </w:r>
            <w:r>
              <w:rPr>
                <w:rFonts w:hint="eastAsia"/>
                <w:sz w:val="24"/>
              </w:rPr>
              <w:t>，</w:t>
            </w:r>
            <w:r>
              <w:rPr>
                <w:sz w:val="24"/>
              </w:rPr>
              <w:t>具体见表</w:t>
            </w:r>
            <w:r>
              <w:rPr>
                <w:rFonts w:hint="eastAsia"/>
                <w:sz w:val="24"/>
              </w:rPr>
              <w:t>15</w:t>
            </w:r>
            <w:r>
              <w:rPr>
                <w:sz w:val="24"/>
              </w:rPr>
              <w:t>。</w:t>
            </w:r>
          </w:p>
          <w:p w14:paraId="594DBA65">
            <w:pPr>
              <w:pStyle w:val="47"/>
            </w:pPr>
            <w:r>
              <w:rPr>
                <w:rFonts w:hint="eastAsia"/>
              </w:rPr>
              <w:t xml:space="preserve">    </w:t>
            </w:r>
            <w:r>
              <w:t>环境噪声排放标准单位：dB（A）</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1312"/>
              <w:gridCol w:w="1876"/>
            </w:tblGrid>
            <w:tr w14:paraId="666A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vAlign w:val="center"/>
                </w:tcPr>
                <w:p w14:paraId="0D5F3B8A">
                  <w:pPr>
                    <w:snapToGrid w:val="0"/>
                    <w:jc w:val="center"/>
                    <w:rPr>
                      <w:szCs w:val="21"/>
                      <w:lang w:val="en-GB"/>
                    </w:rPr>
                  </w:pPr>
                  <w:r>
                    <w:rPr>
                      <w:szCs w:val="21"/>
                    </w:rPr>
                    <w:t>类别</w:t>
                  </w:r>
                </w:p>
              </w:tc>
              <w:tc>
                <w:tcPr>
                  <w:tcW w:w="1313" w:type="dxa"/>
                  <w:vAlign w:val="center"/>
                </w:tcPr>
                <w:p w14:paraId="15B78809">
                  <w:pPr>
                    <w:snapToGrid w:val="0"/>
                    <w:jc w:val="center"/>
                    <w:rPr>
                      <w:szCs w:val="21"/>
                      <w:lang w:val="en-GB"/>
                    </w:rPr>
                  </w:pPr>
                  <w:r>
                    <w:rPr>
                      <w:szCs w:val="21"/>
                    </w:rPr>
                    <w:t>昼间</w:t>
                  </w:r>
                </w:p>
              </w:tc>
              <w:tc>
                <w:tcPr>
                  <w:tcW w:w="1878" w:type="dxa"/>
                  <w:vAlign w:val="center"/>
                </w:tcPr>
                <w:p w14:paraId="39A3D911">
                  <w:pPr>
                    <w:snapToGrid w:val="0"/>
                    <w:jc w:val="center"/>
                    <w:rPr>
                      <w:szCs w:val="21"/>
                      <w:lang w:val="en-GB"/>
                    </w:rPr>
                  </w:pPr>
                  <w:r>
                    <w:rPr>
                      <w:szCs w:val="21"/>
                    </w:rPr>
                    <w:t>夜间</w:t>
                  </w:r>
                </w:p>
              </w:tc>
            </w:tr>
            <w:tr w14:paraId="53E0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vAlign w:val="center"/>
                </w:tcPr>
                <w:p w14:paraId="7117DD8D">
                  <w:pPr>
                    <w:snapToGrid w:val="0"/>
                    <w:jc w:val="center"/>
                    <w:rPr>
                      <w:szCs w:val="21"/>
                      <w:lang w:val="en-GB"/>
                    </w:rPr>
                  </w:pPr>
                  <w:r>
                    <w:rPr>
                      <w:szCs w:val="21"/>
                    </w:rPr>
                    <w:t>《工业企业厂界环境噪声排放标准》</w:t>
                  </w:r>
                  <w:r>
                    <w:rPr>
                      <w:rFonts w:hint="eastAsia"/>
                      <w:szCs w:val="21"/>
                    </w:rPr>
                    <w:t>3</w:t>
                  </w:r>
                  <w:r>
                    <w:rPr>
                      <w:szCs w:val="21"/>
                    </w:rPr>
                    <w:t>类标准</w:t>
                  </w:r>
                </w:p>
              </w:tc>
              <w:tc>
                <w:tcPr>
                  <w:tcW w:w="1313" w:type="dxa"/>
                  <w:vAlign w:val="center"/>
                </w:tcPr>
                <w:p w14:paraId="564A1FE7">
                  <w:pPr>
                    <w:snapToGrid w:val="0"/>
                    <w:jc w:val="center"/>
                    <w:rPr>
                      <w:szCs w:val="21"/>
                      <w:lang w:val="en-GB"/>
                    </w:rPr>
                  </w:pPr>
                  <w:r>
                    <w:rPr>
                      <w:rFonts w:hint="eastAsia"/>
                      <w:szCs w:val="21"/>
                    </w:rPr>
                    <w:t>65</w:t>
                  </w:r>
                </w:p>
              </w:tc>
              <w:tc>
                <w:tcPr>
                  <w:tcW w:w="1878" w:type="dxa"/>
                  <w:vAlign w:val="center"/>
                </w:tcPr>
                <w:p w14:paraId="6DDA1C77">
                  <w:pPr>
                    <w:snapToGrid w:val="0"/>
                    <w:jc w:val="center"/>
                    <w:rPr>
                      <w:szCs w:val="21"/>
                      <w:lang w:val="en-GB"/>
                    </w:rPr>
                  </w:pPr>
                  <w:r>
                    <w:rPr>
                      <w:rFonts w:hint="eastAsia"/>
                      <w:szCs w:val="21"/>
                    </w:rPr>
                    <w:t>55</w:t>
                  </w:r>
                </w:p>
              </w:tc>
            </w:tr>
          </w:tbl>
          <w:p w14:paraId="2EF1B68F">
            <w:pPr>
              <w:snapToGrid w:val="0"/>
              <w:spacing w:line="360" w:lineRule="auto"/>
              <w:ind w:firstLine="482" w:firstLineChars="200"/>
              <w:rPr>
                <w:rFonts w:hAnsi="宋体"/>
                <w:b/>
                <w:sz w:val="24"/>
              </w:rPr>
            </w:pPr>
            <w:r>
              <w:rPr>
                <w:rFonts w:hint="eastAsia" w:hAnsi="宋体"/>
                <w:b/>
                <w:sz w:val="24"/>
              </w:rPr>
              <w:t>3、</w:t>
            </w:r>
            <w:r>
              <w:rPr>
                <w:rFonts w:hAnsi="宋体"/>
                <w:b/>
                <w:sz w:val="24"/>
              </w:rPr>
              <w:t>水污染物排放标准</w:t>
            </w:r>
          </w:p>
          <w:p w14:paraId="5FF6A68E">
            <w:pPr>
              <w:spacing w:line="360" w:lineRule="auto"/>
              <w:ind w:firstLine="480" w:firstLineChars="200"/>
              <w:rPr>
                <w:sz w:val="24"/>
                <w:szCs w:val="32"/>
              </w:rPr>
            </w:pPr>
            <w:r>
              <w:rPr>
                <w:rFonts w:hint="eastAsia"/>
                <w:sz w:val="24"/>
              </w:rPr>
              <w:t>本项目运营期生活污水排入</w:t>
            </w:r>
            <w:r>
              <w:rPr>
                <w:rFonts w:hint="eastAsia"/>
                <w:sz w:val="24"/>
                <w:szCs w:val="32"/>
              </w:rPr>
              <w:t>陕西敏瑞建筑科技有限公司鄠邑区分公司厂区东北角化粪池（18m</w:t>
            </w:r>
            <w:r>
              <w:rPr>
                <w:rFonts w:hint="eastAsia"/>
                <w:sz w:val="24"/>
                <w:szCs w:val="32"/>
                <w:vertAlign w:val="superscript"/>
              </w:rPr>
              <w:t>3</w:t>
            </w:r>
            <w:r>
              <w:rPr>
                <w:rFonts w:hint="eastAsia"/>
                <w:sz w:val="24"/>
                <w:szCs w:val="32"/>
              </w:rPr>
              <w:t>）后进入惠民路市政污水管网最终进入鄠邑区第三污水处理厂。</w:t>
            </w:r>
          </w:p>
          <w:p w14:paraId="54A5EA57">
            <w:pPr>
              <w:adjustRightInd w:val="0"/>
              <w:snapToGrid w:val="0"/>
              <w:spacing w:line="360" w:lineRule="auto"/>
              <w:ind w:firstLine="482" w:firstLineChars="200"/>
              <w:rPr>
                <w:b/>
                <w:sz w:val="24"/>
              </w:rPr>
            </w:pPr>
            <w:r>
              <w:rPr>
                <w:rFonts w:hint="eastAsia"/>
                <w:b/>
                <w:sz w:val="24"/>
              </w:rPr>
              <w:t>4、</w:t>
            </w:r>
            <w:r>
              <w:rPr>
                <w:b/>
                <w:sz w:val="24"/>
              </w:rPr>
              <w:t>固体废物排放标准</w:t>
            </w:r>
          </w:p>
          <w:p w14:paraId="52665006">
            <w:pPr>
              <w:adjustRightInd w:val="0"/>
              <w:snapToGrid w:val="0"/>
              <w:spacing w:line="360" w:lineRule="auto"/>
              <w:ind w:firstLine="480" w:firstLineChars="200"/>
              <w:rPr>
                <w:sz w:val="24"/>
              </w:rPr>
            </w:pPr>
            <w:r>
              <w:rPr>
                <w:rFonts w:hint="eastAsia"/>
                <w:sz w:val="24"/>
              </w:rPr>
              <w:t>一般固体废物执行《一般工业固体废物贮存和填埋污染控制标准》（GB18599-2020）中有关要求。危险废物执行《危险废物贮存污染控制标准》（GB18597-2001）及修改单。</w:t>
            </w:r>
          </w:p>
        </w:tc>
      </w:tr>
      <w:tr w14:paraId="355E2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00" w:type="dxa"/>
            <w:vAlign w:val="center"/>
          </w:tcPr>
          <w:p w14:paraId="65856FC0">
            <w:pPr>
              <w:adjustRightInd w:val="0"/>
              <w:snapToGrid w:val="0"/>
              <w:jc w:val="center"/>
              <w:rPr>
                <w:color w:val="000000"/>
                <w:kern w:val="0"/>
                <w:sz w:val="24"/>
              </w:rPr>
            </w:pPr>
            <w:r>
              <w:rPr>
                <w:rFonts w:hint="eastAsia"/>
                <w:color w:val="000000"/>
                <w:kern w:val="0"/>
                <w:sz w:val="24"/>
              </w:rPr>
              <w:t>总量</w:t>
            </w:r>
          </w:p>
          <w:p w14:paraId="4951B2BC">
            <w:pPr>
              <w:adjustRightInd w:val="0"/>
              <w:snapToGrid w:val="0"/>
              <w:jc w:val="center"/>
              <w:rPr>
                <w:color w:val="000000"/>
                <w:kern w:val="0"/>
                <w:sz w:val="24"/>
              </w:rPr>
            </w:pPr>
            <w:r>
              <w:rPr>
                <w:rFonts w:hint="eastAsia"/>
                <w:color w:val="000000"/>
                <w:kern w:val="0"/>
                <w:sz w:val="24"/>
              </w:rPr>
              <w:t>控制</w:t>
            </w:r>
          </w:p>
          <w:p w14:paraId="6A40A307">
            <w:pPr>
              <w:adjustRightInd w:val="0"/>
              <w:snapToGrid w:val="0"/>
              <w:jc w:val="center"/>
              <w:rPr>
                <w:rFonts w:ascii="宋体" w:hAnsi="宋体" w:cs="宋体"/>
                <w:kern w:val="0"/>
                <w:szCs w:val="21"/>
              </w:rPr>
            </w:pPr>
            <w:r>
              <w:rPr>
                <w:rFonts w:hint="eastAsia"/>
                <w:color w:val="000000"/>
                <w:kern w:val="0"/>
                <w:sz w:val="24"/>
              </w:rPr>
              <w:t>指标</w:t>
            </w:r>
          </w:p>
        </w:tc>
        <w:tc>
          <w:tcPr>
            <w:tcW w:w="8190" w:type="dxa"/>
            <w:vAlign w:val="center"/>
          </w:tcPr>
          <w:p w14:paraId="0F002504">
            <w:pPr>
              <w:spacing w:line="360" w:lineRule="auto"/>
              <w:ind w:firstLine="480" w:firstLineChars="200"/>
              <w:jc w:val="left"/>
              <w:rPr>
                <w:sz w:val="24"/>
              </w:rPr>
            </w:pPr>
            <w:r>
              <w:rPr>
                <w:sz w:val="24"/>
              </w:rPr>
              <w:t>根据关于印发《陕西省“十四五”生态环境保护规划》的通知（陕政办发〔2021〕25号），“十四五”污染物控制指标为：NO</w:t>
            </w:r>
            <w:r>
              <w:rPr>
                <w:sz w:val="24"/>
                <w:vertAlign w:val="subscript"/>
              </w:rPr>
              <w:t>X</w:t>
            </w:r>
            <w:r>
              <w:rPr>
                <w:sz w:val="24"/>
              </w:rPr>
              <w:t>、VOCs、COD和NH</w:t>
            </w:r>
            <w:r>
              <w:rPr>
                <w:sz w:val="24"/>
                <w:vertAlign w:val="subscript"/>
              </w:rPr>
              <w:t>3</w:t>
            </w:r>
            <w:r>
              <w:rPr>
                <w:sz w:val="24"/>
              </w:rPr>
              <w:t>-N。</w:t>
            </w:r>
          </w:p>
          <w:p w14:paraId="57316B0E">
            <w:pPr>
              <w:spacing w:line="360" w:lineRule="auto"/>
              <w:ind w:firstLine="480" w:firstLineChars="200"/>
              <w:jc w:val="left"/>
              <w:rPr>
                <w:sz w:val="24"/>
              </w:rPr>
            </w:pPr>
            <w:r>
              <w:rPr>
                <w:sz w:val="24"/>
              </w:rPr>
              <w:t>结合本项目实际情况，</w:t>
            </w:r>
            <w:r>
              <w:rPr>
                <w:rFonts w:hint="eastAsia"/>
                <w:sz w:val="24"/>
              </w:rPr>
              <w:t>建议将本项目</w:t>
            </w:r>
            <w:r>
              <w:rPr>
                <w:sz w:val="24"/>
              </w:rPr>
              <w:t>VOCs</w:t>
            </w:r>
            <w:r>
              <w:rPr>
                <w:rFonts w:hint="eastAsia"/>
                <w:sz w:val="24"/>
              </w:rPr>
              <w:t>、NO</w:t>
            </w:r>
            <w:r>
              <w:rPr>
                <w:rFonts w:hint="eastAsia"/>
                <w:sz w:val="24"/>
                <w:vertAlign w:val="subscript"/>
              </w:rPr>
              <w:t>X</w:t>
            </w:r>
            <w:r>
              <w:rPr>
                <w:sz w:val="24"/>
              </w:rPr>
              <w:t xml:space="preserve"> </w:t>
            </w:r>
            <w:r>
              <w:rPr>
                <w:rFonts w:hint="eastAsia"/>
                <w:sz w:val="24"/>
              </w:rPr>
              <w:t>、</w:t>
            </w:r>
            <w:r>
              <w:rPr>
                <w:sz w:val="24"/>
              </w:rPr>
              <w:t>COD和NH</w:t>
            </w:r>
            <w:r>
              <w:rPr>
                <w:sz w:val="24"/>
                <w:vertAlign w:val="subscript"/>
              </w:rPr>
              <w:t>3</w:t>
            </w:r>
            <w:r>
              <w:rPr>
                <w:sz w:val="24"/>
              </w:rPr>
              <w:t>-N</w:t>
            </w:r>
            <w:r>
              <w:rPr>
                <w:rFonts w:hint="eastAsia"/>
                <w:sz w:val="24"/>
              </w:rPr>
              <w:t>纳入总量控制指标管理，详见下表。</w:t>
            </w:r>
          </w:p>
          <w:p w14:paraId="3328ABE5">
            <w:pPr>
              <w:pStyle w:val="47"/>
              <w:ind w:left="0" w:firstLine="480"/>
              <w:rPr>
                <w:color w:val="auto"/>
                <w:sz w:val="24"/>
              </w:rPr>
            </w:pPr>
            <w:r>
              <w:rPr>
                <w:color w:val="auto"/>
              </w:rPr>
              <w:t xml:space="preserve">    </w:t>
            </w:r>
            <w:r>
              <w:rPr>
                <w:rFonts w:hint="eastAsia"/>
                <w:color w:val="auto"/>
              </w:rPr>
              <w:t>总量建议指标      （单位：</w:t>
            </w:r>
            <w:r>
              <w:rPr>
                <w:b w:val="0"/>
                <w:color w:val="auto"/>
              </w:rPr>
              <w:t>t/a</w:t>
            </w:r>
            <w:r>
              <w:rPr>
                <w:rFonts w:hint="eastAsia"/>
                <w:color w:val="auto"/>
              </w:rPr>
              <w:t>）</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3389"/>
              <w:gridCol w:w="3573"/>
            </w:tblGrid>
            <w:tr w14:paraId="5F55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pct"/>
                  <w:vAlign w:val="center"/>
                </w:tcPr>
                <w:p w14:paraId="5B6D3D91">
                  <w:pPr>
                    <w:snapToGrid w:val="0"/>
                    <w:jc w:val="center"/>
                    <w:rPr>
                      <w:szCs w:val="21"/>
                      <w:lang w:val="en-GB"/>
                    </w:rPr>
                  </w:pPr>
                  <w:r>
                    <w:rPr>
                      <w:rFonts w:hint="eastAsia"/>
                      <w:szCs w:val="21"/>
                      <w:lang w:val="en-GB"/>
                    </w:rPr>
                    <w:t>类别</w:t>
                  </w:r>
                </w:p>
              </w:tc>
              <w:tc>
                <w:tcPr>
                  <w:tcW w:w="2011" w:type="pct"/>
                  <w:vAlign w:val="center"/>
                </w:tcPr>
                <w:p w14:paraId="083D3ADE">
                  <w:pPr>
                    <w:snapToGrid w:val="0"/>
                    <w:jc w:val="center"/>
                    <w:rPr>
                      <w:szCs w:val="21"/>
                      <w:lang w:val="en-GB"/>
                    </w:rPr>
                  </w:pPr>
                  <w:r>
                    <w:rPr>
                      <w:rFonts w:hint="eastAsia"/>
                      <w:szCs w:val="21"/>
                      <w:lang w:val="en-GB"/>
                    </w:rPr>
                    <w:t>污染物名称</w:t>
                  </w:r>
                </w:p>
              </w:tc>
              <w:tc>
                <w:tcPr>
                  <w:tcW w:w="2120" w:type="pct"/>
                  <w:vAlign w:val="center"/>
                </w:tcPr>
                <w:p w14:paraId="0EBF14EE">
                  <w:pPr>
                    <w:snapToGrid w:val="0"/>
                    <w:jc w:val="center"/>
                    <w:rPr>
                      <w:szCs w:val="21"/>
                      <w:lang w:val="en-GB"/>
                    </w:rPr>
                  </w:pPr>
                  <w:r>
                    <w:rPr>
                      <w:rFonts w:hint="eastAsia"/>
                      <w:szCs w:val="21"/>
                      <w:lang w:val="en-GB"/>
                    </w:rPr>
                    <w:t>建议指标总量</w:t>
                  </w:r>
                </w:p>
              </w:tc>
            </w:tr>
            <w:tr w14:paraId="3FF3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pct"/>
                  <w:vMerge w:val="restart"/>
                  <w:vAlign w:val="center"/>
                </w:tcPr>
                <w:p w14:paraId="1AF131C1">
                  <w:pPr>
                    <w:widowControl/>
                    <w:adjustRightInd w:val="0"/>
                    <w:snapToGrid w:val="0"/>
                    <w:jc w:val="center"/>
                    <w:rPr>
                      <w:szCs w:val="21"/>
                    </w:rPr>
                  </w:pPr>
                  <w:r>
                    <w:rPr>
                      <w:rFonts w:hint="eastAsia"/>
                      <w:szCs w:val="21"/>
                    </w:rPr>
                    <w:t>废气</w:t>
                  </w:r>
                </w:p>
              </w:tc>
              <w:tc>
                <w:tcPr>
                  <w:tcW w:w="2011" w:type="pct"/>
                  <w:vAlign w:val="center"/>
                </w:tcPr>
                <w:p w14:paraId="4BD6212A">
                  <w:pPr>
                    <w:widowControl/>
                    <w:adjustRightInd w:val="0"/>
                    <w:snapToGrid w:val="0"/>
                    <w:jc w:val="center"/>
                    <w:rPr>
                      <w:szCs w:val="21"/>
                    </w:rPr>
                  </w:pPr>
                  <w:r>
                    <w:rPr>
                      <w:rFonts w:hint="eastAsia"/>
                      <w:szCs w:val="21"/>
                    </w:rPr>
                    <w:t>VOC</w:t>
                  </w:r>
                  <w:r>
                    <w:rPr>
                      <w:rFonts w:hint="eastAsia"/>
                      <w:szCs w:val="21"/>
                      <w:vertAlign w:val="subscript"/>
                    </w:rPr>
                    <w:t>S</w:t>
                  </w:r>
                </w:p>
              </w:tc>
              <w:tc>
                <w:tcPr>
                  <w:tcW w:w="2120" w:type="pct"/>
                  <w:vAlign w:val="center"/>
                </w:tcPr>
                <w:p w14:paraId="79D0C83C">
                  <w:pPr>
                    <w:snapToGrid w:val="0"/>
                    <w:jc w:val="center"/>
                    <w:rPr>
                      <w:szCs w:val="21"/>
                    </w:rPr>
                  </w:pPr>
                  <w:r>
                    <w:rPr>
                      <w:rFonts w:hint="eastAsia"/>
                      <w:szCs w:val="21"/>
                    </w:rPr>
                    <w:t>0.027</w:t>
                  </w:r>
                </w:p>
              </w:tc>
            </w:tr>
            <w:tr w14:paraId="3888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pct"/>
                  <w:vMerge w:val="continue"/>
                  <w:vAlign w:val="center"/>
                </w:tcPr>
                <w:p w14:paraId="2C3B4CFC">
                  <w:pPr>
                    <w:widowControl/>
                    <w:adjustRightInd w:val="0"/>
                    <w:snapToGrid w:val="0"/>
                    <w:jc w:val="center"/>
                    <w:rPr>
                      <w:szCs w:val="21"/>
                    </w:rPr>
                  </w:pPr>
                </w:p>
              </w:tc>
              <w:tc>
                <w:tcPr>
                  <w:tcW w:w="2011" w:type="pct"/>
                  <w:vAlign w:val="center"/>
                </w:tcPr>
                <w:p w14:paraId="73572260">
                  <w:pPr>
                    <w:widowControl/>
                    <w:adjustRightInd w:val="0"/>
                    <w:snapToGrid w:val="0"/>
                    <w:jc w:val="center"/>
                    <w:rPr>
                      <w:szCs w:val="21"/>
                    </w:rPr>
                  </w:pPr>
                  <w:r>
                    <w:rPr>
                      <w:rFonts w:hint="eastAsia"/>
                      <w:sz w:val="24"/>
                    </w:rPr>
                    <w:t>NO</w:t>
                  </w:r>
                  <w:r>
                    <w:rPr>
                      <w:rFonts w:hint="eastAsia"/>
                      <w:sz w:val="24"/>
                      <w:vertAlign w:val="subscript"/>
                    </w:rPr>
                    <w:t>X</w:t>
                  </w:r>
                </w:p>
              </w:tc>
              <w:tc>
                <w:tcPr>
                  <w:tcW w:w="2120" w:type="pct"/>
                  <w:vAlign w:val="center"/>
                </w:tcPr>
                <w:p w14:paraId="3A540743">
                  <w:pPr>
                    <w:snapToGrid w:val="0"/>
                    <w:jc w:val="center"/>
                    <w:rPr>
                      <w:szCs w:val="21"/>
                    </w:rPr>
                  </w:pPr>
                  <w:r>
                    <w:rPr>
                      <w:rFonts w:hint="eastAsia"/>
                      <w:szCs w:val="21"/>
                    </w:rPr>
                    <w:t>0.382</w:t>
                  </w:r>
                </w:p>
              </w:tc>
            </w:tr>
            <w:tr w14:paraId="1414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pct"/>
                  <w:vMerge w:val="restart"/>
                  <w:vAlign w:val="center"/>
                </w:tcPr>
                <w:p w14:paraId="0C7D8B0B">
                  <w:pPr>
                    <w:widowControl/>
                    <w:adjustRightInd w:val="0"/>
                    <w:snapToGrid w:val="0"/>
                    <w:jc w:val="center"/>
                    <w:rPr>
                      <w:szCs w:val="21"/>
                    </w:rPr>
                  </w:pPr>
                  <w:r>
                    <w:rPr>
                      <w:rFonts w:hint="eastAsia"/>
                      <w:szCs w:val="21"/>
                    </w:rPr>
                    <w:t>废水</w:t>
                  </w:r>
                </w:p>
              </w:tc>
              <w:tc>
                <w:tcPr>
                  <w:tcW w:w="2011" w:type="pct"/>
                  <w:vAlign w:val="center"/>
                </w:tcPr>
                <w:p w14:paraId="16D0A1DE">
                  <w:pPr>
                    <w:adjustRightInd w:val="0"/>
                    <w:snapToGrid w:val="0"/>
                    <w:jc w:val="center"/>
                    <w:rPr>
                      <w:szCs w:val="21"/>
                    </w:rPr>
                  </w:pPr>
                  <w:r>
                    <w:rPr>
                      <w:rFonts w:hint="eastAsia"/>
                      <w:szCs w:val="21"/>
                    </w:rPr>
                    <w:t>COD</w:t>
                  </w:r>
                </w:p>
              </w:tc>
              <w:tc>
                <w:tcPr>
                  <w:tcW w:w="2120" w:type="pct"/>
                  <w:vAlign w:val="center"/>
                </w:tcPr>
                <w:p w14:paraId="492CA6B8">
                  <w:pPr>
                    <w:snapToGrid w:val="0"/>
                    <w:jc w:val="center"/>
                    <w:rPr>
                      <w:szCs w:val="21"/>
                    </w:rPr>
                  </w:pPr>
                  <w:r>
                    <w:rPr>
                      <w:rFonts w:hint="eastAsia"/>
                      <w:szCs w:val="21"/>
                    </w:rPr>
                    <w:t>0.3028</w:t>
                  </w:r>
                </w:p>
              </w:tc>
            </w:tr>
            <w:tr w14:paraId="2EFE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pct"/>
                  <w:vMerge w:val="continue"/>
                  <w:vAlign w:val="center"/>
                </w:tcPr>
                <w:p w14:paraId="13A9AC97">
                  <w:pPr>
                    <w:widowControl/>
                    <w:adjustRightInd w:val="0"/>
                    <w:snapToGrid w:val="0"/>
                    <w:jc w:val="center"/>
                    <w:rPr>
                      <w:szCs w:val="21"/>
                    </w:rPr>
                  </w:pPr>
                </w:p>
              </w:tc>
              <w:tc>
                <w:tcPr>
                  <w:tcW w:w="2011" w:type="pct"/>
                  <w:vAlign w:val="center"/>
                </w:tcPr>
                <w:p w14:paraId="0CA484A8">
                  <w:pPr>
                    <w:adjustRightInd w:val="0"/>
                    <w:snapToGrid w:val="0"/>
                    <w:jc w:val="center"/>
                    <w:rPr>
                      <w:szCs w:val="21"/>
                    </w:rPr>
                  </w:pPr>
                  <w:r>
                    <w:rPr>
                      <w:rFonts w:hint="eastAsia"/>
                      <w:szCs w:val="21"/>
                    </w:rPr>
                    <w:t>氨氮</w:t>
                  </w:r>
                </w:p>
              </w:tc>
              <w:tc>
                <w:tcPr>
                  <w:tcW w:w="2120" w:type="pct"/>
                  <w:vAlign w:val="center"/>
                </w:tcPr>
                <w:p w14:paraId="3A02779B">
                  <w:pPr>
                    <w:snapToGrid w:val="0"/>
                    <w:jc w:val="center"/>
                    <w:rPr>
                      <w:szCs w:val="21"/>
                    </w:rPr>
                  </w:pPr>
                  <w:r>
                    <w:rPr>
                      <w:rFonts w:hint="eastAsia"/>
                      <w:szCs w:val="21"/>
                    </w:rPr>
                    <w:t>0.0378</w:t>
                  </w:r>
                </w:p>
              </w:tc>
            </w:tr>
          </w:tbl>
          <w:p w14:paraId="465BC694">
            <w:pPr>
              <w:spacing w:line="360" w:lineRule="auto"/>
              <w:ind w:firstLine="480" w:firstLineChars="200"/>
              <w:jc w:val="left"/>
              <w:rPr>
                <w:sz w:val="24"/>
              </w:rPr>
            </w:pPr>
            <w:r>
              <w:rPr>
                <w:rFonts w:hint="eastAsia"/>
                <w:sz w:val="24"/>
              </w:rPr>
              <w:t>项目具体总量指标最后以当地环保部门核定的总量为准。</w:t>
            </w:r>
          </w:p>
          <w:p w14:paraId="5BC3E695">
            <w:pPr>
              <w:autoSpaceDE w:val="0"/>
              <w:autoSpaceDN w:val="0"/>
              <w:adjustRightInd w:val="0"/>
              <w:snapToGrid w:val="0"/>
              <w:spacing w:line="360" w:lineRule="auto"/>
              <w:ind w:firstLine="480" w:firstLineChars="200"/>
              <w:rPr>
                <w:kern w:val="0"/>
                <w:sz w:val="24"/>
              </w:rPr>
            </w:pPr>
          </w:p>
          <w:p w14:paraId="362AA377">
            <w:pPr>
              <w:pStyle w:val="2"/>
            </w:pPr>
          </w:p>
          <w:p w14:paraId="5B95CD59"/>
          <w:p w14:paraId="12698BA7">
            <w:pPr>
              <w:pStyle w:val="2"/>
            </w:pPr>
          </w:p>
          <w:p w14:paraId="0ACAB1F2"/>
          <w:p w14:paraId="7DC01307">
            <w:pPr>
              <w:pStyle w:val="2"/>
            </w:pPr>
          </w:p>
          <w:p w14:paraId="2340D67F"/>
          <w:p w14:paraId="2499B6F4">
            <w:pPr>
              <w:pStyle w:val="2"/>
            </w:pPr>
          </w:p>
          <w:p w14:paraId="488F4E28"/>
          <w:p w14:paraId="4BF3C165">
            <w:pPr>
              <w:pStyle w:val="2"/>
              <w:ind w:left="0" w:leftChars="0" w:firstLine="0" w:firstLineChars="0"/>
            </w:pPr>
          </w:p>
        </w:tc>
      </w:tr>
    </w:tbl>
    <w:p w14:paraId="7CB0AB47">
      <w:pPr>
        <w:pStyle w:val="17"/>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9"/>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75"/>
        <w:gridCol w:w="8204"/>
        <w:gridCol w:w="79"/>
      </w:tblGrid>
      <w:tr w14:paraId="5AD44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2153" w:hRule="atLeast"/>
          <w:jc w:val="center"/>
        </w:trPr>
        <w:tc>
          <w:tcPr>
            <w:tcW w:w="777" w:type="dxa"/>
            <w:gridSpan w:val="2"/>
            <w:tcMar>
              <w:left w:w="28" w:type="dxa"/>
              <w:right w:w="28" w:type="dxa"/>
            </w:tcMar>
            <w:vAlign w:val="center"/>
          </w:tcPr>
          <w:p w14:paraId="5CC97EB9">
            <w:pPr>
              <w:pStyle w:val="17"/>
              <w:adjustRightInd w:val="0"/>
              <w:snapToGrid w:val="0"/>
              <w:spacing w:before="0" w:beforeAutospacing="0" w:after="0" w:afterAutospacing="0"/>
              <w:jc w:val="center"/>
              <w:rPr>
                <w:rFonts w:cs="宋体"/>
                <w:kern w:val="2"/>
                <w:szCs w:val="24"/>
              </w:rPr>
            </w:pPr>
            <w:r>
              <w:rPr>
                <w:rFonts w:hint="eastAsia" w:cs="宋体"/>
                <w:kern w:val="2"/>
                <w:szCs w:val="24"/>
              </w:rPr>
              <w:t>施工期环境保</w:t>
            </w:r>
          </w:p>
          <w:p w14:paraId="2AE7E377">
            <w:pPr>
              <w:pStyle w:val="17"/>
              <w:adjustRightInd w:val="0"/>
              <w:snapToGrid w:val="0"/>
              <w:spacing w:before="0" w:beforeAutospacing="0" w:after="0" w:afterAutospacing="0"/>
              <w:jc w:val="center"/>
              <w:rPr>
                <w:rFonts w:cs="宋体"/>
                <w:bCs/>
                <w:kern w:val="2"/>
                <w:sz w:val="21"/>
                <w:szCs w:val="21"/>
              </w:rPr>
            </w:pPr>
            <w:r>
              <w:rPr>
                <w:rFonts w:hint="eastAsia" w:cs="宋体"/>
                <w:kern w:val="2"/>
                <w:szCs w:val="24"/>
              </w:rPr>
              <w:t>护措施</w:t>
            </w:r>
          </w:p>
        </w:tc>
        <w:tc>
          <w:tcPr>
            <w:tcW w:w="8204" w:type="dxa"/>
            <w:vAlign w:val="center"/>
          </w:tcPr>
          <w:p w14:paraId="4F06620C">
            <w:pPr>
              <w:spacing w:line="360" w:lineRule="auto"/>
              <w:ind w:firstLine="480" w:firstLineChars="200"/>
              <w:rPr>
                <w:sz w:val="24"/>
                <w:szCs w:val="32"/>
              </w:rPr>
            </w:pPr>
            <w:r>
              <w:rPr>
                <w:rFonts w:hint="eastAsia"/>
                <w:sz w:val="24"/>
                <w:szCs w:val="32"/>
              </w:rPr>
              <w:t>本项目租赁已建成的车间，施工期对周围环境产生的影响主要是生产设备的安装和调试期间产生的废气、噪声和少量建筑垃圾。废气主要来源于运输车辆所排放的废气、少量扬尘；噪声主要是运输机械和安装设备产生的噪声；固体废弃物主要为少量建筑垃圾和设备包装箱等。</w:t>
            </w:r>
          </w:p>
          <w:p w14:paraId="59B05119">
            <w:pPr>
              <w:spacing w:line="360" w:lineRule="auto"/>
              <w:ind w:firstLine="480" w:firstLineChars="200"/>
              <w:rPr>
                <w:sz w:val="24"/>
                <w:szCs w:val="32"/>
              </w:rPr>
            </w:pPr>
            <w:r>
              <w:rPr>
                <w:rFonts w:hint="eastAsia"/>
                <w:sz w:val="24"/>
                <w:szCs w:val="32"/>
              </w:rPr>
              <w:t>1、施工期废水防治措施</w:t>
            </w:r>
          </w:p>
          <w:p w14:paraId="64C725DE">
            <w:pPr>
              <w:spacing w:line="360" w:lineRule="auto"/>
              <w:ind w:firstLine="480" w:firstLineChars="200"/>
              <w:rPr>
                <w:sz w:val="24"/>
                <w:szCs w:val="32"/>
              </w:rPr>
            </w:pPr>
            <w:r>
              <w:rPr>
                <w:rFonts w:hint="eastAsia"/>
                <w:sz w:val="24"/>
                <w:szCs w:val="32"/>
              </w:rPr>
              <w:t>施工期污水主要是施工人员生活污水，污水中主要污染物为COD、BOD5、SS、氨氮等，生活污水全部进入厂区化粪池处理后排入市政污水管网。</w:t>
            </w:r>
          </w:p>
          <w:p w14:paraId="0D5D98FD">
            <w:pPr>
              <w:spacing w:line="360" w:lineRule="auto"/>
              <w:ind w:firstLine="480" w:firstLineChars="200"/>
              <w:rPr>
                <w:sz w:val="24"/>
                <w:szCs w:val="32"/>
              </w:rPr>
            </w:pPr>
            <w:r>
              <w:rPr>
                <w:rFonts w:hint="eastAsia"/>
                <w:sz w:val="24"/>
                <w:szCs w:val="32"/>
              </w:rPr>
              <w:t>2、施工期噪声防治措施</w:t>
            </w:r>
          </w:p>
          <w:p w14:paraId="4CD6B25C">
            <w:pPr>
              <w:spacing w:line="360" w:lineRule="auto"/>
              <w:ind w:firstLine="480" w:firstLineChars="200"/>
              <w:rPr>
                <w:sz w:val="24"/>
                <w:szCs w:val="32"/>
              </w:rPr>
            </w:pPr>
            <w:r>
              <w:rPr>
                <w:rFonts w:hint="eastAsia"/>
                <w:sz w:val="24"/>
                <w:szCs w:val="32"/>
              </w:rPr>
              <w:t>项目施工期噪声主要为电钻、电锯等产生的设备噪声。为减少施工噪声对环境的影响，要求建设单位在工程施工期采取以下噪声控制措施：</w:t>
            </w:r>
          </w:p>
          <w:p w14:paraId="008E5F92">
            <w:pPr>
              <w:spacing w:line="360" w:lineRule="auto"/>
              <w:ind w:firstLine="480" w:firstLineChars="200"/>
              <w:rPr>
                <w:sz w:val="24"/>
                <w:szCs w:val="32"/>
              </w:rPr>
            </w:pPr>
            <w:r>
              <w:rPr>
                <w:rFonts w:hint="eastAsia"/>
                <w:sz w:val="24"/>
                <w:szCs w:val="32"/>
              </w:rPr>
              <w:t>（1）合理安排施工方式，控制噪声环境污染；</w:t>
            </w:r>
          </w:p>
          <w:p w14:paraId="16F84E27">
            <w:pPr>
              <w:spacing w:line="360" w:lineRule="auto"/>
              <w:ind w:firstLine="480" w:firstLineChars="200"/>
              <w:rPr>
                <w:sz w:val="24"/>
                <w:szCs w:val="32"/>
              </w:rPr>
            </w:pPr>
            <w:r>
              <w:rPr>
                <w:rFonts w:hint="eastAsia"/>
                <w:sz w:val="24"/>
                <w:szCs w:val="32"/>
              </w:rPr>
              <w:t>（2）严格操作规程，加强施工机械管理，降低人为噪声影响；</w:t>
            </w:r>
          </w:p>
          <w:p w14:paraId="4FD34766">
            <w:pPr>
              <w:spacing w:line="360" w:lineRule="auto"/>
              <w:ind w:firstLine="480" w:firstLineChars="200"/>
              <w:rPr>
                <w:sz w:val="24"/>
                <w:szCs w:val="32"/>
              </w:rPr>
            </w:pPr>
            <w:r>
              <w:rPr>
                <w:rFonts w:hint="eastAsia"/>
                <w:sz w:val="24"/>
                <w:szCs w:val="32"/>
              </w:rPr>
              <w:t>（3）施工尽量采用噪声较低的生产设备，并加强维修保养。采取有效的隔声、减振、消声措施，降低噪声级。</w:t>
            </w:r>
          </w:p>
          <w:p w14:paraId="49C3F385">
            <w:pPr>
              <w:spacing w:line="360" w:lineRule="auto"/>
              <w:ind w:firstLine="480" w:firstLineChars="200"/>
              <w:rPr>
                <w:sz w:val="24"/>
                <w:szCs w:val="32"/>
              </w:rPr>
            </w:pPr>
            <w:r>
              <w:rPr>
                <w:rFonts w:hint="eastAsia"/>
                <w:sz w:val="24"/>
                <w:szCs w:val="32"/>
              </w:rPr>
              <w:t>3、施工期固体废物防治措施</w:t>
            </w:r>
          </w:p>
          <w:p w14:paraId="71C0DC80">
            <w:pPr>
              <w:spacing w:line="360" w:lineRule="auto"/>
              <w:ind w:firstLine="480" w:firstLineChars="200"/>
              <w:rPr>
                <w:sz w:val="24"/>
                <w:szCs w:val="32"/>
              </w:rPr>
            </w:pPr>
            <w:r>
              <w:rPr>
                <w:rFonts w:hint="eastAsia"/>
                <w:sz w:val="24"/>
                <w:szCs w:val="32"/>
              </w:rPr>
              <w:t>本项目施工期固体废物主要为装修垃圾、施工人员的生活垃圾。装修垃圾的废弃包装袋、装修产生的废旧包装材料，收集后运往城建部门指定地点；施工人员生活垃圾分类收集后，交由环卫部门统一清运处理。</w:t>
            </w:r>
          </w:p>
        </w:tc>
      </w:tr>
      <w:tr w14:paraId="63591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2098" w:hRule="atLeast"/>
          <w:jc w:val="center"/>
        </w:trPr>
        <w:tc>
          <w:tcPr>
            <w:tcW w:w="777" w:type="dxa"/>
            <w:gridSpan w:val="2"/>
            <w:tcMar>
              <w:left w:w="28" w:type="dxa"/>
              <w:right w:w="28" w:type="dxa"/>
            </w:tcMar>
            <w:vAlign w:val="center"/>
          </w:tcPr>
          <w:p w14:paraId="720B10E4">
            <w:pPr>
              <w:rPr>
                <w:bCs/>
                <w:sz w:val="24"/>
              </w:rPr>
            </w:pPr>
            <w:r>
              <w:rPr>
                <w:rFonts w:hint="eastAsia" w:ascii="宋体" w:hAnsi="宋体" w:cs="宋体"/>
                <w:bCs/>
                <w:sz w:val="24"/>
              </w:rPr>
              <w:t>运</w:t>
            </w:r>
            <w:r>
              <w:rPr>
                <w:rFonts w:hint="eastAsia"/>
                <w:bCs/>
                <w:sz w:val="24"/>
              </w:rPr>
              <w:t>营期环境影</w:t>
            </w:r>
          </w:p>
          <w:p w14:paraId="294BE200">
            <w:pPr>
              <w:rPr>
                <w:rFonts w:ascii="宋体" w:hAnsi="宋体" w:cs="宋体"/>
                <w:bCs/>
                <w:sz w:val="24"/>
              </w:rPr>
            </w:pPr>
            <w:r>
              <w:rPr>
                <w:rFonts w:hint="eastAsia"/>
                <w:bCs/>
                <w:sz w:val="24"/>
              </w:rPr>
              <w:t>响和保护</w:t>
            </w:r>
            <w:r>
              <w:rPr>
                <w:rFonts w:hint="eastAsia" w:ascii="宋体" w:hAnsi="宋体" w:cs="宋体"/>
                <w:bCs/>
                <w:sz w:val="24"/>
              </w:rPr>
              <w:t>措施</w:t>
            </w:r>
          </w:p>
        </w:tc>
        <w:tc>
          <w:tcPr>
            <w:tcW w:w="8204" w:type="dxa"/>
            <w:vAlign w:val="center"/>
          </w:tcPr>
          <w:p w14:paraId="280C9644">
            <w:pPr>
              <w:adjustRightInd w:val="0"/>
              <w:snapToGrid w:val="0"/>
              <w:spacing w:line="360" w:lineRule="auto"/>
              <w:rPr>
                <w:b/>
                <w:sz w:val="24"/>
              </w:rPr>
            </w:pPr>
            <w:r>
              <w:rPr>
                <w:b/>
                <w:sz w:val="24"/>
              </w:rPr>
              <w:t>4﹑运营期环境影响和保护措施</w:t>
            </w:r>
          </w:p>
          <w:p w14:paraId="46BCA4EE">
            <w:pPr>
              <w:adjustRightInd w:val="0"/>
              <w:snapToGrid w:val="0"/>
              <w:spacing w:line="360" w:lineRule="auto"/>
              <w:rPr>
                <w:b/>
                <w:sz w:val="24"/>
              </w:rPr>
            </w:pPr>
            <w:r>
              <w:rPr>
                <w:b/>
                <w:sz w:val="24"/>
              </w:rPr>
              <w:t>4.1废气</w:t>
            </w:r>
          </w:p>
          <w:p w14:paraId="229E8769">
            <w:pPr>
              <w:spacing w:line="360" w:lineRule="auto"/>
              <w:ind w:firstLine="480" w:firstLineChars="200"/>
              <w:rPr>
                <w:sz w:val="24"/>
              </w:rPr>
            </w:pPr>
            <w:r>
              <w:rPr>
                <w:sz w:val="24"/>
              </w:rPr>
              <w:t>本项目生产过程废气主要为：切割粉尘，焊接粉尘，</w:t>
            </w:r>
            <w:r>
              <w:rPr>
                <w:rFonts w:hint="eastAsia"/>
                <w:sz w:val="24"/>
              </w:rPr>
              <w:t>打磨粉尘，</w:t>
            </w:r>
            <w:r>
              <w:rPr>
                <w:sz w:val="24"/>
              </w:rPr>
              <w:t>抛丸粉尘</w:t>
            </w:r>
            <w:r>
              <w:rPr>
                <w:rFonts w:hint="eastAsia"/>
                <w:sz w:val="24"/>
              </w:rPr>
              <w:t>，</w:t>
            </w:r>
            <w:r>
              <w:rPr>
                <w:sz w:val="24"/>
              </w:rPr>
              <w:t>喷</w:t>
            </w:r>
            <w:r>
              <w:rPr>
                <w:rFonts w:hint="eastAsia"/>
                <w:sz w:val="24"/>
              </w:rPr>
              <w:t>粉</w:t>
            </w:r>
            <w:r>
              <w:rPr>
                <w:sz w:val="24"/>
              </w:rPr>
              <w:t>粉尘，喷漆废气，</w:t>
            </w:r>
            <w:r>
              <w:rPr>
                <w:rFonts w:hint="eastAsia"/>
                <w:sz w:val="24"/>
              </w:rPr>
              <w:t>烘干有机废气及燃料（天然气/液化石油气）</w:t>
            </w:r>
            <w:r>
              <w:rPr>
                <w:sz w:val="24"/>
              </w:rPr>
              <w:t>燃烧废气。</w:t>
            </w:r>
          </w:p>
        </w:tc>
      </w:tr>
      <w:tr w14:paraId="52585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602" w:type="dxa"/>
            <w:tcMar>
              <w:left w:w="28" w:type="dxa"/>
              <w:right w:w="28" w:type="dxa"/>
            </w:tcMar>
            <w:vAlign w:val="center"/>
          </w:tcPr>
          <w:p w14:paraId="32B6FA2E">
            <w:pPr>
              <w:wordWrap w:val="0"/>
              <w:jc w:val="center"/>
              <w:rPr>
                <w:rFonts w:ascii="宋体" w:hAnsi="宋体" w:cs="宋体"/>
                <w:bCs/>
                <w:sz w:val="24"/>
              </w:rPr>
            </w:pPr>
            <w:r>
              <w:rPr>
                <w:rFonts w:hint="eastAsia" w:ascii="宋体" w:hAnsi="宋体" w:cs="宋体"/>
                <w:bCs/>
                <w:sz w:val="24"/>
              </w:rPr>
              <w:t>运</w:t>
            </w:r>
            <w:r>
              <w:rPr>
                <w:rFonts w:hint="eastAsia"/>
                <w:bCs/>
                <w:sz w:val="24"/>
              </w:rPr>
              <w:t>营期环境影响和保护</w:t>
            </w:r>
            <w:r>
              <w:rPr>
                <w:rFonts w:hint="eastAsia" w:ascii="宋体" w:hAnsi="宋体" w:cs="宋体"/>
                <w:bCs/>
                <w:sz w:val="24"/>
              </w:rPr>
              <w:t>措施</w:t>
            </w:r>
          </w:p>
        </w:tc>
        <w:tc>
          <w:tcPr>
            <w:tcW w:w="8458" w:type="dxa"/>
            <w:gridSpan w:val="3"/>
            <w:vAlign w:val="center"/>
          </w:tcPr>
          <w:p w14:paraId="57787B4F">
            <w:pPr>
              <w:wordWrap w:val="0"/>
              <w:adjustRightInd w:val="0"/>
              <w:snapToGrid w:val="0"/>
              <w:jc w:val="left"/>
              <w:rPr>
                <w:sz w:val="24"/>
              </w:rPr>
            </w:pPr>
            <w:r>
              <w:rPr>
                <w:sz w:val="24"/>
              </w:rPr>
              <w:t>4.1.1废气源强核算</w:t>
            </w:r>
          </w:p>
          <w:p w14:paraId="29CC2A2B">
            <w:pPr>
              <w:wordWrap w:val="0"/>
              <w:jc w:val="left"/>
              <w:rPr>
                <w:sz w:val="24"/>
              </w:rPr>
            </w:pPr>
            <w:r>
              <w:rPr>
                <w:rFonts w:hint="eastAsia"/>
                <w:sz w:val="24"/>
              </w:rPr>
              <w:t>项目废气</w:t>
            </w:r>
            <w:r>
              <w:rPr>
                <w:sz w:val="24"/>
              </w:rPr>
              <w:t>产排情况汇总如下：</w:t>
            </w:r>
          </w:p>
          <w:p w14:paraId="7013AA9C">
            <w:pPr>
              <w:pStyle w:val="52"/>
              <w:numPr>
                <w:ilvl w:val="0"/>
                <w:numId w:val="1"/>
              </w:numPr>
              <w:wordWrap w:val="0"/>
              <w:ind w:left="0" w:firstLine="0"/>
              <w:rPr>
                <w:color w:val="auto"/>
              </w:rPr>
            </w:pPr>
            <w:r>
              <w:rPr>
                <w:rFonts w:hint="eastAsia"/>
                <w:color w:val="auto"/>
              </w:rPr>
              <w:t xml:space="preserve">    </w:t>
            </w:r>
            <w:r>
              <w:rPr>
                <w:color w:val="auto"/>
              </w:rPr>
              <w:t>本项目废气产排情况一览表</w:t>
            </w:r>
          </w:p>
          <w:tbl>
            <w:tblPr>
              <w:tblStyle w:val="19"/>
              <w:tblW w:w="4908" w:type="pct"/>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595"/>
              <w:gridCol w:w="690"/>
              <w:gridCol w:w="847"/>
              <w:gridCol w:w="35"/>
              <w:gridCol w:w="831"/>
              <w:gridCol w:w="792"/>
              <w:gridCol w:w="653"/>
              <w:gridCol w:w="1566"/>
              <w:gridCol w:w="806"/>
            </w:tblGrid>
            <w:tr w14:paraId="71C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23" w:type="pct"/>
                  <w:vMerge w:val="restart"/>
                  <w:vAlign w:val="center"/>
                </w:tcPr>
                <w:p w14:paraId="7B6417BE">
                  <w:pPr>
                    <w:pStyle w:val="2"/>
                    <w:wordWrap w:val="0"/>
                    <w:spacing w:after="0"/>
                    <w:ind w:left="0" w:leftChars="0" w:firstLine="0" w:firstLineChars="0"/>
                    <w:jc w:val="center"/>
                  </w:pPr>
                  <w:r>
                    <w:t>污染工序</w:t>
                  </w:r>
                </w:p>
              </w:tc>
              <w:tc>
                <w:tcPr>
                  <w:tcW w:w="397" w:type="pct"/>
                  <w:vMerge w:val="restart"/>
                  <w:vAlign w:val="center"/>
                </w:tcPr>
                <w:p w14:paraId="542D4C9C">
                  <w:pPr>
                    <w:pStyle w:val="2"/>
                    <w:wordWrap w:val="0"/>
                    <w:spacing w:after="0"/>
                    <w:ind w:left="0" w:leftChars="0" w:firstLine="0" w:firstLineChars="0"/>
                    <w:jc w:val="center"/>
                  </w:pPr>
                  <w:r>
                    <w:t>污染源</w:t>
                  </w:r>
                </w:p>
              </w:tc>
              <w:tc>
                <w:tcPr>
                  <w:tcW w:w="456" w:type="pct"/>
                  <w:vMerge w:val="restart"/>
                  <w:vAlign w:val="center"/>
                </w:tcPr>
                <w:p w14:paraId="770FDC21">
                  <w:pPr>
                    <w:pStyle w:val="2"/>
                    <w:wordWrap w:val="0"/>
                    <w:spacing w:after="0"/>
                    <w:ind w:left="0" w:leftChars="0" w:firstLine="0" w:firstLineChars="0"/>
                    <w:jc w:val="center"/>
                  </w:pPr>
                  <w:r>
                    <w:t>污染物</w:t>
                  </w:r>
                </w:p>
              </w:tc>
              <w:tc>
                <w:tcPr>
                  <w:tcW w:w="2099" w:type="pct"/>
                  <w:gridSpan w:val="5"/>
                  <w:vAlign w:val="center"/>
                </w:tcPr>
                <w:p w14:paraId="13710F87">
                  <w:pPr>
                    <w:pStyle w:val="2"/>
                    <w:wordWrap w:val="0"/>
                    <w:spacing w:after="0"/>
                    <w:ind w:left="0" w:leftChars="0" w:firstLine="0" w:firstLineChars="0"/>
                    <w:jc w:val="center"/>
                  </w:pPr>
                  <w:r>
                    <w:t>污染物产生环节</w:t>
                  </w:r>
                </w:p>
              </w:tc>
              <w:tc>
                <w:tcPr>
                  <w:tcW w:w="997" w:type="pct"/>
                  <w:vMerge w:val="restart"/>
                  <w:vAlign w:val="center"/>
                </w:tcPr>
                <w:p w14:paraId="78A61BA8">
                  <w:pPr>
                    <w:pStyle w:val="2"/>
                    <w:wordWrap w:val="0"/>
                    <w:spacing w:after="0"/>
                    <w:ind w:left="0" w:leftChars="0" w:firstLine="0" w:firstLineChars="0"/>
                    <w:jc w:val="center"/>
                  </w:pPr>
                  <w:r>
                    <w:t>处理措施</w:t>
                  </w:r>
                </w:p>
              </w:tc>
              <w:tc>
                <w:tcPr>
                  <w:tcW w:w="527" w:type="pct"/>
                  <w:vMerge w:val="restart"/>
                  <w:vAlign w:val="center"/>
                </w:tcPr>
                <w:p w14:paraId="286F22FC">
                  <w:pPr>
                    <w:pStyle w:val="2"/>
                    <w:wordWrap w:val="0"/>
                    <w:spacing w:after="0"/>
                    <w:ind w:left="0" w:leftChars="0" w:firstLine="0" w:firstLineChars="0"/>
                    <w:jc w:val="center"/>
                  </w:pPr>
                  <w:r>
                    <w:rPr>
                      <w:rFonts w:hint="eastAsia"/>
                    </w:rPr>
                    <w:t>备注</w:t>
                  </w:r>
                </w:p>
              </w:tc>
            </w:tr>
            <w:tr w14:paraId="62B9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3" w:type="pct"/>
                  <w:vMerge w:val="continue"/>
                  <w:vAlign w:val="center"/>
                </w:tcPr>
                <w:p w14:paraId="3923900C">
                  <w:pPr>
                    <w:pStyle w:val="2"/>
                    <w:wordWrap w:val="0"/>
                    <w:spacing w:after="0"/>
                    <w:ind w:left="0" w:leftChars="0" w:firstLine="0" w:firstLineChars="0"/>
                    <w:jc w:val="center"/>
                  </w:pPr>
                </w:p>
              </w:tc>
              <w:tc>
                <w:tcPr>
                  <w:tcW w:w="397" w:type="pct"/>
                  <w:vMerge w:val="continue"/>
                  <w:vAlign w:val="center"/>
                </w:tcPr>
                <w:p w14:paraId="33633B6C">
                  <w:pPr>
                    <w:pStyle w:val="2"/>
                    <w:wordWrap w:val="0"/>
                    <w:spacing w:after="0"/>
                    <w:ind w:left="0" w:leftChars="0" w:firstLine="0" w:firstLineChars="0"/>
                    <w:jc w:val="center"/>
                  </w:pPr>
                </w:p>
              </w:tc>
              <w:tc>
                <w:tcPr>
                  <w:tcW w:w="456" w:type="pct"/>
                  <w:vMerge w:val="continue"/>
                  <w:vAlign w:val="center"/>
                </w:tcPr>
                <w:p w14:paraId="3E7238B0">
                  <w:pPr>
                    <w:pStyle w:val="2"/>
                    <w:wordWrap w:val="0"/>
                    <w:spacing w:after="0"/>
                    <w:ind w:left="0" w:leftChars="0" w:firstLine="0" w:firstLineChars="0"/>
                    <w:jc w:val="center"/>
                  </w:pPr>
                </w:p>
              </w:tc>
              <w:tc>
                <w:tcPr>
                  <w:tcW w:w="553" w:type="pct"/>
                  <w:vAlign w:val="center"/>
                </w:tcPr>
                <w:p w14:paraId="031F84AF">
                  <w:pPr>
                    <w:pStyle w:val="2"/>
                    <w:wordWrap w:val="0"/>
                    <w:spacing w:after="0"/>
                    <w:ind w:left="0" w:leftChars="0" w:firstLine="0" w:firstLineChars="0"/>
                    <w:jc w:val="center"/>
                  </w:pPr>
                  <w:r>
                    <w:rPr>
                      <w:rFonts w:hint="eastAsia"/>
                    </w:rPr>
                    <w:t>核算方法</w:t>
                  </w:r>
                </w:p>
              </w:tc>
              <w:tc>
                <w:tcPr>
                  <w:tcW w:w="594" w:type="pct"/>
                  <w:gridSpan w:val="2"/>
                  <w:vAlign w:val="center"/>
                </w:tcPr>
                <w:p w14:paraId="7A5667E0">
                  <w:pPr>
                    <w:pStyle w:val="2"/>
                    <w:wordWrap w:val="0"/>
                    <w:spacing w:after="0"/>
                    <w:ind w:left="0" w:leftChars="0" w:firstLine="0" w:firstLineChars="0"/>
                    <w:jc w:val="center"/>
                  </w:pPr>
                  <w:r>
                    <w:rPr>
                      <w:rFonts w:hint="eastAsia"/>
                    </w:rPr>
                    <w:t>原料用量/产品产量</w:t>
                  </w:r>
                </w:p>
              </w:tc>
              <w:tc>
                <w:tcPr>
                  <w:tcW w:w="519" w:type="pct"/>
                  <w:vAlign w:val="center"/>
                </w:tcPr>
                <w:p w14:paraId="488A788D">
                  <w:pPr>
                    <w:pStyle w:val="2"/>
                    <w:wordWrap w:val="0"/>
                    <w:spacing w:after="0"/>
                    <w:ind w:left="0" w:leftChars="0" w:firstLine="0" w:firstLineChars="0"/>
                    <w:jc w:val="center"/>
                  </w:pPr>
                  <w:r>
                    <w:rPr>
                      <w:rFonts w:hint="eastAsia"/>
                    </w:rPr>
                    <w:t>产污系数</w:t>
                  </w:r>
                </w:p>
              </w:tc>
              <w:tc>
                <w:tcPr>
                  <w:tcW w:w="433" w:type="pct"/>
                  <w:vAlign w:val="center"/>
                </w:tcPr>
                <w:p w14:paraId="37BF88D5">
                  <w:pPr>
                    <w:pStyle w:val="2"/>
                    <w:wordWrap w:val="0"/>
                    <w:spacing w:after="0"/>
                    <w:ind w:left="0" w:leftChars="0" w:firstLine="0" w:firstLineChars="0"/>
                    <w:jc w:val="center"/>
                  </w:pPr>
                  <w:r>
                    <w:t>产生量</w:t>
                  </w:r>
                </w:p>
              </w:tc>
              <w:tc>
                <w:tcPr>
                  <w:tcW w:w="997" w:type="pct"/>
                  <w:vMerge w:val="continue"/>
                  <w:vAlign w:val="center"/>
                </w:tcPr>
                <w:p w14:paraId="67056C89">
                  <w:pPr>
                    <w:pStyle w:val="2"/>
                    <w:wordWrap w:val="0"/>
                    <w:spacing w:after="0"/>
                    <w:ind w:left="0" w:leftChars="0" w:firstLine="0" w:firstLineChars="0"/>
                    <w:jc w:val="center"/>
                  </w:pPr>
                </w:p>
              </w:tc>
              <w:tc>
                <w:tcPr>
                  <w:tcW w:w="527" w:type="pct"/>
                  <w:vMerge w:val="continue"/>
                  <w:vAlign w:val="center"/>
                </w:tcPr>
                <w:p w14:paraId="55EF3392">
                  <w:pPr>
                    <w:pStyle w:val="2"/>
                    <w:wordWrap w:val="0"/>
                    <w:spacing w:after="0"/>
                    <w:ind w:left="0" w:leftChars="0" w:firstLine="0" w:firstLineChars="0"/>
                    <w:jc w:val="center"/>
                  </w:pPr>
                </w:p>
              </w:tc>
            </w:tr>
            <w:tr w14:paraId="137F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Align w:val="center"/>
                </w:tcPr>
                <w:p w14:paraId="5EBA79F8">
                  <w:pPr>
                    <w:pStyle w:val="2"/>
                    <w:wordWrap w:val="0"/>
                    <w:spacing w:after="0"/>
                    <w:ind w:left="0" w:leftChars="0" w:firstLine="0" w:firstLineChars="0"/>
                    <w:jc w:val="center"/>
                  </w:pPr>
                  <w:r>
                    <w:t>切割工序</w:t>
                  </w:r>
                </w:p>
              </w:tc>
              <w:tc>
                <w:tcPr>
                  <w:tcW w:w="397" w:type="pct"/>
                  <w:vAlign w:val="center"/>
                </w:tcPr>
                <w:p w14:paraId="71589A45">
                  <w:pPr>
                    <w:pStyle w:val="2"/>
                    <w:wordWrap w:val="0"/>
                    <w:spacing w:after="0"/>
                    <w:ind w:left="0" w:leftChars="0" w:firstLine="0" w:firstLineChars="0"/>
                    <w:jc w:val="center"/>
                  </w:pPr>
                  <w:r>
                    <w:rPr>
                      <w:rFonts w:hint="eastAsia"/>
                    </w:rPr>
                    <w:t>等离子切割机</w:t>
                  </w:r>
                </w:p>
              </w:tc>
              <w:tc>
                <w:tcPr>
                  <w:tcW w:w="456" w:type="pct"/>
                  <w:vAlign w:val="center"/>
                </w:tcPr>
                <w:p w14:paraId="2472E6BF">
                  <w:pPr>
                    <w:wordWrap w:val="0"/>
                    <w:adjustRightInd w:val="0"/>
                    <w:snapToGrid w:val="0"/>
                    <w:jc w:val="center"/>
                  </w:pPr>
                  <w:r>
                    <w:t>颗粒物</w:t>
                  </w:r>
                </w:p>
              </w:tc>
              <w:tc>
                <w:tcPr>
                  <w:tcW w:w="553" w:type="pct"/>
                  <w:vAlign w:val="center"/>
                </w:tcPr>
                <w:p w14:paraId="4B6B1982">
                  <w:pPr>
                    <w:pStyle w:val="2"/>
                    <w:wordWrap w:val="0"/>
                    <w:spacing w:after="0"/>
                    <w:ind w:left="0" w:leftChars="0" w:firstLine="0" w:firstLineChars="0"/>
                    <w:jc w:val="center"/>
                  </w:pPr>
                  <w:r>
                    <w:rPr>
                      <w:rFonts w:hint="eastAsia"/>
                    </w:rPr>
                    <w:t>产污系数法</w:t>
                  </w:r>
                </w:p>
              </w:tc>
              <w:tc>
                <w:tcPr>
                  <w:tcW w:w="594" w:type="pct"/>
                  <w:gridSpan w:val="2"/>
                  <w:vAlign w:val="center"/>
                </w:tcPr>
                <w:p w14:paraId="14CBDB3E">
                  <w:pPr>
                    <w:pStyle w:val="2"/>
                    <w:wordWrap w:val="0"/>
                    <w:spacing w:after="0"/>
                    <w:ind w:left="0" w:leftChars="0" w:firstLine="0" w:firstLineChars="0"/>
                    <w:jc w:val="center"/>
                  </w:pPr>
                  <w:r>
                    <w:rPr>
                      <w:rFonts w:hint="eastAsia"/>
                    </w:rPr>
                    <w:t>原料用量1000t</w:t>
                  </w:r>
                </w:p>
              </w:tc>
              <w:tc>
                <w:tcPr>
                  <w:tcW w:w="519" w:type="pct"/>
                  <w:vAlign w:val="center"/>
                </w:tcPr>
                <w:p w14:paraId="1F425895">
                  <w:pPr>
                    <w:pStyle w:val="2"/>
                    <w:wordWrap w:val="0"/>
                    <w:spacing w:after="0"/>
                    <w:ind w:left="0" w:leftChars="0" w:firstLine="0" w:firstLineChars="0"/>
                    <w:jc w:val="center"/>
                  </w:pPr>
                  <w:r>
                    <w:rPr>
                      <w:rFonts w:hint="eastAsia"/>
                    </w:rPr>
                    <w:t>1.10kg/t原料</w:t>
                  </w:r>
                </w:p>
              </w:tc>
              <w:tc>
                <w:tcPr>
                  <w:tcW w:w="433" w:type="pct"/>
                  <w:vAlign w:val="center"/>
                </w:tcPr>
                <w:p w14:paraId="29EAADF1">
                  <w:pPr>
                    <w:pStyle w:val="2"/>
                    <w:wordWrap w:val="0"/>
                    <w:spacing w:after="0"/>
                    <w:ind w:left="0" w:leftChars="0" w:firstLine="0" w:firstLineChars="0"/>
                    <w:jc w:val="center"/>
                  </w:pPr>
                  <w:r>
                    <w:t>1.1t/a</w:t>
                  </w:r>
                </w:p>
              </w:tc>
              <w:tc>
                <w:tcPr>
                  <w:tcW w:w="997" w:type="pct"/>
                  <w:vAlign w:val="center"/>
                </w:tcPr>
                <w:p w14:paraId="52FCDB49">
                  <w:pPr>
                    <w:pStyle w:val="2"/>
                    <w:wordWrap w:val="0"/>
                    <w:spacing w:after="0"/>
                    <w:ind w:left="0" w:leftChars="0" w:firstLine="0" w:firstLineChars="0"/>
                    <w:jc w:val="center"/>
                  </w:pPr>
                  <w:r>
                    <w:rPr>
                      <w:rFonts w:hint="eastAsia"/>
                      <w:szCs w:val="21"/>
                    </w:rPr>
                    <w:t>项目共计2台激光切割机，切割机分别设置有袋式除尘器TA001、袋式除尘器TA002</w:t>
                  </w:r>
                </w:p>
              </w:tc>
              <w:tc>
                <w:tcPr>
                  <w:tcW w:w="527" w:type="pct"/>
                  <w:vMerge w:val="restart"/>
                  <w:vAlign w:val="center"/>
                </w:tcPr>
                <w:p w14:paraId="7CA92398">
                  <w:pPr>
                    <w:pStyle w:val="2"/>
                    <w:wordWrap w:val="0"/>
                    <w:spacing w:after="0"/>
                    <w:ind w:left="0" w:leftChars="0" w:firstLine="0" w:firstLineChars="0"/>
                    <w:jc w:val="center"/>
                    <w:rPr>
                      <w:szCs w:val="21"/>
                    </w:rPr>
                  </w:pPr>
                  <w:r>
                    <w:rPr>
                      <w:rFonts w:hint="eastAsia"/>
                      <w:szCs w:val="21"/>
                    </w:rPr>
                    <w:t>/</w:t>
                  </w:r>
                </w:p>
              </w:tc>
            </w:tr>
            <w:tr w14:paraId="6537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Align w:val="center"/>
                </w:tcPr>
                <w:p w14:paraId="14DCE230">
                  <w:pPr>
                    <w:pStyle w:val="2"/>
                    <w:wordWrap w:val="0"/>
                    <w:spacing w:after="0"/>
                    <w:ind w:left="0" w:leftChars="0" w:firstLine="0" w:firstLineChars="0"/>
                    <w:jc w:val="center"/>
                  </w:pPr>
                  <w:r>
                    <w:t>焊接工序</w:t>
                  </w:r>
                </w:p>
              </w:tc>
              <w:tc>
                <w:tcPr>
                  <w:tcW w:w="397" w:type="pct"/>
                  <w:vAlign w:val="center"/>
                </w:tcPr>
                <w:p w14:paraId="52C35310">
                  <w:pPr>
                    <w:pStyle w:val="2"/>
                    <w:wordWrap w:val="0"/>
                    <w:spacing w:after="0"/>
                    <w:ind w:left="0" w:leftChars="0" w:firstLine="0" w:firstLineChars="0"/>
                    <w:jc w:val="center"/>
                  </w:pPr>
                  <w:r>
                    <w:rPr>
                      <w:rFonts w:hint="eastAsia"/>
                    </w:rPr>
                    <w:t>二保焊机</w:t>
                  </w:r>
                </w:p>
              </w:tc>
              <w:tc>
                <w:tcPr>
                  <w:tcW w:w="456" w:type="pct"/>
                  <w:vAlign w:val="center"/>
                </w:tcPr>
                <w:p w14:paraId="4EE37003">
                  <w:pPr>
                    <w:wordWrap w:val="0"/>
                    <w:adjustRightInd w:val="0"/>
                    <w:snapToGrid w:val="0"/>
                    <w:jc w:val="center"/>
                  </w:pPr>
                  <w:r>
                    <w:t>颗粒物</w:t>
                  </w:r>
                </w:p>
              </w:tc>
              <w:tc>
                <w:tcPr>
                  <w:tcW w:w="553" w:type="pct"/>
                  <w:vAlign w:val="center"/>
                </w:tcPr>
                <w:p w14:paraId="289D3EEB">
                  <w:pPr>
                    <w:pStyle w:val="2"/>
                    <w:wordWrap w:val="0"/>
                    <w:spacing w:after="0"/>
                    <w:ind w:left="0" w:leftChars="0" w:firstLine="0" w:firstLineChars="0"/>
                    <w:jc w:val="center"/>
                  </w:pPr>
                  <w:r>
                    <w:rPr>
                      <w:rFonts w:hint="eastAsia"/>
                    </w:rPr>
                    <w:t>产污系数法</w:t>
                  </w:r>
                </w:p>
              </w:tc>
              <w:tc>
                <w:tcPr>
                  <w:tcW w:w="594" w:type="pct"/>
                  <w:gridSpan w:val="2"/>
                  <w:vAlign w:val="center"/>
                </w:tcPr>
                <w:p w14:paraId="481A7041">
                  <w:pPr>
                    <w:pStyle w:val="2"/>
                    <w:wordWrap w:val="0"/>
                    <w:spacing w:after="0"/>
                    <w:ind w:left="0" w:leftChars="0" w:firstLine="0" w:firstLineChars="0"/>
                    <w:jc w:val="center"/>
                  </w:pPr>
                  <w:r>
                    <w:rPr>
                      <w:rFonts w:hint="eastAsia"/>
                    </w:rPr>
                    <w:t>焊条用量0.75t</w:t>
                  </w:r>
                </w:p>
              </w:tc>
              <w:tc>
                <w:tcPr>
                  <w:tcW w:w="519" w:type="pct"/>
                  <w:vAlign w:val="center"/>
                </w:tcPr>
                <w:p w14:paraId="128B49FD">
                  <w:pPr>
                    <w:pStyle w:val="2"/>
                    <w:wordWrap w:val="0"/>
                    <w:spacing w:after="0"/>
                    <w:ind w:left="0" w:leftChars="0" w:firstLine="0" w:firstLineChars="0"/>
                    <w:jc w:val="center"/>
                  </w:pPr>
                  <w:r>
                    <w:rPr>
                      <w:rFonts w:hint="eastAsia"/>
                    </w:rPr>
                    <w:t>20.5kg/t原料</w:t>
                  </w:r>
                </w:p>
              </w:tc>
              <w:tc>
                <w:tcPr>
                  <w:tcW w:w="433" w:type="pct"/>
                  <w:vAlign w:val="center"/>
                </w:tcPr>
                <w:p w14:paraId="343A9C92">
                  <w:pPr>
                    <w:pStyle w:val="2"/>
                    <w:wordWrap w:val="0"/>
                    <w:spacing w:after="0"/>
                    <w:ind w:left="0" w:leftChars="0" w:firstLine="0" w:firstLineChars="0"/>
                    <w:jc w:val="center"/>
                  </w:pPr>
                  <w:r>
                    <w:t>0.015t/a</w:t>
                  </w:r>
                </w:p>
              </w:tc>
              <w:tc>
                <w:tcPr>
                  <w:tcW w:w="997" w:type="pct"/>
                  <w:vAlign w:val="center"/>
                </w:tcPr>
                <w:p w14:paraId="2F9E53C9">
                  <w:pPr>
                    <w:wordWrap w:val="0"/>
                    <w:jc w:val="center"/>
                  </w:pPr>
                  <w:r>
                    <w:rPr>
                      <w:rFonts w:hint="eastAsia"/>
                      <w:szCs w:val="21"/>
                    </w:rPr>
                    <w:t>4台移动式焊接烟尘净化器TA003</w:t>
                  </w:r>
                </w:p>
              </w:tc>
              <w:tc>
                <w:tcPr>
                  <w:tcW w:w="527" w:type="pct"/>
                  <w:vMerge w:val="continue"/>
                  <w:vAlign w:val="center"/>
                </w:tcPr>
                <w:p w14:paraId="09960951">
                  <w:pPr>
                    <w:wordWrap w:val="0"/>
                    <w:jc w:val="center"/>
                    <w:rPr>
                      <w:szCs w:val="21"/>
                    </w:rPr>
                  </w:pPr>
                </w:p>
              </w:tc>
            </w:tr>
            <w:tr w14:paraId="762DCAA2">
              <w:tblPrEx>
                <w:tblCellMar>
                  <w:top w:w="0" w:type="dxa"/>
                  <w:left w:w="108" w:type="dxa"/>
                  <w:bottom w:w="0" w:type="dxa"/>
                  <w:right w:w="108" w:type="dxa"/>
                </w:tblCellMar>
              </w:tblPrEx>
              <w:trPr>
                <w:trHeight w:val="60" w:hRule="atLeast"/>
              </w:trPr>
              <w:tc>
                <w:tcPr>
                  <w:tcW w:w="523" w:type="pct"/>
                  <w:vAlign w:val="center"/>
                </w:tcPr>
                <w:p w14:paraId="3BDB8933">
                  <w:pPr>
                    <w:pStyle w:val="2"/>
                    <w:wordWrap w:val="0"/>
                    <w:spacing w:after="0"/>
                    <w:ind w:left="0" w:leftChars="0" w:firstLine="0" w:firstLineChars="0"/>
                    <w:jc w:val="center"/>
                  </w:pPr>
                  <w:r>
                    <w:rPr>
                      <w:rFonts w:hint="eastAsia"/>
                    </w:rPr>
                    <w:t>打磨工序</w:t>
                  </w:r>
                </w:p>
              </w:tc>
              <w:tc>
                <w:tcPr>
                  <w:tcW w:w="397" w:type="pct"/>
                  <w:vAlign w:val="center"/>
                </w:tcPr>
                <w:p w14:paraId="6AABFCF5">
                  <w:pPr>
                    <w:pStyle w:val="2"/>
                    <w:wordWrap w:val="0"/>
                    <w:spacing w:after="0"/>
                    <w:ind w:left="0" w:leftChars="0" w:firstLine="0" w:firstLineChars="0"/>
                    <w:jc w:val="center"/>
                  </w:pPr>
                  <w:r>
                    <w:rPr>
                      <w:rFonts w:hint="eastAsia"/>
                    </w:rPr>
                    <w:t>打磨房</w:t>
                  </w:r>
                </w:p>
              </w:tc>
              <w:tc>
                <w:tcPr>
                  <w:tcW w:w="456" w:type="pct"/>
                  <w:vAlign w:val="center"/>
                </w:tcPr>
                <w:p w14:paraId="274375B6">
                  <w:pPr>
                    <w:wordWrap w:val="0"/>
                    <w:adjustRightInd w:val="0"/>
                    <w:snapToGrid w:val="0"/>
                    <w:jc w:val="center"/>
                  </w:pPr>
                  <w:r>
                    <w:t>颗粒物</w:t>
                  </w:r>
                </w:p>
              </w:tc>
              <w:tc>
                <w:tcPr>
                  <w:tcW w:w="553" w:type="pct"/>
                  <w:vAlign w:val="center"/>
                </w:tcPr>
                <w:p w14:paraId="4F92B160">
                  <w:pPr>
                    <w:pStyle w:val="2"/>
                    <w:wordWrap w:val="0"/>
                    <w:spacing w:after="0"/>
                    <w:ind w:left="0" w:leftChars="0" w:firstLine="0" w:firstLineChars="0"/>
                    <w:jc w:val="center"/>
                  </w:pPr>
                  <w:r>
                    <w:rPr>
                      <w:rFonts w:hint="eastAsia"/>
                    </w:rPr>
                    <w:t>产污系数法</w:t>
                  </w:r>
                </w:p>
              </w:tc>
              <w:tc>
                <w:tcPr>
                  <w:tcW w:w="594" w:type="pct"/>
                  <w:gridSpan w:val="2"/>
                  <w:vAlign w:val="center"/>
                </w:tcPr>
                <w:p w14:paraId="0EC07C03">
                  <w:pPr>
                    <w:pStyle w:val="2"/>
                    <w:wordWrap w:val="0"/>
                    <w:spacing w:after="0"/>
                    <w:ind w:left="0" w:leftChars="0" w:firstLine="0" w:firstLineChars="0"/>
                    <w:jc w:val="center"/>
                  </w:pPr>
                  <w:r>
                    <w:rPr>
                      <w:rFonts w:hint="eastAsia"/>
                    </w:rPr>
                    <w:t>原料用量1000t</w:t>
                  </w:r>
                </w:p>
              </w:tc>
              <w:tc>
                <w:tcPr>
                  <w:tcW w:w="519" w:type="pct"/>
                  <w:vAlign w:val="center"/>
                </w:tcPr>
                <w:p w14:paraId="3928D28E">
                  <w:pPr>
                    <w:pStyle w:val="2"/>
                    <w:wordWrap w:val="0"/>
                    <w:spacing w:after="0"/>
                    <w:ind w:left="0" w:leftChars="0" w:firstLine="0" w:firstLineChars="0"/>
                    <w:jc w:val="center"/>
                  </w:pPr>
                  <w:r>
                    <w:rPr>
                      <w:rFonts w:hint="eastAsia"/>
                    </w:rPr>
                    <w:t>2.19kg/t原料</w:t>
                  </w:r>
                </w:p>
              </w:tc>
              <w:tc>
                <w:tcPr>
                  <w:tcW w:w="433" w:type="pct"/>
                  <w:vAlign w:val="center"/>
                </w:tcPr>
                <w:p w14:paraId="7F43C8A6">
                  <w:pPr>
                    <w:pStyle w:val="2"/>
                    <w:wordWrap w:val="0"/>
                    <w:spacing w:after="0"/>
                    <w:ind w:left="0" w:leftChars="0" w:firstLine="0" w:firstLineChars="0"/>
                    <w:jc w:val="center"/>
                  </w:pPr>
                  <w:r>
                    <w:rPr>
                      <w:rFonts w:hint="eastAsia"/>
                    </w:rPr>
                    <w:t>2.19</w:t>
                  </w:r>
                  <w:r>
                    <w:t>t/a</w:t>
                  </w:r>
                </w:p>
              </w:tc>
              <w:tc>
                <w:tcPr>
                  <w:tcW w:w="997" w:type="pct"/>
                  <w:vAlign w:val="center"/>
                </w:tcPr>
                <w:p w14:paraId="30A0CE1B">
                  <w:pPr>
                    <w:wordWrap w:val="0"/>
                    <w:jc w:val="center"/>
                    <w:rPr>
                      <w:szCs w:val="21"/>
                    </w:rPr>
                  </w:pPr>
                  <w:r>
                    <w:rPr>
                      <w:rFonts w:hint="eastAsia"/>
                      <w:szCs w:val="21"/>
                    </w:rPr>
                    <w:t>项目共计2个打磨房，打磨房分别设置两级纳米覆膜除尘器TA004、两级纳米覆膜除尘器TA005</w:t>
                  </w:r>
                </w:p>
              </w:tc>
              <w:tc>
                <w:tcPr>
                  <w:tcW w:w="527" w:type="pct"/>
                  <w:vMerge w:val="continue"/>
                  <w:vAlign w:val="center"/>
                </w:tcPr>
                <w:p w14:paraId="595F1ACB">
                  <w:pPr>
                    <w:wordWrap w:val="0"/>
                    <w:jc w:val="center"/>
                    <w:rPr>
                      <w:szCs w:val="21"/>
                    </w:rPr>
                  </w:pPr>
                </w:p>
              </w:tc>
            </w:tr>
            <w:tr w14:paraId="0EAB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Align w:val="center"/>
                </w:tcPr>
                <w:p w14:paraId="1DC6B26B">
                  <w:pPr>
                    <w:pStyle w:val="2"/>
                    <w:wordWrap w:val="0"/>
                    <w:spacing w:after="0"/>
                    <w:ind w:left="0" w:leftChars="0" w:firstLine="0" w:firstLineChars="0"/>
                    <w:jc w:val="center"/>
                  </w:pPr>
                  <w:r>
                    <w:rPr>
                      <w:rFonts w:hint="eastAsia"/>
                    </w:rPr>
                    <w:t>抛丸工序</w:t>
                  </w:r>
                </w:p>
              </w:tc>
              <w:tc>
                <w:tcPr>
                  <w:tcW w:w="397" w:type="pct"/>
                  <w:vAlign w:val="center"/>
                </w:tcPr>
                <w:p w14:paraId="629A0493">
                  <w:pPr>
                    <w:pStyle w:val="2"/>
                    <w:wordWrap w:val="0"/>
                    <w:spacing w:after="0"/>
                    <w:ind w:left="0" w:leftChars="0" w:firstLine="0" w:firstLineChars="0"/>
                    <w:jc w:val="center"/>
                  </w:pPr>
                  <w:r>
                    <w:rPr>
                      <w:rFonts w:hint="eastAsia"/>
                    </w:rPr>
                    <w:t>抛丸机</w:t>
                  </w:r>
                </w:p>
              </w:tc>
              <w:tc>
                <w:tcPr>
                  <w:tcW w:w="456" w:type="pct"/>
                  <w:vAlign w:val="center"/>
                </w:tcPr>
                <w:p w14:paraId="6628D2F7">
                  <w:pPr>
                    <w:wordWrap w:val="0"/>
                    <w:adjustRightInd w:val="0"/>
                    <w:snapToGrid w:val="0"/>
                    <w:jc w:val="center"/>
                  </w:pPr>
                  <w:r>
                    <w:t>颗粒物</w:t>
                  </w:r>
                </w:p>
              </w:tc>
              <w:tc>
                <w:tcPr>
                  <w:tcW w:w="553" w:type="pct"/>
                  <w:vAlign w:val="center"/>
                </w:tcPr>
                <w:p w14:paraId="7D7AD2DF">
                  <w:pPr>
                    <w:pStyle w:val="2"/>
                    <w:wordWrap w:val="0"/>
                    <w:spacing w:after="0"/>
                    <w:ind w:left="0" w:leftChars="0" w:firstLine="0" w:firstLineChars="0"/>
                    <w:jc w:val="center"/>
                  </w:pPr>
                  <w:r>
                    <w:rPr>
                      <w:rFonts w:hint="eastAsia"/>
                    </w:rPr>
                    <w:t>产污系数法</w:t>
                  </w:r>
                </w:p>
              </w:tc>
              <w:tc>
                <w:tcPr>
                  <w:tcW w:w="594" w:type="pct"/>
                  <w:gridSpan w:val="2"/>
                  <w:vAlign w:val="center"/>
                </w:tcPr>
                <w:p w14:paraId="6465391A">
                  <w:pPr>
                    <w:pStyle w:val="2"/>
                    <w:wordWrap w:val="0"/>
                    <w:spacing w:after="0"/>
                    <w:ind w:left="0" w:leftChars="0" w:firstLine="0" w:firstLineChars="0"/>
                    <w:jc w:val="center"/>
                  </w:pPr>
                  <w:r>
                    <w:rPr>
                      <w:rFonts w:hint="eastAsia"/>
                    </w:rPr>
                    <w:t>原料用量1000t</w:t>
                  </w:r>
                </w:p>
              </w:tc>
              <w:tc>
                <w:tcPr>
                  <w:tcW w:w="519" w:type="pct"/>
                  <w:vAlign w:val="center"/>
                </w:tcPr>
                <w:p w14:paraId="6C1B5FEF">
                  <w:pPr>
                    <w:pStyle w:val="2"/>
                    <w:wordWrap w:val="0"/>
                    <w:spacing w:after="0"/>
                    <w:ind w:left="0" w:leftChars="0" w:firstLine="0" w:firstLineChars="0"/>
                    <w:jc w:val="center"/>
                  </w:pPr>
                  <w:r>
                    <w:rPr>
                      <w:rFonts w:hint="eastAsia"/>
                    </w:rPr>
                    <w:t>2.19kg/t原料</w:t>
                  </w:r>
                </w:p>
              </w:tc>
              <w:tc>
                <w:tcPr>
                  <w:tcW w:w="433" w:type="pct"/>
                  <w:vAlign w:val="center"/>
                </w:tcPr>
                <w:p w14:paraId="0C9F0F45">
                  <w:pPr>
                    <w:pStyle w:val="2"/>
                    <w:wordWrap w:val="0"/>
                    <w:spacing w:after="0"/>
                    <w:ind w:left="0" w:leftChars="0" w:firstLine="0" w:firstLineChars="0"/>
                    <w:jc w:val="center"/>
                  </w:pPr>
                  <w:r>
                    <w:rPr>
                      <w:rFonts w:hint="eastAsia"/>
                    </w:rPr>
                    <w:t>2.19</w:t>
                  </w:r>
                  <w:r>
                    <w:t>t/a</w:t>
                  </w:r>
                </w:p>
              </w:tc>
              <w:tc>
                <w:tcPr>
                  <w:tcW w:w="997" w:type="pct"/>
                  <w:vAlign w:val="center"/>
                </w:tcPr>
                <w:p w14:paraId="058171B9">
                  <w:pPr>
                    <w:wordWrap w:val="0"/>
                    <w:jc w:val="center"/>
                    <w:rPr>
                      <w:szCs w:val="21"/>
                    </w:rPr>
                  </w:pPr>
                  <w:r>
                    <w:rPr>
                      <w:rFonts w:hint="eastAsia"/>
                      <w:szCs w:val="21"/>
                    </w:rPr>
                    <w:t>自带布袋除尘器TA006</w:t>
                  </w:r>
                </w:p>
              </w:tc>
              <w:tc>
                <w:tcPr>
                  <w:tcW w:w="527" w:type="pct"/>
                  <w:vMerge w:val="continue"/>
                  <w:vAlign w:val="center"/>
                </w:tcPr>
                <w:p w14:paraId="3AC960BA">
                  <w:pPr>
                    <w:wordWrap w:val="0"/>
                    <w:jc w:val="center"/>
                    <w:rPr>
                      <w:szCs w:val="21"/>
                    </w:rPr>
                  </w:pPr>
                </w:p>
              </w:tc>
            </w:tr>
            <w:tr w14:paraId="1E8A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restart"/>
                  <w:vAlign w:val="center"/>
                </w:tcPr>
                <w:p w14:paraId="692981AE">
                  <w:pPr>
                    <w:pStyle w:val="2"/>
                    <w:wordWrap w:val="0"/>
                    <w:spacing w:after="0"/>
                    <w:ind w:left="0" w:leftChars="0" w:firstLine="0" w:firstLineChars="0"/>
                    <w:jc w:val="center"/>
                  </w:pPr>
                  <w:r>
                    <w:t>全自动喷涂流水线</w:t>
                  </w:r>
                </w:p>
              </w:tc>
              <w:tc>
                <w:tcPr>
                  <w:tcW w:w="397" w:type="pct"/>
                  <w:vAlign w:val="center"/>
                </w:tcPr>
                <w:p w14:paraId="223A0319">
                  <w:pPr>
                    <w:pStyle w:val="45"/>
                    <w:wordWrap w:val="0"/>
                    <w:spacing w:line="240" w:lineRule="auto"/>
                    <w:ind w:firstLine="0" w:firstLineChars="0"/>
                    <w:jc w:val="center"/>
                    <w:rPr>
                      <w:sz w:val="21"/>
                      <w:szCs w:val="21"/>
                    </w:rPr>
                  </w:pPr>
                  <w:r>
                    <w:rPr>
                      <w:rFonts w:hint="eastAsia"/>
                      <w:sz w:val="21"/>
                      <w:szCs w:val="21"/>
                    </w:rPr>
                    <w:t>手动喷粉工位1</w:t>
                  </w:r>
                </w:p>
              </w:tc>
              <w:tc>
                <w:tcPr>
                  <w:tcW w:w="456" w:type="pct"/>
                  <w:vAlign w:val="center"/>
                </w:tcPr>
                <w:p w14:paraId="64B155D2">
                  <w:pPr>
                    <w:wordWrap w:val="0"/>
                    <w:adjustRightInd w:val="0"/>
                    <w:snapToGrid w:val="0"/>
                    <w:jc w:val="center"/>
                  </w:pPr>
                  <w:r>
                    <w:rPr>
                      <w:rFonts w:hint="eastAsia"/>
                    </w:rPr>
                    <w:t>颗粒物</w:t>
                  </w:r>
                </w:p>
              </w:tc>
              <w:tc>
                <w:tcPr>
                  <w:tcW w:w="553" w:type="pct"/>
                  <w:vMerge w:val="restart"/>
                  <w:vAlign w:val="center"/>
                </w:tcPr>
                <w:p w14:paraId="7A25DF88">
                  <w:pPr>
                    <w:pStyle w:val="2"/>
                    <w:wordWrap w:val="0"/>
                    <w:spacing w:after="0"/>
                    <w:ind w:left="0" w:leftChars="0" w:firstLine="0" w:firstLineChars="0"/>
                    <w:jc w:val="center"/>
                  </w:pPr>
                  <w:r>
                    <w:rPr>
                      <w:rFonts w:hint="eastAsia"/>
                    </w:rPr>
                    <w:t>产污系数法</w:t>
                  </w:r>
                </w:p>
              </w:tc>
              <w:tc>
                <w:tcPr>
                  <w:tcW w:w="594" w:type="pct"/>
                  <w:gridSpan w:val="2"/>
                  <w:vAlign w:val="center"/>
                </w:tcPr>
                <w:p w14:paraId="3D4E76C2">
                  <w:pPr>
                    <w:pStyle w:val="2"/>
                    <w:wordWrap w:val="0"/>
                    <w:spacing w:after="0"/>
                    <w:ind w:left="0" w:leftChars="0" w:firstLine="0" w:firstLineChars="0"/>
                    <w:jc w:val="center"/>
                  </w:pPr>
                  <w:r>
                    <w:rPr>
                      <w:rFonts w:hint="eastAsia"/>
                    </w:rPr>
                    <w:t>塑粉用量10t</w:t>
                  </w:r>
                </w:p>
              </w:tc>
              <w:tc>
                <w:tcPr>
                  <w:tcW w:w="519" w:type="pct"/>
                  <w:vAlign w:val="center"/>
                </w:tcPr>
                <w:p w14:paraId="74B192D2">
                  <w:pPr>
                    <w:pStyle w:val="2"/>
                    <w:wordWrap w:val="0"/>
                    <w:spacing w:after="0"/>
                    <w:ind w:left="0" w:leftChars="0" w:firstLine="0" w:firstLineChars="0"/>
                    <w:jc w:val="center"/>
                  </w:pPr>
                  <w:r>
                    <w:rPr>
                      <w:rFonts w:hint="eastAsia"/>
                    </w:rPr>
                    <w:t>300kg/t原料</w:t>
                  </w:r>
                </w:p>
              </w:tc>
              <w:tc>
                <w:tcPr>
                  <w:tcW w:w="433" w:type="pct"/>
                  <w:vAlign w:val="center"/>
                </w:tcPr>
                <w:p w14:paraId="50081C03">
                  <w:pPr>
                    <w:pStyle w:val="2"/>
                    <w:wordWrap w:val="0"/>
                    <w:spacing w:after="0"/>
                    <w:ind w:left="0" w:leftChars="0" w:firstLine="0" w:firstLineChars="0"/>
                    <w:jc w:val="center"/>
                  </w:pPr>
                  <w:r>
                    <w:rPr>
                      <w:rFonts w:hint="eastAsia"/>
                    </w:rPr>
                    <w:t>3</w:t>
                  </w:r>
                  <w:r>
                    <w:t>t/a</w:t>
                  </w:r>
                </w:p>
              </w:tc>
              <w:tc>
                <w:tcPr>
                  <w:tcW w:w="997" w:type="pct"/>
                  <w:vAlign w:val="center"/>
                </w:tcPr>
                <w:p w14:paraId="20B90D2E">
                  <w:pPr>
                    <w:pStyle w:val="45"/>
                    <w:wordWrap w:val="0"/>
                    <w:spacing w:line="240" w:lineRule="auto"/>
                    <w:ind w:firstLine="0" w:firstLineChars="0"/>
                    <w:jc w:val="center"/>
                    <w:rPr>
                      <w:sz w:val="21"/>
                      <w:szCs w:val="21"/>
                    </w:rPr>
                  </w:pPr>
                  <w:r>
                    <w:rPr>
                      <w:rFonts w:hint="eastAsia"/>
                      <w:sz w:val="21"/>
                      <w:szCs w:val="21"/>
                    </w:rPr>
                    <w:t>滤筒除尘器+纳米覆膜滤筒除尘器TA007</w:t>
                  </w:r>
                </w:p>
              </w:tc>
              <w:tc>
                <w:tcPr>
                  <w:tcW w:w="527" w:type="pct"/>
                  <w:vMerge w:val="restart"/>
                  <w:vAlign w:val="center"/>
                </w:tcPr>
                <w:p w14:paraId="1AE69CBD">
                  <w:pPr>
                    <w:pStyle w:val="45"/>
                    <w:wordWrap w:val="0"/>
                    <w:spacing w:line="240" w:lineRule="auto"/>
                    <w:ind w:firstLine="0" w:firstLineChars="0"/>
                    <w:jc w:val="center"/>
                    <w:rPr>
                      <w:sz w:val="21"/>
                      <w:szCs w:val="21"/>
                    </w:rPr>
                  </w:pPr>
                  <w:r>
                    <w:rPr>
                      <w:rFonts w:hint="eastAsia"/>
                      <w:sz w:val="21"/>
                      <w:szCs w:val="21"/>
                    </w:rPr>
                    <w:t>本项目喷涂工序共计5个喷粉工位，故核算各按1/5进行计算。</w:t>
                  </w:r>
                </w:p>
              </w:tc>
            </w:tr>
            <w:tr w14:paraId="5F99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18E050CB">
                  <w:pPr>
                    <w:pStyle w:val="2"/>
                    <w:wordWrap w:val="0"/>
                    <w:spacing w:after="0"/>
                    <w:ind w:left="0" w:leftChars="0" w:firstLine="0" w:firstLineChars="0"/>
                    <w:jc w:val="center"/>
                  </w:pPr>
                </w:p>
              </w:tc>
              <w:tc>
                <w:tcPr>
                  <w:tcW w:w="397" w:type="pct"/>
                  <w:vAlign w:val="center"/>
                </w:tcPr>
                <w:p w14:paraId="491FDB3A">
                  <w:pPr>
                    <w:pStyle w:val="45"/>
                    <w:wordWrap w:val="0"/>
                    <w:spacing w:line="240" w:lineRule="auto"/>
                    <w:ind w:firstLine="0" w:firstLineChars="0"/>
                    <w:jc w:val="center"/>
                    <w:rPr>
                      <w:sz w:val="21"/>
                      <w:szCs w:val="21"/>
                    </w:rPr>
                  </w:pPr>
                  <w:r>
                    <w:rPr>
                      <w:rFonts w:hint="eastAsia"/>
                      <w:sz w:val="21"/>
                      <w:szCs w:val="21"/>
                    </w:rPr>
                    <w:t>手动+自动喷粉工位2</w:t>
                  </w:r>
                </w:p>
              </w:tc>
              <w:tc>
                <w:tcPr>
                  <w:tcW w:w="456" w:type="pct"/>
                  <w:vAlign w:val="center"/>
                </w:tcPr>
                <w:p w14:paraId="571A82C6">
                  <w:pPr>
                    <w:wordWrap w:val="0"/>
                    <w:adjustRightInd w:val="0"/>
                    <w:snapToGrid w:val="0"/>
                    <w:jc w:val="center"/>
                  </w:pPr>
                  <w:r>
                    <w:rPr>
                      <w:rFonts w:hint="eastAsia"/>
                    </w:rPr>
                    <w:t>颗粒物</w:t>
                  </w:r>
                </w:p>
              </w:tc>
              <w:tc>
                <w:tcPr>
                  <w:tcW w:w="553" w:type="pct"/>
                  <w:vMerge w:val="continue"/>
                  <w:vAlign w:val="center"/>
                </w:tcPr>
                <w:p w14:paraId="34691D37">
                  <w:pPr>
                    <w:pStyle w:val="2"/>
                    <w:wordWrap w:val="0"/>
                    <w:spacing w:after="0"/>
                    <w:ind w:left="0" w:leftChars="0" w:firstLine="0" w:firstLineChars="0"/>
                    <w:jc w:val="center"/>
                  </w:pPr>
                </w:p>
              </w:tc>
              <w:tc>
                <w:tcPr>
                  <w:tcW w:w="594" w:type="pct"/>
                  <w:gridSpan w:val="2"/>
                  <w:vAlign w:val="center"/>
                </w:tcPr>
                <w:p w14:paraId="5791D7DC">
                  <w:pPr>
                    <w:pStyle w:val="2"/>
                    <w:wordWrap w:val="0"/>
                    <w:spacing w:after="0"/>
                    <w:ind w:left="0" w:leftChars="0" w:firstLine="0" w:firstLineChars="0"/>
                    <w:jc w:val="center"/>
                  </w:pPr>
                  <w:r>
                    <w:rPr>
                      <w:rFonts w:hint="eastAsia"/>
                    </w:rPr>
                    <w:t>塑粉用量10t</w:t>
                  </w:r>
                </w:p>
              </w:tc>
              <w:tc>
                <w:tcPr>
                  <w:tcW w:w="519" w:type="pct"/>
                  <w:vAlign w:val="center"/>
                </w:tcPr>
                <w:p w14:paraId="6D0A0075">
                  <w:pPr>
                    <w:pStyle w:val="2"/>
                    <w:wordWrap w:val="0"/>
                    <w:spacing w:after="0"/>
                    <w:ind w:left="0" w:leftChars="0" w:firstLine="0" w:firstLineChars="0"/>
                    <w:jc w:val="center"/>
                  </w:pPr>
                  <w:r>
                    <w:rPr>
                      <w:rFonts w:hint="eastAsia"/>
                    </w:rPr>
                    <w:t>300kg/t原料</w:t>
                  </w:r>
                </w:p>
              </w:tc>
              <w:tc>
                <w:tcPr>
                  <w:tcW w:w="433" w:type="pct"/>
                  <w:vAlign w:val="center"/>
                </w:tcPr>
                <w:p w14:paraId="06AF3439">
                  <w:pPr>
                    <w:pStyle w:val="2"/>
                    <w:wordWrap w:val="0"/>
                    <w:spacing w:after="0"/>
                    <w:ind w:left="0" w:leftChars="0" w:firstLine="0" w:firstLineChars="0"/>
                    <w:jc w:val="center"/>
                  </w:pPr>
                  <w:r>
                    <w:rPr>
                      <w:rFonts w:hint="eastAsia"/>
                    </w:rPr>
                    <w:t>3</w:t>
                  </w:r>
                  <w:r>
                    <w:t>t/a</w:t>
                  </w:r>
                </w:p>
              </w:tc>
              <w:tc>
                <w:tcPr>
                  <w:tcW w:w="997" w:type="pct"/>
                  <w:vAlign w:val="center"/>
                </w:tcPr>
                <w:p w14:paraId="3D1EF4B7">
                  <w:pPr>
                    <w:pStyle w:val="45"/>
                    <w:wordWrap w:val="0"/>
                    <w:spacing w:line="240" w:lineRule="auto"/>
                    <w:ind w:firstLine="0" w:firstLineChars="0"/>
                    <w:jc w:val="center"/>
                    <w:rPr>
                      <w:sz w:val="21"/>
                      <w:szCs w:val="21"/>
                    </w:rPr>
                  </w:pPr>
                  <w:r>
                    <w:rPr>
                      <w:rFonts w:hint="eastAsia"/>
                      <w:sz w:val="21"/>
                      <w:szCs w:val="21"/>
                    </w:rPr>
                    <w:t>滤筒除尘器+纳米覆膜滤筒除尘器TA008</w:t>
                  </w:r>
                </w:p>
              </w:tc>
              <w:tc>
                <w:tcPr>
                  <w:tcW w:w="527" w:type="pct"/>
                  <w:vMerge w:val="continue"/>
                  <w:vAlign w:val="center"/>
                </w:tcPr>
                <w:p w14:paraId="2BFB0DDB">
                  <w:pPr>
                    <w:pStyle w:val="45"/>
                    <w:wordWrap w:val="0"/>
                    <w:spacing w:line="240" w:lineRule="auto"/>
                    <w:ind w:firstLine="0" w:firstLineChars="0"/>
                    <w:jc w:val="center"/>
                    <w:rPr>
                      <w:sz w:val="21"/>
                      <w:szCs w:val="21"/>
                    </w:rPr>
                  </w:pPr>
                </w:p>
              </w:tc>
            </w:tr>
            <w:tr w14:paraId="36DF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26A05D01">
                  <w:pPr>
                    <w:pStyle w:val="2"/>
                    <w:wordWrap w:val="0"/>
                    <w:spacing w:after="0"/>
                    <w:ind w:left="0" w:leftChars="0" w:firstLine="0" w:firstLineChars="0"/>
                    <w:jc w:val="center"/>
                  </w:pPr>
                </w:p>
              </w:tc>
              <w:tc>
                <w:tcPr>
                  <w:tcW w:w="397" w:type="pct"/>
                  <w:vAlign w:val="center"/>
                </w:tcPr>
                <w:p w14:paraId="1441EC25">
                  <w:pPr>
                    <w:pStyle w:val="45"/>
                    <w:wordWrap w:val="0"/>
                    <w:spacing w:line="240" w:lineRule="auto"/>
                    <w:ind w:firstLine="0" w:firstLineChars="0"/>
                    <w:jc w:val="center"/>
                    <w:rPr>
                      <w:sz w:val="21"/>
                      <w:szCs w:val="21"/>
                    </w:rPr>
                  </w:pPr>
                  <w:r>
                    <w:rPr>
                      <w:rFonts w:hint="eastAsia"/>
                      <w:sz w:val="21"/>
                      <w:szCs w:val="21"/>
                    </w:rPr>
                    <w:t>手动+自动喷粉工位3</w:t>
                  </w:r>
                </w:p>
              </w:tc>
              <w:tc>
                <w:tcPr>
                  <w:tcW w:w="456" w:type="pct"/>
                  <w:vAlign w:val="center"/>
                </w:tcPr>
                <w:p w14:paraId="3640E2EA">
                  <w:pPr>
                    <w:wordWrap w:val="0"/>
                    <w:adjustRightInd w:val="0"/>
                    <w:snapToGrid w:val="0"/>
                    <w:jc w:val="center"/>
                  </w:pPr>
                  <w:r>
                    <w:rPr>
                      <w:rFonts w:hint="eastAsia"/>
                    </w:rPr>
                    <w:t>颗粒物</w:t>
                  </w:r>
                </w:p>
              </w:tc>
              <w:tc>
                <w:tcPr>
                  <w:tcW w:w="553" w:type="pct"/>
                  <w:vMerge w:val="continue"/>
                  <w:vAlign w:val="center"/>
                </w:tcPr>
                <w:p w14:paraId="592C2809">
                  <w:pPr>
                    <w:pStyle w:val="2"/>
                    <w:wordWrap w:val="0"/>
                    <w:spacing w:after="0"/>
                    <w:ind w:left="0" w:leftChars="0" w:firstLine="0" w:firstLineChars="0"/>
                    <w:jc w:val="center"/>
                  </w:pPr>
                </w:p>
              </w:tc>
              <w:tc>
                <w:tcPr>
                  <w:tcW w:w="594" w:type="pct"/>
                  <w:gridSpan w:val="2"/>
                  <w:vAlign w:val="center"/>
                </w:tcPr>
                <w:p w14:paraId="3855103A">
                  <w:pPr>
                    <w:pStyle w:val="2"/>
                    <w:wordWrap w:val="0"/>
                    <w:spacing w:after="0"/>
                    <w:ind w:left="0" w:leftChars="0" w:firstLine="0" w:firstLineChars="0"/>
                    <w:jc w:val="center"/>
                  </w:pPr>
                  <w:r>
                    <w:rPr>
                      <w:rFonts w:hint="eastAsia"/>
                    </w:rPr>
                    <w:t>塑粉用量10t</w:t>
                  </w:r>
                </w:p>
              </w:tc>
              <w:tc>
                <w:tcPr>
                  <w:tcW w:w="519" w:type="pct"/>
                  <w:vAlign w:val="center"/>
                </w:tcPr>
                <w:p w14:paraId="0C4F70FE">
                  <w:pPr>
                    <w:pStyle w:val="2"/>
                    <w:wordWrap w:val="0"/>
                    <w:spacing w:after="0"/>
                    <w:ind w:left="0" w:leftChars="0" w:firstLine="0" w:firstLineChars="0"/>
                    <w:jc w:val="center"/>
                  </w:pPr>
                  <w:r>
                    <w:rPr>
                      <w:rFonts w:hint="eastAsia"/>
                    </w:rPr>
                    <w:t>300kg/t原料</w:t>
                  </w:r>
                </w:p>
              </w:tc>
              <w:tc>
                <w:tcPr>
                  <w:tcW w:w="433" w:type="pct"/>
                  <w:vAlign w:val="center"/>
                </w:tcPr>
                <w:p w14:paraId="3BD3BC8E">
                  <w:pPr>
                    <w:pStyle w:val="2"/>
                    <w:wordWrap w:val="0"/>
                    <w:spacing w:after="0"/>
                    <w:ind w:left="0" w:leftChars="0" w:firstLine="0" w:firstLineChars="0"/>
                    <w:jc w:val="center"/>
                  </w:pPr>
                  <w:r>
                    <w:rPr>
                      <w:rFonts w:hint="eastAsia"/>
                    </w:rPr>
                    <w:t>3</w:t>
                  </w:r>
                  <w:r>
                    <w:t>t/a</w:t>
                  </w:r>
                </w:p>
              </w:tc>
              <w:tc>
                <w:tcPr>
                  <w:tcW w:w="997" w:type="pct"/>
                  <w:vAlign w:val="center"/>
                </w:tcPr>
                <w:p w14:paraId="5E69BF76">
                  <w:pPr>
                    <w:pStyle w:val="45"/>
                    <w:wordWrap w:val="0"/>
                    <w:spacing w:line="240" w:lineRule="auto"/>
                    <w:ind w:firstLine="0" w:firstLineChars="0"/>
                    <w:jc w:val="center"/>
                    <w:rPr>
                      <w:sz w:val="21"/>
                      <w:szCs w:val="21"/>
                    </w:rPr>
                  </w:pPr>
                  <w:r>
                    <w:rPr>
                      <w:rFonts w:hint="eastAsia"/>
                      <w:sz w:val="21"/>
                      <w:szCs w:val="21"/>
                    </w:rPr>
                    <w:t>旋风+纳米覆膜滤筒除尘器TA009</w:t>
                  </w:r>
                </w:p>
              </w:tc>
              <w:tc>
                <w:tcPr>
                  <w:tcW w:w="527" w:type="pct"/>
                  <w:vMerge w:val="continue"/>
                  <w:vAlign w:val="center"/>
                </w:tcPr>
                <w:p w14:paraId="7A2C0ED5">
                  <w:pPr>
                    <w:pStyle w:val="45"/>
                    <w:wordWrap w:val="0"/>
                    <w:spacing w:line="240" w:lineRule="auto"/>
                    <w:ind w:firstLine="0" w:firstLineChars="0"/>
                    <w:jc w:val="center"/>
                    <w:rPr>
                      <w:sz w:val="21"/>
                      <w:szCs w:val="21"/>
                    </w:rPr>
                  </w:pPr>
                </w:p>
              </w:tc>
            </w:tr>
            <w:tr w14:paraId="17BE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23" w:type="pct"/>
                  <w:vMerge w:val="continue"/>
                  <w:vAlign w:val="center"/>
                </w:tcPr>
                <w:p w14:paraId="44F386BB">
                  <w:pPr>
                    <w:pStyle w:val="2"/>
                    <w:wordWrap w:val="0"/>
                    <w:spacing w:after="0"/>
                    <w:ind w:left="0" w:leftChars="0" w:firstLine="0" w:firstLineChars="0"/>
                    <w:jc w:val="center"/>
                  </w:pPr>
                </w:p>
              </w:tc>
              <w:tc>
                <w:tcPr>
                  <w:tcW w:w="397" w:type="pct"/>
                  <w:vMerge w:val="restart"/>
                  <w:vAlign w:val="center"/>
                </w:tcPr>
                <w:p w14:paraId="256C3DFD">
                  <w:pPr>
                    <w:pStyle w:val="45"/>
                    <w:wordWrap w:val="0"/>
                    <w:spacing w:line="240" w:lineRule="auto"/>
                    <w:ind w:firstLine="0" w:firstLineChars="0"/>
                    <w:jc w:val="center"/>
                    <w:rPr>
                      <w:sz w:val="21"/>
                      <w:szCs w:val="21"/>
                    </w:rPr>
                  </w:pPr>
                  <w:r>
                    <w:rPr>
                      <w:rFonts w:hint="eastAsia"/>
                      <w:sz w:val="21"/>
                      <w:szCs w:val="21"/>
                    </w:rPr>
                    <w:t>喷漆房1</w:t>
                  </w:r>
                </w:p>
              </w:tc>
              <w:tc>
                <w:tcPr>
                  <w:tcW w:w="456" w:type="pct"/>
                  <w:vAlign w:val="center"/>
                </w:tcPr>
                <w:p w14:paraId="61697642">
                  <w:pPr>
                    <w:wordWrap w:val="0"/>
                    <w:adjustRightInd w:val="0"/>
                    <w:snapToGrid w:val="0"/>
                    <w:jc w:val="center"/>
                  </w:pPr>
                  <w:r>
                    <w:rPr>
                      <w:rFonts w:hint="eastAsia"/>
                    </w:rPr>
                    <w:t>颗粒物</w:t>
                  </w:r>
                </w:p>
              </w:tc>
              <w:tc>
                <w:tcPr>
                  <w:tcW w:w="553" w:type="pct"/>
                  <w:vMerge w:val="restart"/>
                  <w:vAlign w:val="center"/>
                </w:tcPr>
                <w:p w14:paraId="5E6EBD88">
                  <w:pPr>
                    <w:pStyle w:val="2"/>
                    <w:wordWrap w:val="0"/>
                    <w:spacing w:after="0"/>
                    <w:ind w:left="0" w:leftChars="0" w:firstLine="0" w:firstLineChars="0"/>
                    <w:jc w:val="center"/>
                  </w:pPr>
                  <w:r>
                    <w:rPr>
                      <w:rFonts w:hint="eastAsia"/>
                    </w:rPr>
                    <w:t>产污系数法</w:t>
                  </w:r>
                </w:p>
              </w:tc>
              <w:tc>
                <w:tcPr>
                  <w:tcW w:w="594" w:type="pct"/>
                  <w:gridSpan w:val="2"/>
                  <w:vAlign w:val="center"/>
                </w:tcPr>
                <w:p w14:paraId="7C623B9E">
                  <w:pPr>
                    <w:pStyle w:val="2"/>
                    <w:wordWrap w:val="0"/>
                    <w:spacing w:after="0"/>
                    <w:ind w:left="0" w:leftChars="0" w:firstLine="0" w:firstLineChars="0"/>
                    <w:jc w:val="center"/>
                  </w:pPr>
                  <w:r>
                    <w:rPr>
                      <w:rFonts w:hint="eastAsia"/>
                    </w:rPr>
                    <w:t>水性漆用量0.75t</w:t>
                  </w:r>
                </w:p>
              </w:tc>
              <w:tc>
                <w:tcPr>
                  <w:tcW w:w="519" w:type="pct"/>
                  <w:vAlign w:val="center"/>
                </w:tcPr>
                <w:p w14:paraId="54AEF85F">
                  <w:pPr>
                    <w:pStyle w:val="2"/>
                    <w:wordWrap w:val="0"/>
                    <w:spacing w:after="0"/>
                    <w:ind w:left="0" w:leftChars="0" w:firstLine="0" w:firstLineChars="0"/>
                    <w:jc w:val="center"/>
                  </w:pPr>
                  <w:r>
                    <w:rPr>
                      <w:rFonts w:hint="eastAsia"/>
                    </w:rPr>
                    <w:t>20.8</w:t>
                  </w:r>
                  <w:r>
                    <w:rPr>
                      <w:rFonts w:eastAsia="Times New Roman"/>
                    </w:rPr>
                    <w:t>g/</w:t>
                  </w:r>
                  <w:r>
                    <w:rPr>
                      <w:rFonts w:hint="eastAsia"/>
                    </w:rPr>
                    <w:t>kg</w:t>
                  </w:r>
                  <w:r>
                    <w:rPr>
                      <w:rFonts w:eastAsia="Times New Roman"/>
                    </w:rPr>
                    <w:t>-</w:t>
                  </w:r>
                  <w:r>
                    <w:rPr>
                      <w:rFonts w:hint="eastAsia"/>
                    </w:rPr>
                    <w:t>涂料</w:t>
                  </w:r>
                </w:p>
              </w:tc>
              <w:tc>
                <w:tcPr>
                  <w:tcW w:w="433" w:type="pct"/>
                  <w:vAlign w:val="center"/>
                </w:tcPr>
                <w:p w14:paraId="0B70FAD3">
                  <w:pPr>
                    <w:pStyle w:val="2"/>
                    <w:wordWrap w:val="0"/>
                    <w:spacing w:after="0"/>
                    <w:ind w:left="0" w:leftChars="0" w:firstLine="0" w:firstLineChars="0"/>
                    <w:jc w:val="center"/>
                  </w:pPr>
                  <w:r>
                    <w:rPr>
                      <w:rFonts w:hint="eastAsia"/>
                    </w:rPr>
                    <w:t>0.016t/a</w:t>
                  </w:r>
                </w:p>
              </w:tc>
              <w:tc>
                <w:tcPr>
                  <w:tcW w:w="997" w:type="pct"/>
                  <w:vMerge w:val="restart"/>
                  <w:vAlign w:val="center"/>
                </w:tcPr>
                <w:p w14:paraId="4744AF1A">
                  <w:pPr>
                    <w:pStyle w:val="45"/>
                    <w:wordWrap w:val="0"/>
                    <w:spacing w:line="240" w:lineRule="auto"/>
                    <w:ind w:firstLine="0" w:firstLineChars="0"/>
                    <w:jc w:val="center"/>
                    <w:rPr>
                      <w:sz w:val="21"/>
                      <w:szCs w:val="21"/>
                    </w:rPr>
                  </w:pPr>
                  <w:r>
                    <w:rPr>
                      <w:rFonts w:hint="eastAsia"/>
                      <w:sz w:val="21"/>
                      <w:szCs w:val="21"/>
                    </w:rPr>
                    <w:t>玻璃纤维过滤棉+活性炭吸附装置TA010</w:t>
                  </w:r>
                </w:p>
              </w:tc>
              <w:tc>
                <w:tcPr>
                  <w:tcW w:w="527" w:type="pct"/>
                  <w:vMerge w:val="restart"/>
                  <w:vAlign w:val="center"/>
                </w:tcPr>
                <w:p w14:paraId="5D8BC5F9">
                  <w:pPr>
                    <w:pStyle w:val="45"/>
                    <w:wordWrap w:val="0"/>
                    <w:spacing w:line="240" w:lineRule="auto"/>
                    <w:ind w:firstLine="0" w:firstLineChars="0"/>
                    <w:jc w:val="center"/>
                    <w:rPr>
                      <w:sz w:val="21"/>
                      <w:szCs w:val="21"/>
                    </w:rPr>
                  </w:pPr>
                  <w:r>
                    <w:rPr>
                      <w:rFonts w:hint="eastAsia"/>
                      <w:sz w:val="21"/>
                      <w:szCs w:val="21"/>
                    </w:rPr>
                    <w:t>本项目喷漆工序共计2个喷漆位，故核算各按1/2进行计算。</w:t>
                  </w:r>
                </w:p>
              </w:tc>
            </w:tr>
            <w:tr w14:paraId="4B61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23" w:type="pct"/>
                  <w:vMerge w:val="continue"/>
                  <w:vAlign w:val="center"/>
                </w:tcPr>
                <w:p w14:paraId="405D1722">
                  <w:pPr>
                    <w:pStyle w:val="2"/>
                    <w:wordWrap w:val="0"/>
                    <w:spacing w:after="0"/>
                    <w:ind w:left="0" w:leftChars="0" w:firstLine="0" w:firstLineChars="0"/>
                    <w:jc w:val="center"/>
                  </w:pPr>
                </w:p>
              </w:tc>
              <w:tc>
                <w:tcPr>
                  <w:tcW w:w="397" w:type="pct"/>
                  <w:vMerge w:val="continue"/>
                  <w:vAlign w:val="center"/>
                </w:tcPr>
                <w:p w14:paraId="0DCFD27D">
                  <w:pPr>
                    <w:pStyle w:val="45"/>
                    <w:wordWrap w:val="0"/>
                    <w:spacing w:line="240" w:lineRule="auto"/>
                    <w:ind w:firstLine="0" w:firstLineChars="0"/>
                    <w:jc w:val="center"/>
                    <w:rPr>
                      <w:sz w:val="21"/>
                      <w:szCs w:val="21"/>
                    </w:rPr>
                  </w:pPr>
                </w:p>
              </w:tc>
              <w:tc>
                <w:tcPr>
                  <w:tcW w:w="456" w:type="pct"/>
                  <w:vAlign w:val="center"/>
                </w:tcPr>
                <w:p w14:paraId="6C63B9AD">
                  <w:pPr>
                    <w:wordWrap w:val="0"/>
                    <w:adjustRightInd w:val="0"/>
                    <w:snapToGrid w:val="0"/>
                    <w:jc w:val="center"/>
                  </w:pPr>
                  <w:r>
                    <w:rPr>
                      <w:rFonts w:hint="eastAsia"/>
                    </w:rPr>
                    <w:t>非甲烷总烃</w:t>
                  </w:r>
                </w:p>
              </w:tc>
              <w:tc>
                <w:tcPr>
                  <w:tcW w:w="553" w:type="pct"/>
                  <w:vMerge w:val="continue"/>
                  <w:vAlign w:val="center"/>
                </w:tcPr>
                <w:p w14:paraId="4DBCB728">
                  <w:pPr>
                    <w:pStyle w:val="2"/>
                    <w:wordWrap w:val="0"/>
                    <w:spacing w:after="0"/>
                    <w:ind w:left="0" w:leftChars="0" w:firstLine="0" w:firstLineChars="0"/>
                    <w:jc w:val="center"/>
                  </w:pPr>
                </w:p>
              </w:tc>
              <w:tc>
                <w:tcPr>
                  <w:tcW w:w="594" w:type="pct"/>
                  <w:gridSpan w:val="2"/>
                  <w:vAlign w:val="center"/>
                </w:tcPr>
                <w:p w14:paraId="75954838">
                  <w:pPr>
                    <w:pStyle w:val="2"/>
                    <w:wordWrap w:val="0"/>
                    <w:spacing w:after="0"/>
                    <w:ind w:left="0" w:leftChars="0" w:firstLine="0" w:firstLineChars="0"/>
                    <w:jc w:val="center"/>
                  </w:pPr>
                  <w:r>
                    <w:rPr>
                      <w:rFonts w:hint="eastAsia"/>
                    </w:rPr>
                    <w:t>水性漆用量625L</w:t>
                  </w:r>
                </w:p>
              </w:tc>
              <w:tc>
                <w:tcPr>
                  <w:tcW w:w="519" w:type="pct"/>
                  <w:vAlign w:val="center"/>
                </w:tcPr>
                <w:p w14:paraId="12E8358E">
                  <w:pPr>
                    <w:pStyle w:val="2"/>
                    <w:wordWrap w:val="0"/>
                    <w:spacing w:after="0"/>
                    <w:ind w:left="0" w:leftChars="0" w:firstLine="0" w:firstLineChars="0"/>
                    <w:jc w:val="center"/>
                  </w:pPr>
                  <w:r>
                    <w:rPr>
                      <w:rFonts w:hint="eastAsia"/>
                    </w:rPr>
                    <w:t>12.3g/L原料</w:t>
                  </w:r>
                </w:p>
              </w:tc>
              <w:tc>
                <w:tcPr>
                  <w:tcW w:w="433" w:type="pct"/>
                  <w:vAlign w:val="center"/>
                </w:tcPr>
                <w:p w14:paraId="10B2623F">
                  <w:pPr>
                    <w:pStyle w:val="2"/>
                    <w:wordWrap w:val="0"/>
                    <w:spacing w:after="0"/>
                    <w:ind w:left="0" w:leftChars="0" w:firstLine="0" w:firstLineChars="0"/>
                    <w:jc w:val="center"/>
                  </w:pPr>
                  <w:r>
                    <w:rPr>
                      <w:rFonts w:hint="eastAsia"/>
                    </w:rPr>
                    <w:t>0.008</w:t>
                  </w:r>
                  <w:r>
                    <w:t>t/a</w:t>
                  </w:r>
                </w:p>
              </w:tc>
              <w:tc>
                <w:tcPr>
                  <w:tcW w:w="997" w:type="pct"/>
                  <w:vMerge w:val="continue"/>
                  <w:vAlign w:val="center"/>
                </w:tcPr>
                <w:p w14:paraId="29218526">
                  <w:pPr>
                    <w:pStyle w:val="45"/>
                    <w:wordWrap w:val="0"/>
                    <w:spacing w:line="240" w:lineRule="auto"/>
                    <w:ind w:firstLine="0" w:firstLineChars="0"/>
                    <w:jc w:val="center"/>
                    <w:rPr>
                      <w:sz w:val="21"/>
                      <w:szCs w:val="21"/>
                    </w:rPr>
                  </w:pPr>
                </w:p>
              </w:tc>
              <w:tc>
                <w:tcPr>
                  <w:tcW w:w="527" w:type="pct"/>
                  <w:vMerge w:val="continue"/>
                  <w:vAlign w:val="center"/>
                </w:tcPr>
                <w:p w14:paraId="0C587578">
                  <w:pPr>
                    <w:pStyle w:val="45"/>
                    <w:wordWrap w:val="0"/>
                    <w:spacing w:line="240" w:lineRule="auto"/>
                    <w:ind w:firstLine="0" w:firstLineChars="0"/>
                    <w:jc w:val="center"/>
                    <w:rPr>
                      <w:sz w:val="21"/>
                      <w:szCs w:val="21"/>
                    </w:rPr>
                  </w:pPr>
                </w:p>
              </w:tc>
            </w:tr>
            <w:tr w14:paraId="0C9B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2EF3ADE5">
                  <w:pPr>
                    <w:pStyle w:val="2"/>
                    <w:wordWrap w:val="0"/>
                    <w:spacing w:after="0"/>
                    <w:ind w:left="0" w:leftChars="0" w:firstLine="0" w:firstLineChars="0"/>
                    <w:jc w:val="center"/>
                  </w:pPr>
                </w:p>
              </w:tc>
              <w:tc>
                <w:tcPr>
                  <w:tcW w:w="397" w:type="pct"/>
                  <w:vMerge w:val="restart"/>
                  <w:vAlign w:val="center"/>
                </w:tcPr>
                <w:p w14:paraId="062810F6">
                  <w:pPr>
                    <w:pStyle w:val="45"/>
                    <w:wordWrap w:val="0"/>
                    <w:spacing w:line="240" w:lineRule="auto"/>
                    <w:ind w:firstLine="0" w:firstLineChars="0"/>
                    <w:jc w:val="center"/>
                    <w:rPr>
                      <w:sz w:val="21"/>
                      <w:szCs w:val="21"/>
                    </w:rPr>
                  </w:pPr>
                  <w:r>
                    <w:rPr>
                      <w:rFonts w:hint="eastAsia"/>
                      <w:sz w:val="21"/>
                      <w:szCs w:val="21"/>
                    </w:rPr>
                    <w:t>烘箱1</w:t>
                  </w:r>
                </w:p>
              </w:tc>
              <w:tc>
                <w:tcPr>
                  <w:tcW w:w="456" w:type="pct"/>
                  <w:vMerge w:val="restart"/>
                  <w:vAlign w:val="center"/>
                </w:tcPr>
                <w:p w14:paraId="46EBDECD">
                  <w:pPr>
                    <w:wordWrap w:val="0"/>
                    <w:adjustRightInd w:val="0"/>
                    <w:snapToGrid w:val="0"/>
                    <w:jc w:val="center"/>
                  </w:pPr>
                  <w:r>
                    <w:rPr>
                      <w:rFonts w:hint="eastAsia"/>
                    </w:rPr>
                    <w:t>非甲烷总烃</w:t>
                  </w:r>
                </w:p>
              </w:tc>
              <w:tc>
                <w:tcPr>
                  <w:tcW w:w="553" w:type="pct"/>
                  <w:vMerge w:val="continue"/>
                  <w:vAlign w:val="center"/>
                </w:tcPr>
                <w:p w14:paraId="311B5CF1">
                  <w:pPr>
                    <w:pStyle w:val="2"/>
                    <w:wordWrap w:val="0"/>
                    <w:spacing w:after="0"/>
                    <w:ind w:left="0" w:leftChars="0" w:firstLine="0" w:firstLineChars="0"/>
                    <w:jc w:val="center"/>
                  </w:pPr>
                </w:p>
              </w:tc>
              <w:tc>
                <w:tcPr>
                  <w:tcW w:w="594" w:type="pct"/>
                  <w:gridSpan w:val="2"/>
                  <w:vAlign w:val="center"/>
                </w:tcPr>
                <w:p w14:paraId="7FF70EA6">
                  <w:pPr>
                    <w:pStyle w:val="2"/>
                    <w:wordWrap w:val="0"/>
                    <w:spacing w:after="0"/>
                    <w:ind w:left="0" w:leftChars="0" w:firstLine="0" w:firstLineChars="0"/>
                    <w:jc w:val="center"/>
                  </w:pPr>
                  <w:r>
                    <w:rPr>
                      <w:rFonts w:hint="eastAsia"/>
                    </w:rPr>
                    <w:t>水性漆用量0.75t</w:t>
                  </w:r>
                </w:p>
              </w:tc>
              <w:tc>
                <w:tcPr>
                  <w:tcW w:w="519" w:type="pct"/>
                  <w:vAlign w:val="center"/>
                </w:tcPr>
                <w:p w14:paraId="2CFE54FF">
                  <w:pPr>
                    <w:pStyle w:val="2"/>
                    <w:wordWrap w:val="0"/>
                    <w:spacing w:after="0"/>
                    <w:ind w:left="0" w:leftChars="0" w:firstLine="0" w:firstLineChars="0"/>
                    <w:jc w:val="center"/>
                  </w:pPr>
                  <w:r>
                    <w:rPr>
                      <w:rFonts w:hint="eastAsia"/>
                    </w:rPr>
                    <w:t>15kg/t原料</w:t>
                  </w:r>
                </w:p>
              </w:tc>
              <w:tc>
                <w:tcPr>
                  <w:tcW w:w="433" w:type="pct"/>
                  <w:vAlign w:val="center"/>
                </w:tcPr>
                <w:p w14:paraId="6AA6C676">
                  <w:pPr>
                    <w:pStyle w:val="2"/>
                    <w:wordWrap w:val="0"/>
                    <w:spacing w:after="0"/>
                    <w:ind w:left="0" w:leftChars="0" w:firstLine="0" w:firstLineChars="0"/>
                    <w:jc w:val="center"/>
                  </w:pPr>
                  <w:r>
                    <w:rPr>
                      <w:rFonts w:hint="eastAsia"/>
                    </w:rPr>
                    <w:t>0.011t/a</w:t>
                  </w:r>
                </w:p>
              </w:tc>
              <w:tc>
                <w:tcPr>
                  <w:tcW w:w="997" w:type="pct"/>
                  <w:vMerge w:val="restart"/>
                  <w:vAlign w:val="center"/>
                </w:tcPr>
                <w:p w14:paraId="5A1A091F">
                  <w:pPr>
                    <w:pStyle w:val="45"/>
                    <w:wordWrap w:val="0"/>
                    <w:spacing w:line="240" w:lineRule="auto"/>
                    <w:ind w:firstLine="0" w:firstLineChars="0"/>
                    <w:jc w:val="center"/>
                    <w:rPr>
                      <w:sz w:val="21"/>
                      <w:szCs w:val="21"/>
                    </w:rPr>
                  </w:pPr>
                  <w:r>
                    <w:rPr>
                      <w:rFonts w:hint="eastAsia"/>
                      <w:sz w:val="21"/>
                      <w:szCs w:val="21"/>
                    </w:rPr>
                    <w:t>两级活性炭吸附装置TA011</w:t>
                  </w:r>
                </w:p>
              </w:tc>
              <w:tc>
                <w:tcPr>
                  <w:tcW w:w="527" w:type="pct"/>
                  <w:vMerge w:val="restart"/>
                  <w:vAlign w:val="center"/>
                </w:tcPr>
                <w:p w14:paraId="529EB8E6">
                  <w:pPr>
                    <w:pStyle w:val="45"/>
                    <w:wordWrap w:val="0"/>
                    <w:spacing w:line="240" w:lineRule="auto"/>
                    <w:ind w:firstLine="0" w:firstLineChars="0"/>
                    <w:jc w:val="center"/>
                    <w:rPr>
                      <w:sz w:val="21"/>
                      <w:szCs w:val="21"/>
                    </w:rPr>
                  </w:pPr>
                  <w:r>
                    <w:rPr>
                      <w:rFonts w:hint="eastAsia"/>
                      <w:sz w:val="21"/>
                      <w:szCs w:val="21"/>
                    </w:rPr>
                    <w:t>本项目烘干工序共计2个烘箱，故核算各按1/2进行计算。</w:t>
                  </w:r>
                </w:p>
              </w:tc>
            </w:tr>
            <w:tr w14:paraId="6E8D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5B54D7BD">
                  <w:pPr>
                    <w:pStyle w:val="2"/>
                    <w:wordWrap w:val="0"/>
                    <w:spacing w:after="0"/>
                    <w:ind w:left="0" w:leftChars="0" w:firstLine="0" w:firstLineChars="0"/>
                    <w:jc w:val="center"/>
                  </w:pPr>
                </w:p>
              </w:tc>
              <w:tc>
                <w:tcPr>
                  <w:tcW w:w="397" w:type="pct"/>
                  <w:vMerge w:val="continue"/>
                  <w:vAlign w:val="center"/>
                </w:tcPr>
                <w:p w14:paraId="420588A6">
                  <w:pPr>
                    <w:pStyle w:val="45"/>
                    <w:wordWrap w:val="0"/>
                    <w:spacing w:line="240" w:lineRule="auto"/>
                    <w:ind w:firstLine="0" w:firstLineChars="0"/>
                    <w:jc w:val="center"/>
                    <w:rPr>
                      <w:sz w:val="21"/>
                      <w:szCs w:val="21"/>
                    </w:rPr>
                  </w:pPr>
                </w:p>
              </w:tc>
              <w:tc>
                <w:tcPr>
                  <w:tcW w:w="456" w:type="pct"/>
                  <w:vMerge w:val="continue"/>
                  <w:vAlign w:val="center"/>
                </w:tcPr>
                <w:p w14:paraId="4417A79F">
                  <w:pPr>
                    <w:wordWrap w:val="0"/>
                    <w:adjustRightInd w:val="0"/>
                    <w:snapToGrid w:val="0"/>
                    <w:jc w:val="center"/>
                  </w:pPr>
                </w:p>
              </w:tc>
              <w:tc>
                <w:tcPr>
                  <w:tcW w:w="553" w:type="pct"/>
                  <w:vMerge w:val="continue"/>
                  <w:vAlign w:val="center"/>
                </w:tcPr>
                <w:p w14:paraId="13B713A1">
                  <w:pPr>
                    <w:pStyle w:val="2"/>
                    <w:wordWrap w:val="0"/>
                    <w:spacing w:after="0"/>
                    <w:ind w:left="0" w:leftChars="0" w:firstLine="0" w:firstLineChars="0"/>
                    <w:jc w:val="center"/>
                  </w:pPr>
                </w:p>
              </w:tc>
              <w:tc>
                <w:tcPr>
                  <w:tcW w:w="594" w:type="pct"/>
                  <w:gridSpan w:val="2"/>
                  <w:vAlign w:val="center"/>
                </w:tcPr>
                <w:p w14:paraId="7BE9105B">
                  <w:pPr>
                    <w:pStyle w:val="2"/>
                    <w:wordWrap w:val="0"/>
                    <w:spacing w:after="0"/>
                    <w:ind w:left="0" w:leftChars="0" w:firstLine="0" w:firstLineChars="0"/>
                    <w:jc w:val="center"/>
                  </w:pPr>
                  <w:r>
                    <w:rPr>
                      <w:rFonts w:hint="eastAsia"/>
                    </w:rPr>
                    <w:t>塑粉用量30t</w:t>
                  </w:r>
                </w:p>
              </w:tc>
              <w:tc>
                <w:tcPr>
                  <w:tcW w:w="519" w:type="pct"/>
                  <w:vAlign w:val="center"/>
                </w:tcPr>
                <w:p w14:paraId="5D7539F8">
                  <w:pPr>
                    <w:pStyle w:val="2"/>
                    <w:wordWrap w:val="0"/>
                    <w:spacing w:after="0"/>
                    <w:ind w:left="0" w:leftChars="0" w:firstLine="0" w:firstLineChars="0"/>
                    <w:jc w:val="center"/>
                  </w:pPr>
                  <w:r>
                    <w:rPr>
                      <w:rFonts w:hint="eastAsia"/>
                    </w:rPr>
                    <w:t>1.20kg/t原料</w:t>
                  </w:r>
                </w:p>
              </w:tc>
              <w:tc>
                <w:tcPr>
                  <w:tcW w:w="433" w:type="pct"/>
                  <w:vAlign w:val="center"/>
                </w:tcPr>
                <w:p w14:paraId="324B1FE5">
                  <w:pPr>
                    <w:pStyle w:val="2"/>
                    <w:wordWrap w:val="0"/>
                    <w:spacing w:after="0"/>
                    <w:ind w:left="0" w:leftChars="0" w:firstLine="0" w:firstLineChars="0"/>
                    <w:jc w:val="center"/>
                  </w:pPr>
                  <w:r>
                    <w:rPr>
                      <w:rFonts w:hint="eastAsia"/>
                    </w:rPr>
                    <w:t>0.036</w:t>
                  </w:r>
                  <w:r>
                    <w:t>t/a</w:t>
                  </w:r>
                </w:p>
              </w:tc>
              <w:tc>
                <w:tcPr>
                  <w:tcW w:w="997" w:type="pct"/>
                  <w:vMerge w:val="continue"/>
                  <w:vAlign w:val="center"/>
                </w:tcPr>
                <w:p w14:paraId="633F1FE2">
                  <w:pPr>
                    <w:pStyle w:val="45"/>
                    <w:wordWrap w:val="0"/>
                    <w:spacing w:line="240" w:lineRule="auto"/>
                    <w:ind w:firstLine="0" w:firstLineChars="0"/>
                    <w:jc w:val="center"/>
                    <w:rPr>
                      <w:sz w:val="21"/>
                      <w:szCs w:val="21"/>
                    </w:rPr>
                  </w:pPr>
                </w:p>
              </w:tc>
              <w:tc>
                <w:tcPr>
                  <w:tcW w:w="527" w:type="pct"/>
                  <w:vMerge w:val="continue"/>
                  <w:vAlign w:val="center"/>
                </w:tcPr>
                <w:p w14:paraId="56B1F6F0">
                  <w:pPr>
                    <w:pStyle w:val="45"/>
                    <w:wordWrap w:val="0"/>
                    <w:spacing w:line="240" w:lineRule="auto"/>
                    <w:ind w:firstLine="0" w:firstLineChars="0"/>
                    <w:jc w:val="center"/>
                    <w:rPr>
                      <w:sz w:val="21"/>
                      <w:szCs w:val="21"/>
                    </w:rPr>
                  </w:pPr>
                </w:p>
              </w:tc>
            </w:tr>
            <w:tr w14:paraId="2C79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75ABD49D">
                  <w:pPr>
                    <w:pStyle w:val="2"/>
                    <w:wordWrap w:val="0"/>
                    <w:spacing w:after="0"/>
                    <w:ind w:left="0" w:leftChars="0" w:firstLine="0" w:firstLineChars="0"/>
                    <w:jc w:val="center"/>
                  </w:pPr>
                </w:p>
              </w:tc>
              <w:tc>
                <w:tcPr>
                  <w:tcW w:w="397" w:type="pct"/>
                  <w:vMerge w:val="restart"/>
                  <w:vAlign w:val="center"/>
                </w:tcPr>
                <w:p w14:paraId="0339FB7D">
                  <w:pPr>
                    <w:pStyle w:val="45"/>
                    <w:wordWrap w:val="0"/>
                    <w:spacing w:line="240" w:lineRule="auto"/>
                    <w:ind w:firstLine="0" w:firstLineChars="0"/>
                    <w:jc w:val="center"/>
                    <w:rPr>
                      <w:sz w:val="21"/>
                      <w:szCs w:val="21"/>
                    </w:rPr>
                  </w:pPr>
                  <w:r>
                    <w:rPr>
                      <w:rFonts w:hint="eastAsia"/>
                      <w:sz w:val="21"/>
                      <w:szCs w:val="21"/>
                    </w:rPr>
                    <w:t>烘箱1</w:t>
                  </w:r>
                </w:p>
              </w:tc>
              <w:tc>
                <w:tcPr>
                  <w:tcW w:w="4079" w:type="pct"/>
                  <w:gridSpan w:val="8"/>
                  <w:vAlign w:val="center"/>
                </w:tcPr>
                <w:p w14:paraId="1FCE4D46">
                  <w:pPr>
                    <w:pStyle w:val="54"/>
                    <w:wordWrap w:val="0"/>
                    <w:spacing w:line="240" w:lineRule="auto"/>
                    <w:ind w:firstLine="0" w:firstLineChars="0"/>
                    <w:jc w:val="center"/>
                    <w:rPr>
                      <w:color w:val="auto"/>
                      <w:sz w:val="21"/>
                      <w:szCs w:val="24"/>
                    </w:rPr>
                  </w:pPr>
                  <w:r>
                    <w:rPr>
                      <w:rFonts w:hint="eastAsia"/>
                      <w:color w:val="auto"/>
                      <w:sz w:val="21"/>
                      <w:szCs w:val="24"/>
                    </w:rPr>
                    <w:t>当燃料为液化石油气时</w:t>
                  </w:r>
                </w:p>
              </w:tc>
            </w:tr>
            <w:tr w14:paraId="6949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6531807D">
                  <w:pPr>
                    <w:pStyle w:val="2"/>
                    <w:wordWrap w:val="0"/>
                    <w:spacing w:after="0"/>
                    <w:ind w:left="0" w:leftChars="0" w:firstLine="0" w:firstLineChars="0"/>
                    <w:jc w:val="center"/>
                  </w:pPr>
                </w:p>
              </w:tc>
              <w:tc>
                <w:tcPr>
                  <w:tcW w:w="397" w:type="pct"/>
                  <w:vMerge w:val="continue"/>
                  <w:vAlign w:val="center"/>
                </w:tcPr>
                <w:p w14:paraId="5EFE791A">
                  <w:pPr>
                    <w:pStyle w:val="45"/>
                    <w:wordWrap w:val="0"/>
                    <w:spacing w:line="240" w:lineRule="auto"/>
                    <w:ind w:firstLine="0" w:firstLineChars="0"/>
                    <w:jc w:val="center"/>
                    <w:rPr>
                      <w:sz w:val="21"/>
                      <w:szCs w:val="21"/>
                    </w:rPr>
                  </w:pPr>
                </w:p>
              </w:tc>
              <w:tc>
                <w:tcPr>
                  <w:tcW w:w="456" w:type="pct"/>
                  <w:vAlign w:val="center"/>
                </w:tcPr>
                <w:p w14:paraId="0754816A">
                  <w:pPr>
                    <w:wordWrap w:val="0"/>
                    <w:adjustRightInd w:val="0"/>
                    <w:snapToGrid w:val="0"/>
                    <w:jc w:val="center"/>
                  </w:pPr>
                  <w:r>
                    <w:rPr>
                      <w:rFonts w:hint="eastAsia"/>
                    </w:rPr>
                    <w:t>废气量</w:t>
                  </w:r>
                </w:p>
              </w:tc>
              <w:tc>
                <w:tcPr>
                  <w:tcW w:w="604" w:type="pct"/>
                  <w:gridSpan w:val="2"/>
                  <w:vMerge w:val="restart"/>
                  <w:vAlign w:val="center"/>
                </w:tcPr>
                <w:p w14:paraId="2E839718">
                  <w:pPr>
                    <w:pStyle w:val="2"/>
                    <w:wordWrap w:val="0"/>
                    <w:spacing w:after="0"/>
                    <w:ind w:left="0" w:leftChars="0" w:firstLine="0" w:firstLineChars="0"/>
                    <w:jc w:val="center"/>
                  </w:pPr>
                  <w:r>
                    <w:rPr>
                      <w:rFonts w:hint="eastAsia"/>
                    </w:rPr>
                    <w:t>产污系数法</w:t>
                  </w:r>
                </w:p>
              </w:tc>
              <w:tc>
                <w:tcPr>
                  <w:tcW w:w="543" w:type="pct"/>
                  <w:vMerge w:val="restart"/>
                  <w:vAlign w:val="center"/>
                </w:tcPr>
                <w:p w14:paraId="61BE82AD">
                  <w:pPr>
                    <w:pStyle w:val="2"/>
                    <w:wordWrap w:val="0"/>
                    <w:spacing w:after="0"/>
                    <w:ind w:left="0" w:leftChars="0" w:firstLine="0" w:firstLineChars="0"/>
                    <w:jc w:val="center"/>
                  </w:pPr>
                  <w:r>
                    <w:rPr>
                      <w:rFonts w:hint="eastAsia"/>
                    </w:rPr>
                    <w:t>3.2</w:t>
                  </w:r>
                  <w:r>
                    <w:t>万m</w:t>
                  </w:r>
                  <w:r>
                    <w:rPr>
                      <w:vertAlign w:val="superscript"/>
                    </w:rPr>
                    <w:t>3</w:t>
                  </w:r>
                  <w:r>
                    <w:t>燃料</w:t>
                  </w:r>
                </w:p>
              </w:tc>
              <w:tc>
                <w:tcPr>
                  <w:tcW w:w="519" w:type="pct"/>
                  <w:vAlign w:val="center"/>
                </w:tcPr>
                <w:p w14:paraId="0CA728B6">
                  <w:pPr>
                    <w:pStyle w:val="2"/>
                    <w:wordWrap w:val="0"/>
                    <w:spacing w:after="0"/>
                    <w:ind w:left="0" w:leftChars="0" w:firstLine="0" w:firstLineChars="0"/>
                    <w:jc w:val="center"/>
                  </w:pPr>
                  <w:r>
                    <w:rPr>
                      <w:rFonts w:hint="eastAsia"/>
                    </w:rPr>
                    <w:t>375170.58</w:t>
                  </w:r>
                  <w:r>
                    <w:t xml:space="preserve"> Nm</w:t>
                  </w:r>
                  <w:r>
                    <w:rPr>
                      <w:vertAlign w:val="superscript"/>
                    </w:rPr>
                    <w:t>3</w:t>
                  </w:r>
                  <w:r>
                    <w:t>/万m</w:t>
                  </w:r>
                  <w:r>
                    <w:rPr>
                      <w:vertAlign w:val="superscript"/>
                    </w:rPr>
                    <w:t>3</w:t>
                  </w:r>
                  <w:r>
                    <w:t>-原料</w:t>
                  </w:r>
                </w:p>
              </w:tc>
              <w:tc>
                <w:tcPr>
                  <w:tcW w:w="433" w:type="pct"/>
                  <w:vAlign w:val="center"/>
                </w:tcPr>
                <w:p w14:paraId="48977EB0">
                  <w:pPr>
                    <w:wordWrap w:val="0"/>
                    <w:jc w:val="center"/>
                  </w:pPr>
                  <w:r>
                    <w:rPr>
                      <w:rFonts w:hint="eastAsia"/>
                    </w:rPr>
                    <w:t>1200545.856Nm</w:t>
                  </w:r>
                  <w:r>
                    <w:rPr>
                      <w:rFonts w:hint="eastAsia"/>
                      <w:vertAlign w:val="superscript"/>
                    </w:rPr>
                    <w:t>3</w:t>
                  </w:r>
                </w:p>
              </w:tc>
              <w:tc>
                <w:tcPr>
                  <w:tcW w:w="997" w:type="pct"/>
                  <w:vMerge w:val="restart"/>
                  <w:vAlign w:val="center"/>
                </w:tcPr>
                <w:p w14:paraId="6A8B760C">
                  <w:pPr>
                    <w:pStyle w:val="45"/>
                    <w:wordWrap w:val="0"/>
                    <w:spacing w:line="240" w:lineRule="auto"/>
                    <w:ind w:firstLine="0" w:firstLineChars="0"/>
                    <w:jc w:val="center"/>
                    <w:rPr>
                      <w:sz w:val="21"/>
                      <w:szCs w:val="21"/>
                    </w:rPr>
                  </w:pPr>
                  <w:r>
                    <w:rPr>
                      <w:rFonts w:hint="eastAsia"/>
                      <w:sz w:val="21"/>
                      <w:szCs w:val="21"/>
                    </w:rPr>
                    <w:t>低氮燃烧器TA012</w:t>
                  </w:r>
                </w:p>
              </w:tc>
              <w:tc>
                <w:tcPr>
                  <w:tcW w:w="527" w:type="pct"/>
                  <w:vMerge w:val="restart"/>
                  <w:vAlign w:val="center"/>
                </w:tcPr>
                <w:p w14:paraId="33C11174">
                  <w:pPr>
                    <w:pStyle w:val="45"/>
                    <w:wordWrap w:val="0"/>
                    <w:spacing w:line="240" w:lineRule="auto"/>
                    <w:ind w:firstLine="0" w:firstLineChars="0"/>
                    <w:jc w:val="center"/>
                    <w:rPr>
                      <w:sz w:val="21"/>
                      <w:szCs w:val="21"/>
                    </w:rPr>
                  </w:pPr>
                  <w:r>
                    <w:rPr>
                      <w:rFonts w:hint="eastAsia"/>
                      <w:sz w:val="21"/>
                      <w:szCs w:val="21"/>
                    </w:rPr>
                    <w:t>本项目烘干工序共计2个烘箱，故核算各按1/2进行计算。</w:t>
                  </w:r>
                </w:p>
              </w:tc>
            </w:tr>
            <w:tr w14:paraId="37F1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51ED7242">
                  <w:pPr>
                    <w:pStyle w:val="2"/>
                    <w:wordWrap w:val="0"/>
                    <w:spacing w:after="0"/>
                    <w:ind w:left="0" w:leftChars="0" w:firstLine="0" w:firstLineChars="0"/>
                    <w:jc w:val="center"/>
                  </w:pPr>
                </w:p>
              </w:tc>
              <w:tc>
                <w:tcPr>
                  <w:tcW w:w="397" w:type="pct"/>
                  <w:vMerge w:val="continue"/>
                  <w:vAlign w:val="center"/>
                </w:tcPr>
                <w:p w14:paraId="1EFD4BF6">
                  <w:pPr>
                    <w:pStyle w:val="45"/>
                    <w:wordWrap w:val="0"/>
                    <w:spacing w:line="240" w:lineRule="auto"/>
                    <w:ind w:firstLine="0" w:firstLineChars="0"/>
                    <w:jc w:val="center"/>
                    <w:rPr>
                      <w:sz w:val="21"/>
                      <w:szCs w:val="21"/>
                    </w:rPr>
                  </w:pPr>
                </w:p>
              </w:tc>
              <w:tc>
                <w:tcPr>
                  <w:tcW w:w="456" w:type="pct"/>
                  <w:vAlign w:val="center"/>
                </w:tcPr>
                <w:p w14:paraId="45CA9A0D">
                  <w:pPr>
                    <w:wordWrap w:val="0"/>
                    <w:adjustRightInd w:val="0"/>
                    <w:snapToGrid w:val="0"/>
                    <w:jc w:val="center"/>
                  </w:pPr>
                  <w:r>
                    <w:rPr>
                      <w:rFonts w:hint="eastAsia"/>
                    </w:rPr>
                    <w:t>二氧化硫</w:t>
                  </w:r>
                </w:p>
              </w:tc>
              <w:tc>
                <w:tcPr>
                  <w:tcW w:w="604" w:type="pct"/>
                  <w:gridSpan w:val="2"/>
                  <w:vMerge w:val="continue"/>
                  <w:vAlign w:val="center"/>
                </w:tcPr>
                <w:p w14:paraId="57E2E8E7">
                  <w:pPr>
                    <w:pStyle w:val="2"/>
                    <w:wordWrap w:val="0"/>
                    <w:spacing w:after="0"/>
                    <w:ind w:left="0" w:leftChars="0" w:firstLine="0" w:firstLineChars="0"/>
                    <w:jc w:val="center"/>
                  </w:pPr>
                </w:p>
              </w:tc>
              <w:tc>
                <w:tcPr>
                  <w:tcW w:w="543" w:type="pct"/>
                  <w:vMerge w:val="continue"/>
                  <w:vAlign w:val="center"/>
                </w:tcPr>
                <w:p w14:paraId="3E426104">
                  <w:pPr>
                    <w:pStyle w:val="2"/>
                    <w:wordWrap w:val="0"/>
                    <w:spacing w:after="0"/>
                    <w:ind w:left="0" w:leftChars="0" w:firstLine="0" w:firstLineChars="0"/>
                    <w:jc w:val="center"/>
                  </w:pPr>
                </w:p>
              </w:tc>
              <w:tc>
                <w:tcPr>
                  <w:tcW w:w="519" w:type="pct"/>
                  <w:vAlign w:val="center"/>
                </w:tcPr>
                <w:p w14:paraId="1593162C">
                  <w:pPr>
                    <w:pStyle w:val="2"/>
                    <w:wordWrap w:val="0"/>
                    <w:spacing w:after="0"/>
                    <w:ind w:left="0" w:leftChars="0" w:firstLine="0" w:firstLineChars="0"/>
                    <w:jc w:val="center"/>
                  </w:pPr>
                  <w:r>
                    <w:t>0.02S</w:t>
                  </w:r>
                  <w:r>
                    <w:rPr>
                      <w:rFonts w:hAnsi="宋体"/>
                    </w:rPr>
                    <w:t>①</w:t>
                  </w:r>
                  <w:r>
                    <w:t>千克/万m</w:t>
                  </w:r>
                  <w:r>
                    <w:rPr>
                      <w:vertAlign w:val="superscript"/>
                    </w:rPr>
                    <w:t>3</w:t>
                  </w:r>
                  <w:r>
                    <w:t>燃料</w:t>
                  </w:r>
                </w:p>
              </w:tc>
              <w:tc>
                <w:tcPr>
                  <w:tcW w:w="433" w:type="pct"/>
                  <w:vAlign w:val="center"/>
                </w:tcPr>
                <w:p w14:paraId="6CFA3D7B">
                  <w:pPr>
                    <w:wordWrap w:val="0"/>
                    <w:jc w:val="center"/>
                  </w:pPr>
                  <w:r>
                    <w:rPr>
                      <w:rFonts w:hint="eastAsia"/>
                    </w:rPr>
                    <w:t>12.8kg/a</w:t>
                  </w:r>
                </w:p>
              </w:tc>
              <w:tc>
                <w:tcPr>
                  <w:tcW w:w="997" w:type="pct"/>
                  <w:vMerge w:val="continue"/>
                  <w:vAlign w:val="center"/>
                </w:tcPr>
                <w:p w14:paraId="6D428E19">
                  <w:pPr>
                    <w:pStyle w:val="45"/>
                    <w:wordWrap w:val="0"/>
                    <w:spacing w:line="240" w:lineRule="auto"/>
                    <w:ind w:firstLine="0" w:firstLineChars="0"/>
                    <w:jc w:val="center"/>
                    <w:rPr>
                      <w:sz w:val="21"/>
                      <w:szCs w:val="21"/>
                    </w:rPr>
                  </w:pPr>
                </w:p>
              </w:tc>
              <w:tc>
                <w:tcPr>
                  <w:tcW w:w="527" w:type="pct"/>
                  <w:vMerge w:val="continue"/>
                  <w:vAlign w:val="center"/>
                </w:tcPr>
                <w:p w14:paraId="75EFFF38">
                  <w:pPr>
                    <w:pStyle w:val="45"/>
                    <w:wordWrap w:val="0"/>
                    <w:spacing w:line="240" w:lineRule="auto"/>
                    <w:ind w:firstLine="0" w:firstLineChars="0"/>
                    <w:jc w:val="center"/>
                    <w:rPr>
                      <w:sz w:val="21"/>
                      <w:szCs w:val="21"/>
                    </w:rPr>
                  </w:pPr>
                </w:p>
              </w:tc>
            </w:tr>
            <w:tr w14:paraId="5A92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523" w:type="pct"/>
                  <w:vMerge w:val="continue"/>
                  <w:vAlign w:val="center"/>
                </w:tcPr>
                <w:p w14:paraId="50128B57">
                  <w:pPr>
                    <w:pStyle w:val="2"/>
                    <w:wordWrap w:val="0"/>
                    <w:spacing w:after="0"/>
                    <w:ind w:left="0" w:leftChars="0" w:firstLine="0" w:firstLineChars="0"/>
                    <w:jc w:val="center"/>
                  </w:pPr>
                </w:p>
              </w:tc>
              <w:tc>
                <w:tcPr>
                  <w:tcW w:w="397" w:type="pct"/>
                  <w:vMerge w:val="continue"/>
                  <w:vAlign w:val="center"/>
                </w:tcPr>
                <w:p w14:paraId="4063CFB5">
                  <w:pPr>
                    <w:pStyle w:val="45"/>
                    <w:wordWrap w:val="0"/>
                    <w:spacing w:line="240" w:lineRule="auto"/>
                    <w:ind w:firstLine="0" w:firstLineChars="0"/>
                    <w:jc w:val="center"/>
                    <w:rPr>
                      <w:sz w:val="21"/>
                      <w:szCs w:val="21"/>
                    </w:rPr>
                  </w:pPr>
                </w:p>
              </w:tc>
              <w:tc>
                <w:tcPr>
                  <w:tcW w:w="456" w:type="pct"/>
                  <w:vAlign w:val="center"/>
                </w:tcPr>
                <w:p w14:paraId="543632CF">
                  <w:pPr>
                    <w:wordWrap w:val="0"/>
                    <w:adjustRightInd w:val="0"/>
                    <w:snapToGrid w:val="0"/>
                    <w:jc w:val="center"/>
                  </w:pPr>
                  <w:r>
                    <w:rPr>
                      <w:rFonts w:hint="eastAsia"/>
                    </w:rPr>
                    <w:t>氮氧化物</w:t>
                  </w:r>
                </w:p>
              </w:tc>
              <w:tc>
                <w:tcPr>
                  <w:tcW w:w="604" w:type="pct"/>
                  <w:gridSpan w:val="2"/>
                  <w:vMerge w:val="continue"/>
                  <w:vAlign w:val="center"/>
                </w:tcPr>
                <w:p w14:paraId="2C4F5C40">
                  <w:pPr>
                    <w:wordWrap w:val="0"/>
                    <w:jc w:val="center"/>
                  </w:pPr>
                </w:p>
              </w:tc>
              <w:tc>
                <w:tcPr>
                  <w:tcW w:w="543" w:type="pct"/>
                  <w:vMerge w:val="continue"/>
                  <w:vAlign w:val="center"/>
                </w:tcPr>
                <w:p w14:paraId="0837B70F">
                  <w:pPr>
                    <w:wordWrap w:val="0"/>
                    <w:jc w:val="center"/>
                  </w:pPr>
                </w:p>
              </w:tc>
              <w:tc>
                <w:tcPr>
                  <w:tcW w:w="519" w:type="pct"/>
                  <w:vAlign w:val="center"/>
                </w:tcPr>
                <w:p w14:paraId="7710A28A">
                  <w:pPr>
                    <w:wordWrap w:val="0"/>
                    <w:jc w:val="center"/>
                  </w:pPr>
                  <w:r>
                    <w:rPr>
                      <w:rFonts w:hint="eastAsia"/>
                    </w:rPr>
                    <w:t>59.61</w:t>
                  </w:r>
                  <w:r>
                    <w:t>千克/万m</w:t>
                  </w:r>
                  <w:r>
                    <w:rPr>
                      <w:vertAlign w:val="superscript"/>
                    </w:rPr>
                    <w:t>3</w:t>
                  </w:r>
                  <w:r>
                    <w:t>燃料</w:t>
                  </w:r>
                </w:p>
              </w:tc>
              <w:tc>
                <w:tcPr>
                  <w:tcW w:w="433" w:type="pct"/>
                  <w:vAlign w:val="center"/>
                </w:tcPr>
                <w:p w14:paraId="7ADB1EC5">
                  <w:pPr>
                    <w:wordWrap w:val="0"/>
                    <w:jc w:val="center"/>
                  </w:pPr>
                  <w:r>
                    <w:rPr>
                      <w:rFonts w:hint="eastAsia"/>
                    </w:rPr>
                    <w:t>190.752kg/a</w:t>
                  </w:r>
                </w:p>
              </w:tc>
              <w:tc>
                <w:tcPr>
                  <w:tcW w:w="997" w:type="pct"/>
                  <w:vMerge w:val="continue"/>
                  <w:vAlign w:val="center"/>
                </w:tcPr>
                <w:p w14:paraId="6F5B4C6E">
                  <w:pPr>
                    <w:pStyle w:val="45"/>
                    <w:wordWrap w:val="0"/>
                    <w:spacing w:line="240" w:lineRule="auto"/>
                    <w:ind w:firstLine="0" w:firstLineChars="0"/>
                    <w:jc w:val="center"/>
                    <w:rPr>
                      <w:sz w:val="21"/>
                      <w:szCs w:val="21"/>
                    </w:rPr>
                  </w:pPr>
                </w:p>
              </w:tc>
              <w:tc>
                <w:tcPr>
                  <w:tcW w:w="527" w:type="pct"/>
                  <w:vMerge w:val="continue"/>
                  <w:vAlign w:val="center"/>
                </w:tcPr>
                <w:p w14:paraId="5B289C0B">
                  <w:pPr>
                    <w:pStyle w:val="45"/>
                    <w:wordWrap w:val="0"/>
                    <w:spacing w:line="240" w:lineRule="auto"/>
                    <w:ind w:firstLine="0" w:firstLineChars="0"/>
                    <w:jc w:val="center"/>
                    <w:rPr>
                      <w:sz w:val="21"/>
                      <w:szCs w:val="21"/>
                    </w:rPr>
                  </w:pPr>
                </w:p>
              </w:tc>
            </w:tr>
            <w:tr w14:paraId="0A19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340682B8">
                  <w:pPr>
                    <w:pStyle w:val="2"/>
                    <w:wordWrap w:val="0"/>
                    <w:spacing w:after="0"/>
                    <w:ind w:left="0" w:leftChars="0" w:firstLine="0" w:firstLineChars="0"/>
                    <w:jc w:val="center"/>
                  </w:pPr>
                </w:p>
              </w:tc>
              <w:tc>
                <w:tcPr>
                  <w:tcW w:w="397" w:type="pct"/>
                  <w:vMerge w:val="continue"/>
                  <w:vAlign w:val="center"/>
                </w:tcPr>
                <w:p w14:paraId="1069D6E9">
                  <w:pPr>
                    <w:pStyle w:val="45"/>
                    <w:wordWrap w:val="0"/>
                    <w:spacing w:line="240" w:lineRule="auto"/>
                    <w:ind w:firstLine="0" w:firstLineChars="0"/>
                    <w:jc w:val="center"/>
                    <w:rPr>
                      <w:sz w:val="21"/>
                      <w:szCs w:val="21"/>
                    </w:rPr>
                  </w:pPr>
                </w:p>
              </w:tc>
              <w:tc>
                <w:tcPr>
                  <w:tcW w:w="456" w:type="pct"/>
                  <w:vAlign w:val="center"/>
                </w:tcPr>
                <w:p w14:paraId="153594B4">
                  <w:pPr>
                    <w:wordWrap w:val="0"/>
                    <w:adjustRightInd w:val="0"/>
                    <w:snapToGrid w:val="0"/>
                    <w:jc w:val="center"/>
                  </w:pPr>
                  <w:r>
                    <w:rPr>
                      <w:rFonts w:hint="eastAsia"/>
                    </w:rPr>
                    <w:t>颗粒物</w:t>
                  </w:r>
                </w:p>
              </w:tc>
              <w:tc>
                <w:tcPr>
                  <w:tcW w:w="604" w:type="pct"/>
                  <w:gridSpan w:val="2"/>
                  <w:vMerge w:val="continue"/>
                  <w:vAlign w:val="center"/>
                </w:tcPr>
                <w:p w14:paraId="6E7F51BC">
                  <w:pPr>
                    <w:wordWrap w:val="0"/>
                    <w:jc w:val="center"/>
                  </w:pPr>
                </w:p>
              </w:tc>
              <w:tc>
                <w:tcPr>
                  <w:tcW w:w="543" w:type="pct"/>
                  <w:vMerge w:val="continue"/>
                  <w:vAlign w:val="center"/>
                </w:tcPr>
                <w:p w14:paraId="2BFCD8CF">
                  <w:pPr>
                    <w:wordWrap w:val="0"/>
                    <w:jc w:val="center"/>
                  </w:pPr>
                </w:p>
              </w:tc>
              <w:tc>
                <w:tcPr>
                  <w:tcW w:w="519" w:type="pct"/>
                  <w:vAlign w:val="center"/>
                </w:tcPr>
                <w:p w14:paraId="0AC88D3D">
                  <w:pPr>
                    <w:wordWrap w:val="0"/>
                    <w:jc w:val="center"/>
                  </w:pPr>
                  <w:r>
                    <w:t>2.86千克/万m</w:t>
                  </w:r>
                  <w:r>
                    <w:rPr>
                      <w:vertAlign w:val="superscript"/>
                    </w:rPr>
                    <w:t>3</w:t>
                  </w:r>
                  <w:r>
                    <w:t>燃料</w:t>
                  </w:r>
                </w:p>
              </w:tc>
              <w:tc>
                <w:tcPr>
                  <w:tcW w:w="433" w:type="pct"/>
                  <w:vAlign w:val="center"/>
                </w:tcPr>
                <w:p w14:paraId="056A8D45">
                  <w:pPr>
                    <w:wordWrap w:val="0"/>
                    <w:jc w:val="center"/>
                  </w:pPr>
                  <w:r>
                    <w:rPr>
                      <w:rFonts w:hint="eastAsia"/>
                    </w:rPr>
                    <w:t>9.152kg/a</w:t>
                  </w:r>
                </w:p>
              </w:tc>
              <w:tc>
                <w:tcPr>
                  <w:tcW w:w="997" w:type="pct"/>
                  <w:vMerge w:val="continue"/>
                  <w:vAlign w:val="center"/>
                </w:tcPr>
                <w:p w14:paraId="2145726D">
                  <w:pPr>
                    <w:wordWrap w:val="0"/>
                    <w:jc w:val="center"/>
                  </w:pPr>
                </w:p>
              </w:tc>
              <w:tc>
                <w:tcPr>
                  <w:tcW w:w="527" w:type="pct"/>
                  <w:vMerge w:val="continue"/>
                  <w:vAlign w:val="center"/>
                </w:tcPr>
                <w:p w14:paraId="3C45FBD2">
                  <w:pPr>
                    <w:wordWrap w:val="0"/>
                    <w:jc w:val="center"/>
                  </w:pPr>
                </w:p>
              </w:tc>
            </w:tr>
            <w:tr w14:paraId="56BD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23" w:type="pct"/>
                  <w:vMerge w:val="continue"/>
                  <w:vAlign w:val="center"/>
                </w:tcPr>
                <w:p w14:paraId="1844FB04">
                  <w:pPr>
                    <w:pStyle w:val="2"/>
                    <w:wordWrap w:val="0"/>
                    <w:spacing w:after="0"/>
                    <w:ind w:left="0" w:leftChars="0" w:firstLine="0" w:firstLineChars="0"/>
                    <w:jc w:val="center"/>
                  </w:pPr>
                </w:p>
              </w:tc>
              <w:tc>
                <w:tcPr>
                  <w:tcW w:w="397" w:type="pct"/>
                  <w:vMerge w:val="continue"/>
                  <w:vAlign w:val="center"/>
                </w:tcPr>
                <w:p w14:paraId="7E4819A4">
                  <w:pPr>
                    <w:pStyle w:val="45"/>
                    <w:wordWrap w:val="0"/>
                    <w:spacing w:line="240" w:lineRule="auto"/>
                    <w:ind w:firstLine="0" w:firstLineChars="0"/>
                    <w:jc w:val="center"/>
                    <w:rPr>
                      <w:sz w:val="21"/>
                      <w:szCs w:val="21"/>
                    </w:rPr>
                  </w:pPr>
                </w:p>
              </w:tc>
              <w:tc>
                <w:tcPr>
                  <w:tcW w:w="4079" w:type="pct"/>
                  <w:gridSpan w:val="8"/>
                  <w:vAlign w:val="center"/>
                </w:tcPr>
                <w:p w14:paraId="2D595998">
                  <w:pPr>
                    <w:pStyle w:val="54"/>
                    <w:wordWrap w:val="0"/>
                    <w:spacing w:line="240" w:lineRule="auto"/>
                    <w:ind w:firstLine="0" w:firstLineChars="0"/>
                    <w:jc w:val="center"/>
                    <w:rPr>
                      <w:color w:val="auto"/>
                      <w:sz w:val="21"/>
                      <w:szCs w:val="24"/>
                    </w:rPr>
                  </w:pPr>
                  <w:r>
                    <w:rPr>
                      <w:rFonts w:hint="eastAsia"/>
                      <w:color w:val="auto"/>
                      <w:sz w:val="21"/>
                      <w:szCs w:val="24"/>
                    </w:rPr>
                    <w:t>当燃料为天然气时</w:t>
                  </w:r>
                </w:p>
              </w:tc>
            </w:tr>
            <w:tr w14:paraId="2F19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1CEBA6C9">
                  <w:pPr>
                    <w:pStyle w:val="2"/>
                    <w:wordWrap w:val="0"/>
                    <w:spacing w:after="0"/>
                    <w:ind w:left="0" w:leftChars="0" w:firstLine="0" w:firstLineChars="0"/>
                    <w:jc w:val="center"/>
                  </w:pPr>
                </w:p>
              </w:tc>
              <w:tc>
                <w:tcPr>
                  <w:tcW w:w="397" w:type="pct"/>
                  <w:vMerge w:val="continue"/>
                  <w:vAlign w:val="center"/>
                </w:tcPr>
                <w:p w14:paraId="719EE585">
                  <w:pPr>
                    <w:pStyle w:val="45"/>
                    <w:wordWrap w:val="0"/>
                    <w:spacing w:line="240" w:lineRule="auto"/>
                    <w:ind w:firstLine="0" w:firstLineChars="0"/>
                    <w:jc w:val="center"/>
                    <w:rPr>
                      <w:sz w:val="21"/>
                      <w:szCs w:val="21"/>
                    </w:rPr>
                  </w:pPr>
                </w:p>
              </w:tc>
              <w:tc>
                <w:tcPr>
                  <w:tcW w:w="456" w:type="pct"/>
                  <w:vAlign w:val="center"/>
                </w:tcPr>
                <w:p w14:paraId="4BEFC18C">
                  <w:pPr>
                    <w:wordWrap w:val="0"/>
                    <w:adjustRightInd w:val="0"/>
                    <w:snapToGrid w:val="0"/>
                    <w:jc w:val="center"/>
                  </w:pPr>
                  <w:r>
                    <w:rPr>
                      <w:rFonts w:hint="eastAsia"/>
                    </w:rPr>
                    <w:t>废气量</w:t>
                  </w:r>
                </w:p>
              </w:tc>
              <w:tc>
                <w:tcPr>
                  <w:tcW w:w="604" w:type="pct"/>
                  <w:gridSpan w:val="2"/>
                  <w:vMerge w:val="restart"/>
                  <w:vAlign w:val="center"/>
                </w:tcPr>
                <w:p w14:paraId="071AB3D2">
                  <w:pPr>
                    <w:pStyle w:val="2"/>
                    <w:wordWrap w:val="0"/>
                    <w:spacing w:after="0"/>
                    <w:ind w:left="0" w:leftChars="0" w:firstLine="0" w:firstLineChars="0"/>
                    <w:jc w:val="center"/>
                  </w:pPr>
                  <w:r>
                    <w:rPr>
                      <w:rFonts w:hint="eastAsia"/>
                    </w:rPr>
                    <w:t>产污系数法</w:t>
                  </w:r>
                </w:p>
              </w:tc>
              <w:tc>
                <w:tcPr>
                  <w:tcW w:w="543" w:type="pct"/>
                  <w:vMerge w:val="restart"/>
                  <w:vAlign w:val="center"/>
                </w:tcPr>
                <w:p w14:paraId="323597CF">
                  <w:pPr>
                    <w:pStyle w:val="2"/>
                    <w:wordWrap w:val="0"/>
                    <w:spacing w:after="0"/>
                    <w:ind w:left="0" w:leftChars="0" w:firstLine="0" w:firstLineChars="0"/>
                    <w:jc w:val="center"/>
                  </w:pPr>
                  <w:r>
                    <w:rPr>
                      <w:rFonts w:hint="eastAsia"/>
                    </w:rPr>
                    <w:t>4</w:t>
                  </w:r>
                  <w:r>
                    <w:t>万m</w:t>
                  </w:r>
                  <w:r>
                    <w:rPr>
                      <w:vertAlign w:val="superscript"/>
                    </w:rPr>
                    <w:t>3</w:t>
                  </w:r>
                  <w:r>
                    <w:t>燃料</w:t>
                  </w:r>
                </w:p>
              </w:tc>
              <w:tc>
                <w:tcPr>
                  <w:tcW w:w="519" w:type="pct"/>
                  <w:vAlign w:val="center"/>
                </w:tcPr>
                <w:p w14:paraId="1ECEAD73">
                  <w:pPr>
                    <w:pStyle w:val="2"/>
                    <w:wordWrap w:val="0"/>
                    <w:spacing w:after="0"/>
                    <w:ind w:left="0" w:leftChars="0" w:firstLine="0" w:firstLineChars="0"/>
                    <w:jc w:val="center"/>
                  </w:pPr>
                  <w:r>
                    <w:t>136259.17Nm</w:t>
                  </w:r>
                  <w:r>
                    <w:rPr>
                      <w:vertAlign w:val="superscript"/>
                    </w:rPr>
                    <w:t>3</w:t>
                  </w:r>
                  <w:r>
                    <w:t>/万m</w:t>
                  </w:r>
                  <w:r>
                    <w:rPr>
                      <w:vertAlign w:val="superscript"/>
                    </w:rPr>
                    <w:t>3</w:t>
                  </w:r>
                  <w:r>
                    <w:t>-原料</w:t>
                  </w:r>
                </w:p>
              </w:tc>
              <w:tc>
                <w:tcPr>
                  <w:tcW w:w="433" w:type="pct"/>
                  <w:vAlign w:val="center"/>
                </w:tcPr>
                <w:p w14:paraId="5849CB60">
                  <w:pPr>
                    <w:pStyle w:val="2"/>
                    <w:wordWrap w:val="0"/>
                    <w:spacing w:after="0"/>
                    <w:ind w:left="0" w:leftChars="0" w:firstLine="0" w:firstLineChars="0"/>
                    <w:jc w:val="center"/>
                  </w:pPr>
                  <w:r>
                    <w:rPr>
                      <w:rFonts w:hint="eastAsia"/>
                    </w:rPr>
                    <w:t>5450.36.68 Nm</w:t>
                  </w:r>
                  <w:r>
                    <w:rPr>
                      <w:rFonts w:hint="eastAsia"/>
                      <w:vertAlign w:val="superscript"/>
                    </w:rPr>
                    <w:t>3</w:t>
                  </w:r>
                </w:p>
              </w:tc>
              <w:tc>
                <w:tcPr>
                  <w:tcW w:w="997" w:type="pct"/>
                  <w:vMerge w:val="restart"/>
                  <w:vAlign w:val="center"/>
                </w:tcPr>
                <w:p w14:paraId="2C6A8005">
                  <w:pPr>
                    <w:wordWrap w:val="0"/>
                    <w:jc w:val="center"/>
                  </w:pPr>
                  <w:r>
                    <w:rPr>
                      <w:rFonts w:hint="eastAsia"/>
                    </w:rPr>
                    <w:t>低氮燃烧器TA012</w:t>
                  </w:r>
                </w:p>
              </w:tc>
              <w:tc>
                <w:tcPr>
                  <w:tcW w:w="527" w:type="pct"/>
                  <w:vMerge w:val="restart"/>
                  <w:vAlign w:val="center"/>
                </w:tcPr>
                <w:p w14:paraId="0D3CF1A0">
                  <w:pPr>
                    <w:wordWrap w:val="0"/>
                    <w:jc w:val="center"/>
                  </w:pPr>
                  <w:r>
                    <w:rPr>
                      <w:rFonts w:hint="eastAsia"/>
                      <w:szCs w:val="21"/>
                    </w:rPr>
                    <w:t>本项目烘干工序共计2个烘箱，故核算各按1/2进行计算。</w:t>
                  </w:r>
                </w:p>
              </w:tc>
            </w:tr>
            <w:tr w14:paraId="4CBE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5A884568">
                  <w:pPr>
                    <w:pStyle w:val="2"/>
                    <w:wordWrap w:val="0"/>
                    <w:spacing w:after="0"/>
                    <w:ind w:left="0" w:leftChars="0" w:firstLine="0" w:firstLineChars="0"/>
                    <w:jc w:val="center"/>
                  </w:pPr>
                </w:p>
              </w:tc>
              <w:tc>
                <w:tcPr>
                  <w:tcW w:w="397" w:type="pct"/>
                  <w:vMerge w:val="continue"/>
                  <w:vAlign w:val="center"/>
                </w:tcPr>
                <w:p w14:paraId="653CB500">
                  <w:pPr>
                    <w:pStyle w:val="45"/>
                    <w:wordWrap w:val="0"/>
                    <w:spacing w:line="240" w:lineRule="auto"/>
                    <w:ind w:firstLine="0" w:firstLineChars="0"/>
                    <w:jc w:val="center"/>
                    <w:rPr>
                      <w:sz w:val="21"/>
                      <w:szCs w:val="21"/>
                    </w:rPr>
                  </w:pPr>
                </w:p>
              </w:tc>
              <w:tc>
                <w:tcPr>
                  <w:tcW w:w="456" w:type="pct"/>
                  <w:vAlign w:val="center"/>
                </w:tcPr>
                <w:p w14:paraId="5EBF7AB7">
                  <w:pPr>
                    <w:wordWrap w:val="0"/>
                    <w:adjustRightInd w:val="0"/>
                    <w:snapToGrid w:val="0"/>
                    <w:jc w:val="center"/>
                  </w:pPr>
                  <w:r>
                    <w:rPr>
                      <w:rFonts w:hint="eastAsia"/>
                    </w:rPr>
                    <w:t>二氧化硫</w:t>
                  </w:r>
                </w:p>
              </w:tc>
              <w:tc>
                <w:tcPr>
                  <w:tcW w:w="604" w:type="pct"/>
                  <w:gridSpan w:val="2"/>
                  <w:vMerge w:val="continue"/>
                  <w:vAlign w:val="center"/>
                </w:tcPr>
                <w:p w14:paraId="6E00207F">
                  <w:pPr>
                    <w:pStyle w:val="2"/>
                    <w:wordWrap w:val="0"/>
                    <w:spacing w:after="0"/>
                    <w:ind w:left="0" w:leftChars="0" w:firstLine="0" w:firstLineChars="0"/>
                    <w:jc w:val="center"/>
                  </w:pPr>
                </w:p>
              </w:tc>
              <w:tc>
                <w:tcPr>
                  <w:tcW w:w="543" w:type="pct"/>
                  <w:vMerge w:val="continue"/>
                  <w:vAlign w:val="center"/>
                </w:tcPr>
                <w:p w14:paraId="54605B77">
                  <w:pPr>
                    <w:pStyle w:val="2"/>
                    <w:wordWrap w:val="0"/>
                    <w:spacing w:after="0"/>
                    <w:ind w:left="0" w:leftChars="0" w:firstLine="0" w:firstLineChars="0"/>
                    <w:jc w:val="center"/>
                  </w:pPr>
                </w:p>
              </w:tc>
              <w:tc>
                <w:tcPr>
                  <w:tcW w:w="519" w:type="pct"/>
                  <w:vAlign w:val="center"/>
                </w:tcPr>
                <w:p w14:paraId="4F4AF898">
                  <w:pPr>
                    <w:pStyle w:val="2"/>
                    <w:wordWrap w:val="0"/>
                    <w:spacing w:after="0"/>
                    <w:ind w:left="0" w:leftChars="0" w:firstLine="0" w:firstLineChars="0"/>
                    <w:jc w:val="center"/>
                  </w:pPr>
                  <w:r>
                    <w:t>0.02S</w:t>
                  </w:r>
                  <w:r>
                    <w:rPr>
                      <w:rFonts w:hAnsi="宋体"/>
                    </w:rPr>
                    <w:t>①</w:t>
                  </w:r>
                  <w:r>
                    <w:t>千克/万m</w:t>
                  </w:r>
                  <w:r>
                    <w:rPr>
                      <w:vertAlign w:val="superscript"/>
                    </w:rPr>
                    <w:t>3</w:t>
                  </w:r>
                  <w:r>
                    <w:t>燃料</w:t>
                  </w:r>
                </w:p>
              </w:tc>
              <w:tc>
                <w:tcPr>
                  <w:tcW w:w="433" w:type="pct"/>
                  <w:vAlign w:val="center"/>
                </w:tcPr>
                <w:p w14:paraId="6A2735A6">
                  <w:pPr>
                    <w:wordWrap w:val="0"/>
                    <w:jc w:val="center"/>
                  </w:pPr>
                  <w:r>
                    <w:rPr>
                      <w:rFonts w:hint="eastAsia"/>
                    </w:rPr>
                    <w:t>16kg/a</w:t>
                  </w:r>
                </w:p>
              </w:tc>
              <w:tc>
                <w:tcPr>
                  <w:tcW w:w="997" w:type="pct"/>
                  <w:vMerge w:val="continue"/>
                  <w:vAlign w:val="center"/>
                </w:tcPr>
                <w:p w14:paraId="36C451B3">
                  <w:pPr>
                    <w:wordWrap w:val="0"/>
                    <w:jc w:val="center"/>
                  </w:pPr>
                </w:p>
              </w:tc>
              <w:tc>
                <w:tcPr>
                  <w:tcW w:w="527" w:type="pct"/>
                  <w:vMerge w:val="continue"/>
                  <w:vAlign w:val="center"/>
                </w:tcPr>
                <w:p w14:paraId="0D3264D2">
                  <w:pPr>
                    <w:wordWrap w:val="0"/>
                    <w:jc w:val="center"/>
                  </w:pPr>
                </w:p>
              </w:tc>
            </w:tr>
            <w:tr w14:paraId="6D3E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22416CCC">
                  <w:pPr>
                    <w:pStyle w:val="2"/>
                    <w:wordWrap w:val="0"/>
                    <w:spacing w:after="0"/>
                    <w:ind w:left="0" w:leftChars="0" w:firstLine="0" w:firstLineChars="0"/>
                    <w:jc w:val="center"/>
                  </w:pPr>
                </w:p>
              </w:tc>
              <w:tc>
                <w:tcPr>
                  <w:tcW w:w="397" w:type="pct"/>
                  <w:vMerge w:val="continue"/>
                  <w:vAlign w:val="center"/>
                </w:tcPr>
                <w:p w14:paraId="6FDBAF44">
                  <w:pPr>
                    <w:pStyle w:val="45"/>
                    <w:wordWrap w:val="0"/>
                    <w:spacing w:line="240" w:lineRule="auto"/>
                    <w:ind w:firstLine="0" w:firstLineChars="0"/>
                    <w:jc w:val="center"/>
                    <w:rPr>
                      <w:sz w:val="21"/>
                      <w:szCs w:val="21"/>
                    </w:rPr>
                  </w:pPr>
                </w:p>
              </w:tc>
              <w:tc>
                <w:tcPr>
                  <w:tcW w:w="456" w:type="pct"/>
                  <w:vAlign w:val="center"/>
                </w:tcPr>
                <w:p w14:paraId="16D37E17">
                  <w:pPr>
                    <w:wordWrap w:val="0"/>
                    <w:adjustRightInd w:val="0"/>
                    <w:snapToGrid w:val="0"/>
                    <w:jc w:val="center"/>
                  </w:pPr>
                  <w:r>
                    <w:rPr>
                      <w:rFonts w:hint="eastAsia"/>
                    </w:rPr>
                    <w:t>氮氧化物</w:t>
                  </w:r>
                </w:p>
              </w:tc>
              <w:tc>
                <w:tcPr>
                  <w:tcW w:w="604" w:type="pct"/>
                  <w:gridSpan w:val="2"/>
                  <w:vMerge w:val="continue"/>
                  <w:vAlign w:val="center"/>
                </w:tcPr>
                <w:p w14:paraId="35AF078B">
                  <w:pPr>
                    <w:pStyle w:val="2"/>
                    <w:wordWrap w:val="0"/>
                    <w:spacing w:after="0"/>
                    <w:ind w:left="0" w:leftChars="0" w:firstLine="0" w:firstLineChars="0"/>
                    <w:jc w:val="center"/>
                  </w:pPr>
                </w:p>
              </w:tc>
              <w:tc>
                <w:tcPr>
                  <w:tcW w:w="543" w:type="pct"/>
                  <w:vMerge w:val="continue"/>
                  <w:vAlign w:val="center"/>
                </w:tcPr>
                <w:p w14:paraId="7EC0EEAD">
                  <w:pPr>
                    <w:pStyle w:val="2"/>
                    <w:wordWrap w:val="0"/>
                    <w:spacing w:after="0"/>
                    <w:ind w:left="0" w:leftChars="0" w:firstLine="0" w:firstLineChars="0"/>
                    <w:jc w:val="center"/>
                  </w:pPr>
                </w:p>
              </w:tc>
              <w:tc>
                <w:tcPr>
                  <w:tcW w:w="519" w:type="pct"/>
                  <w:vAlign w:val="center"/>
                </w:tcPr>
                <w:p w14:paraId="1E16197F">
                  <w:pPr>
                    <w:pStyle w:val="2"/>
                    <w:wordWrap w:val="0"/>
                    <w:spacing w:after="0"/>
                    <w:ind w:left="0" w:leftChars="0" w:firstLine="0" w:firstLineChars="0"/>
                    <w:jc w:val="center"/>
                  </w:pPr>
                  <w:r>
                    <w:t>9.36千克/万m</w:t>
                  </w:r>
                  <w:r>
                    <w:rPr>
                      <w:vertAlign w:val="superscript"/>
                    </w:rPr>
                    <w:t>3</w:t>
                  </w:r>
                  <w:r>
                    <w:t>燃料</w:t>
                  </w:r>
                </w:p>
              </w:tc>
              <w:tc>
                <w:tcPr>
                  <w:tcW w:w="433" w:type="pct"/>
                  <w:vAlign w:val="center"/>
                </w:tcPr>
                <w:p w14:paraId="556E97E8">
                  <w:pPr>
                    <w:wordWrap w:val="0"/>
                    <w:jc w:val="center"/>
                  </w:pPr>
                  <w:r>
                    <w:rPr>
                      <w:rFonts w:hint="eastAsia"/>
                    </w:rPr>
                    <w:t>37.44kg/a</w:t>
                  </w:r>
                </w:p>
              </w:tc>
              <w:tc>
                <w:tcPr>
                  <w:tcW w:w="997" w:type="pct"/>
                  <w:vMerge w:val="continue"/>
                  <w:vAlign w:val="center"/>
                </w:tcPr>
                <w:p w14:paraId="340D6CE3">
                  <w:pPr>
                    <w:wordWrap w:val="0"/>
                    <w:jc w:val="center"/>
                  </w:pPr>
                </w:p>
              </w:tc>
              <w:tc>
                <w:tcPr>
                  <w:tcW w:w="527" w:type="pct"/>
                  <w:vMerge w:val="continue"/>
                  <w:vAlign w:val="center"/>
                </w:tcPr>
                <w:p w14:paraId="3CBDED1C">
                  <w:pPr>
                    <w:wordWrap w:val="0"/>
                    <w:jc w:val="center"/>
                  </w:pPr>
                </w:p>
              </w:tc>
            </w:tr>
            <w:tr w14:paraId="1CF9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3" w:type="pct"/>
                  <w:vMerge w:val="continue"/>
                  <w:vAlign w:val="center"/>
                </w:tcPr>
                <w:p w14:paraId="030032B2">
                  <w:pPr>
                    <w:pStyle w:val="2"/>
                    <w:wordWrap w:val="0"/>
                    <w:spacing w:after="0"/>
                    <w:ind w:left="0" w:leftChars="0" w:firstLine="0" w:firstLineChars="0"/>
                    <w:jc w:val="center"/>
                  </w:pPr>
                </w:p>
              </w:tc>
              <w:tc>
                <w:tcPr>
                  <w:tcW w:w="397" w:type="pct"/>
                  <w:vMerge w:val="continue"/>
                  <w:vAlign w:val="center"/>
                </w:tcPr>
                <w:p w14:paraId="395C3FB2">
                  <w:pPr>
                    <w:pStyle w:val="45"/>
                    <w:wordWrap w:val="0"/>
                    <w:spacing w:line="240" w:lineRule="auto"/>
                    <w:ind w:firstLine="0" w:firstLineChars="0"/>
                    <w:jc w:val="center"/>
                    <w:rPr>
                      <w:sz w:val="21"/>
                      <w:szCs w:val="21"/>
                    </w:rPr>
                  </w:pPr>
                </w:p>
              </w:tc>
              <w:tc>
                <w:tcPr>
                  <w:tcW w:w="456" w:type="pct"/>
                  <w:vAlign w:val="center"/>
                </w:tcPr>
                <w:p w14:paraId="709999DC">
                  <w:pPr>
                    <w:wordWrap w:val="0"/>
                    <w:adjustRightInd w:val="0"/>
                    <w:snapToGrid w:val="0"/>
                    <w:jc w:val="center"/>
                  </w:pPr>
                  <w:r>
                    <w:rPr>
                      <w:rFonts w:hint="eastAsia"/>
                    </w:rPr>
                    <w:t>颗粒物</w:t>
                  </w:r>
                </w:p>
              </w:tc>
              <w:tc>
                <w:tcPr>
                  <w:tcW w:w="604" w:type="pct"/>
                  <w:gridSpan w:val="2"/>
                  <w:vMerge w:val="continue"/>
                  <w:vAlign w:val="center"/>
                </w:tcPr>
                <w:p w14:paraId="5282A64A">
                  <w:pPr>
                    <w:pStyle w:val="2"/>
                    <w:wordWrap w:val="0"/>
                    <w:spacing w:after="0"/>
                    <w:ind w:left="0" w:leftChars="0" w:firstLine="0" w:firstLineChars="0"/>
                    <w:jc w:val="center"/>
                  </w:pPr>
                </w:p>
              </w:tc>
              <w:tc>
                <w:tcPr>
                  <w:tcW w:w="543" w:type="pct"/>
                  <w:vMerge w:val="continue"/>
                  <w:vAlign w:val="center"/>
                </w:tcPr>
                <w:p w14:paraId="5E2F06DF">
                  <w:pPr>
                    <w:pStyle w:val="2"/>
                    <w:wordWrap w:val="0"/>
                    <w:spacing w:after="0"/>
                    <w:ind w:left="0" w:leftChars="0" w:firstLine="0" w:firstLineChars="0"/>
                    <w:jc w:val="center"/>
                  </w:pPr>
                </w:p>
              </w:tc>
              <w:tc>
                <w:tcPr>
                  <w:tcW w:w="519" w:type="pct"/>
                  <w:vAlign w:val="center"/>
                </w:tcPr>
                <w:p w14:paraId="429F7DD6">
                  <w:pPr>
                    <w:pStyle w:val="2"/>
                    <w:wordWrap w:val="0"/>
                    <w:spacing w:after="0"/>
                    <w:ind w:left="0" w:leftChars="0" w:firstLine="0" w:firstLineChars="0"/>
                    <w:jc w:val="center"/>
                  </w:pPr>
                  <w:r>
                    <w:t>2.86千克/万m</w:t>
                  </w:r>
                  <w:r>
                    <w:rPr>
                      <w:vertAlign w:val="superscript"/>
                    </w:rPr>
                    <w:t>3</w:t>
                  </w:r>
                  <w:r>
                    <w:t>燃料</w:t>
                  </w:r>
                </w:p>
              </w:tc>
              <w:tc>
                <w:tcPr>
                  <w:tcW w:w="433" w:type="pct"/>
                  <w:vAlign w:val="center"/>
                </w:tcPr>
                <w:p w14:paraId="46F3E1D3">
                  <w:pPr>
                    <w:wordWrap w:val="0"/>
                    <w:jc w:val="center"/>
                  </w:pPr>
                  <w:r>
                    <w:rPr>
                      <w:rFonts w:hint="eastAsia"/>
                    </w:rPr>
                    <w:t>11.44kg/a</w:t>
                  </w:r>
                </w:p>
              </w:tc>
              <w:tc>
                <w:tcPr>
                  <w:tcW w:w="997" w:type="pct"/>
                  <w:vMerge w:val="continue"/>
                  <w:tcBorders>
                    <w:bottom w:val="nil"/>
                  </w:tcBorders>
                  <w:vAlign w:val="center"/>
                </w:tcPr>
                <w:p w14:paraId="64C5A016">
                  <w:pPr>
                    <w:wordWrap w:val="0"/>
                    <w:jc w:val="center"/>
                  </w:pPr>
                </w:p>
              </w:tc>
              <w:tc>
                <w:tcPr>
                  <w:tcW w:w="527" w:type="pct"/>
                  <w:vMerge w:val="continue"/>
                  <w:tcBorders>
                    <w:bottom w:val="nil"/>
                  </w:tcBorders>
                  <w:vAlign w:val="center"/>
                </w:tcPr>
                <w:p w14:paraId="5E21FB53">
                  <w:pPr>
                    <w:wordWrap w:val="0"/>
                    <w:jc w:val="center"/>
                  </w:pPr>
                </w:p>
              </w:tc>
            </w:tr>
            <w:tr w14:paraId="1257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restart"/>
                  <w:vAlign w:val="center"/>
                </w:tcPr>
                <w:p w14:paraId="1C6EA527">
                  <w:pPr>
                    <w:pStyle w:val="2"/>
                    <w:wordWrap w:val="0"/>
                    <w:spacing w:after="0"/>
                    <w:ind w:left="0" w:leftChars="0" w:firstLine="0" w:firstLineChars="0"/>
                    <w:jc w:val="center"/>
                  </w:pPr>
                  <w:r>
                    <w:rPr>
                      <w:rFonts w:hint="eastAsia"/>
                    </w:rPr>
                    <w:t>半</w:t>
                  </w:r>
                  <w:r>
                    <w:t>自动箱式喷涂流水线</w:t>
                  </w:r>
                </w:p>
                <w:p w14:paraId="0CA9B0B9">
                  <w:pPr>
                    <w:pStyle w:val="2"/>
                    <w:wordWrap w:val="0"/>
                    <w:jc w:val="center"/>
                  </w:pPr>
                  <w:r>
                    <w:t>半</w:t>
                  </w:r>
                </w:p>
              </w:tc>
              <w:tc>
                <w:tcPr>
                  <w:tcW w:w="397" w:type="pct"/>
                  <w:vAlign w:val="center"/>
                </w:tcPr>
                <w:p w14:paraId="12CBFE9C">
                  <w:pPr>
                    <w:pStyle w:val="45"/>
                    <w:wordWrap w:val="0"/>
                    <w:spacing w:line="240" w:lineRule="auto"/>
                    <w:ind w:firstLine="0" w:firstLineChars="0"/>
                    <w:jc w:val="center"/>
                    <w:rPr>
                      <w:sz w:val="21"/>
                      <w:szCs w:val="21"/>
                    </w:rPr>
                  </w:pPr>
                  <w:r>
                    <w:rPr>
                      <w:rFonts w:hint="eastAsia"/>
                      <w:sz w:val="21"/>
                      <w:szCs w:val="21"/>
                    </w:rPr>
                    <w:t>喷粉房4</w:t>
                  </w:r>
                </w:p>
              </w:tc>
              <w:tc>
                <w:tcPr>
                  <w:tcW w:w="456" w:type="pct"/>
                  <w:vAlign w:val="center"/>
                </w:tcPr>
                <w:p w14:paraId="45647373">
                  <w:pPr>
                    <w:wordWrap w:val="0"/>
                    <w:adjustRightInd w:val="0"/>
                    <w:snapToGrid w:val="0"/>
                    <w:jc w:val="center"/>
                  </w:pPr>
                  <w:r>
                    <w:rPr>
                      <w:rFonts w:hint="eastAsia"/>
                    </w:rPr>
                    <w:t>颗粒物</w:t>
                  </w:r>
                </w:p>
              </w:tc>
              <w:tc>
                <w:tcPr>
                  <w:tcW w:w="604" w:type="pct"/>
                  <w:gridSpan w:val="2"/>
                  <w:vMerge w:val="restart"/>
                  <w:vAlign w:val="center"/>
                </w:tcPr>
                <w:p w14:paraId="409E70FC">
                  <w:pPr>
                    <w:pStyle w:val="2"/>
                    <w:wordWrap w:val="0"/>
                    <w:spacing w:after="0"/>
                    <w:ind w:left="0" w:leftChars="0" w:firstLine="0" w:firstLineChars="0"/>
                    <w:jc w:val="center"/>
                  </w:pPr>
                  <w:r>
                    <w:rPr>
                      <w:rFonts w:hint="eastAsia"/>
                    </w:rPr>
                    <w:t>产污系数法</w:t>
                  </w:r>
                </w:p>
              </w:tc>
              <w:tc>
                <w:tcPr>
                  <w:tcW w:w="543" w:type="pct"/>
                  <w:vAlign w:val="center"/>
                </w:tcPr>
                <w:p w14:paraId="52E26FAA">
                  <w:pPr>
                    <w:pStyle w:val="2"/>
                    <w:wordWrap w:val="0"/>
                    <w:spacing w:after="0"/>
                    <w:ind w:left="0" w:leftChars="0" w:firstLine="0" w:firstLineChars="0"/>
                    <w:jc w:val="center"/>
                  </w:pPr>
                  <w:r>
                    <w:rPr>
                      <w:rFonts w:hint="eastAsia"/>
                    </w:rPr>
                    <w:t>塑粉用量10t</w:t>
                  </w:r>
                </w:p>
              </w:tc>
              <w:tc>
                <w:tcPr>
                  <w:tcW w:w="519" w:type="pct"/>
                  <w:vAlign w:val="center"/>
                </w:tcPr>
                <w:p w14:paraId="4104672B">
                  <w:pPr>
                    <w:wordWrap w:val="0"/>
                    <w:jc w:val="center"/>
                  </w:pPr>
                  <w:r>
                    <w:rPr>
                      <w:rFonts w:hint="eastAsia"/>
                    </w:rPr>
                    <w:t>300kg/t原料</w:t>
                  </w:r>
                </w:p>
              </w:tc>
              <w:tc>
                <w:tcPr>
                  <w:tcW w:w="433" w:type="pct"/>
                  <w:vAlign w:val="center"/>
                </w:tcPr>
                <w:p w14:paraId="3E2DFC87">
                  <w:pPr>
                    <w:wordWrap w:val="0"/>
                    <w:jc w:val="center"/>
                  </w:pPr>
                  <w:r>
                    <w:rPr>
                      <w:rFonts w:hint="eastAsia"/>
                    </w:rPr>
                    <w:t>3t/a</w:t>
                  </w:r>
                </w:p>
              </w:tc>
              <w:tc>
                <w:tcPr>
                  <w:tcW w:w="997" w:type="pct"/>
                  <w:vAlign w:val="center"/>
                </w:tcPr>
                <w:p w14:paraId="57FA7203">
                  <w:pPr>
                    <w:wordWrap w:val="0"/>
                    <w:jc w:val="center"/>
                  </w:pPr>
                  <w:r>
                    <w:rPr>
                      <w:rFonts w:hint="eastAsia"/>
                      <w:szCs w:val="21"/>
                    </w:rPr>
                    <w:t>滤筒除尘器+纳米覆膜滤筒除尘器TA013</w:t>
                  </w:r>
                </w:p>
              </w:tc>
              <w:tc>
                <w:tcPr>
                  <w:tcW w:w="527" w:type="pct"/>
                  <w:vAlign w:val="center"/>
                </w:tcPr>
                <w:p w14:paraId="761CFB14">
                  <w:pPr>
                    <w:pStyle w:val="45"/>
                    <w:wordWrap w:val="0"/>
                    <w:spacing w:line="240" w:lineRule="auto"/>
                    <w:ind w:firstLine="0" w:firstLineChars="0"/>
                    <w:jc w:val="center"/>
                    <w:rPr>
                      <w:sz w:val="21"/>
                      <w:szCs w:val="21"/>
                    </w:rPr>
                  </w:pPr>
                  <w:r>
                    <w:rPr>
                      <w:rFonts w:hint="eastAsia"/>
                      <w:sz w:val="21"/>
                      <w:szCs w:val="21"/>
                    </w:rPr>
                    <w:t>本项目喷涂工序共计5个喷粉位，故核算各按1/5进行计算。</w:t>
                  </w:r>
                </w:p>
              </w:tc>
            </w:tr>
            <w:tr w14:paraId="79E3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3490FC4E">
                  <w:pPr>
                    <w:pStyle w:val="2"/>
                    <w:wordWrap w:val="0"/>
                    <w:jc w:val="center"/>
                  </w:pPr>
                </w:p>
              </w:tc>
              <w:tc>
                <w:tcPr>
                  <w:tcW w:w="397" w:type="pct"/>
                  <w:vMerge w:val="restart"/>
                  <w:vAlign w:val="center"/>
                </w:tcPr>
                <w:p w14:paraId="657CCC15">
                  <w:pPr>
                    <w:pStyle w:val="45"/>
                    <w:wordWrap w:val="0"/>
                    <w:spacing w:line="240" w:lineRule="auto"/>
                    <w:ind w:firstLine="0" w:firstLineChars="0"/>
                    <w:jc w:val="center"/>
                    <w:rPr>
                      <w:sz w:val="21"/>
                      <w:szCs w:val="21"/>
                    </w:rPr>
                  </w:pPr>
                  <w:r>
                    <w:rPr>
                      <w:rFonts w:hint="eastAsia"/>
                      <w:sz w:val="21"/>
                      <w:szCs w:val="21"/>
                    </w:rPr>
                    <w:t>烘箱2</w:t>
                  </w:r>
                </w:p>
              </w:tc>
              <w:tc>
                <w:tcPr>
                  <w:tcW w:w="456" w:type="pct"/>
                  <w:vMerge w:val="restart"/>
                  <w:vAlign w:val="center"/>
                </w:tcPr>
                <w:p w14:paraId="5D754E09">
                  <w:pPr>
                    <w:wordWrap w:val="0"/>
                    <w:adjustRightInd w:val="0"/>
                    <w:snapToGrid w:val="0"/>
                    <w:jc w:val="center"/>
                  </w:pPr>
                  <w:r>
                    <w:rPr>
                      <w:rFonts w:hint="eastAsia"/>
                    </w:rPr>
                    <w:t>非甲烷总烃</w:t>
                  </w:r>
                </w:p>
              </w:tc>
              <w:tc>
                <w:tcPr>
                  <w:tcW w:w="604" w:type="pct"/>
                  <w:gridSpan w:val="2"/>
                  <w:vMerge w:val="continue"/>
                  <w:vAlign w:val="center"/>
                </w:tcPr>
                <w:p w14:paraId="20B1DBAC">
                  <w:pPr>
                    <w:pStyle w:val="2"/>
                    <w:wordWrap w:val="0"/>
                    <w:spacing w:after="0"/>
                    <w:ind w:left="0" w:leftChars="0" w:firstLine="0" w:firstLineChars="0"/>
                    <w:jc w:val="center"/>
                  </w:pPr>
                </w:p>
              </w:tc>
              <w:tc>
                <w:tcPr>
                  <w:tcW w:w="543" w:type="pct"/>
                  <w:vAlign w:val="center"/>
                </w:tcPr>
                <w:p w14:paraId="3CAEB0C4">
                  <w:pPr>
                    <w:pStyle w:val="2"/>
                    <w:wordWrap w:val="0"/>
                    <w:spacing w:after="0"/>
                    <w:ind w:left="0" w:leftChars="0" w:firstLine="0" w:firstLineChars="0"/>
                    <w:jc w:val="center"/>
                  </w:pPr>
                  <w:r>
                    <w:rPr>
                      <w:rFonts w:hint="eastAsia"/>
                    </w:rPr>
                    <w:t>水性漆用量0.75t</w:t>
                  </w:r>
                </w:p>
              </w:tc>
              <w:tc>
                <w:tcPr>
                  <w:tcW w:w="519" w:type="pct"/>
                  <w:vAlign w:val="center"/>
                </w:tcPr>
                <w:p w14:paraId="0BB4E9F3">
                  <w:pPr>
                    <w:pStyle w:val="2"/>
                    <w:wordWrap w:val="0"/>
                    <w:spacing w:after="0"/>
                    <w:ind w:left="0" w:leftChars="0" w:firstLine="0" w:firstLineChars="0"/>
                    <w:jc w:val="center"/>
                  </w:pPr>
                  <w:r>
                    <w:rPr>
                      <w:rFonts w:hint="eastAsia"/>
                    </w:rPr>
                    <w:t>15kg/t原料</w:t>
                  </w:r>
                </w:p>
              </w:tc>
              <w:tc>
                <w:tcPr>
                  <w:tcW w:w="433" w:type="pct"/>
                  <w:vAlign w:val="center"/>
                </w:tcPr>
                <w:p w14:paraId="3DB1C218">
                  <w:pPr>
                    <w:pStyle w:val="2"/>
                    <w:wordWrap w:val="0"/>
                    <w:spacing w:after="0"/>
                    <w:ind w:left="0" w:leftChars="0" w:firstLine="0" w:firstLineChars="0"/>
                    <w:jc w:val="center"/>
                  </w:pPr>
                  <w:r>
                    <w:rPr>
                      <w:rFonts w:hint="eastAsia"/>
                    </w:rPr>
                    <w:t>0.011t/a</w:t>
                  </w:r>
                </w:p>
              </w:tc>
              <w:tc>
                <w:tcPr>
                  <w:tcW w:w="997" w:type="pct"/>
                  <w:vMerge w:val="restart"/>
                  <w:vAlign w:val="center"/>
                </w:tcPr>
                <w:p w14:paraId="5616F0CF">
                  <w:pPr>
                    <w:pStyle w:val="45"/>
                    <w:wordWrap w:val="0"/>
                    <w:spacing w:line="240" w:lineRule="auto"/>
                    <w:ind w:firstLine="0" w:firstLineChars="0"/>
                    <w:jc w:val="center"/>
                    <w:rPr>
                      <w:sz w:val="21"/>
                      <w:szCs w:val="21"/>
                    </w:rPr>
                  </w:pPr>
                  <w:r>
                    <w:rPr>
                      <w:rFonts w:hint="eastAsia"/>
                      <w:sz w:val="21"/>
                      <w:szCs w:val="21"/>
                    </w:rPr>
                    <w:t>两级活性炭吸附装置TA014</w:t>
                  </w:r>
                </w:p>
              </w:tc>
              <w:tc>
                <w:tcPr>
                  <w:tcW w:w="527" w:type="pct"/>
                  <w:vMerge w:val="restart"/>
                  <w:vAlign w:val="center"/>
                </w:tcPr>
                <w:p w14:paraId="5FBA7788">
                  <w:pPr>
                    <w:pStyle w:val="45"/>
                    <w:wordWrap w:val="0"/>
                    <w:spacing w:line="240" w:lineRule="auto"/>
                    <w:ind w:firstLine="0" w:firstLineChars="0"/>
                    <w:jc w:val="center"/>
                    <w:rPr>
                      <w:sz w:val="21"/>
                      <w:szCs w:val="21"/>
                    </w:rPr>
                  </w:pPr>
                  <w:r>
                    <w:rPr>
                      <w:rFonts w:hint="eastAsia"/>
                      <w:sz w:val="21"/>
                      <w:szCs w:val="21"/>
                    </w:rPr>
                    <w:t>本项目喷漆工序共计2个喷漆房，故核算各按1/2进行计算。</w:t>
                  </w:r>
                </w:p>
              </w:tc>
            </w:tr>
            <w:tr w14:paraId="4BDE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2B73C3CA">
                  <w:pPr>
                    <w:pStyle w:val="2"/>
                    <w:wordWrap w:val="0"/>
                    <w:jc w:val="center"/>
                  </w:pPr>
                </w:p>
              </w:tc>
              <w:tc>
                <w:tcPr>
                  <w:tcW w:w="397" w:type="pct"/>
                  <w:vMerge w:val="continue"/>
                  <w:vAlign w:val="center"/>
                </w:tcPr>
                <w:p w14:paraId="56BADD52">
                  <w:pPr>
                    <w:pStyle w:val="45"/>
                    <w:wordWrap w:val="0"/>
                    <w:spacing w:line="240" w:lineRule="auto"/>
                    <w:ind w:firstLine="0" w:firstLineChars="0"/>
                    <w:jc w:val="center"/>
                    <w:rPr>
                      <w:sz w:val="21"/>
                      <w:szCs w:val="21"/>
                    </w:rPr>
                  </w:pPr>
                </w:p>
              </w:tc>
              <w:tc>
                <w:tcPr>
                  <w:tcW w:w="456" w:type="pct"/>
                  <w:vMerge w:val="continue"/>
                  <w:vAlign w:val="center"/>
                </w:tcPr>
                <w:p w14:paraId="60962E09">
                  <w:pPr>
                    <w:wordWrap w:val="0"/>
                    <w:adjustRightInd w:val="0"/>
                    <w:snapToGrid w:val="0"/>
                    <w:jc w:val="center"/>
                  </w:pPr>
                </w:p>
              </w:tc>
              <w:tc>
                <w:tcPr>
                  <w:tcW w:w="604" w:type="pct"/>
                  <w:gridSpan w:val="2"/>
                  <w:vMerge w:val="continue"/>
                  <w:vAlign w:val="center"/>
                </w:tcPr>
                <w:p w14:paraId="6522A9B2">
                  <w:pPr>
                    <w:pStyle w:val="2"/>
                    <w:wordWrap w:val="0"/>
                    <w:spacing w:after="0"/>
                    <w:ind w:left="0" w:leftChars="0" w:firstLine="0" w:firstLineChars="0"/>
                    <w:jc w:val="center"/>
                  </w:pPr>
                </w:p>
              </w:tc>
              <w:tc>
                <w:tcPr>
                  <w:tcW w:w="543" w:type="pct"/>
                  <w:vAlign w:val="center"/>
                </w:tcPr>
                <w:p w14:paraId="785FEED2">
                  <w:pPr>
                    <w:pStyle w:val="2"/>
                    <w:wordWrap w:val="0"/>
                    <w:spacing w:after="0"/>
                    <w:ind w:left="0" w:leftChars="0" w:firstLine="0" w:firstLineChars="0"/>
                    <w:jc w:val="center"/>
                  </w:pPr>
                  <w:r>
                    <w:rPr>
                      <w:rFonts w:hint="eastAsia"/>
                    </w:rPr>
                    <w:t>塑粉用量20t</w:t>
                  </w:r>
                </w:p>
              </w:tc>
              <w:tc>
                <w:tcPr>
                  <w:tcW w:w="519" w:type="pct"/>
                  <w:vAlign w:val="center"/>
                </w:tcPr>
                <w:p w14:paraId="6454DC83">
                  <w:pPr>
                    <w:pStyle w:val="2"/>
                    <w:wordWrap w:val="0"/>
                    <w:spacing w:after="0"/>
                    <w:ind w:left="0" w:leftChars="0" w:firstLine="0" w:firstLineChars="0"/>
                    <w:jc w:val="center"/>
                  </w:pPr>
                  <w:r>
                    <w:rPr>
                      <w:rFonts w:hint="eastAsia"/>
                    </w:rPr>
                    <w:t>1.20kg/t原料</w:t>
                  </w:r>
                </w:p>
              </w:tc>
              <w:tc>
                <w:tcPr>
                  <w:tcW w:w="433" w:type="pct"/>
                  <w:vAlign w:val="center"/>
                </w:tcPr>
                <w:p w14:paraId="79125B54">
                  <w:pPr>
                    <w:pStyle w:val="2"/>
                    <w:wordWrap w:val="0"/>
                    <w:spacing w:after="0"/>
                    <w:ind w:left="0" w:leftChars="0" w:firstLine="0" w:firstLineChars="0"/>
                    <w:jc w:val="center"/>
                  </w:pPr>
                  <w:r>
                    <w:rPr>
                      <w:rFonts w:hint="eastAsia"/>
                    </w:rPr>
                    <w:t>0.024</w:t>
                  </w:r>
                  <w:r>
                    <w:t>t/a</w:t>
                  </w:r>
                </w:p>
              </w:tc>
              <w:tc>
                <w:tcPr>
                  <w:tcW w:w="997" w:type="pct"/>
                  <w:vMerge w:val="continue"/>
                  <w:vAlign w:val="center"/>
                </w:tcPr>
                <w:p w14:paraId="05CB8B9C">
                  <w:pPr>
                    <w:pStyle w:val="45"/>
                    <w:wordWrap w:val="0"/>
                    <w:spacing w:line="240" w:lineRule="auto"/>
                    <w:ind w:firstLine="0" w:firstLineChars="0"/>
                    <w:jc w:val="center"/>
                    <w:rPr>
                      <w:sz w:val="21"/>
                      <w:szCs w:val="21"/>
                    </w:rPr>
                  </w:pPr>
                </w:p>
              </w:tc>
              <w:tc>
                <w:tcPr>
                  <w:tcW w:w="527" w:type="pct"/>
                  <w:vMerge w:val="continue"/>
                  <w:vAlign w:val="center"/>
                </w:tcPr>
                <w:p w14:paraId="7A19F498">
                  <w:pPr>
                    <w:pStyle w:val="45"/>
                    <w:wordWrap w:val="0"/>
                    <w:spacing w:line="240" w:lineRule="auto"/>
                    <w:ind w:firstLine="0" w:firstLineChars="0"/>
                    <w:jc w:val="center"/>
                    <w:rPr>
                      <w:sz w:val="21"/>
                      <w:szCs w:val="21"/>
                    </w:rPr>
                  </w:pPr>
                </w:p>
              </w:tc>
            </w:tr>
            <w:tr w14:paraId="437F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09458429">
                  <w:pPr>
                    <w:pStyle w:val="2"/>
                    <w:wordWrap w:val="0"/>
                    <w:jc w:val="center"/>
                  </w:pPr>
                </w:p>
              </w:tc>
              <w:tc>
                <w:tcPr>
                  <w:tcW w:w="397" w:type="pct"/>
                  <w:vMerge w:val="continue"/>
                  <w:vAlign w:val="center"/>
                </w:tcPr>
                <w:p w14:paraId="15FD74CC">
                  <w:pPr>
                    <w:pStyle w:val="45"/>
                    <w:wordWrap w:val="0"/>
                    <w:spacing w:line="240" w:lineRule="auto"/>
                    <w:ind w:firstLine="0" w:firstLineChars="0"/>
                    <w:jc w:val="center"/>
                    <w:rPr>
                      <w:sz w:val="21"/>
                      <w:szCs w:val="21"/>
                    </w:rPr>
                  </w:pPr>
                </w:p>
              </w:tc>
              <w:tc>
                <w:tcPr>
                  <w:tcW w:w="4079" w:type="pct"/>
                  <w:gridSpan w:val="8"/>
                  <w:vAlign w:val="center"/>
                </w:tcPr>
                <w:p w14:paraId="17696D0D">
                  <w:pPr>
                    <w:pStyle w:val="2"/>
                    <w:wordWrap w:val="0"/>
                    <w:spacing w:after="0"/>
                    <w:ind w:left="0" w:leftChars="0" w:firstLine="0" w:firstLineChars="0"/>
                    <w:jc w:val="center"/>
                  </w:pPr>
                  <w:r>
                    <w:rPr>
                      <w:rFonts w:hint="eastAsia"/>
                    </w:rPr>
                    <w:t>当烘箱使用的燃料为液化石油气时</w:t>
                  </w:r>
                </w:p>
              </w:tc>
            </w:tr>
            <w:tr w14:paraId="7B06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30CA8402">
                  <w:pPr>
                    <w:pStyle w:val="2"/>
                    <w:wordWrap w:val="0"/>
                    <w:jc w:val="center"/>
                  </w:pPr>
                </w:p>
              </w:tc>
              <w:tc>
                <w:tcPr>
                  <w:tcW w:w="397" w:type="pct"/>
                  <w:vMerge w:val="continue"/>
                  <w:vAlign w:val="center"/>
                </w:tcPr>
                <w:p w14:paraId="1706CE99">
                  <w:pPr>
                    <w:pStyle w:val="45"/>
                    <w:wordWrap w:val="0"/>
                    <w:spacing w:line="240" w:lineRule="auto"/>
                    <w:ind w:firstLine="0" w:firstLineChars="0"/>
                    <w:jc w:val="center"/>
                    <w:rPr>
                      <w:sz w:val="21"/>
                      <w:szCs w:val="21"/>
                    </w:rPr>
                  </w:pPr>
                </w:p>
              </w:tc>
              <w:tc>
                <w:tcPr>
                  <w:tcW w:w="456" w:type="pct"/>
                  <w:vAlign w:val="center"/>
                </w:tcPr>
                <w:p w14:paraId="194E819A">
                  <w:pPr>
                    <w:wordWrap w:val="0"/>
                    <w:adjustRightInd w:val="0"/>
                    <w:snapToGrid w:val="0"/>
                    <w:jc w:val="center"/>
                  </w:pPr>
                  <w:r>
                    <w:rPr>
                      <w:rFonts w:hint="eastAsia"/>
                    </w:rPr>
                    <w:t>废气量</w:t>
                  </w:r>
                </w:p>
              </w:tc>
              <w:tc>
                <w:tcPr>
                  <w:tcW w:w="604" w:type="pct"/>
                  <w:gridSpan w:val="2"/>
                  <w:vMerge w:val="restart"/>
                  <w:vAlign w:val="center"/>
                </w:tcPr>
                <w:p w14:paraId="7E083C5F">
                  <w:pPr>
                    <w:pStyle w:val="2"/>
                    <w:wordWrap w:val="0"/>
                    <w:spacing w:after="0"/>
                    <w:ind w:left="0" w:leftChars="0" w:firstLine="0" w:firstLineChars="0"/>
                    <w:jc w:val="center"/>
                  </w:pPr>
                  <w:r>
                    <w:rPr>
                      <w:rFonts w:hint="eastAsia"/>
                    </w:rPr>
                    <w:t>产污系数法</w:t>
                  </w:r>
                </w:p>
              </w:tc>
              <w:tc>
                <w:tcPr>
                  <w:tcW w:w="543" w:type="pct"/>
                  <w:vMerge w:val="restart"/>
                  <w:vAlign w:val="center"/>
                </w:tcPr>
                <w:p w14:paraId="042E3737">
                  <w:pPr>
                    <w:pStyle w:val="2"/>
                    <w:wordWrap w:val="0"/>
                    <w:spacing w:after="0"/>
                    <w:ind w:left="0" w:leftChars="0" w:firstLine="0" w:firstLineChars="0"/>
                    <w:jc w:val="center"/>
                  </w:pPr>
                  <w:r>
                    <w:rPr>
                      <w:rFonts w:hint="eastAsia"/>
                    </w:rPr>
                    <w:t>3.2</w:t>
                  </w:r>
                  <w:r>
                    <w:t>万m</w:t>
                  </w:r>
                  <w:r>
                    <w:rPr>
                      <w:vertAlign w:val="superscript"/>
                    </w:rPr>
                    <w:t>3</w:t>
                  </w:r>
                  <w:r>
                    <w:t>燃料</w:t>
                  </w:r>
                </w:p>
              </w:tc>
              <w:tc>
                <w:tcPr>
                  <w:tcW w:w="519" w:type="pct"/>
                  <w:vAlign w:val="center"/>
                </w:tcPr>
                <w:p w14:paraId="7A93BACC">
                  <w:pPr>
                    <w:pStyle w:val="2"/>
                    <w:wordWrap w:val="0"/>
                    <w:spacing w:after="0"/>
                    <w:ind w:left="0" w:leftChars="0" w:firstLine="0" w:firstLineChars="0"/>
                    <w:jc w:val="center"/>
                  </w:pPr>
                  <w:r>
                    <w:rPr>
                      <w:rFonts w:hint="eastAsia"/>
                    </w:rPr>
                    <w:t>375170.58</w:t>
                  </w:r>
                  <w:r>
                    <w:t xml:space="preserve"> Nm</w:t>
                  </w:r>
                  <w:r>
                    <w:rPr>
                      <w:vertAlign w:val="superscript"/>
                    </w:rPr>
                    <w:t>3</w:t>
                  </w:r>
                  <w:r>
                    <w:t>/万m</w:t>
                  </w:r>
                  <w:r>
                    <w:rPr>
                      <w:vertAlign w:val="superscript"/>
                    </w:rPr>
                    <w:t>3</w:t>
                  </w:r>
                  <w:r>
                    <w:t>-原</w:t>
                  </w:r>
                </w:p>
              </w:tc>
              <w:tc>
                <w:tcPr>
                  <w:tcW w:w="433" w:type="pct"/>
                  <w:vAlign w:val="center"/>
                </w:tcPr>
                <w:p w14:paraId="0718C2BD">
                  <w:pPr>
                    <w:wordWrap w:val="0"/>
                    <w:jc w:val="center"/>
                  </w:pPr>
                  <w:r>
                    <w:rPr>
                      <w:rFonts w:hint="eastAsia"/>
                    </w:rPr>
                    <w:t>1200545.856Nm</w:t>
                  </w:r>
                  <w:r>
                    <w:rPr>
                      <w:rFonts w:hint="eastAsia"/>
                      <w:vertAlign w:val="superscript"/>
                    </w:rPr>
                    <w:t>3</w:t>
                  </w:r>
                </w:p>
              </w:tc>
              <w:tc>
                <w:tcPr>
                  <w:tcW w:w="997" w:type="pct"/>
                  <w:vMerge w:val="restart"/>
                  <w:vAlign w:val="center"/>
                </w:tcPr>
                <w:p w14:paraId="23F0A684">
                  <w:pPr>
                    <w:pStyle w:val="45"/>
                    <w:wordWrap w:val="0"/>
                    <w:spacing w:line="240" w:lineRule="auto"/>
                    <w:ind w:firstLine="0" w:firstLineChars="0"/>
                    <w:jc w:val="center"/>
                    <w:rPr>
                      <w:sz w:val="21"/>
                      <w:szCs w:val="21"/>
                    </w:rPr>
                  </w:pPr>
                  <w:r>
                    <w:rPr>
                      <w:rFonts w:hint="eastAsia"/>
                      <w:sz w:val="21"/>
                      <w:szCs w:val="21"/>
                    </w:rPr>
                    <w:t>低氮燃烧器TA015</w:t>
                  </w:r>
                </w:p>
              </w:tc>
              <w:tc>
                <w:tcPr>
                  <w:tcW w:w="527" w:type="pct"/>
                  <w:vMerge w:val="restart"/>
                  <w:vAlign w:val="center"/>
                </w:tcPr>
                <w:p w14:paraId="73579386">
                  <w:pPr>
                    <w:pStyle w:val="45"/>
                    <w:wordWrap w:val="0"/>
                    <w:spacing w:line="240" w:lineRule="auto"/>
                    <w:ind w:firstLine="0" w:firstLineChars="0"/>
                    <w:jc w:val="center"/>
                    <w:rPr>
                      <w:sz w:val="21"/>
                      <w:szCs w:val="21"/>
                    </w:rPr>
                  </w:pPr>
                  <w:r>
                    <w:rPr>
                      <w:rFonts w:hint="eastAsia"/>
                      <w:sz w:val="21"/>
                      <w:szCs w:val="21"/>
                    </w:rPr>
                    <w:t>本项目烘干工序共计2个烘箱，故核算各按1/2进行计算。</w:t>
                  </w:r>
                </w:p>
              </w:tc>
            </w:tr>
            <w:tr w14:paraId="4F43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362ADDDE">
                  <w:pPr>
                    <w:pStyle w:val="2"/>
                    <w:wordWrap w:val="0"/>
                    <w:jc w:val="center"/>
                  </w:pPr>
                </w:p>
              </w:tc>
              <w:tc>
                <w:tcPr>
                  <w:tcW w:w="397" w:type="pct"/>
                  <w:vMerge w:val="continue"/>
                  <w:vAlign w:val="center"/>
                </w:tcPr>
                <w:p w14:paraId="25E9DF66">
                  <w:pPr>
                    <w:pStyle w:val="45"/>
                    <w:wordWrap w:val="0"/>
                    <w:spacing w:line="240" w:lineRule="auto"/>
                    <w:ind w:firstLine="0" w:firstLineChars="0"/>
                    <w:jc w:val="center"/>
                    <w:rPr>
                      <w:sz w:val="21"/>
                      <w:szCs w:val="21"/>
                    </w:rPr>
                  </w:pPr>
                </w:p>
              </w:tc>
              <w:tc>
                <w:tcPr>
                  <w:tcW w:w="456" w:type="pct"/>
                  <w:vAlign w:val="center"/>
                </w:tcPr>
                <w:p w14:paraId="46E95EE8">
                  <w:pPr>
                    <w:wordWrap w:val="0"/>
                    <w:adjustRightInd w:val="0"/>
                    <w:snapToGrid w:val="0"/>
                    <w:jc w:val="center"/>
                  </w:pPr>
                  <w:r>
                    <w:rPr>
                      <w:rFonts w:hint="eastAsia"/>
                    </w:rPr>
                    <w:t>二氧化硫</w:t>
                  </w:r>
                </w:p>
              </w:tc>
              <w:tc>
                <w:tcPr>
                  <w:tcW w:w="604" w:type="pct"/>
                  <w:gridSpan w:val="2"/>
                  <w:vMerge w:val="continue"/>
                  <w:vAlign w:val="center"/>
                </w:tcPr>
                <w:p w14:paraId="4ECC9318">
                  <w:pPr>
                    <w:pStyle w:val="2"/>
                    <w:wordWrap w:val="0"/>
                    <w:spacing w:after="0"/>
                    <w:ind w:left="0" w:leftChars="0" w:firstLine="0" w:firstLineChars="0"/>
                    <w:jc w:val="center"/>
                  </w:pPr>
                </w:p>
              </w:tc>
              <w:tc>
                <w:tcPr>
                  <w:tcW w:w="543" w:type="pct"/>
                  <w:vMerge w:val="continue"/>
                  <w:vAlign w:val="center"/>
                </w:tcPr>
                <w:p w14:paraId="5E8185C4">
                  <w:pPr>
                    <w:pStyle w:val="2"/>
                    <w:wordWrap w:val="0"/>
                    <w:spacing w:after="0"/>
                    <w:ind w:left="0" w:leftChars="0" w:firstLine="0" w:firstLineChars="0"/>
                    <w:jc w:val="center"/>
                  </w:pPr>
                </w:p>
              </w:tc>
              <w:tc>
                <w:tcPr>
                  <w:tcW w:w="519" w:type="pct"/>
                  <w:vAlign w:val="center"/>
                </w:tcPr>
                <w:p w14:paraId="66FFB03C">
                  <w:pPr>
                    <w:pStyle w:val="2"/>
                    <w:wordWrap w:val="0"/>
                    <w:spacing w:after="0"/>
                    <w:ind w:left="0" w:leftChars="0" w:firstLine="0" w:firstLineChars="0"/>
                    <w:jc w:val="center"/>
                  </w:pPr>
                  <w:r>
                    <w:t>0.02S</w:t>
                  </w:r>
                  <w:r>
                    <w:rPr>
                      <w:rFonts w:hAnsi="宋体"/>
                    </w:rPr>
                    <w:t>①</w:t>
                  </w:r>
                  <w:r>
                    <w:t>千克/万m</w:t>
                  </w:r>
                  <w:r>
                    <w:rPr>
                      <w:vertAlign w:val="superscript"/>
                    </w:rPr>
                    <w:t>3</w:t>
                  </w:r>
                  <w:r>
                    <w:t>燃料</w:t>
                  </w:r>
                </w:p>
              </w:tc>
              <w:tc>
                <w:tcPr>
                  <w:tcW w:w="433" w:type="pct"/>
                  <w:vAlign w:val="center"/>
                </w:tcPr>
                <w:p w14:paraId="0CF4D42E">
                  <w:pPr>
                    <w:wordWrap w:val="0"/>
                    <w:jc w:val="center"/>
                  </w:pPr>
                  <w:r>
                    <w:rPr>
                      <w:rFonts w:hint="eastAsia"/>
                    </w:rPr>
                    <w:t>12.8kg/a</w:t>
                  </w:r>
                </w:p>
              </w:tc>
              <w:tc>
                <w:tcPr>
                  <w:tcW w:w="997" w:type="pct"/>
                  <w:vMerge w:val="continue"/>
                  <w:vAlign w:val="center"/>
                </w:tcPr>
                <w:p w14:paraId="0CAC6953">
                  <w:pPr>
                    <w:pStyle w:val="45"/>
                    <w:wordWrap w:val="0"/>
                    <w:spacing w:line="240" w:lineRule="auto"/>
                    <w:ind w:firstLine="0" w:firstLineChars="0"/>
                    <w:jc w:val="center"/>
                    <w:rPr>
                      <w:sz w:val="21"/>
                      <w:szCs w:val="21"/>
                    </w:rPr>
                  </w:pPr>
                </w:p>
              </w:tc>
              <w:tc>
                <w:tcPr>
                  <w:tcW w:w="527" w:type="pct"/>
                  <w:vMerge w:val="continue"/>
                  <w:vAlign w:val="center"/>
                </w:tcPr>
                <w:p w14:paraId="376667DB">
                  <w:pPr>
                    <w:pStyle w:val="45"/>
                    <w:wordWrap w:val="0"/>
                    <w:spacing w:line="240" w:lineRule="auto"/>
                    <w:ind w:firstLine="0" w:firstLineChars="0"/>
                    <w:jc w:val="center"/>
                    <w:rPr>
                      <w:sz w:val="21"/>
                      <w:szCs w:val="21"/>
                    </w:rPr>
                  </w:pPr>
                </w:p>
              </w:tc>
            </w:tr>
            <w:tr w14:paraId="5602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29AE32E9">
                  <w:pPr>
                    <w:pStyle w:val="2"/>
                    <w:wordWrap w:val="0"/>
                    <w:jc w:val="center"/>
                  </w:pPr>
                </w:p>
              </w:tc>
              <w:tc>
                <w:tcPr>
                  <w:tcW w:w="397" w:type="pct"/>
                  <w:vMerge w:val="continue"/>
                  <w:vAlign w:val="center"/>
                </w:tcPr>
                <w:p w14:paraId="6414ECFC">
                  <w:pPr>
                    <w:pStyle w:val="45"/>
                    <w:wordWrap w:val="0"/>
                    <w:spacing w:line="240" w:lineRule="auto"/>
                    <w:ind w:firstLine="0" w:firstLineChars="0"/>
                    <w:jc w:val="center"/>
                    <w:rPr>
                      <w:sz w:val="21"/>
                      <w:szCs w:val="21"/>
                    </w:rPr>
                  </w:pPr>
                </w:p>
              </w:tc>
              <w:tc>
                <w:tcPr>
                  <w:tcW w:w="456" w:type="pct"/>
                  <w:vAlign w:val="center"/>
                </w:tcPr>
                <w:p w14:paraId="564288F1">
                  <w:pPr>
                    <w:wordWrap w:val="0"/>
                    <w:adjustRightInd w:val="0"/>
                    <w:snapToGrid w:val="0"/>
                    <w:jc w:val="center"/>
                  </w:pPr>
                  <w:r>
                    <w:rPr>
                      <w:rFonts w:hint="eastAsia"/>
                    </w:rPr>
                    <w:t>氮氧化物</w:t>
                  </w:r>
                </w:p>
              </w:tc>
              <w:tc>
                <w:tcPr>
                  <w:tcW w:w="604" w:type="pct"/>
                  <w:gridSpan w:val="2"/>
                  <w:vMerge w:val="continue"/>
                  <w:vAlign w:val="center"/>
                </w:tcPr>
                <w:p w14:paraId="09624F84">
                  <w:pPr>
                    <w:wordWrap w:val="0"/>
                    <w:jc w:val="center"/>
                  </w:pPr>
                </w:p>
              </w:tc>
              <w:tc>
                <w:tcPr>
                  <w:tcW w:w="543" w:type="pct"/>
                  <w:vMerge w:val="continue"/>
                  <w:vAlign w:val="center"/>
                </w:tcPr>
                <w:p w14:paraId="3D7F5382">
                  <w:pPr>
                    <w:wordWrap w:val="0"/>
                    <w:jc w:val="center"/>
                  </w:pPr>
                </w:p>
              </w:tc>
              <w:tc>
                <w:tcPr>
                  <w:tcW w:w="519" w:type="pct"/>
                  <w:vAlign w:val="center"/>
                </w:tcPr>
                <w:p w14:paraId="6D4D9D69">
                  <w:pPr>
                    <w:wordWrap w:val="0"/>
                    <w:jc w:val="center"/>
                  </w:pPr>
                  <w:r>
                    <w:rPr>
                      <w:rFonts w:hint="eastAsia"/>
                    </w:rPr>
                    <w:t>59.61</w:t>
                  </w:r>
                  <w:r>
                    <w:t>千克/万m</w:t>
                  </w:r>
                  <w:r>
                    <w:rPr>
                      <w:vertAlign w:val="superscript"/>
                    </w:rPr>
                    <w:t>3</w:t>
                  </w:r>
                  <w:r>
                    <w:t>燃料</w:t>
                  </w:r>
                </w:p>
              </w:tc>
              <w:tc>
                <w:tcPr>
                  <w:tcW w:w="433" w:type="pct"/>
                  <w:vAlign w:val="center"/>
                </w:tcPr>
                <w:p w14:paraId="1F69A4BD">
                  <w:pPr>
                    <w:wordWrap w:val="0"/>
                    <w:jc w:val="center"/>
                  </w:pPr>
                  <w:r>
                    <w:rPr>
                      <w:rFonts w:hint="eastAsia"/>
                    </w:rPr>
                    <w:t>190.752kg/a</w:t>
                  </w:r>
                </w:p>
              </w:tc>
              <w:tc>
                <w:tcPr>
                  <w:tcW w:w="997" w:type="pct"/>
                  <w:vMerge w:val="continue"/>
                  <w:vAlign w:val="center"/>
                </w:tcPr>
                <w:p w14:paraId="1222F7FE">
                  <w:pPr>
                    <w:pStyle w:val="45"/>
                    <w:wordWrap w:val="0"/>
                    <w:spacing w:line="240" w:lineRule="auto"/>
                    <w:ind w:firstLine="0" w:firstLineChars="0"/>
                    <w:jc w:val="center"/>
                    <w:rPr>
                      <w:sz w:val="21"/>
                      <w:szCs w:val="21"/>
                    </w:rPr>
                  </w:pPr>
                </w:p>
              </w:tc>
              <w:tc>
                <w:tcPr>
                  <w:tcW w:w="527" w:type="pct"/>
                  <w:vMerge w:val="continue"/>
                  <w:vAlign w:val="center"/>
                </w:tcPr>
                <w:p w14:paraId="7A131234">
                  <w:pPr>
                    <w:pStyle w:val="45"/>
                    <w:wordWrap w:val="0"/>
                    <w:spacing w:line="240" w:lineRule="auto"/>
                    <w:ind w:firstLine="0" w:firstLineChars="0"/>
                    <w:jc w:val="center"/>
                    <w:rPr>
                      <w:sz w:val="21"/>
                      <w:szCs w:val="21"/>
                    </w:rPr>
                  </w:pPr>
                </w:p>
              </w:tc>
            </w:tr>
            <w:tr w14:paraId="366E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3A3E5157">
                  <w:pPr>
                    <w:pStyle w:val="2"/>
                    <w:wordWrap w:val="0"/>
                    <w:jc w:val="center"/>
                  </w:pPr>
                </w:p>
              </w:tc>
              <w:tc>
                <w:tcPr>
                  <w:tcW w:w="397" w:type="pct"/>
                  <w:vMerge w:val="continue"/>
                  <w:vAlign w:val="center"/>
                </w:tcPr>
                <w:p w14:paraId="7A41E835">
                  <w:pPr>
                    <w:pStyle w:val="45"/>
                    <w:wordWrap w:val="0"/>
                    <w:spacing w:line="240" w:lineRule="auto"/>
                    <w:ind w:firstLine="0" w:firstLineChars="0"/>
                    <w:jc w:val="center"/>
                    <w:rPr>
                      <w:sz w:val="21"/>
                      <w:szCs w:val="21"/>
                    </w:rPr>
                  </w:pPr>
                </w:p>
              </w:tc>
              <w:tc>
                <w:tcPr>
                  <w:tcW w:w="456" w:type="pct"/>
                  <w:vAlign w:val="center"/>
                </w:tcPr>
                <w:p w14:paraId="10D2B840">
                  <w:pPr>
                    <w:wordWrap w:val="0"/>
                    <w:adjustRightInd w:val="0"/>
                    <w:snapToGrid w:val="0"/>
                    <w:jc w:val="center"/>
                  </w:pPr>
                  <w:r>
                    <w:rPr>
                      <w:rFonts w:hint="eastAsia"/>
                    </w:rPr>
                    <w:t>颗粒物</w:t>
                  </w:r>
                </w:p>
              </w:tc>
              <w:tc>
                <w:tcPr>
                  <w:tcW w:w="604" w:type="pct"/>
                  <w:gridSpan w:val="2"/>
                  <w:vMerge w:val="continue"/>
                  <w:vAlign w:val="center"/>
                </w:tcPr>
                <w:p w14:paraId="480FD13F">
                  <w:pPr>
                    <w:wordWrap w:val="0"/>
                    <w:jc w:val="center"/>
                  </w:pPr>
                </w:p>
              </w:tc>
              <w:tc>
                <w:tcPr>
                  <w:tcW w:w="543" w:type="pct"/>
                  <w:vMerge w:val="continue"/>
                  <w:vAlign w:val="center"/>
                </w:tcPr>
                <w:p w14:paraId="19105D93">
                  <w:pPr>
                    <w:wordWrap w:val="0"/>
                    <w:jc w:val="center"/>
                  </w:pPr>
                </w:p>
              </w:tc>
              <w:tc>
                <w:tcPr>
                  <w:tcW w:w="519" w:type="pct"/>
                  <w:vAlign w:val="center"/>
                </w:tcPr>
                <w:p w14:paraId="29521B2B">
                  <w:pPr>
                    <w:wordWrap w:val="0"/>
                    <w:jc w:val="center"/>
                  </w:pPr>
                  <w:r>
                    <w:t>2.86千克/万m</w:t>
                  </w:r>
                  <w:r>
                    <w:rPr>
                      <w:vertAlign w:val="superscript"/>
                    </w:rPr>
                    <w:t>3</w:t>
                  </w:r>
                  <w:r>
                    <w:t>燃料</w:t>
                  </w:r>
                </w:p>
              </w:tc>
              <w:tc>
                <w:tcPr>
                  <w:tcW w:w="433" w:type="pct"/>
                  <w:vAlign w:val="center"/>
                </w:tcPr>
                <w:p w14:paraId="4D30EFBA">
                  <w:pPr>
                    <w:wordWrap w:val="0"/>
                    <w:jc w:val="center"/>
                  </w:pPr>
                  <w:r>
                    <w:rPr>
                      <w:rFonts w:hint="eastAsia"/>
                    </w:rPr>
                    <w:t>9.152kg/a</w:t>
                  </w:r>
                </w:p>
              </w:tc>
              <w:tc>
                <w:tcPr>
                  <w:tcW w:w="997" w:type="pct"/>
                  <w:vMerge w:val="continue"/>
                  <w:vAlign w:val="center"/>
                </w:tcPr>
                <w:p w14:paraId="1B780840">
                  <w:pPr>
                    <w:wordWrap w:val="0"/>
                    <w:jc w:val="center"/>
                  </w:pPr>
                </w:p>
              </w:tc>
              <w:tc>
                <w:tcPr>
                  <w:tcW w:w="527" w:type="pct"/>
                  <w:vMerge w:val="continue"/>
                  <w:vAlign w:val="center"/>
                </w:tcPr>
                <w:p w14:paraId="3F9E6FDC">
                  <w:pPr>
                    <w:wordWrap w:val="0"/>
                    <w:jc w:val="center"/>
                  </w:pPr>
                </w:p>
              </w:tc>
            </w:tr>
            <w:tr w14:paraId="4805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2FA7D480">
                  <w:pPr>
                    <w:pStyle w:val="2"/>
                    <w:wordWrap w:val="0"/>
                    <w:jc w:val="center"/>
                  </w:pPr>
                </w:p>
              </w:tc>
              <w:tc>
                <w:tcPr>
                  <w:tcW w:w="397" w:type="pct"/>
                  <w:vMerge w:val="continue"/>
                  <w:vAlign w:val="center"/>
                </w:tcPr>
                <w:p w14:paraId="581F2046">
                  <w:pPr>
                    <w:pStyle w:val="45"/>
                    <w:wordWrap w:val="0"/>
                    <w:spacing w:line="240" w:lineRule="auto"/>
                    <w:ind w:firstLine="0" w:firstLineChars="0"/>
                    <w:jc w:val="center"/>
                    <w:rPr>
                      <w:sz w:val="21"/>
                      <w:szCs w:val="21"/>
                    </w:rPr>
                  </w:pPr>
                </w:p>
              </w:tc>
              <w:tc>
                <w:tcPr>
                  <w:tcW w:w="4079" w:type="pct"/>
                  <w:gridSpan w:val="8"/>
                  <w:vAlign w:val="center"/>
                </w:tcPr>
                <w:p w14:paraId="289398D7">
                  <w:pPr>
                    <w:pStyle w:val="2"/>
                    <w:wordWrap w:val="0"/>
                    <w:spacing w:after="0"/>
                    <w:ind w:left="0" w:leftChars="0" w:firstLine="0" w:firstLineChars="0"/>
                    <w:jc w:val="center"/>
                  </w:pPr>
                  <w:r>
                    <w:rPr>
                      <w:rFonts w:hint="eastAsia"/>
                    </w:rPr>
                    <w:t>当烘箱使用的燃料为天然气时</w:t>
                  </w:r>
                </w:p>
              </w:tc>
            </w:tr>
            <w:tr w14:paraId="37A1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3BDED513">
                  <w:pPr>
                    <w:pStyle w:val="2"/>
                    <w:wordWrap w:val="0"/>
                    <w:jc w:val="center"/>
                  </w:pPr>
                </w:p>
              </w:tc>
              <w:tc>
                <w:tcPr>
                  <w:tcW w:w="397" w:type="pct"/>
                  <w:vMerge w:val="continue"/>
                  <w:vAlign w:val="center"/>
                </w:tcPr>
                <w:p w14:paraId="343DB7CB">
                  <w:pPr>
                    <w:pStyle w:val="45"/>
                    <w:wordWrap w:val="0"/>
                    <w:spacing w:line="240" w:lineRule="auto"/>
                    <w:ind w:firstLine="0" w:firstLineChars="0"/>
                    <w:jc w:val="center"/>
                    <w:rPr>
                      <w:sz w:val="21"/>
                      <w:szCs w:val="21"/>
                    </w:rPr>
                  </w:pPr>
                </w:p>
              </w:tc>
              <w:tc>
                <w:tcPr>
                  <w:tcW w:w="456" w:type="pct"/>
                  <w:vAlign w:val="center"/>
                </w:tcPr>
                <w:p w14:paraId="37360746">
                  <w:pPr>
                    <w:wordWrap w:val="0"/>
                    <w:adjustRightInd w:val="0"/>
                    <w:snapToGrid w:val="0"/>
                    <w:jc w:val="center"/>
                  </w:pPr>
                  <w:r>
                    <w:rPr>
                      <w:rFonts w:hint="eastAsia"/>
                    </w:rPr>
                    <w:t>废气量</w:t>
                  </w:r>
                </w:p>
              </w:tc>
              <w:tc>
                <w:tcPr>
                  <w:tcW w:w="604" w:type="pct"/>
                  <w:gridSpan w:val="2"/>
                  <w:vMerge w:val="restart"/>
                  <w:vAlign w:val="center"/>
                </w:tcPr>
                <w:p w14:paraId="1E9F6B36">
                  <w:pPr>
                    <w:wordWrap w:val="0"/>
                    <w:jc w:val="center"/>
                  </w:pPr>
                  <w:r>
                    <w:rPr>
                      <w:rFonts w:hint="eastAsia"/>
                    </w:rPr>
                    <w:t>产污系数法</w:t>
                  </w:r>
                </w:p>
              </w:tc>
              <w:tc>
                <w:tcPr>
                  <w:tcW w:w="543" w:type="pct"/>
                  <w:vMerge w:val="restart"/>
                  <w:vAlign w:val="center"/>
                </w:tcPr>
                <w:p w14:paraId="71686D1F">
                  <w:pPr>
                    <w:wordWrap w:val="0"/>
                    <w:jc w:val="center"/>
                  </w:pPr>
                  <w:r>
                    <w:rPr>
                      <w:rFonts w:hint="eastAsia"/>
                    </w:rPr>
                    <w:t>4</w:t>
                  </w:r>
                  <w:r>
                    <w:t>万m</w:t>
                  </w:r>
                  <w:r>
                    <w:rPr>
                      <w:vertAlign w:val="superscript"/>
                    </w:rPr>
                    <w:t>3</w:t>
                  </w:r>
                  <w:r>
                    <w:t>燃料</w:t>
                  </w:r>
                </w:p>
              </w:tc>
              <w:tc>
                <w:tcPr>
                  <w:tcW w:w="519" w:type="pct"/>
                  <w:vAlign w:val="center"/>
                </w:tcPr>
                <w:p w14:paraId="1DC82D1C">
                  <w:pPr>
                    <w:pStyle w:val="2"/>
                    <w:wordWrap w:val="0"/>
                    <w:spacing w:after="0"/>
                    <w:ind w:left="0" w:leftChars="0" w:firstLine="0" w:firstLineChars="0"/>
                    <w:jc w:val="center"/>
                  </w:pPr>
                  <w:r>
                    <w:t>136259.17Nm</w:t>
                  </w:r>
                  <w:r>
                    <w:rPr>
                      <w:vertAlign w:val="superscript"/>
                    </w:rPr>
                    <w:t>3</w:t>
                  </w:r>
                  <w:r>
                    <w:t>/万m</w:t>
                  </w:r>
                  <w:r>
                    <w:rPr>
                      <w:vertAlign w:val="superscript"/>
                    </w:rPr>
                    <w:t>3</w:t>
                  </w:r>
                  <w:r>
                    <w:t>-原料</w:t>
                  </w:r>
                </w:p>
              </w:tc>
              <w:tc>
                <w:tcPr>
                  <w:tcW w:w="433" w:type="pct"/>
                  <w:vAlign w:val="center"/>
                </w:tcPr>
                <w:p w14:paraId="1711AFDB">
                  <w:pPr>
                    <w:pStyle w:val="2"/>
                    <w:wordWrap w:val="0"/>
                    <w:spacing w:after="0"/>
                    <w:ind w:left="0" w:leftChars="0" w:firstLine="0" w:firstLineChars="0"/>
                    <w:jc w:val="center"/>
                  </w:pPr>
                  <w:r>
                    <w:rPr>
                      <w:rFonts w:hint="eastAsia"/>
                    </w:rPr>
                    <w:t>5450.36.68 Nm</w:t>
                  </w:r>
                  <w:r>
                    <w:rPr>
                      <w:rFonts w:hint="eastAsia"/>
                      <w:vertAlign w:val="superscript"/>
                    </w:rPr>
                    <w:t>3</w:t>
                  </w:r>
                </w:p>
              </w:tc>
              <w:tc>
                <w:tcPr>
                  <w:tcW w:w="997" w:type="pct"/>
                  <w:vMerge w:val="restart"/>
                  <w:vAlign w:val="center"/>
                </w:tcPr>
                <w:p w14:paraId="25DD12CB">
                  <w:pPr>
                    <w:pStyle w:val="45"/>
                    <w:wordWrap w:val="0"/>
                    <w:spacing w:line="240" w:lineRule="auto"/>
                    <w:ind w:firstLine="0" w:firstLineChars="0"/>
                    <w:jc w:val="center"/>
                    <w:rPr>
                      <w:sz w:val="21"/>
                      <w:szCs w:val="21"/>
                    </w:rPr>
                  </w:pPr>
                  <w:r>
                    <w:rPr>
                      <w:rFonts w:hint="eastAsia"/>
                      <w:sz w:val="21"/>
                      <w:szCs w:val="21"/>
                    </w:rPr>
                    <w:t>低氮燃烧器TA015</w:t>
                  </w:r>
                </w:p>
              </w:tc>
              <w:tc>
                <w:tcPr>
                  <w:tcW w:w="527" w:type="pct"/>
                  <w:vMerge w:val="restart"/>
                  <w:vAlign w:val="center"/>
                </w:tcPr>
                <w:p w14:paraId="1503A708">
                  <w:pPr>
                    <w:pStyle w:val="45"/>
                    <w:wordWrap w:val="0"/>
                    <w:spacing w:line="240" w:lineRule="auto"/>
                    <w:ind w:firstLine="0" w:firstLineChars="0"/>
                    <w:jc w:val="center"/>
                    <w:rPr>
                      <w:sz w:val="21"/>
                      <w:szCs w:val="21"/>
                    </w:rPr>
                  </w:pPr>
                  <w:r>
                    <w:rPr>
                      <w:rFonts w:hint="eastAsia"/>
                      <w:sz w:val="21"/>
                      <w:szCs w:val="21"/>
                    </w:rPr>
                    <w:t>本项目烘干工序共计2个烘箱，故核算各按1/2进行计算。</w:t>
                  </w:r>
                </w:p>
              </w:tc>
            </w:tr>
            <w:tr w14:paraId="0527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05F103A7">
                  <w:pPr>
                    <w:pStyle w:val="2"/>
                    <w:wordWrap w:val="0"/>
                    <w:jc w:val="center"/>
                  </w:pPr>
                </w:p>
              </w:tc>
              <w:tc>
                <w:tcPr>
                  <w:tcW w:w="397" w:type="pct"/>
                  <w:vMerge w:val="continue"/>
                  <w:vAlign w:val="center"/>
                </w:tcPr>
                <w:p w14:paraId="57DE2B08">
                  <w:pPr>
                    <w:pStyle w:val="45"/>
                    <w:wordWrap w:val="0"/>
                    <w:spacing w:line="240" w:lineRule="auto"/>
                    <w:ind w:firstLine="0" w:firstLineChars="0"/>
                    <w:jc w:val="center"/>
                    <w:rPr>
                      <w:sz w:val="21"/>
                      <w:szCs w:val="21"/>
                    </w:rPr>
                  </w:pPr>
                </w:p>
              </w:tc>
              <w:tc>
                <w:tcPr>
                  <w:tcW w:w="456" w:type="pct"/>
                  <w:vAlign w:val="center"/>
                </w:tcPr>
                <w:p w14:paraId="191FA566">
                  <w:pPr>
                    <w:wordWrap w:val="0"/>
                    <w:adjustRightInd w:val="0"/>
                    <w:snapToGrid w:val="0"/>
                    <w:jc w:val="center"/>
                  </w:pPr>
                  <w:r>
                    <w:rPr>
                      <w:rFonts w:hint="eastAsia"/>
                    </w:rPr>
                    <w:t>二氧化硫</w:t>
                  </w:r>
                </w:p>
              </w:tc>
              <w:tc>
                <w:tcPr>
                  <w:tcW w:w="604" w:type="pct"/>
                  <w:gridSpan w:val="2"/>
                  <w:vMerge w:val="continue"/>
                  <w:vAlign w:val="center"/>
                </w:tcPr>
                <w:p w14:paraId="7DBE5811">
                  <w:pPr>
                    <w:wordWrap w:val="0"/>
                    <w:jc w:val="center"/>
                  </w:pPr>
                </w:p>
              </w:tc>
              <w:tc>
                <w:tcPr>
                  <w:tcW w:w="543" w:type="pct"/>
                  <w:vMerge w:val="continue"/>
                  <w:vAlign w:val="center"/>
                </w:tcPr>
                <w:p w14:paraId="43A15FA1">
                  <w:pPr>
                    <w:wordWrap w:val="0"/>
                    <w:jc w:val="center"/>
                  </w:pPr>
                </w:p>
              </w:tc>
              <w:tc>
                <w:tcPr>
                  <w:tcW w:w="519" w:type="pct"/>
                  <w:vAlign w:val="center"/>
                </w:tcPr>
                <w:p w14:paraId="46C414FC">
                  <w:pPr>
                    <w:pStyle w:val="2"/>
                    <w:wordWrap w:val="0"/>
                    <w:spacing w:after="0"/>
                    <w:ind w:left="0" w:leftChars="0" w:firstLine="0" w:firstLineChars="0"/>
                    <w:jc w:val="center"/>
                  </w:pPr>
                  <w:r>
                    <w:t>0.02S</w:t>
                  </w:r>
                  <w:r>
                    <w:rPr>
                      <w:rFonts w:hAnsi="宋体"/>
                    </w:rPr>
                    <w:t>①</w:t>
                  </w:r>
                  <w:r>
                    <w:t>千克/万m</w:t>
                  </w:r>
                  <w:r>
                    <w:rPr>
                      <w:vertAlign w:val="superscript"/>
                    </w:rPr>
                    <w:t>3</w:t>
                  </w:r>
                  <w:r>
                    <w:t>燃料</w:t>
                  </w:r>
                </w:p>
              </w:tc>
              <w:tc>
                <w:tcPr>
                  <w:tcW w:w="433" w:type="pct"/>
                  <w:vAlign w:val="center"/>
                </w:tcPr>
                <w:p w14:paraId="0732FC62">
                  <w:pPr>
                    <w:wordWrap w:val="0"/>
                    <w:jc w:val="center"/>
                  </w:pPr>
                  <w:r>
                    <w:rPr>
                      <w:rFonts w:hint="eastAsia"/>
                    </w:rPr>
                    <w:t>16kg/a</w:t>
                  </w:r>
                </w:p>
              </w:tc>
              <w:tc>
                <w:tcPr>
                  <w:tcW w:w="997" w:type="pct"/>
                  <w:vMerge w:val="continue"/>
                  <w:vAlign w:val="center"/>
                </w:tcPr>
                <w:p w14:paraId="0C75242C">
                  <w:pPr>
                    <w:pStyle w:val="45"/>
                    <w:wordWrap w:val="0"/>
                    <w:spacing w:line="240" w:lineRule="auto"/>
                    <w:ind w:firstLine="0" w:firstLineChars="0"/>
                    <w:jc w:val="center"/>
                    <w:rPr>
                      <w:sz w:val="21"/>
                      <w:szCs w:val="21"/>
                    </w:rPr>
                  </w:pPr>
                </w:p>
              </w:tc>
              <w:tc>
                <w:tcPr>
                  <w:tcW w:w="527" w:type="pct"/>
                  <w:vMerge w:val="continue"/>
                  <w:vAlign w:val="center"/>
                </w:tcPr>
                <w:p w14:paraId="1FAF7CB9">
                  <w:pPr>
                    <w:pStyle w:val="45"/>
                    <w:wordWrap w:val="0"/>
                    <w:spacing w:line="240" w:lineRule="auto"/>
                    <w:ind w:firstLine="0" w:firstLineChars="0"/>
                    <w:jc w:val="center"/>
                    <w:rPr>
                      <w:sz w:val="21"/>
                      <w:szCs w:val="21"/>
                    </w:rPr>
                  </w:pPr>
                </w:p>
              </w:tc>
            </w:tr>
            <w:tr w14:paraId="5A09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49510985">
                  <w:pPr>
                    <w:pStyle w:val="2"/>
                    <w:wordWrap w:val="0"/>
                    <w:jc w:val="center"/>
                  </w:pPr>
                </w:p>
              </w:tc>
              <w:tc>
                <w:tcPr>
                  <w:tcW w:w="397" w:type="pct"/>
                  <w:vMerge w:val="continue"/>
                  <w:vAlign w:val="center"/>
                </w:tcPr>
                <w:p w14:paraId="7A806A75">
                  <w:pPr>
                    <w:pStyle w:val="45"/>
                    <w:wordWrap w:val="0"/>
                    <w:spacing w:line="240" w:lineRule="auto"/>
                    <w:ind w:firstLine="0" w:firstLineChars="0"/>
                    <w:jc w:val="center"/>
                    <w:rPr>
                      <w:sz w:val="21"/>
                      <w:szCs w:val="21"/>
                    </w:rPr>
                  </w:pPr>
                </w:p>
              </w:tc>
              <w:tc>
                <w:tcPr>
                  <w:tcW w:w="456" w:type="pct"/>
                  <w:vAlign w:val="center"/>
                </w:tcPr>
                <w:p w14:paraId="30EE7F8B">
                  <w:pPr>
                    <w:wordWrap w:val="0"/>
                    <w:adjustRightInd w:val="0"/>
                    <w:snapToGrid w:val="0"/>
                    <w:jc w:val="center"/>
                  </w:pPr>
                  <w:r>
                    <w:rPr>
                      <w:rFonts w:hint="eastAsia"/>
                    </w:rPr>
                    <w:t>氮氧化物</w:t>
                  </w:r>
                </w:p>
              </w:tc>
              <w:tc>
                <w:tcPr>
                  <w:tcW w:w="604" w:type="pct"/>
                  <w:gridSpan w:val="2"/>
                  <w:vMerge w:val="continue"/>
                  <w:vAlign w:val="center"/>
                </w:tcPr>
                <w:p w14:paraId="55406A0B">
                  <w:pPr>
                    <w:wordWrap w:val="0"/>
                    <w:jc w:val="center"/>
                  </w:pPr>
                </w:p>
              </w:tc>
              <w:tc>
                <w:tcPr>
                  <w:tcW w:w="543" w:type="pct"/>
                  <w:vMerge w:val="continue"/>
                  <w:vAlign w:val="center"/>
                </w:tcPr>
                <w:p w14:paraId="61C790D5">
                  <w:pPr>
                    <w:wordWrap w:val="0"/>
                    <w:jc w:val="center"/>
                  </w:pPr>
                </w:p>
              </w:tc>
              <w:tc>
                <w:tcPr>
                  <w:tcW w:w="519" w:type="pct"/>
                  <w:vAlign w:val="center"/>
                </w:tcPr>
                <w:p w14:paraId="0596EFC4">
                  <w:pPr>
                    <w:wordWrap w:val="0"/>
                    <w:jc w:val="center"/>
                  </w:pPr>
                  <w:r>
                    <w:t>9.36千克/万m</w:t>
                  </w:r>
                  <w:r>
                    <w:rPr>
                      <w:vertAlign w:val="superscript"/>
                    </w:rPr>
                    <w:t>3</w:t>
                  </w:r>
                  <w:r>
                    <w:t>燃料</w:t>
                  </w:r>
                </w:p>
              </w:tc>
              <w:tc>
                <w:tcPr>
                  <w:tcW w:w="433" w:type="pct"/>
                  <w:vAlign w:val="center"/>
                </w:tcPr>
                <w:p w14:paraId="282B8D42">
                  <w:pPr>
                    <w:wordWrap w:val="0"/>
                    <w:jc w:val="center"/>
                  </w:pPr>
                  <w:r>
                    <w:rPr>
                      <w:rFonts w:hint="eastAsia"/>
                    </w:rPr>
                    <w:t>37.44kg/a</w:t>
                  </w:r>
                </w:p>
              </w:tc>
              <w:tc>
                <w:tcPr>
                  <w:tcW w:w="997" w:type="pct"/>
                  <w:vMerge w:val="continue"/>
                  <w:vAlign w:val="center"/>
                </w:tcPr>
                <w:p w14:paraId="785FC147">
                  <w:pPr>
                    <w:pStyle w:val="45"/>
                    <w:wordWrap w:val="0"/>
                    <w:spacing w:line="240" w:lineRule="auto"/>
                    <w:ind w:firstLine="0" w:firstLineChars="0"/>
                    <w:jc w:val="center"/>
                    <w:rPr>
                      <w:sz w:val="21"/>
                      <w:szCs w:val="21"/>
                    </w:rPr>
                  </w:pPr>
                </w:p>
              </w:tc>
              <w:tc>
                <w:tcPr>
                  <w:tcW w:w="527" w:type="pct"/>
                  <w:vMerge w:val="continue"/>
                  <w:vAlign w:val="center"/>
                </w:tcPr>
                <w:p w14:paraId="3330821F">
                  <w:pPr>
                    <w:pStyle w:val="45"/>
                    <w:wordWrap w:val="0"/>
                    <w:spacing w:line="240" w:lineRule="auto"/>
                    <w:ind w:firstLine="0" w:firstLineChars="0"/>
                    <w:jc w:val="center"/>
                    <w:rPr>
                      <w:sz w:val="21"/>
                      <w:szCs w:val="21"/>
                    </w:rPr>
                  </w:pPr>
                </w:p>
              </w:tc>
            </w:tr>
            <w:tr w14:paraId="2000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0A8DA385">
                  <w:pPr>
                    <w:pStyle w:val="2"/>
                    <w:wordWrap w:val="0"/>
                    <w:jc w:val="center"/>
                  </w:pPr>
                </w:p>
              </w:tc>
              <w:tc>
                <w:tcPr>
                  <w:tcW w:w="397" w:type="pct"/>
                  <w:vMerge w:val="continue"/>
                  <w:vAlign w:val="center"/>
                </w:tcPr>
                <w:p w14:paraId="4D881956">
                  <w:pPr>
                    <w:pStyle w:val="45"/>
                    <w:wordWrap w:val="0"/>
                    <w:spacing w:line="240" w:lineRule="auto"/>
                    <w:ind w:firstLine="0" w:firstLineChars="0"/>
                    <w:jc w:val="center"/>
                    <w:rPr>
                      <w:sz w:val="21"/>
                      <w:szCs w:val="21"/>
                    </w:rPr>
                  </w:pPr>
                </w:p>
              </w:tc>
              <w:tc>
                <w:tcPr>
                  <w:tcW w:w="456" w:type="pct"/>
                  <w:vAlign w:val="center"/>
                </w:tcPr>
                <w:p w14:paraId="62CC492C">
                  <w:pPr>
                    <w:wordWrap w:val="0"/>
                    <w:adjustRightInd w:val="0"/>
                    <w:snapToGrid w:val="0"/>
                    <w:jc w:val="center"/>
                  </w:pPr>
                  <w:r>
                    <w:rPr>
                      <w:rFonts w:hint="eastAsia"/>
                    </w:rPr>
                    <w:t>颗粒物</w:t>
                  </w:r>
                </w:p>
              </w:tc>
              <w:tc>
                <w:tcPr>
                  <w:tcW w:w="604" w:type="pct"/>
                  <w:gridSpan w:val="2"/>
                  <w:vMerge w:val="continue"/>
                  <w:vAlign w:val="center"/>
                </w:tcPr>
                <w:p w14:paraId="72BC8638">
                  <w:pPr>
                    <w:wordWrap w:val="0"/>
                    <w:jc w:val="center"/>
                  </w:pPr>
                </w:p>
              </w:tc>
              <w:tc>
                <w:tcPr>
                  <w:tcW w:w="543" w:type="pct"/>
                  <w:vMerge w:val="continue"/>
                  <w:vAlign w:val="center"/>
                </w:tcPr>
                <w:p w14:paraId="0D56C3C6">
                  <w:pPr>
                    <w:wordWrap w:val="0"/>
                    <w:jc w:val="center"/>
                  </w:pPr>
                </w:p>
              </w:tc>
              <w:tc>
                <w:tcPr>
                  <w:tcW w:w="519" w:type="pct"/>
                  <w:vAlign w:val="center"/>
                </w:tcPr>
                <w:p w14:paraId="428C531A">
                  <w:pPr>
                    <w:wordWrap w:val="0"/>
                    <w:jc w:val="center"/>
                  </w:pPr>
                  <w:r>
                    <w:t>2.86千克/万m</w:t>
                  </w:r>
                  <w:r>
                    <w:rPr>
                      <w:vertAlign w:val="superscript"/>
                    </w:rPr>
                    <w:t>3</w:t>
                  </w:r>
                  <w:r>
                    <w:t>燃料</w:t>
                  </w:r>
                </w:p>
              </w:tc>
              <w:tc>
                <w:tcPr>
                  <w:tcW w:w="433" w:type="pct"/>
                  <w:vAlign w:val="center"/>
                </w:tcPr>
                <w:p w14:paraId="51F06359">
                  <w:pPr>
                    <w:wordWrap w:val="0"/>
                    <w:jc w:val="center"/>
                  </w:pPr>
                  <w:r>
                    <w:rPr>
                      <w:rFonts w:hint="eastAsia"/>
                    </w:rPr>
                    <w:t>11.44kg/a</w:t>
                  </w:r>
                </w:p>
              </w:tc>
              <w:tc>
                <w:tcPr>
                  <w:tcW w:w="997" w:type="pct"/>
                  <w:vMerge w:val="continue"/>
                  <w:vAlign w:val="center"/>
                </w:tcPr>
                <w:p w14:paraId="57D9CF34">
                  <w:pPr>
                    <w:wordWrap w:val="0"/>
                    <w:jc w:val="center"/>
                  </w:pPr>
                </w:p>
              </w:tc>
              <w:tc>
                <w:tcPr>
                  <w:tcW w:w="527" w:type="pct"/>
                  <w:vMerge w:val="continue"/>
                  <w:vAlign w:val="center"/>
                </w:tcPr>
                <w:p w14:paraId="24AD35DF">
                  <w:pPr>
                    <w:wordWrap w:val="0"/>
                    <w:jc w:val="center"/>
                  </w:pPr>
                </w:p>
              </w:tc>
            </w:tr>
            <w:tr w14:paraId="1B1D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Merge w:val="continue"/>
                  <w:vAlign w:val="center"/>
                </w:tcPr>
                <w:p w14:paraId="455E78A1">
                  <w:pPr>
                    <w:pStyle w:val="2"/>
                    <w:wordWrap w:val="0"/>
                    <w:spacing w:after="0"/>
                    <w:ind w:left="0" w:leftChars="0" w:firstLine="0" w:firstLineChars="0"/>
                    <w:jc w:val="center"/>
                  </w:pPr>
                </w:p>
              </w:tc>
              <w:tc>
                <w:tcPr>
                  <w:tcW w:w="397" w:type="pct"/>
                  <w:vAlign w:val="center"/>
                </w:tcPr>
                <w:p w14:paraId="7FB0FCB2">
                  <w:pPr>
                    <w:pStyle w:val="45"/>
                    <w:wordWrap w:val="0"/>
                    <w:spacing w:line="240" w:lineRule="auto"/>
                    <w:ind w:firstLine="0" w:firstLineChars="0"/>
                    <w:jc w:val="center"/>
                    <w:rPr>
                      <w:sz w:val="21"/>
                      <w:szCs w:val="21"/>
                    </w:rPr>
                  </w:pPr>
                  <w:r>
                    <w:rPr>
                      <w:rFonts w:hint="eastAsia"/>
                      <w:sz w:val="21"/>
                      <w:szCs w:val="21"/>
                    </w:rPr>
                    <w:t>喷粉房5</w:t>
                  </w:r>
                </w:p>
              </w:tc>
              <w:tc>
                <w:tcPr>
                  <w:tcW w:w="456" w:type="pct"/>
                  <w:vAlign w:val="center"/>
                </w:tcPr>
                <w:p w14:paraId="794AD4E9">
                  <w:pPr>
                    <w:wordWrap w:val="0"/>
                    <w:adjustRightInd w:val="0"/>
                    <w:snapToGrid w:val="0"/>
                    <w:jc w:val="center"/>
                  </w:pPr>
                  <w:r>
                    <w:rPr>
                      <w:rFonts w:hint="eastAsia"/>
                    </w:rPr>
                    <w:t>颗粒物</w:t>
                  </w:r>
                </w:p>
              </w:tc>
              <w:tc>
                <w:tcPr>
                  <w:tcW w:w="604" w:type="pct"/>
                  <w:gridSpan w:val="2"/>
                  <w:vMerge w:val="restart"/>
                  <w:vAlign w:val="center"/>
                </w:tcPr>
                <w:p w14:paraId="60EEFDB9">
                  <w:pPr>
                    <w:wordWrap w:val="0"/>
                    <w:jc w:val="center"/>
                  </w:pPr>
                  <w:r>
                    <w:rPr>
                      <w:rFonts w:hint="eastAsia"/>
                    </w:rPr>
                    <w:t>产污系数法</w:t>
                  </w:r>
                </w:p>
              </w:tc>
              <w:tc>
                <w:tcPr>
                  <w:tcW w:w="543" w:type="pct"/>
                  <w:vAlign w:val="center"/>
                </w:tcPr>
                <w:p w14:paraId="2CD27B5A">
                  <w:pPr>
                    <w:pStyle w:val="2"/>
                    <w:wordWrap w:val="0"/>
                    <w:spacing w:after="0"/>
                    <w:ind w:left="0" w:leftChars="0" w:firstLine="0" w:firstLineChars="0"/>
                    <w:jc w:val="center"/>
                  </w:pPr>
                  <w:r>
                    <w:rPr>
                      <w:rFonts w:hint="eastAsia"/>
                    </w:rPr>
                    <w:t>塑粉用量10t</w:t>
                  </w:r>
                </w:p>
              </w:tc>
              <w:tc>
                <w:tcPr>
                  <w:tcW w:w="519" w:type="pct"/>
                  <w:vAlign w:val="center"/>
                </w:tcPr>
                <w:p w14:paraId="4BA6C5D5">
                  <w:pPr>
                    <w:wordWrap w:val="0"/>
                    <w:jc w:val="center"/>
                  </w:pPr>
                  <w:r>
                    <w:rPr>
                      <w:rFonts w:hint="eastAsia"/>
                    </w:rPr>
                    <w:t>300kg/t原料</w:t>
                  </w:r>
                </w:p>
              </w:tc>
              <w:tc>
                <w:tcPr>
                  <w:tcW w:w="433" w:type="pct"/>
                  <w:vAlign w:val="center"/>
                </w:tcPr>
                <w:p w14:paraId="0FA8B1DC">
                  <w:pPr>
                    <w:wordWrap w:val="0"/>
                    <w:jc w:val="center"/>
                  </w:pPr>
                  <w:r>
                    <w:rPr>
                      <w:rFonts w:hint="eastAsia"/>
                    </w:rPr>
                    <w:t>3t/a</w:t>
                  </w:r>
                </w:p>
              </w:tc>
              <w:tc>
                <w:tcPr>
                  <w:tcW w:w="997" w:type="pct"/>
                  <w:vAlign w:val="center"/>
                </w:tcPr>
                <w:p w14:paraId="46BB93FD">
                  <w:pPr>
                    <w:pStyle w:val="2"/>
                    <w:wordWrap w:val="0"/>
                    <w:spacing w:after="0"/>
                    <w:ind w:left="0" w:leftChars="0" w:firstLine="0" w:firstLineChars="0"/>
                    <w:jc w:val="center"/>
                  </w:pPr>
                  <w:r>
                    <w:rPr>
                      <w:rFonts w:hint="eastAsia"/>
                      <w:szCs w:val="21"/>
                    </w:rPr>
                    <w:t>滤筒除尘器+纳米覆膜滤筒除尘器TA0016</w:t>
                  </w:r>
                </w:p>
              </w:tc>
              <w:tc>
                <w:tcPr>
                  <w:tcW w:w="527" w:type="pct"/>
                  <w:vAlign w:val="center"/>
                </w:tcPr>
                <w:p w14:paraId="02612969">
                  <w:pPr>
                    <w:pStyle w:val="2"/>
                    <w:wordWrap w:val="0"/>
                    <w:spacing w:after="0"/>
                    <w:ind w:left="0" w:leftChars="0" w:firstLine="0" w:firstLineChars="0"/>
                    <w:jc w:val="center"/>
                    <w:rPr>
                      <w:szCs w:val="21"/>
                    </w:rPr>
                  </w:pPr>
                  <w:r>
                    <w:rPr>
                      <w:rFonts w:hint="eastAsia"/>
                      <w:szCs w:val="21"/>
                    </w:rPr>
                    <w:t>本项目喷涂工序共计5个喷粉位，故核算各按1/5进行计算。</w:t>
                  </w:r>
                </w:p>
              </w:tc>
            </w:tr>
            <w:tr w14:paraId="2BE8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23" w:type="pct"/>
                  <w:vMerge w:val="continue"/>
                </w:tcPr>
                <w:p w14:paraId="55724A55">
                  <w:pPr>
                    <w:pStyle w:val="2"/>
                    <w:wordWrap w:val="0"/>
                    <w:spacing w:after="0"/>
                    <w:ind w:left="0" w:leftChars="0" w:firstLine="0" w:firstLineChars="0"/>
                    <w:jc w:val="center"/>
                  </w:pPr>
                </w:p>
              </w:tc>
              <w:tc>
                <w:tcPr>
                  <w:tcW w:w="397" w:type="pct"/>
                  <w:vMerge w:val="restart"/>
                  <w:vAlign w:val="center"/>
                </w:tcPr>
                <w:p w14:paraId="4407C5B2">
                  <w:pPr>
                    <w:pStyle w:val="45"/>
                    <w:wordWrap w:val="0"/>
                    <w:spacing w:line="240" w:lineRule="auto"/>
                    <w:ind w:firstLine="0" w:firstLineChars="0"/>
                    <w:jc w:val="center"/>
                  </w:pPr>
                  <w:r>
                    <w:rPr>
                      <w:rFonts w:hint="eastAsia"/>
                      <w:sz w:val="21"/>
                      <w:szCs w:val="21"/>
                    </w:rPr>
                    <w:t>喷漆房2</w:t>
                  </w:r>
                </w:p>
              </w:tc>
              <w:tc>
                <w:tcPr>
                  <w:tcW w:w="456" w:type="pct"/>
                  <w:vAlign w:val="center"/>
                </w:tcPr>
                <w:p w14:paraId="1237424F">
                  <w:pPr>
                    <w:wordWrap w:val="0"/>
                    <w:adjustRightInd w:val="0"/>
                    <w:snapToGrid w:val="0"/>
                    <w:jc w:val="center"/>
                  </w:pPr>
                  <w:r>
                    <w:rPr>
                      <w:rFonts w:hint="eastAsia"/>
                    </w:rPr>
                    <w:t>颗粒物</w:t>
                  </w:r>
                </w:p>
              </w:tc>
              <w:tc>
                <w:tcPr>
                  <w:tcW w:w="604" w:type="pct"/>
                  <w:gridSpan w:val="2"/>
                  <w:vMerge w:val="continue"/>
                  <w:vAlign w:val="center"/>
                </w:tcPr>
                <w:p w14:paraId="44FF219E">
                  <w:pPr>
                    <w:wordWrap w:val="0"/>
                    <w:jc w:val="center"/>
                  </w:pPr>
                </w:p>
              </w:tc>
              <w:tc>
                <w:tcPr>
                  <w:tcW w:w="543" w:type="pct"/>
                  <w:vAlign w:val="center"/>
                </w:tcPr>
                <w:p w14:paraId="0C3A6D6F">
                  <w:pPr>
                    <w:pStyle w:val="2"/>
                    <w:wordWrap w:val="0"/>
                    <w:spacing w:after="0"/>
                    <w:ind w:left="0" w:leftChars="0" w:firstLine="0" w:firstLineChars="0"/>
                    <w:jc w:val="center"/>
                  </w:pPr>
                  <w:r>
                    <w:rPr>
                      <w:rFonts w:hint="eastAsia"/>
                    </w:rPr>
                    <w:t>水性漆用量0.75t</w:t>
                  </w:r>
                </w:p>
              </w:tc>
              <w:tc>
                <w:tcPr>
                  <w:tcW w:w="519" w:type="pct"/>
                  <w:vAlign w:val="center"/>
                </w:tcPr>
                <w:p w14:paraId="29CE5C91">
                  <w:pPr>
                    <w:pStyle w:val="2"/>
                    <w:wordWrap w:val="0"/>
                    <w:spacing w:after="0"/>
                    <w:ind w:left="0" w:leftChars="0" w:firstLine="0" w:firstLineChars="0"/>
                    <w:jc w:val="center"/>
                  </w:pPr>
                  <w:r>
                    <w:rPr>
                      <w:rFonts w:hint="eastAsia"/>
                    </w:rPr>
                    <w:t>20.8</w:t>
                  </w:r>
                  <w:r>
                    <w:rPr>
                      <w:rFonts w:eastAsia="Times New Roman"/>
                    </w:rPr>
                    <w:t>g/</w:t>
                  </w:r>
                  <w:r>
                    <w:rPr>
                      <w:rFonts w:hint="eastAsia"/>
                    </w:rPr>
                    <w:t>kg</w:t>
                  </w:r>
                  <w:r>
                    <w:rPr>
                      <w:rFonts w:eastAsia="Times New Roman"/>
                    </w:rPr>
                    <w:t>-</w:t>
                  </w:r>
                  <w:r>
                    <w:rPr>
                      <w:rFonts w:hint="eastAsia"/>
                    </w:rPr>
                    <w:t>涂料</w:t>
                  </w:r>
                </w:p>
              </w:tc>
              <w:tc>
                <w:tcPr>
                  <w:tcW w:w="433" w:type="pct"/>
                  <w:vAlign w:val="center"/>
                </w:tcPr>
                <w:p w14:paraId="2380E8DA">
                  <w:pPr>
                    <w:pStyle w:val="2"/>
                    <w:wordWrap w:val="0"/>
                    <w:spacing w:after="0"/>
                    <w:ind w:left="0" w:leftChars="0" w:firstLine="0" w:firstLineChars="0"/>
                    <w:jc w:val="center"/>
                  </w:pPr>
                  <w:r>
                    <w:rPr>
                      <w:rFonts w:hint="eastAsia"/>
                    </w:rPr>
                    <w:t>0.156t/a</w:t>
                  </w:r>
                </w:p>
              </w:tc>
              <w:tc>
                <w:tcPr>
                  <w:tcW w:w="997" w:type="pct"/>
                  <w:vMerge w:val="restart"/>
                  <w:vAlign w:val="center"/>
                </w:tcPr>
                <w:p w14:paraId="155E428B">
                  <w:pPr>
                    <w:pStyle w:val="2"/>
                    <w:wordWrap w:val="0"/>
                    <w:spacing w:after="0"/>
                    <w:ind w:left="0" w:leftChars="0" w:firstLine="0" w:firstLineChars="0"/>
                    <w:jc w:val="center"/>
                    <w:rPr>
                      <w:szCs w:val="21"/>
                    </w:rPr>
                  </w:pPr>
                  <w:r>
                    <w:rPr>
                      <w:rFonts w:hint="eastAsia"/>
                      <w:szCs w:val="21"/>
                    </w:rPr>
                    <w:t>玻璃纤维过滤棉+活性炭吸附装置TA0017</w:t>
                  </w:r>
                </w:p>
              </w:tc>
              <w:tc>
                <w:tcPr>
                  <w:tcW w:w="527" w:type="pct"/>
                  <w:vMerge w:val="restart"/>
                  <w:vAlign w:val="center"/>
                </w:tcPr>
                <w:p w14:paraId="66505EE1">
                  <w:pPr>
                    <w:pStyle w:val="2"/>
                    <w:wordWrap w:val="0"/>
                    <w:spacing w:after="0"/>
                    <w:ind w:left="0" w:leftChars="0" w:firstLine="0" w:firstLineChars="0"/>
                    <w:jc w:val="center"/>
                    <w:rPr>
                      <w:szCs w:val="21"/>
                    </w:rPr>
                  </w:pPr>
                  <w:r>
                    <w:rPr>
                      <w:rFonts w:hint="eastAsia"/>
                      <w:szCs w:val="21"/>
                    </w:rPr>
                    <w:t>本项目喷漆工序共计2个喷漆房，故核算各按1/2进行计算。</w:t>
                  </w:r>
                </w:p>
              </w:tc>
            </w:tr>
            <w:tr w14:paraId="22E1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23" w:type="pct"/>
                  <w:vMerge w:val="continue"/>
                </w:tcPr>
                <w:p w14:paraId="4346AD9D">
                  <w:pPr>
                    <w:pStyle w:val="2"/>
                    <w:wordWrap w:val="0"/>
                    <w:spacing w:after="0"/>
                    <w:ind w:left="0" w:leftChars="0" w:firstLine="0" w:firstLineChars="0"/>
                    <w:jc w:val="center"/>
                  </w:pPr>
                </w:p>
              </w:tc>
              <w:tc>
                <w:tcPr>
                  <w:tcW w:w="397" w:type="pct"/>
                  <w:vMerge w:val="continue"/>
                  <w:vAlign w:val="center"/>
                </w:tcPr>
                <w:p w14:paraId="427058A0">
                  <w:pPr>
                    <w:pStyle w:val="45"/>
                    <w:wordWrap w:val="0"/>
                    <w:spacing w:line="240" w:lineRule="auto"/>
                    <w:ind w:firstLine="0" w:firstLineChars="0"/>
                    <w:jc w:val="center"/>
                    <w:rPr>
                      <w:sz w:val="21"/>
                      <w:szCs w:val="21"/>
                    </w:rPr>
                  </w:pPr>
                </w:p>
              </w:tc>
              <w:tc>
                <w:tcPr>
                  <w:tcW w:w="456" w:type="pct"/>
                  <w:vAlign w:val="center"/>
                </w:tcPr>
                <w:p w14:paraId="6690063D">
                  <w:pPr>
                    <w:wordWrap w:val="0"/>
                    <w:adjustRightInd w:val="0"/>
                    <w:snapToGrid w:val="0"/>
                    <w:jc w:val="center"/>
                  </w:pPr>
                  <w:r>
                    <w:rPr>
                      <w:rFonts w:hint="eastAsia"/>
                    </w:rPr>
                    <w:t>非甲烷总烃</w:t>
                  </w:r>
                </w:p>
              </w:tc>
              <w:tc>
                <w:tcPr>
                  <w:tcW w:w="604" w:type="pct"/>
                  <w:gridSpan w:val="2"/>
                  <w:vMerge w:val="continue"/>
                  <w:vAlign w:val="center"/>
                </w:tcPr>
                <w:p w14:paraId="76668A38">
                  <w:pPr>
                    <w:wordWrap w:val="0"/>
                    <w:jc w:val="center"/>
                  </w:pPr>
                </w:p>
              </w:tc>
              <w:tc>
                <w:tcPr>
                  <w:tcW w:w="543" w:type="pct"/>
                  <w:vAlign w:val="center"/>
                </w:tcPr>
                <w:p w14:paraId="6027863B">
                  <w:pPr>
                    <w:pStyle w:val="2"/>
                    <w:wordWrap w:val="0"/>
                    <w:spacing w:after="0"/>
                    <w:ind w:left="0" w:leftChars="0" w:firstLine="0" w:firstLineChars="0"/>
                    <w:jc w:val="center"/>
                  </w:pPr>
                  <w:r>
                    <w:rPr>
                      <w:rFonts w:hint="eastAsia"/>
                    </w:rPr>
                    <w:t>水性漆用量625L</w:t>
                  </w:r>
                </w:p>
              </w:tc>
              <w:tc>
                <w:tcPr>
                  <w:tcW w:w="519" w:type="pct"/>
                  <w:vAlign w:val="center"/>
                </w:tcPr>
                <w:p w14:paraId="21855FE5">
                  <w:pPr>
                    <w:pStyle w:val="2"/>
                    <w:wordWrap w:val="0"/>
                    <w:spacing w:after="0"/>
                    <w:ind w:left="0" w:leftChars="0" w:firstLine="0" w:firstLineChars="0"/>
                    <w:jc w:val="center"/>
                  </w:pPr>
                  <w:r>
                    <w:rPr>
                      <w:rFonts w:hint="eastAsia"/>
                    </w:rPr>
                    <w:t>12.3g/L原料</w:t>
                  </w:r>
                </w:p>
              </w:tc>
              <w:tc>
                <w:tcPr>
                  <w:tcW w:w="433" w:type="pct"/>
                  <w:vAlign w:val="center"/>
                </w:tcPr>
                <w:p w14:paraId="611ECCB7">
                  <w:pPr>
                    <w:pStyle w:val="2"/>
                    <w:wordWrap w:val="0"/>
                    <w:spacing w:after="0"/>
                    <w:ind w:left="0" w:leftChars="0" w:firstLine="0" w:firstLineChars="0"/>
                    <w:jc w:val="center"/>
                  </w:pPr>
                  <w:r>
                    <w:rPr>
                      <w:rFonts w:hint="eastAsia"/>
                    </w:rPr>
                    <w:t>0.008</w:t>
                  </w:r>
                  <w:r>
                    <w:t>t/a</w:t>
                  </w:r>
                </w:p>
              </w:tc>
              <w:tc>
                <w:tcPr>
                  <w:tcW w:w="997" w:type="pct"/>
                  <w:vMerge w:val="continue"/>
                  <w:vAlign w:val="center"/>
                </w:tcPr>
                <w:p w14:paraId="6B1755F9">
                  <w:pPr>
                    <w:pStyle w:val="2"/>
                    <w:wordWrap w:val="0"/>
                    <w:spacing w:after="0"/>
                    <w:ind w:left="0" w:leftChars="0" w:firstLine="0" w:firstLineChars="0"/>
                    <w:jc w:val="center"/>
                  </w:pPr>
                </w:p>
              </w:tc>
              <w:tc>
                <w:tcPr>
                  <w:tcW w:w="527" w:type="pct"/>
                  <w:vMerge w:val="continue"/>
                  <w:vAlign w:val="center"/>
                </w:tcPr>
                <w:p w14:paraId="343D0221">
                  <w:pPr>
                    <w:pStyle w:val="2"/>
                    <w:wordWrap w:val="0"/>
                    <w:spacing w:after="0"/>
                    <w:ind w:left="0" w:leftChars="0" w:firstLine="0" w:firstLineChars="0"/>
                    <w:jc w:val="center"/>
                  </w:pPr>
                </w:p>
              </w:tc>
            </w:tr>
          </w:tbl>
          <w:p w14:paraId="4303A93F">
            <w:pPr>
              <w:wordWrap w:val="0"/>
              <w:adjustRightInd w:val="0"/>
              <w:snapToGrid w:val="0"/>
              <w:jc w:val="left"/>
              <w:rPr>
                <w:sz w:val="24"/>
              </w:rPr>
            </w:pPr>
            <w:r>
              <w:rPr>
                <w:rFonts w:hint="eastAsia"/>
                <w:sz w:val="24"/>
              </w:rPr>
              <w:t>项目废气</w:t>
            </w:r>
            <w:r>
              <w:rPr>
                <w:sz w:val="24"/>
              </w:rPr>
              <w:t>具体产排核算情况如下：</w:t>
            </w:r>
          </w:p>
          <w:p w14:paraId="1E730791">
            <w:pPr>
              <w:pStyle w:val="52"/>
              <w:numPr>
                <w:ilvl w:val="0"/>
                <w:numId w:val="1"/>
              </w:numPr>
              <w:wordWrap w:val="0"/>
              <w:ind w:left="0" w:firstLine="0"/>
              <w:rPr>
                <w:color w:val="auto"/>
              </w:rPr>
            </w:pPr>
            <w:r>
              <w:rPr>
                <w:rFonts w:hint="eastAsia"/>
                <w:color w:val="auto"/>
              </w:rPr>
              <w:t xml:space="preserve">    </w:t>
            </w:r>
            <w:r>
              <w:rPr>
                <w:color w:val="auto"/>
              </w:rPr>
              <w:t>本项目废气产排</w:t>
            </w:r>
            <w:r>
              <w:rPr>
                <w:rFonts w:hint="eastAsia"/>
                <w:color w:val="auto"/>
              </w:rPr>
              <w:t>核算</w:t>
            </w:r>
            <w:r>
              <w:rPr>
                <w:color w:val="auto"/>
              </w:rPr>
              <w:t>情况一览表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55"/>
              <w:gridCol w:w="591"/>
              <w:gridCol w:w="536"/>
              <w:gridCol w:w="1775"/>
              <w:gridCol w:w="570"/>
              <w:gridCol w:w="570"/>
              <w:gridCol w:w="728"/>
              <w:gridCol w:w="728"/>
              <w:gridCol w:w="704"/>
              <w:gridCol w:w="701"/>
            </w:tblGrid>
            <w:tr w14:paraId="7AF9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11CFF55">
                  <w:pPr>
                    <w:wordWrap w:val="0"/>
                    <w:adjustRightInd w:val="0"/>
                    <w:snapToGrid w:val="0"/>
                    <w:jc w:val="center"/>
                    <w:rPr>
                      <w:szCs w:val="21"/>
                    </w:rPr>
                  </w:pPr>
                  <w:r>
                    <w:rPr>
                      <w:rFonts w:hint="eastAsia"/>
                      <w:szCs w:val="21"/>
                    </w:rPr>
                    <w:t>工序</w:t>
                  </w:r>
                </w:p>
              </w:tc>
              <w:tc>
                <w:tcPr>
                  <w:tcW w:w="0" w:type="auto"/>
                  <w:vAlign w:val="center"/>
                </w:tcPr>
                <w:p w14:paraId="780AFEF8">
                  <w:pPr>
                    <w:wordWrap w:val="0"/>
                    <w:adjustRightInd w:val="0"/>
                    <w:snapToGrid w:val="0"/>
                    <w:jc w:val="center"/>
                    <w:rPr>
                      <w:szCs w:val="21"/>
                    </w:rPr>
                  </w:pPr>
                  <w:r>
                    <w:rPr>
                      <w:rFonts w:hint="eastAsia"/>
                      <w:szCs w:val="21"/>
                    </w:rPr>
                    <w:t>污染源</w:t>
                  </w:r>
                </w:p>
              </w:tc>
              <w:tc>
                <w:tcPr>
                  <w:tcW w:w="0" w:type="auto"/>
                  <w:vAlign w:val="center"/>
                </w:tcPr>
                <w:p w14:paraId="012EEE18">
                  <w:pPr>
                    <w:wordWrap w:val="0"/>
                    <w:adjustRightInd w:val="0"/>
                    <w:snapToGrid w:val="0"/>
                    <w:jc w:val="center"/>
                    <w:rPr>
                      <w:szCs w:val="21"/>
                    </w:rPr>
                  </w:pPr>
                  <w:r>
                    <w:rPr>
                      <w:rFonts w:hint="eastAsia"/>
                      <w:szCs w:val="21"/>
                    </w:rPr>
                    <w:t>污染物</w:t>
                  </w:r>
                </w:p>
              </w:tc>
              <w:tc>
                <w:tcPr>
                  <w:tcW w:w="0" w:type="auto"/>
                  <w:vAlign w:val="center"/>
                </w:tcPr>
                <w:p w14:paraId="7B845A9B">
                  <w:pPr>
                    <w:wordWrap w:val="0"/>
                    <w:adjustRightInd w:val="0"/>
                    <w:snapToGrid w:val="0"/>
                    <w:jc w:val="center"/>
                    <w:rPr>
                      <w:szCs w:val="21"/>
                    </w:rPr>
                  </w:pPr>
                  <w:r>
                    <w:rPr>
                      <w:rFonts w:hint="eastAsia"/>
                      <w:szCs w:val="21"/>
                    </w:rPr>
                    <w:t>产生量</w:t>
                  </w:r>
                </w:p>
              </w:tc>
              <w:tc>
                <w:tcPr>
                  <w:tcW w:w="0" w:type="auto"/>
                  <w:vAlign w:val="center"/>
                </w:tcPr>
                <w:p w14:paraId="0766AB43">
                  <w:pPr>
                    <w:wordWrap w:val="0"/>
                    <w:adjustRightInd w:val="0"/>
                    <w:snapToGrid w:val="0"/>
                    <w:jc w:val="center"/>
                    <w:rPr>
                      <w:szCs w:val="21"/>
                    </w:rPr>
                  </w:pPr>
                  <w:r>
                    <w:rPr>
                      <w:rFonts w:hint="eastAsia"/>
                      <w:szCs w:val="21"/>
                    </w:rPr>
                    <w:t>收集方式、处理方式及排放方式</w:t>
                  </w:r>
                </w:p>
              </w:tc>
              <w:tc>
                <w:tcPr>
                  <w:tcW w:w="0" w:type="auto"/>
                  <w:vAlign w:val="center"/>
                </w:tcPr>
                <w:p w14:paraId="01F893A3">
                  <w:pPr>
                    <w:wordWrap w:val="0"/>
                    <w:adjustRightInd w:val="0"/>
                    <w:snapToGrid w:val="0"/>
                    <w:jc w:val="center"/>
                    <w:rPr>
                      <w:szCs w:val="21"/>
                    </w:rPr>
                  </w:pPr>
                  <w:r>
                    <w:rPr>
                      <w:rFonts w:hint="eastAsia"/>
                      <w:szCs w:val="21"/>
                    </w:rPr>
                    <w:t>收集效率</w:t>
                  </w:r>
                </w:p>
              </w:tc>
              <w:tc>
                <w:tcPr>
                  <w:tcW w:w="0" w:type="auto"/>
                  <w:vAlign w:val="center"/>
                </w:tcPr>
                <w:p w14:paraId="0C3D182E">
                  <w:pPr>
                    <w:wordWrap w:val="0"/>
                    <w:adjustRightInd w:val="0"/>
                    <w:snapToGrid w:val="0"/>
                    <w:jc w:val="center"/>
                    <w:rPr>
                      <w:szCs w:val="21"/>
                    </w:rPr>
                  </w:pPr>
                  <w:r>
                    <w:rPr>
                      <w:rFonts w:hint="eastAsia"/>
                      <w:szCs w:val="21"/>
                    </w:rPr>
                    <w:t>去除效率</w:t>
                  </w:r>
                </w:p>
              </w:tc>
              <w:tc>
                <w:tcPr>
                  <w:tcW w:w="0" w:type="auto"/>
                  <w:vAlign w:val="center"/>
                </w:tcPr>
                <w:p w14:paraId="49258979">
                  <w:pPr>
                    <w:wordWrap w:val="0"/>
                    <w:adjustRightInd w:val="0"/>
                    <w:snapToGrid w:val="0"/>
                    <w:jc w:val="center"/>
                    <w:rPr>
                      <w:szCs w:val="21"/>
                    </w:rPr>
                  </w:pPr>
                  <w:r>
                    <w:rPr>
                      <w:rFonts w:hint="eastAsia"/>
                      <w:szCs w:val="21"/>
                    </w:rPr>
                    <w:t>有组织排放量（t/a）</w:t>
                  </w:r>
                </w:p>
              </w:tc>
              <w:tc>
                <w:tcPr>
                  <w:tcW w:w="0" w:type="auto"/>
                  <w:vAlign w:val="center"/>
                </w:tcPr>
                <w:p w14:paraId="07112EF1">
                  <w:pPr>
                    <w:wordWrap w:val="0"/>
                    <w:adjustRightInd w:val="0"/>
                    <w:snapToGrid w:val="0"/>
                    <w:jc w:val="center"/>
                    <w:rPr>
                      <w:szCs w:val="21"/>
                    </w:rPr>
                  </w:pPr>
                  <w:r>
                    <w:rPr>
                      <w:rFonts w:hint="eastAsia"/>
                      <w:szCs w:val="21"/>
                    </w:rPr>
                    <w:t>无组织排放量（t/a）</w:t>
                  </w:r>
                </w:p>
              </w:tc>
              <w:tc>
                <w:tcPr>
                  <w:tcW w:w="0" w:type="auto"/>
                  <w:vAlign w:val="center"/>
                </w:tcPr>
                <w:p w14:paraId="1C12DE7A">
                  <w:pPr>
                    <w:wordWrap w:val="0"/>
                    <w:adjustRightInd w:val="0"/>
                    <w:snapToGrid w:val="0"/>
                    <w:jc w:val="center"/>
                    <w:rPr>
                      <w:szCs w:val="21"/>
                    </w:rPr>
                  </w:pPr>
                  <w:r>
                    <w:rPr>
                      <w:rFonts w:hint="eastAsia"/>
                      <w:szCs w:val="21"/>
                    </w:rPr>
                    <w:t>排放速率（kg/h）</w:t>
                  </w:r>
                </w:p>
              </w:tc>
              <w:tc>
                <w:tcPr>
                  <w:tcW w:w="0" w:type="auto"/>
                  <w:vAlign w:val="center"/>
                </w:tcPr>
                <w:p w14:paraId="50363736">
                  <w:pPr>
                    <w:wordWrap w:val="0"/>
                    <w:adjustRightInd w:val="0"/>
                    <w:snapToGrid w:val="0"/>
                    <w:jc w:val="center"/>
                    <w:rPr>
                      <w:szCs w:val="21"/>
                    </w:rPr>
                  </w:pPr>
                  <w:r>
                    <w:rPr>
                      <w:rFonts w:hint="eastAsia"/>
                      <w:szCs w:val="21"/>
                    </w:rPr>
                    <w:t>合计排放量（t/a）</w:t>
                  </w:r>
                </w:p>
              </w:tc>
            </w:tr>
            <w:tr w14:paraId="354F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6B7654D">
                  <w:pPr>
                    <w:wordWrap w:val="0"/>
                    <w:adjustRightInd w:val="0"/>
                    <w:snapToGrid w:val="0"/>
                    <w:jc w:val="center"/>
                    <w:rPr>
                      <w:szCs w:val="21"/>
                    </w:rPr>
                  </w:pPr>
                  <w:r>
                    <w:rPr>
                      <w:rFonts w:hint="eastAsia"/>
                      <w:szCs w:val="21"/>
                    </w:rPr>
                    <w:t>切割工序</w:t>
                  </w:r>
                </w:p>
              </w:tc>
              <w:tc>
                <w:tcPr>
                  <w:tcW w:w="0" w:type="auto"/>
                  <w:vAlign w:val="center"/>
                </w:tcPr>
                <w:p w14:paraId="487871DA">
                  <w:pPr>
                    <w:pStyle w:val="2"/>
                    <w:wordWrap w:val="0"/>
                    <w:spacing w:after="0"/>
                    <w:ind w:left="0" w:leftChars="0" w:firstLine="0" w:firstLineChars="0"/>
                    <w:jc w:val="center"/>
                    <w:rPr>
                      <w:szCs w:val="21"/>
                    </w:rPr>
                  </w:pPr>
                  <w:r>
                    <w:rPr>
                      <w:rFonts w:hint="eastAsia"/>
                      <w:szCs w:val="21"/>
                    </w:rPr>
                    <w:t>等离子切割机</w:t>
                  </w:r>
                </w:p>
              </w:tc>
              <w:tc>
                <w:tcPr>
                  <w:tcW w:w="0" w:type="auto"/>
                  <w:vAlign w:val="center"/>
                </w:tcPr>
                <w:p w14:paraId="223503F2">
                  <w:pPr>
                    <w:wordWrap w:val="0"/>
                    <w:adjustRightInd w:val="0"/>
                    <w:snapToGrid w:val="0"/>
                    <w:jc w:val="center"/>
                    <w:rPr>
                      <w:szCs w:val="21"/>
                    </w:rPr>
                  </w:pPr>
                  <w:r>
                    <w:rPr>
                      <w:rFonts w:hint="eastAsia"/>
                      <w:szCs w:val="21"/>
                    </w:rPr>
                    <w:t>颗粒物</w:t>
                  </w:r>
                </w:p>
              </w:tc>
              <w:tc>
                <w:tcPr>
                  <w:tcW w:w="0" w:type="auto"/>
                  <w:vAlign w:val="center"/>
                </w:tcPr>
                <w:p w14:paraId="426B950B">
                  <w:pPr>
                    <w:pStyle w:val="2"/>
                    <w:wordWrap w:val="0"/>
                    <w:spacing w:after="0"/>
                    <w:ind w:left="0" w:leftChars="0" w:firstLine="0" w:firstLineChars="0"/>
                    <w:jc w:val="center"/>
                  </w:pPr>
                  <w:r>
                    <w:t>1.1t/a</w:t>
                  </w:r>
                </w:p>
              </w:tc>
              <w:tc>
                <w:tcPr>
                  <w:tcW w:w="0" w:type="auto"/>
                  <w:vAlign w:val="center"/>
                </w:tcPr>
                <w:p w14:paraId="1B8CCB92">
                  <w:pPr>
                    <w:wordWrap w:val="0"/>
                    <w:adjustRightInd w:val="0"/>
                    <w:snapToGrid w:val="0"/>
                    <w:jc w:val="center"/>
                    <w:rPr>
                      <w:szCs w:val="21"/>
                    </w:rPr>
                  </w:pPr>
                  <w:r>
                    <w:rPr>
                      <w:rFonts w:hint="eastAsia"/>
                      <w:szCs w:val="21"/>
                    </w:rPr>
                    <w:t>直接通过管道连接至自带袋式除尘器处理后无组织排放</w:t>
                  </w:r>
                </w:p>
              </w:tc>
              <w:tc>
                <w:tcPr>
                  <w:tcW w:w="0" w:type="auto"/>
                  <w:vAlign w:val="center"/>
                </w:tcPr>
                <w:p w14:paraId="1470BECC">
                  <w:pPr>
                    <w:wordWrap w:val="0"/>
                    <w:adjustRightInd w:val="0"/>
                    <w:snapToGrid w:val="0"/>
                    <w:jc w:val="center"/>
                    <w:rPr>
                      <w:szCs w:val="21"/>
                    </w:rPr>
                  </w:pPr>
                  <w:r>
                    <w:rPr>
                      <w:rFonts w:hint="eastAsia"/>
                      <w:szCs w:val="21"/>
                    </w:rPr>
                    <w:t>95%</w:t>
                  </w:r>
                </w:p>
              </w:tc>
              <w:tc>
                <w:tcPr>
                  <w:tcW w:w="0" w:type="auto"/>
                  <w:vAlign w:val="center"/>
                </w:tcPr>
                <w:p w14:paraId="2265BBB1">
                  <w:pPr>
                    <w:wordWrap w:val="0"/>
                    <w:adjustRightInd w:val="0"/>
                    <w:snapToGrid w:val="0"/>
                    <w:jc w:val="center"/>
                    <w:rPr>
                      <w:szCs w:val="21"/>
                    </w:rPr>
                  </w:pPr>
                  <w:r>
                    <w:rPr>
                      <w:rFonts w:hint="eastAsia"/>
                      <w:szCs w:val="21"/>
                    </w:rPr>
                    <w:t>95%</w:t>
                  </w:r>
                </w:p>
              </w:tc>
              <w:tc>
                <w:tcPr>
                  <w:tcW w:w="0" w:type="auto"/>
                  <w:vAlign w:val="center"/>
                </w:tcPr>
                <w:p w14:paraId="26A5F1FC">
                  <w:pPr>
                    <w:wordWrap w:val="0"/>
                    <w:adjustRightInd w:val="0"/>
                    <w:snapToGrid w:val="0"/>
                    <w:jc w:val="center"/>
                    <w:rPr>
                      <w:szCs w:val="21"/>
                    </w:rPr>
                  </w:pPr>
                  <w:r>
                    <w:rPr>
                      <w:rFonts w:hint="eastAsia"/>
                      <w:szCs w:val="21"/>
                    </w:rPr>
                    <w:t>/</w:t>
                  </w:r>
                </w:p>
              </w:tc>
              <w:tc>
                <w:tcPr>
                  <w:tcW w:w="0" w:type="auto"/>
                  <w:vAlign w:val="center"/>
                </w:tcPr>
                <w:p w14:paraId="6895A984">
                  <w:pPr>
                    <w:wordWrap w:val="0"/>
                    <w:adjustRightInd w:val="0"/>
                    <w:snapToGrid w:val="0"/>
                    <w:jc w:val="center"/>
                    <w:rPr>
                      <w:szCs w:val="21"/>
                    </w:rPr>
                  </w:pPr>
                  <w:r>
                    <w:rPr>
                      <w:rFonts w:hint="eastAsia"/>
                      <w:szCs w:val="21"/>
                    </w:rPr>
                    <w:t>0.107</w:t>
                  </w:r>
                </w:p>
              </w:tc>
              <w:tc>
                <w:tcPr>
                  <w:tcW w:w="0" w:type="auto"/>
                  <w:vAlign w:val="center"/>
                </w:tcPr>
                <w:p w14:paraId="45E34125">
                  <w:pPr>
                    <w:wordWrap w:val="0"/>
                    <w:adjustRightInd w:val="0"/>
                    <w:snapToGrid w:val="0"/>
                    <w:jc w:val="center"/>
                    <w:rPr>
                      <w:szCs w:val="21"/>
                    </w:rPr>
                  </w:pPr>
                  <w:r>
                    <w:rPr>
                      <w:rFonts w:hint="eastAsia"/>
                      <w:szCs w:val="21"/>
                    </w:rPr>
                    <w:t>0.043</w:t>
                  </w:r>
                </w:p>
              </w:tc>
              <w:tc>
                <w:tcPr>
                  <w:tcW w:w="0" w:type="auto"/>
                  <w:vAlign w:val="center"/>
                </w:tcPr>
                <w:p w14:paraId="754E4CF2">
                  <w:pPr>
                    <w:wordWrap w:val="0"/>
                    <w:adjustRightInd w:val="0"/>
                    <w:snapToGrid w:val="0"/>
                    <w:jc w:val="center"/>
                    <w:rPr>
                      <w:szCs w:val="21"/>
                    </w:rPr>
                  </w:pPr>
                  <w:r>
                    <w:rPr>
                      <w:rFonts w:hint="eastAsia"/>
                      <w:szCs w:val="21"/>
                    </w:rPr>
                    <w:t>0.107</w:t>
                  </w:r>
                </w:p>
              </w:tc>
            </w:tr>
            <w:tr w14:paraId="7087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B7BADB0">
                  <w:pPr>
                    <w:wordWrap w:val="0"/>
                    <w:adjustRightInd w:val="0"/>
                    <w:snapToGrid w:val="0"/>
                    <w:jc w:val="center"/>
                    <w:rPr>
                      <w:szCs w:val="21"/>
                    </w:rPr>
                  </w:pPr>
                  <w:r>
                    <w:rPr>
                      <w:rFonts w:hint="eastAsia"/>
                      <w:szCs w:val="21"/>
                    </w:rPr>
                    <w:t>焊接工序</w:t>
                  </w:r>
                </w:p>
              </w:tc>
              <w:tc>
                <w:tcPr>
                  <w:tcW w:w="0" w:type="auto"/>
                  <w:vAlign w:val="center"/>
                </w:tcPr>
                <w:p w14:paraId="3BD9960C">
                  <w:pPr>
                    <w:pStyle w:val="2"/>
                    <w:wordWrap w:val="0"/>
                    <w:spacing w:after="0"/>
                    <w:ind w:left="0" w:leftChars="0" w:firstLine="0" w:firstLineChars="0"/>
                    <w:jc w:val="center"/>
                    <w:rPr>
                      <w:szCs w:val="21"/>
                    </w:rPr>
                  </w:pPr>
                  <w:r>
                    <w:rPr>
                      <w:rFonts w:hint="eastAsia"/>
                      <w:szCs w:val="21"/>
                    </w:rPr>
                    <w:t>二保焊机</w:t>
                  </w:r>
                </w:p>
              </w:tc>
              <w:tc>
                <w:tcPr>
                  <w:tcW w:w="0" w:type="auto"/>
                  <w:vAlign w:val="center"/>
                </w:tcPr>
                <w:p w14:paraId="56BCB691">
                  <w:pPr>
                    <w:wordWrap w:val="0"/>
                    <w:adjustRightInd w:val="0"/>
                    <w:snapToGrid w:val="0"/>
                    <w:jc w:val="center"/>
                    <w:rPr>
                      <w:szCs w:val="21"/>
                    </w:rPr>
                  </w:pPr>
                  <w:r>
                    <w:rPr>
                      <w:rFonts w:hint="eastAsia"/>
                      <w:szCs w:val="21"/>
                    </w:rPr>
                    <w:t>颗粒物</w:t>
                  </w:r>
                </w:p>
              </w:tc>
              <w:tc>
                <w:tcPr>
                  <w:tcW w:w="0" w:type="auto"/>
                  <w:vAlign w:val="center"/>
                </w:tcPr>
                <w:p w14:paraId="4B9AA4AD">
                  <w:pPr>
                    <w:pStyle w:val="2"/>
                    <w:wordWrap w:val="0"/>
                    <w:spacing w:after="0"/>
                    <w:ind w:left="0" w:leftChars="0" w:firstLine="0" w:firstLineChars="0"/>
                    <w:jc w:val="center"/>
                  </w:pPr>
                  <w:r>
                    <w:t>0.015t/a</w:t>
                  </w:r>
                </w:p>
              </w:tc>
              <w:tc>
                <w:tcPr>
                  <w:tcW w:w="0" w:type="auto"/>
                  <w:vAlign w:val="center"/>
                </w:tcPr>
                <w:p w14:paraId="00AF9BF6">
                  <w:pPr>
                    <w:wordWrap w:val="0"/>
                    <w:adjustRightInd w:val="0"/>
                    <w:snapToGrid w:val="0"/>
                    <w:jc w:val="center"/>
                    <w:rPr>
                      <w:szCs w:val="21"/>
                    </w:rPr>
                  </w:pPr>
                  <w:r>
                    <w:rPr>
                      <w:rFonts w:hint="eastAsia"/>
                      <w:szCs w:val="21"/>
                    </w:rPr>
                    <w:t>焊烟净化器集气罩收集后至焊接烟尘净化器处理后无组织排放</w:t>
                  </w:r>
                </w:p>
              </w:tc>
              <w:tc>
                <w:tcPr>
                  <w:tcW w:w="0" w:type="auto"/>
                  <w:vAlign w:val="center"/>
                </w:tcPr>
                <w:p w14:paraId="02CCE796">
                  <w:pPr>
                    <w:wordWrap w:val="0"/>
                    <w:adjustRightInd w:val="0"/>
                    <w:snapToGrid w:val="0"/>
                    <w:jc w:val="center"/>
                    <w:rPr>
                      <w:szCs w:val="21"/>
                    </w:rPr>
                  </w:pPr>
                  <w:r>
                    <w:rPr>
                      <w:rFonts w:hint="eastAsia"/>
                      <w:szCs w:val="21"/>
                    </w:rPr>
                    <w:t>80%</w:t>
                  </w:r>
                </w:p>
              </w:tc>
              <w:tc>
                <w:tcPr>
                  <w:tcW w:w="0" w:type="auto"/>
                  <w:vAlign w:val="center"/>
                </w:tcPr>
                <w:p w14:paraId="4F75FBAE">
                  <w:pPr>
                    <w:wordWrap w:val="0"/>
                    <w:adjustRightInd w:val="0"/>
                    <w:snapToGrid w:val="0"/>
                    <w:jc w:val="center"/>
                    <w:rPr>
                      <w:szCs w:val="21"/>
                    </w:rPr>
                  </w:pPr>
                  <w:r>
                    <w:rPr>
                      <w:rFonts w:hint="eastAsia"/>
                      <w:szCs w:val="21"/>
                    </w:rPr>
                    <w:t>95%</w:t>
                  </w:r>
                </w:p>
              </w:tc>
              <w:tc>
                <w:tcPr>
                  <w:tcW w:w="0" w:type="auto"/>
                  <w:vAlign w:val="center"/>
                </w:tcPr>
                <w:p w14:paraId="17C89F9E">
                  <w:pPr>
                    <w:wordWrap w:val="0"/>
                    <w:adjustRightInd w:val="0"/>
                    <w:snapToGrid w:val="0"/>
                    <w:jc w:val="center"/>
                    <w:rPr>
                      <w:szCs w:val="21"/>
                    </w:rPr>
                  </w:pPr>
                  <w:r>
                    <w:rPr>
                      <w:rFonts w:hint="eastAsia"/>
                      <w:szCs w:val="21"/>
                    </w:rPr>
                    <w:t>/</w:t>
                  </w:r>
                </w:p>
              </w:tc>
              <w:tc>
                <w:tcPr>
                  <w:tcW w:w="0" w:type="auto"/>
                  <w:vAlign w:val="center"/>
                </w:tcPr>
                <w:p w14:paraId="0A4B4C1D">
                  <w:pPr>
                    <w:wordWrap w:val="0"/>
                    <w:adjustRightInd w:val="0"/>
                    <w:snapToGrid w:val="0"/>
                    <w:jc w:val="center"/>
                    <w:rPr>
                      <w:szCs w:val="21"/>
                    </w:rPr>
                  </w:pPr>
                  <w:r>
                    <w:rPr>
                      <w:rFonts w:hint="eastAsia"/>
                      <w:szCs w:val="21"/>
                    </w:rPr>
                    <w:t>0.004</w:t>
                  </w:r>
                </w:p>
              </w:tc>
              <w:tc>
                <w:tcPr>
                  <w:tcW w:w="0" w:type="auto"/>
                  <w:vAlign w:val="center"/>
                </w:tcPr>
                <w:p w14:paraId="3186992C">
                  <w:pPr>
                    <w:wordWrap w:val="0"/>
                    <w:adjustRightInd w:val="0"/>
                    <w:snapToGrid w:val="0"/>
                    <w:jc w:val="center"/>
                    <w:rPr>
                      <w:szCs w:val="21"/>
                    </w:rPr>
                  </w:pPr>
                  <w:r>
                    <w:rPr>
                      <w:rFonts w:hint="eastAsia"/>
                      <w:szCs w:val="21"/>
                    </w:rPr>
                    <w:t>0.004</w:t>
                  </w:r>
                </w:p>
              </w:tc>
              <w:tc>
                <w:tcPr>
                  <w:tcW w:w="0" w:type="auto"/>
                  <w:vAlign w:val="center"/>
                </w:tcPr>
                <w:p w14:paraId="3E999ADB">
                  <w:pPr>
                    <w:wordWrap w:val="0"/>
                    <w:adjustRightInd w:val="0"/>
                    <w:snapToGrid w:val="0"/>
                    <w:jc w:val="center"/>
                    <w:rPr>
                      <w:szCs w:val="21"/>
                    </w:rPr>
                  </w:pPr>
                  <w:r>
                    <w:rPr>
                      <w:rFonts w:hint="eastAsia"/>
                      <w:szCs w:val="21"/>
                    </w:rPr>
                    <w:t>0.004</w:t>
                  </w:r>
                </w:p>
              </w:tc>
            </w:tr>
            <w:tr w14:paraId="3482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F1C858C">
                  <w:pPr>
                    <w:wordWrap w:val="0"/>
                    <w:adjustRightInd w:val="0"/>
                    <w:snapToGrid w:val="0"/>
                    <w:jc w:val="center"/>
                    <w:rPr>
                      <w:szCs w:val="21"/>
                    </w:rPr>
                  </w:pPr>
                  <w:r>
                    <w:rPr>
                      <w:rFonts w:hint="eastAsia"/>
                      <w:szCs w:val="21"/>
                    </w:rPr>
                    <w:t>打磨工序</w:t>
                  </w:r>
                </w:p>
              </w:tc>
              <w:tc>
                <w:tcPr>
                  <w:tcW w:w="0" w:type="auto"/>
                  <w:vAlign w:val="center"/>
                </w:tcPr>
                <w:p w14:paraId="71B1E230">
                  <w:pPr>
                    <w:pStyle w:val="2"/>
                    <w:wordWrap w:val="0"/>
                    <w:spacing w:after="0"/>
                    <w:ind w:left="0" w:leftChars="0" w:firstLine="0" w:firstLineChars="0"/>
                    <w:jc w:val="center"/>
                    <w:rPr>
                      <w:szCs w:val="21"/>
                    </w:rPr>
                  </w:pPr>
                  <w:r>
                    <w:rPr>
                      <w:rFonts w:hint="eastAsia"/>
                      <w:szCs w:val="21"/>
                    </w:rPr>
                    <w:t>打磨房</w:t>
                  </w:r>
                </w:p>
              </w:tc>
              <w:tc>
                <w:tcPr>
                  <w:tcW w:w="0" w:type="auto"/>
                  <w:vAlign w:val="center"/>
                </w:tcPr>
                <w:p w14:paraId="3F2C2D42">
                  <w:pPr>
                    <w:wordWrap w:val="0"/>
                    <w:adjustRightInd w:val="0"/>
                    <w:snapToGrid w:val="0"/>
                    <w:jc w:val="center"/>
                    <w:rPr>
                      <w:szCs w:val="21"/>
                    </w:rPr>
                  </w:pPr>
                  <w:r>
                    <w:rPr>
                      <w:rFonts w:hint="eastAsia"/>
                      <w:szCs w:val="21"/>
                    </w:rPr>
                    <w:t>颗粒物</w:t>
                  </w:r>
                </w:p>
              </w:tc>
              <w:tc>
                <w:tcPr>
                  <w:tcW w:w="0" w:type="auto"/>
                  <w:vAlign w:val="center"/>
                </w:tcPr>
                <w:p w14:paraId="3A72A455">
                  <w:pPr>
                    <w:pStyle w:val="2"/>
                    <w:wordWrap w:val="0"/>
                    <w:spacing w:after="0"/>
                    <w:ind w:left="0" w:leftChars="0" w:firstLine="0" w:firstLineChars="0"/>
                    <w:jc w:val="center"/>
                  </w:pPr>
                  <w:r>
                    <w:rPr>
                      <w:rFonts w:hint="eastAsia"/>
                    </w:rPr>
                    <w:t>2.19</w:t>
                  </w:r>
                  <w:r>
                    <w:t>t/a</w:t>
                  </w:r>
                </w:p>
              </w:tc>
              <w:tc>
                <w:tcPr>
                  <w:tcW w:w="0" w:type="auto"/>
                </w:tcPr>
                <w:p w14:paraId="32772701">
                  <w:pPr>
                    <w:wordWrap w:val="0"/>
                    <w:adjustRightInd w:val="0"/>
                    <w:snapToGrid w:val="0"/>
                    <w:jc w:val="center"/>
                    <w:rPr>
                      <w:szCs w:val="21"/>
                    </w:rPr>
                  </w:pPr>
                  <w:r>
                    <w:rPr>
                      <w:rFonts w:hint="eastAsia"/>
                      <w:szCs w:val="21"/>
                    </w:rPr>
                    <w:t>直接通过管道连接至两级纳米覆膜除尘器处理后无组织排放</w:t>
                  </w:r>
                </w:p>
              </w:tc>
              <w:tc>
                <w:tcPr>
                  <w:tcW w:w="0" w:type="auto"/>
                  <w:vAlign w:val="center"/>
                </w:tcPr>
                <w:p w14:paraId="0B127D56">
                  <w:pPr>
                    <w:wordWrap w:val="0"/>
                    <w:adjustRightInd w:val="0"/>
                    <w:snapToGrid w:val="0"/>
                    <w:jc w:val="center"/>
                    <w:rPr>
                      <w:szCs w:val="21"/>
                    </w:rPr>
                  </w:pPr>
                  <w:r>
                    <w:rPr>
                      <w:rFonts w:hint="eastAsia"/>
                      <w:szCs w:val="21"/>
                    </w:rPr>
                    <w:t>95%</w:t>
                  </w:r>
                </w:p>
              </w:tc>
              <w:tc>
                <w:tcPr>
                  <w:tcW w:w="0" w:type="auto"/>
                  <w:vAlign w:val="center"/>
                </w:tcPr>
                <w:p w14:paraId="25BF441D">
                  <w:pPr>
                    <w:wordWrap w:val="0"/>
                    <w:adjustRightInd w:val="0"/>
                    <w:snapToGrid w:val="0"/>
                    <w:jc w:val="center"/>
                    <w:rPr>
                      <w:szCs w:val="21"/>
                    </w:rPr>
                  </w:pPr>
                  <w:r>
                    <w:rPr>
                      <w:rFonts w:hint="eastAsia"/>
                      <w:szCs w:val="21"/>
                    </w:rPr>
                    <w:t>95%</w:t>
                  </w:r>
                </w:p>
              </w:tc>
              <w:tc>
                <w:tcPr>
                  <w:tcW w:w="0" w:type="auto"/>
                  <w:vAlign w:val="center"/>
                </w:tcPr>
                <w:p w14:paraId="5018FE2F">
                  <w:pPr>
                    <w:wordWrap w:val="0"/>
                    <w:adjustRightInd w:val="0"/>
                    <w:snapToGrid w:val="0"/>
                    <w:jc w:val="center"/>
                    <w:rPr>
                      <w:szCs w:val="21"/>
                    </w:rPr>
                  </w:pPr>
                  <w:r>
                    <w:rPr>
                      <w:rFonts w:hint="eastAsia"/>
                      <w:szCs w:val="21"/>
                    </w:rPr>
                    <w:t>/</w:t>
                  </w:r>
                </w:p>
              </w:tc>
              <w:tc>
                <w:tcPr>
                  <w:tcW w:w="0" w:type="auto"/>
                  <w:vAlign w:val="center"/>
                </w:tcPr>
                <w:p w14:paraId="613C2605">
                  <w:pPr>
                    <w:wordWrap w:val="0"/>
                    <w:adjustRightInd w:val="0"/>
                    <w:snapToGrid w:val="0"/>
                    <w:jc w:val="center"/>
                    <w:rPr>
                      <w:szCs w:val="21"/>
                    </w:rPr>
                  </w:pPr>
                  <w:r>
                    <w:rPr>
                      <w:rFonts w:hint="eastAsia"/>
                      <w:szCs w:val="21"/>
                    </w:rPr>
                    <w:t>0.214</w:t>
                  </w:r>
                </w:p>
              </w:tc>
              <w:tc>
                <w:tcPr>
                  <w:tcW w:w="0" w:type="auto"/>
                  <w:vAlign w:val="center"/>
                </w:tcPr>
                <w:p w14:paraId="2840560D">
                  <w:pPr>
                    <w:wordWrap w:val="0"/>
                    <w:adjustRightInd w:val="0"/>
                    <w:snapToGrid w:val="0"/>
                    <w:jc w:val="center"/>
                    <w:rPr>
                      <w:szCs w:val="21"/>
                    </w:rPr>
                  </w:pPr>
                  <w:r>
                    <w:rPr>
                      <w:rFonts w:hint="eastAsia"/>
                      <w:szCs w:val="21"/>
                    </w:rPr>
                    <w:t>0.344</w:t>
                  </w:r>
                </w:p>
              </w:tc>
              <w:tc>
                <w:tcPr>
                  <w:tcW w:w="0" w:type="auto"/>
                  <w:vAlign w:val="center"/>
                </w:tcPr>
                <w:p w14:paraId="5EE93156">
                  <w:pPr>
                    <w:wordWrap w:val="0"/>
                    <w:adjustRightInd w:val="0"/>
                    <w:snapToGrid w:val="0"/>
                    <w:jc w:val="center"/>
                    <w:rPr>
                      <w:szCs w:val="21"/>
                    </w:rPr>
                  </w:pPr>
                  <w:r>
                    <w:rPr>
                      <w:rFonts w:hint="eastAsia"/>
                      <w:szCs w:val="21"/>
                    </w:rPr>
                    <w:t>0.214</w:t>
                  </w:r>
                </w:p>
              </w:tc>
            </w:tr>
            <w:tr w14:paraId="3F83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60F453">
                  <w:pPr>
                    <w:wordWrap w:val="0"/>
                    <w:adjustRightInd w:val="0"/>
                    <w:snapToGrid w:val="0"/>
                    <w:jc w:val="center"/>
                    <w:rPr>
                      <w:szCs w:val="21"/>
                    </w:rPr>
                  </w:pPr>
                  <w:r>
                    <w:rPr>
                      <w:rFonts w:hint="eastAsia"/>
                      <w:szCs w:val="21"/>
                    </w:rPr>
                    <w:t>抛丸工序</w:t>
                  </w:r>
                </w:p>
              </w:tc>
              <w:tc>
                <w:tcPr>
                  <w:tcW w:w="0" w:type="auto"/>
                  <w:vAlign w:val="center"/>
                </w:tcPr>
                <w:p w14:paraId="02760179">
                  <w:pPr>
                    <w:pStyle w:val="2"/>
                    <w:wordWrap w:val="0"/>
                    <w:spacing w:after="0"/>
                    <w:ind w:left="0" w:leftChars="0" w:firstLine="0" w:firstLineChars="0"/>
                    <w:jc w:val="center"/>
                    <w:rPr>
                      <w:szCs w:val="21"/>
                    </w:rPr>
                  </w:pPr>
                  <w:r>
                    <w:rPr>
                      <w:rFonts w:hint="eastAsia"/>
                      <w:szCs w:val="21"/>
                    </w:rPr>
                    <w:t>抛丸机</w:t>
                  </w:r>
                </w:p>
              </w:tc>
              <w:tc>
                <w:tcPr>
                  <w:tcW w:w="0" w:type="auto"/>
                  <w:vAlign w:val="center"/>
                </w:tcPr>
                <w:p w14:paraId="0E44EDFE">
                  <w:pPr>
                    <w:wordWrap w:val="0"/>
                    <w:adjustRightInd w:val="0"/>
                    <w:snapToGrid w:val="0"/>
                    <w:jc w:val="center"/>
                    <w:rPr>
                      <w:szCs w:val="21"/>
                    </w:rPr>
                  </w:pPr>
                  <w:r>
                    <w:rPr>
                      <w:rFonts w:hint="eastAsia"/>
                      <w:szCs w:val="21"/>
                    </w:rPr>
                    <w:t>颗粒物</w:t>
                  </w:r>
                </w:p>
              </w:tc>
              <w:tc>
                <w:tcPr>
                  <w:tcW w:w="0" w:type="auto"/>
                  <w:vAlign w:val="center"/>
                </w:tcPr>
                <w:p w14:paraId="359202F1">
                  <w:pPr>
                    <w:pStyle w:val="2"/>
                    <w:wordWrap w:val="0"/>
                    <w:spacing w:after="0"/>
                    <w:ind w:left="0" w:leftChars="0" w:firstLine="0" w:firstLineChars="0"/>
                    <w:jc w:val="center"/>
                  </w:pPr>
                  <w:r>
                    <w:rPr>
                      <w:rFonts w:hint="eastAsia"/>
                    </w:rPr>
                    <w:t>2.19</w:t>
                  </w:r>
                  <w:r>
                    <w:t>t/a</w:t>
                  </w:r>
                </w:p>
              </w:tc>
              <w:tc>
                <w:tcPr>
                  <w:tcW w:w="0" w:type="auto"/>
                </w:tcPr>
                <w:p w14:paraId="7BC65017">
                  <w:pPr>
                    <w:wordWrap w:val="0"/>
                    <w:adjustRightInd w:val="0"/>
                    <w:snapToGrid w:val="0"/>
                    <w:jc w:val="center"/>
                    <w:rPr>
                      <w:szCs w:val="21"/>
                    </w:rPr>
                  </w:pPr>
                  <w:r>
                    <w:rPr>
                      <w:rFonts w:hint="eastAsia"/>
                      <w:szCs w:val="21"/>
                    </w:rPr>
                    <w:t>直接通过管道连接自带布袋除尘器</w:t>
                  </w:r>
                  <w:r>
                    <w:rPr>
                      <w:rFonts w:hint="eastAsia"/>
                    </w:rPr>
                    <w:t>处理后通过17m高排气筒DA001进行排放；</w:t>
                  </w:r>
                </w:p>
              </w:tc>
              <w:tc>
                <w:tcPr>
                  <w:tcW w:w="0" w:type="auto"/>
                  <w:vAlign w:val="center"/>
                </w:tcPr>
                <w:p w14:paraId="4EAE4CB5">
                  <w:pPr>
                    <w:wordWrap w:val="0"/>
                    <w:adjustRightInd w:val="0"/>
                    <w:snapToGrid w:val="0"/>
                    <w:jc w:val="center"/>
                    <w:rPr>
                      <w:szCs w:val="21"/>
                    </w:rPr>
                  </w:pPr>
                  <w:r>
                    <w:rPr>
                      <w:rFonts w:hint="eastAsia"/>
                      <w:szCs w:val="21"/>
                    </w:rPr>
                    <w:t>95%</w:t>
                  </w:r>
                </w:p>
              </w:tc>
              <w:tc>
                <w:tcPr>
                  <w:tcW w:w="0" w:type="auto"/>
                  <w:vAlign w:val="center"/>
                </w:tcPr>
                <w:p w14:paraId="58BF30A1">
                  <w:pPr>
                    <w:wordWrap w:val="0"/>
                    <w:adjustRightInd w:val="0"/>
                    <w:snapToGrid w:val="0"/>
                    <w:jc w:val="center"/>
                    <w:rPr>
                      <w:szCs w:val="21"/>
                    </w:rPr>
                  </w:pPr>
                  <w:r>
                    <w:rPr>
                      <w:rFonts w:hint="eastAsia"/>
                      <w:szCs w:val="21"/>
                    </w:rPr>
                    <w:t>95%</w:t>
                  </w:r>
                </w:p>
              </w:tc>
              <w:tc>
                <w:tcPr>
                  <w:tcW w:w="0" w:type="auto"/>
                  <w:vAlign w:val="center"/>
                </w:tcPr>
                <w:p w14:paraId="5F25BF85">
                  <w:pPr>
                    <w:wordWrap w:val="0"/>
                    <w:adjustRightInd w:val="0"/>
                    <w:snapToGrid w:val="0"/>
                    <w:jc w:val="center"/>
                    <w:rPr>
                      <w:szCs w:val="21"/>
                    </w:rPr>
                  </w:pPr>
                  <w:r>
                    <w:rPr>
                      <w:rFonts w:hint="eastAsia"/>
                      <w:szCs w:val="21"/>
                    </w:rPr>
                    <w:t>0.104</w:t>
                  </w:r>
                </w:p>
              </w:tc>
              <w:tc>
                <w:tcPr>
                  <w:tcW w:w="0" w:type="auto"/>
                  <w:vAlign w:val="center"/>
                </w:tcPr>
                <w:p w14:paraId="2CB484B0">
                  <w:pPr>
                    <w:wordWrap w:val="0"/>
                    <w:adjustRightInd w:val="0"/>
                    <w:snapToGrid w:val="0"/>
                    <w:jc w:val="center"/>
                    <w:rPr>
                      <w:szCs w:val="21"/>
                    </w:rPr>
                  </w:pPr>
                  <w:r>
                    <w:rPr>
                      <w:rFonts w:hint="eastAsia"/>
                      <w:szCs w:val="21"/>
                    </w:rPr>
                    <w:t>0.110</w:t>
                  </w:r>
                </w:p>
              </w:tc>
              <w:tc>
                <w:tcPr>
                  <w:tcW w:w="0" w:type="auto"/>
                  <w:vAlign w:val="center"/>
                </w:tcPr>
                <w:p w14:paraId="5B80C7D5">
                  <w:pPr>
                    <w:wordWrap w:val="0"/>
                    <w:adjustRightInd w:val="0"/>
                    <w:snapToGrid w:val="0"/>
                    <w:jc w:val="center"/>
                    <w:rPr>
                      <w:szCs w:val="21"/>
                    </w:rPr>
                  </w:pPr>
                  <w:r>
                    <w:rPr>
                      <w:rFonts w:hint="eastAsia"/>
                      <w:szCs w:val="21"/>
                    </w:rPr>
                    <w:t>0.344</w:t>
                  </w:r>
                </w:p>
              </w:tc>
              <w:tc>
                <w:tcPr>
                  <w:tcW w:w="0" w:type="auto"/>
                  <w:vAlign w:val="center"/>
                </w:tcPr>
                <w:p w14:paraId="388A4FCA">
                  <w:pPr>
                    <w:wordWrap w:val="0"/>
                    <w:adjustRightInd w:val="0"/>
                    <w:snapToGrid w:val="0"/>
                    <w:jc w:val="center"/>
                    <w:rPr>
                      <w:szCs w:val="21"/>
                    </w:rPr>
                  </w:pPr>
                  <w:r>
                    <w:rPr>
                      <w:rFonts w:hint="eastAsia"/>
                      <w:szCs w:val="21"/>
                    </w:rPr>
                    <w:t>0.214</w:t>
                  </w:r>
                </w:p>
              </w:tc>
            </w:tr>
            <w:tr w14:paraId="078D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8C5777">
                  <w:pPr>
                    <w:pStyle w:val="2"/>
                    <w:wordWrap w:val="0"/>
                    <w:spacing w:after="0"/>
                    <w:ind w:left="0" w:leftChars="0" w:firstLine="0" w:firstLineChars="0"/>
                    <w:jc w:val="center"/>
                  </w:pPr>
                  <w:r>
                    <w:t>全自动喷涂流水线</w:t>
                  </w:r>
                </w:p>
              </w:tc>
              <w:tc>
                <w:tcPr>
                  <w:tcW w:w="0" w:type="auto"/>
                  <w:vAlign w:val="center"/>
                </w:tcPr>
                <w:p w14:paraId="5832186A">
                  <w:pPr>
                    <w:pStyle w:val="45"/>
                    <w:wordWrap w:val="0"/>
                    <w:spacing w:line="240" w:lineRule="auto"/>
                    <w:ind w:firstLine="0" w:firstLineChars="0"/>
                    <w:jc w:val="center"/>
                    <w:rPr>
                      <w:sz w:val="21"/>
                      <w:szCs w:val="21"/>
                    </w:rPr>
                  </w:pPr>
                  <w:r>
                    <w:rPr>
                      <w:rFonts w:hint="eastAsia"/>
                      <w:sz w:val="21"/>
                      <w:szCs w:val="21"/>
                    </w:rPr>
                    <w:t>手动喷粉工位1</w:t>
                  </w:r>
                </w:p>
              </w:tc>
              <w:tc>
                <w:tcPr>
                  <w:tcW w:w="0" w:type="auto"/>
                  <w:vAlign w:val="center"/>
                </w:tcPr>
                <w:p w14:paraId="6F274EFD">
                  <w:pPr>
                    <w:wordWrap w:val="0"/>
                    <w:adjustRightInd w:val="0"/>
                    <w:snapToGrid w:val="0"/>
                    <w:jc w:val="center"/>
                    <w:rPr>
                      <w:szCs w:val="21"/>
                    </w:rPr>
                  </w:pPr>
                  <w:r>
                    <w:rPr>
                      <w:rFonts w:hint="eastAsia"/>
                      <w:szCs w:val="21"/>
                    </w:rPr>
                    <w:t>颗粒物</w:t>
                  </w:r>
                </w:p>
              </w:tc>
              <w:tc>
                <w:tcPr>
                  <w:tcW w:w="0" w:type="auto"/>
                  <w:vAlign w:val="center"/>
                </w:tcPr>
                <w:p w14:paraId="25C19637">
                  <w:pPr>
                    <w:pStyle w:val="2"/>
                    <w:wordWrap w:val="0"/>
                    <w:spacing w:after="0"/>
                    <w:ind w:left="0" w:leftChars="0" w:firstLine="0" w:firstLineChars="0"/>
                    <w:jc w:val="center"/>
                  </w:pPr>
                  <w:r>
                    <w:rPr>
                      <w:rFonts w:hint="eastAsia"/>
                    </w:rPr>
                    <w:t>3</w:t>
                  </w:r>
                  <w:r>
                    <w:t>t/a</w:t>
                  </w:r>
                </w:p>
              </w:tc>
              <w:tc>
                <w:tcPr>
                  <w:tcW w:w="0" w:type="auto"/>
                  <w:vAlign w:val="center"/>
                </w:tcPr>
                <w:p w14:paraId="638BC738">
                  <w:pPr>
                    <w:wordWrap w:val="0"/>
                    <w:adjustRightInd w:val="0"/>
                    <w:snapToGrid w:val="0"/>
                    <w:jc w:val="center"/>
                    <w:rPr>
                      <w:szCs w:val="21"/>
                    </w:rPr>
                  </w:pPr>
                  <w:r>
                    <w:rPr>
                      <w:rFonts w:hint="eastAsia"/>
                      <w:szCs w:val="21"/>
                    </w:rPr>
                    <w:t>集气罩收集后至滤筒除尘器+纳米覆膜滤筒除尘器处理后通过17m高排气筒DA002进行排放；</w:t>
                  </w:r>
                </w:p>
              </w:tc>
              <w:tc>
                <w:tcPr>
                  <w:tcW w:w="0" w:type="auto"/>
                  <w:vAlign w:val="center"/>
                </w:tcPr>
                <w:p w14:paraId="1F14FA5C">
                  <w:pPr>
                    <w:wordWrap w:val="0"/>
                    <w:adjustRightInd w:val="0"/>
                    <w:snapToGrid w:val="0"/>
                    <w:jc w:val="center"/>
                    <w:rPr>
                      <w:szCs w:val="21"/>
                    </w:rPr>
                  </w:pPr>
                  <w:r>
                    <w:rPr>
                      <w:rFonts w:hint="eastAsia"/>
                      <w:szCs w:val="21"/>
                    </w:rPr>
                    <w:t>85%</w:t>
                  </w:r>
                </w:p>
              </w:tc>
              <w:tc>
                <w:tcPr>
                  <w:tcW w:w="0" w:type="auto"/>
                  <w:vAlign w:val="center"/>
                </w:tcPr>
                <w:p w14:paraId="6DFC3BA4">
                  <w:pPr>
                    <w:wordWrap w:val="0"/>
                    <w:adjustRightInd w:val="0"/>
                    <w:snapToGrid w:val="0"/>
                    <w:jc w:val="center"/>
                    <w:rPr>
                      <w:szCs w:val="21"/>
                    </w:rPr>
                  </w:pPr>
                  <w:r>
                    <w:rPr>
                      <w:rFonts w:hint="eastAsia"/>
                      <w:szCs w:val="21"/>
                    </w:rPr>
                    <w:t>95%</w:t>
                  </w:r>
                </w:p>
              </w:tc>
              <w:tc>
                <w:tcPr>
                  <w:tcW w:w="0" w:type="auto"/>
                  <w:vAlign w:val="center"/>
                </w:tcPr>
                <w:p w14:paraId="2250328D">
                  <w:pPr>
                    <w:wordWrap w:val="0"/>
                    <w:adjustRightInd w:val="0"/>
                    <w:snapToGrid w:val="0"/>
                    <w:jc w:val="center"/>
                    <w:rPr>
                      <w:szCs w:val="21"/>
                    </w:rPr>
                  </w:pPr>
                  <w:r>
                    <w:rPr>
                      <w:rFonts w:hint="eastAsia"/>
                      <w:szCs w:val="21"/>
                    </w:rPr>
                    <w:t>0.128</w:t>
                  </w:r>
                </w:p>
              </w:tc>
              <w:tc>
                <w:tcPr>
                  <w:tcW w:w="0" w:type="auto"/>
                  <w:vAlign w:val="center"/>
                </w:tcPr>
                <w:p w14:paraId="56CFE587">
                  <w:pPr>
                    <w:wordWrap w:val="0"/>
                    <w:adjustRightInd w:val="0"/>
                    <w:snapToGrid w:val="0"/>
                    <w:jc w:val="center"/>
                    <w:rPr>
                      <w:szCs w:val="21"/>
                    </w:rPr>
                  </w:pPr>
                  <w:r>
                    <w:rPr>
                      <w:rFonts w:hint="eastAsia"/>
                      <w:szCs w:val="21"/>
                    </w:rPr>
                    <w:t>0.450</w:t>
                  </w:r>
                </w:p>
              </w:tc>
              <w:tc>
                <w:tcPr>
                  <w:tcW w:w="0" w:type="auto"/>
                  <w:vAlign w:val="center"/>
                </w:tcPr>
                <w:p w14:paraId="0AE7861C">
                  <w:pPr>
                    <w:wordWrap w:val="0"/>
                    <w:adjustRightInd w:val="0"/>
                    <w:snapToGrid w:val="0"/>
                    <w:jc w:val="center"/>
                    <w:rPr>
                      <w:szCs w:val="21"/>
                    </w:rPr>
                  </w:pPr>
                  <w:r>
                    <w:rPr>
                      <w:rFonts w:hint="eastAsia"/>
                      <w:szCs w:val="21"/>
                    </w:rPr>
                    <w:t>0.103</w:t>
                  </w:r>
                </w:p>
              </w:tc>
              <w:tc>
                <w:tcPr>
                  <w:tcW w:w="0" w:type="auto"/>
                  <w:vAlign w:val="center"/>
                </w:tcPr>
                <w:p w14:paraId="1343873A">
                  <w:pPr>
                    <w:wordWrap w:val="0"/>
                    <w:adjustRightInd w:val="0"/>
                    <w:snapToGrid w:val="0"/>
                    <w:jc w:val="center"/>
                    <w:rPr>
                      <w:szCs w:val="21"/>
                    </w:rPr>
                  </w:pPr>
                  <w:r>
                    <w:rPr>
                      <w:rFonts w:hint="eastAsia"/>
                      <w:szCs w:val="21"/>
                    </w:rPr>
                    <w:t>0.578</w:t>
                  </w:r>
                </w:p>
              </w:tc>
            </w:tr>
            <w:tr w14:paraId="582B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7C80D0D">
                  <w:pPr>
                    <w:pStyle w:val="2"/>
                    <w:wordWrap w:val="0"/>
                    <w:spacing w:after="0"/>
                    <w:ind w:left="0" w:leftChars="0" w:firstLine="0" w:firstLineChars="0"/>
                    <w:jc w:val="center"/>
                  </w:pPr>
                  <w:r>
                    <w:rPr>
                      <w:rFonts w:hint="eastAsia"/>
                    </w:rPr>
                    <w:t>全自动喷涂流水线</w:t>
                  </w:r>
                </w:p>
              </w:tc>
              <w:tc>
                <w:tcPr>
                  <w:tcW w:w="0" w:type="auto"/>
                  <w:vAlign w:val="center"/>
                </w:tcPr>
                <w:p w14:paraId="4EAB6EC9">
                  <w:pPr>
                    <w:pStyle w:val="45"/>
                    <w:wordWrap w:val="0"/>
                    <w:spacing w:line="240" w:lineRule="auto"/>
                    <w:ind w:firstLine="0" w:firstLineChars="0"/>
                    <w:jc w:val="center"/>
                    <w:rPr>
                      <w:sz w:val="21"/>
                      <w:szCs w:val="21"/>
                    </w:rPr>
                  </w:pPr>
                  <w:r>
                    <w:rPr>
                      <w:rFonts w:hint="eastAsia"/>
                      <w:sz w:val="21"/>
                      <w:szCs w:val="21"/>
                    </w:rPr>
                    <w:t>手动+自动喷粉工位2</w:t>
                  </w:r>
                </w:p>
              </w:tc>
              <w:tc>
                <w:tcPr>
                  <w:tcW w:w="0" w:type="auto"/>
                  <w:vAlign w:val="center"/>
                </w:tcPr>
                <w:p w14:paraId="47040C9C">
                  <w:pPr>
                    <w:wordWrap w:val="0"/>
                    <w:adjustRightInd w:val="0"/>
                    <w:snapToGrid w:val="0"/>
                    <w:jc w:val="center"/>
                    <w:rPr>
                      <w:szCs w:val="21"/>
                    </w:rPr>
                  </w:pPr>
                  <w:r>
                    <w:rPr>
                      <w:rFonts w:hint="eastAsia"/>
                      <w:szCs w:val="21"/>
                    </w:rPr>
                    <w:t>颗粒物</w:t>
                  </w:r>
                </w:p>
              </w:tc>
              <w:tc>
                <w:tcPr>
                  <w:tcW w:w="0" w:type="auto"/>
                  <w:vAlign w:val="center"/>
                </w:tcPr>
                <w:p w14:paraId="2FA63BF2">
                  <w:pPr>
                    <w:pStyle w:val="2"/>
                    <w:wordWrap w:val="0"/>
                    <w:spacing w:after="0"/>
                    <w:ind w:left="0" w:leftChars="0" w:firstLine="0" w:firstLineChars="0"/>
                    <w:jc w:val="center"/>
                  </w:pPr>
                  <w:r>
                    <w:rPr>
                      <w:rFonts w:hint="eastAsia"/>
                    </w:rPr>
                    <w:t>3</w:t>
                  </w:r>
                  <w:r>
                    <w:t>t/a</w:t>
                  </w:r>
                </w:p>
              </w:tc>
              <w:tc>
                <w:tcPr>
                  <w:tcW w:w="0" w:type="auto"/>
                  <w:vAlign w:val="center"/>
                </w:tcPr>
                <w:p w14:paraId="6EC6B703">
                  <w:pPr>
                    <w:wordWrap w:val="0"/>
                    <w:adjustRightInd w:val="0"/>
                    <w:snapToGrid w:val="0"/>
                    <w:jc w:val="center"/>
                    <w:rPr>
                      <w:szCs w:val="21"/>
                    </w:rPr>
                  </w:pPr>
                  <w:r>
                    <w:rPr>
                      <w:rFonts w:hint="eastAsia"/>
                      <w:szCs w:val="21"/>
                    </w:rPr>
                    <w:t>直接通过管道连接至滤筒除尘器+纳米覆膜滤筒除尘器处理后通过17m高排气筒DA002进行排放；</w:t>
                  </w:r>
                </w:p>
              </w:tc>
              <w:tc>
                <w:tcPr>
                  <w:tcW w:w="0" w:type="auto"/>
                  <w:vAlign w:val="center"/>
                </w:tcPr>
                <w:p w14:paraId="2F910264">
                  <w:pPr>
                    <w:wordWrap w:val="0"/>
                    <w:adjustRightInd w:val="0"/>
                    <w:snapToGrid w:val="0"/>
                    <w:jc w:val="center"/>
                    <w:rPr>
                      <w:szCs w:val="21"/>
                    </w:rPr>
                  </w:pPr>
                  <w:r>
                    <w:rPr>
                      <w:rFonts w:hint="eastAsia"/>
                      <w:szCs w:val="21"/>
                    </w:rPr>
                    <w:t>85%</w:t>
                  </w:r>
                </w:p>
              </w:tc>
              <w:tc>
                <w:tcPr>
                  <w:tcW w:w="0" w:type="auto"/>
                  <w:vAlign w:val="center"/>
                </w:tcPr>
                <w:p w14:paraId="5F52EE61">
                  <w:pPr>
                    <w:wordWrap w:val="0"/>
                    <w:adjustRightInd w:val="0"/>
                    <w:snapToGrid w:val="0"/>
                    <w:jc w:val="center"/>
                    <w:rPr>
                      <w:szCs w:val="21"/>
                    </w:rPr>
                  </w:pPr>
                  <w:r>
                    <w:rPr>
                      <w:rFonts w:hint="eastAsia"/>
                      <w:szCs w:val="21"/>
                    </w:rPr>
                    <w:t>95%</w:t>
                  </w:r>
                </w:p>
              </w:tc>
              <w:tc>
                <w:tcPr>
                  <w:tcW w:w="0" w:type="auto"/>
                  <w:vAlign w:val="center"/>
                </w:tcPr>
                <w:p w14:paraId="0B1869CD">
                  <w:pPr>
                    <w:wordWrap w:val="0"/>
                    <w:adjustRightInd w:val="0"/>
                    <w:snapToGrid w:val="0"/>
                    <w:jc w:val="center"/>
                    <w:rPr>
                      <w:szCs w:val="21"/>
                    </w:rPr>
                  </w:pPr>
                  <w:r>
                    <w:rPr>
                      <w:rFonts w:hint="eastAsia"/>
                      <w:szCs w:val="21"/>
                    </w:rPr>
                    <w:t>0.128</w:t>
                  </w:r>
                </w:p>
              </w:tc>
              <w:tc>
                <w:tcPr>
                  <w:tcW w:w="0" w:type="auto"/>
                  <w:vAlign w:val="center"/>
                </w:tcPr>
                <w:p w14:paraId="47B12A5F">
                  <w:pPr>
                    <w:wordWrap w:val="0"/>
                    <w:adjustRightInd w:val="0"/>
                    <w:snapToGrid w:val="0"/>
                    <w:jc w:val="center"/>
                    <w:rPr>
                      <w:szCs w:val="21"/>
                    </w:rPr>
                  </w:pPr>
                  <w:r>
                    <w:rPr>
                      <w:rFonts w:hint="eastAsia"/>
                      <w:szCs w:val="21"/>
                    </w:rPr>
                    <w:t>0.450</w:t>
                  </w:r>
                </w:p>
              </w:tc>
              <w:tc>
                <w:tcPr>
                  <w:tcW w:w="0" w:type="auto"/>
                  <w:vAlign w:val="center"/>
                </w:tcPr>
                <w:p w14:paraId="24F9130A">
                  <w:pPr>
                    <w:wordWrap w:val="0"/>
                    <w:adjustRightInd w:val="0"/>
                    <w:snapToGrid w:val="0"/>
                    <w:jc w:val="center"/>
                    <w:rPr>
                      <w:szCs w:val="21"/>
                    </w:rPr>
                  </w:pPr>
                  <w:r>
                    <w:rPr>
                      <w:rFonts w:hint="eastAsia"/>
                      <w:szCs w:val="21"/>
                    </w:rPr>
                    <w:t>0.103</w:t>
                  </w:r>
                </w:p>
              </w:tc>
              <w:tc>
                <w:tcPr>
                  <w:tcW w:w="0" w:type="auto"/>
                  <w:vAlign w:val="center"/>
                </w:tcPr>
                <w:p w14:paraId="58A03BF4">
                  <w:pPr>
                    <w:wordWrap w:val="0"/>
                    <w:adjustRightInd w:val="0"/>
                    <w:snapToGrid w:val="0"/>
                    <w:jc w:val="center"/>
                    <w:rPr>
                      <w:szCs w:val="21"/>
                    </w:rPr>
                  </w:pPr>
                  <w:r>
                    <w:rPr>
                      <w:rFonts w:hint="eastAsia"/>
                      <w:szCs w:val="21"/>
                    </w:rPr>
                    <w:t>0.578</w:t>
                  </w:r>
                </w:p>
              </w:tc>
            </w:tr>
            <w:tr w14:paraId="13D0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E8A0E79">
                  <w:pPr>
                    <w:wordWrap w:val="0"/>
                    <w:adjustRightInd w:val="0"/>
                    <w:snapToGrid w:val="0"/>
                    <w:jc w:val="center"/>
                    <w:rPr>
                      <w:szCs w:val="21"/>
                    </w:rPr>
                  </w:pPr>
                </w:p>
              </w:tc>
              <w:tc>
                <w:tcPr>
                  <w:tcW w:w="0" w:type="auto"/>
                  <w:vAlign w:val="center"/>
                </w:tcPr>
                <w:p w14:paraId="2C01490E">
                  <w:pPr>
                    <w:pStyle w:val="45"/>
                    <w:wordWrap w:val="0"/>
                    <w:spacing w:line="240" w:lineRule="auto"/>
                    <w:ind w:firstLine="0" w:firstLineChars="0"/>
                    <w:jc w:val="center"/>
                    <w:rPr>
                      <w:sz w:val="21"/>
                      <w:szCs w:val="21"/>
                    </w:rPr>
                  </w:pPr>
                  <w:r>
                    <w:rPr>
                      <w:rFonts w:hint="eastAsia"/>
                      <w:sz w:val="21"/>
                      <w:szCs w:val="21"/>
                    </w:rPr>
                    <w:t>手动+自动喷粉工位3</w:t>
                  </w:r>
                </w:p>
              </w:tc>
              <w:tc>
                <w:tcPr>
                  <w:tcW w:w="0" w:type="auto"/>
                  <w:vAlign w:val="center"/>
                </w:tcPr>
                <w:p w14:paraId="15C980B6">
                  <w:pPr>
                    <w:wordWrap w:val="0"/>
                    <w:adjustRightInd w:val="0"/>
                    <w:snapToGrid w:val="0"/>
                    <w:jc w:val="center"/>
                    <w:rPr>
                      <w:szCs w:val="21"/>
                    </w:rPr>
                  </w:pPr>
                  <w:r>
                    <w:rPr>
                      <w:rFonts w:hint="eastAsia"/>
                      <w:szCs w:val="21"/>
                    </w:rPr>
                    <w:t>颗粒物</w:t>
                  </w:r>
                </w:p>
              </w:tc>
              <w:tc>
                <w:tcPr>
                  <w:tcW w:w="0" w:type="auto"/>
                  <w:vAlign w:val="center"/>
                </w:tcPr>
                <w:p w14:paraId="2B31CDAA">
                  <w:pPr>
                    <w:pStyle w:val="2"/>
                    <w:wordWrap w:val="0"/>
                    <w:spacing w:after="0"/>
                    <w:ind w:left="0" w:leftChars="0" w:firstLine="0" w:firstLineChars="0"/>
                    <w:jc w:val="center"/>
                  </w:pPr>
                  <w:r>
                    <w:rPr>
                      <w:rFonts w:hint="eastAsia"/>
                    </w:rPr>
                    <w:t>3</w:t>
                  </w:r>
                  <w:r>
                    <w:t>t/a</w:t>
                  </w:r>
                </w:p>
              </w:tc>
              <w:tc>
                <w:tcPr>
                  <w:tcW w:w="0" w:type="auto"/>
                  <w:vAlign w:val="center"/>
                </w:tcPr>
                <w:p w14:paraId="7E1ACAD5">
                  <w:pPr>
                    <w:wordWrap w:val="0"/>
                    <w:adjustRightInd w:val="0"/>
                    <w:snapToGrid w:val="0"/>
                    <w:jc w:val="center"/>
                    <w:rPr>
                      <w:szCs w:val="21"/>
                    </w:rPr>
                  </w:pPr>
                  <w:r>
                    <w:rPr>
                      <w:rFonts w:hint="eastAsia"/>
                      <w:szCs w:val="21"/>
                    </w:rPr>
                    <w:t>直接通过管道连接至旋风+纳米覆膜滤筒除尘器处理后通过17m高排气筒DA003进行排放；</w:t>
                  </w:r>
                </w:p>
              </w:tc>
              <w:tc>
                <w:tcPr>
                  <w:tcW w:w="0" w:type="auto"/>
                  <w:vAlign w:val="center"/>
                </w:tcPr>
                <w:p w14:paraId="723AC4E2">
                  <w:pPr>
                    <w:wordWrap w:val="0"/>
                    <w:adjustRightInd w:val="0"/>
                    <w:snapToGrid w:val="0"/>
                    <w:jc w:val="center"/>
                    <w:rPr>
                      <w:szCs w:val="21"/>
                    </w:rPr>
                  </w:pPr>
                  <w:r>
                    <w:rPr>
                      <w:rFonts w:hint="eastAsia"/>
                      <w:szCs w:val="21"/>
                    </w:rPr>
                    <w:t>85%</w:t>
                  </w:r>
                </w:p>
              </w:tc>
              <w:tc>
                <w:tcPr>
                  <w:tcW w:w="0" w:type="auto"/>
                  <w:vAlign w:val="center"/>
                </w:tcPr>
                <w:p w14:paraId="7D4A85B3">
                  <w:pPr>
                    <w:wordWrap w:val="0"/>
                    <w:adjustRightInd w:val="0"/>
                    <w:snapToGrid w:val="0"/>
                    <w:jc w:val="center"/>
                    <w:rPr>
                      <w:szCs w:val="21"/>
                    </w:rPr>
                  </w:pPr>
                  <w:r>
                    <w:rPr>
                      <w:rFonts w:hint="eastAsia"/>
                      <w:szCs w:val="21"/>
                    </w:rPr>
                    <w:t>95%</w:t>
                  </w:r>
                </w:p>
              </w:tc>
              <w:tc>
                <w:tcPr>
                  <w:tcW w:w="0" w:type="auto"/>
                  <w:vAlign w:val="center"/>
                </w:tcPr>
                <w:p w14:paraId="582840DC">
                  <w:pPr>
                    <w:wordWrap w:val="0"/>
                    <w:adjustRightInd w:val="0"/>
                    <w:snapToGrid w:val="0"/>
                    <w:jc w:val="center"/>
                    <w:rPr>
                      <w:szCs w:val="21"/>
                    </w:rPr>
                  </w:pPr>
                  <w:r>
                    <w:rPr>
                      <w:rFonts w:hint="eastAsia"/>
                      <w:szCs w:val="21"/>
                    </w:rPr>
                    <w:t>0.128</w:t>
                  </w:r>
                </w:p>
              </w:tc>
              <w:tc>
                <w:tcPr>
                  <w:tcW w:w="0" w:type="auto"/>
                  <w:vAlign w:val="center"/>
                </w:tcPr>
                <w:p w14:paraId="11024B7E">
                  <w:pPr>
                    <w:wordWrap w:val="0"/>
                    <w:adjustRightInd w:val="0"/>
                    <w:snapToGrid w:val="0"/>
                    <w:jc w:val="center"/>
                    <w:rPr>
                      <w:szCs w:val="21"/>
                    </w:rPr>
                  </w:pPr>
                  <w:r>
                    <w:rPr>
                      <w:rFonts w:hint="eastAsia"/>
                      <w:szCs w:val="21"/>
                    </w:rPr>
                    <w:t>0.450</w:t>
                  </w:r>
                </w:p>
              </w:tc>
              <w:tc>
                <w:tcPr>
                  <w:tcW w:w="0" w:type="auto"/>
                  <w:vAlign w:val="center"/>
                </w:tcPr>
                <w:p w14:paraId="391E862F">
                  <w:pPr>
                    <w:wordWrap w:val="0"/>
                    <w:adjustRightInd w:val="0"/>
                    <w:snapToGrid w:val="0"/>
                    <w:jc w:val="center"/>
                    <w:rPr>
                      <w:szCs w:val="21"/>
                    </w:rPr>
                  </w:pPr>
                  <w:r>
                    <w:rPr>
                      <w:rFonts w:hint="eastAsia"/>
                      <w:szCs w:val="21"/>
                    </w:rPr>
                    <w:t>0.103</w:t>
                  </w:r>
                </w:p>
              </w:tc>
              <w:tc>
                <w:tcPr>
                  <w:tcW w:w="0" w:type="auto"/>
                  <w:vAlign w:val="center"/>
                </w:tcPr>
                <w:p w14:paraId="7028D5F1">
                  <w:pPr>
                    <w:wordWrap w:val="0"/>
                    <w:adjustRightInd w:val="0"/>
                    <w:snapToGrid w:val="0"/>
                    <w:jc w:val="center"/>
                    <w:rPr>
                      <w:szCs w:val="21"/>
                    </w:rPr>
                  </w:pPr>
                  <w:r>
                    <w:rPr>
                      <w:rFonts w:hint="eastAsia"/>
                      <w:szCs w:val="21"/>
                    </w:rPr>
                    <w:t>0.578</w:t>
                  </w:r>
                </w:p>
              </w:tc>
            </w:tr>
            <w:tr w14:paraId="33E8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EFB0DB0">
                  <w:pPr>
                    <w:wordWrap w:val="0"/>
                    <w:adjustRightInd w:val="0"/>
                    <w:snapToGrid w:val="0"/>
                    <w:jc w:val="center"/>
                    <w:rPr>
                      <w:szCs w:val="21"/>
                    </w:rPr>
                  </w:pPr>
                </w:p>
              </w:tc>
              <w:tc>
                <w:tcPr>
                  <w:tcW w:w="0" w:type="auto"/>
                  <w:vMerge w:val="restart"/>
                  <w:vAlign w:val="center"/>
                </w:tcPr>
                <w:p w14:paraId="35E80C84">
                  <w:pPr>
                    <w:pStyle w:val="45"/>
                    <w:wordWrap w:val="0"/>
                    <w:spacing w:line="240" w:lineRule="auto"/>
                    <w:ind w:firstLine="0" w:firstLineChars="0"/>
                    <w:jc w:val="center"/>
                    <w:rPr>
                      <w:sz w:val="21"/>
                      <w:szCs w:val="21"/>
                    </w:rPr>
                  </w:pPr>
                  <w:r>
                    <w:rPr>
                      <w:rFonts w:hint="eastAsia"/>
                      <w:sz w:val="21"/>
                      <w:szCs w:val="21"/>
                    </w:rPr>
                    <w:t>喷漆房1</w:t>
                  </w:r>
                </w:p>
              </w:tc>
              <w:tc>
                <w:tcPr>
                  <w:tcW w:w="0" w:type="auto"/>
                  <w:vAlign w:val="center"/>
                </w:tcPr>
                <w:p w14:paraId="5AB73350">
                  <w:pPr>
                    <w:wordWrap w:val="0"/>
                    <w:adjustRightInd w:val="0"/>
                    <w:snapToGrid w:val="0"/>
                    <w:jc w:val="center"/>
                    <w:rPr>
                      <w:szCs w:val="21"/>
                    </w:rPr>
                  </w:pPr>
                  <w:r>
                    <w:rPr>
                      <w:rFonts w:hint="eastAsia"/>
                      <w:szCs w:val="21"/>
                    </w:rPr>
                    <w:t>颗粒物</w:t>
                  </w:r>
                </w:p>
              </w:tc>
              <w:tc>
                <w:tcPr>
                  <w:tcW w:w="0" w:type="auto"/>
                  <w:vAlign w:val="center"/>
                </w:tcPr>
                <w:p w14:paraId="5236A7DB">
                  <w:pPr>
                    <w:pStyle w:val="2"/>
                    <w:wordWrap w:val="0"/>
                    <w:spacing w:after="0"/>
                    <w:ind w:left="0" w:leftChars="0" w:firstLine="0" w:firstLineChars="0"/>
                    <w:jc w:val="center"/>
                  </w:pPr>
                  <w:r>
                    <w:rPr>
                      <w:rFonts w:hint="eastAsia"/>
                    </w:rPr>
                    <w:t>0.156t/a</w:t>
                  </w:r>
                </w:p>
              </w:tc>
              <w:tc>
                <w:tcPr>
                  <w:tcW w:w="0" w:type="auto"/>
                  <w:vMerge w:val="restart"/>
                  <w:vAlign w:val="center"/>
                </w:tcPr>
                <w:p w14:paraId="31D68177">
                  <w:pPr>
                    <w:wordWrap w:val="0"/>
                    <w:adjustRightInd w:val="0"/>
                    <w:snapToGrid w:val="0"/>
                    <w:jc w:val="center"/>
                    <w:rPr>
                      <w:szCs w:val="21"/>
                    </w:rPr>
                  </w:pPr>
                  <w:r>
                    <w:rPr>
                      <w:rFonts w:hint="eastAsia"/>
                      <w:szCs w:val="21"/>
                    </w:rPr>
                    <w:t>集气罩收集后至玻璃纤维过滤棉+活性炭吸附装置处理后通过17m高排气筒DA002进行排放；</w:t>
                  </w:r>
                </w:p>
              </w:tc>
              <w:tc>
                <w:tcPr>
                  <w:tcW w:w="0" w:type="auto"/>
                  <w:vAlign w:val="center"/>
                </w:tcPr>
                <w:p w14:paraId="047504C5">
                  <w:pPr>
                    <w:wordWrap w:val="0"/>
                    <w:adjustRightInd w:val="0"/>
                    <w:snapToGrid w:val="0"/>
                    <w:jc w:val="center"/>
                    <w:rPr>
                      <w:szCs w:val="21"/>
                    </w:rPr>
                  </w:pPr>
                  <w:r>
                    <w:rPr>
                      <w:rFonts w:hint="eastAsia"/>
                      <w:szCs w:val="21"/>
                    </w:rPr>
                    <w:t>85%</w:t>
                  </w:r>
                </w:p>
              </w:tc>
              <w:tc>
                <w:tcPr>
                  <w:tcW w:w="0" w:type="auto"/>
                  <w:vAlign w:val="center"/>
                </w:tcPr>
                <w:p w14:paraId="426BD11E">
                  <w:pPr>
                    <w:wordWrap w:val="0"/>
                    <w:adjustRightInd w:val="0"/>
                    <w:snapToGrid w:val="0"/>
                    <w:jc w:val="center"/>
                    <w:rPr>
                      <w:szCs w:val="21"/>
                    </w:rPr>
                  </w:pPr>
                  <w:r>
                    <w:rPr>
                      <w:rFonts w:hint="eastAsia"/>
                      <w:szCs w:val="21"/>
                    </w:rPr>
                    <w:t>95%</w:t>
                  </w:r>
                </w:p>
              </w:tc>
              <w:tc>
                <w:tcPr>
                  <w:tcW w:w="0" w:type="auto"/>
                  <w:vAlign w:val="center"/>
                </w:tcPr>
                <w:p w14:paraId="7642E1CA">
                  <w:pPr>
                    <w:wordWrap w:val="0"/>
                    <w:adjustRightInd w:val="0"/>
                    <w:snapToGrid w:val="0"/>
                    <w:jc w:val="center"/>
                    <w:rPr>
                      <w:szCs w:val="21"/>
                    </w:rPr>
                  </w:pPr>
                  <w:r>
                    <w:rPr>
                      <w:rFonts w:hint="eastAsia"/>
                      <w:szCs w:val="21"/>
                    </w:rPr>
                    <w:t>0.001</w:t>
                  </w:r>
                </w:p>
              </w:tc>
              <w:tc>
                <w:tcPr>
                  <w:tcW w:w="0" w:type="auto"/>
                  <w:vAlign w:val="center"/>
                </w:tcPr>
                <w:p w14:paraId="4BCBACD3">
                  <w:pPr>
                    <w:wordWrap w:val="0"/>
                    <w:adjustRightInd w:val="0"/>
                    <w:snapToGrid w:val="0"/>
                    <w:jc w:val="center"/>
                    <w:rPr>
                      <w:szCs w:val="21"/>
                    </w:rPr>
                  </w:pPr>
                  <w:r>
                    <w:rPr>
                      <w:rFonts w:hint="eastAsia"/>
                      <w:szCs w:val="21"/>
                    </w:rPr>
                    <w:t>0.002</w:t>
                  </w:r>
                </w:p>
              </w:tc>
              <w:tc>
                <w:tcPr>
                  <w:tcW w:w="0" w:type="auto"/>
                  <w:vAlign w:val="center"/>
                </w:tcPr>
                <w:p w14:paraId="5B247F92">
                  <w:pPr>
                    <w:wordWrap w:val="0"/>
                    <w:adjustRightInd w:val="0"/>
                    <w:snapToGrid w:val="0"/>
                    <w:jc w:val="center"/>
                    <w:rPr>
                      <w:szCs w:val="21"/>
                    </w:rPr>
                  </w:pPr>
                  <w:r>
                    <w:rPr>
                      <w:rFonts w:hint="eastAsia"/>
                      <w:szCs w:val="21"/>
                    </w:rPr>
                    <w:t>0.001</w:t>
                  </w:r>
                </w:p>
              </w:tc>
              <w:tc>
                <w:tcPr>
                  <w:tcW w:w="0" w:type="auto"/>
                  <w:vAlign w:val="center"/>
                </w:tcPr>
                <w:p w14:paraId="5C58FE68">
                  <w:pPr>
                    <w:wordWrap w:val="0"/>
                    <w:adjustRightInd w:val="0"/>
                    <w:snapToGrid w:val="0"/>
                    <w:jc w:val="center"/>
                    <w:rPr>
                      <w:szCs w:val="21"/>
                    </w:rPr>
                  </w:pPr>
                  <w:r>
                    <w:rPr>
                      <w:rFonts w:hint="eastAsia"/>
                      <w:szCs w:val="21"/>
                    </w:rPr>
                    <w:t>0.003</w:t>
                  </w:r>
                </w:p>
              </w:tc>
            </w:tr>
            <w:tr w14:paraId="2FC7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E53F39A">
                  <w:pPr>
                    <w:wordWrap w:val="0"/>
                    <w:adjustRightInd w:val="0"/>
                    <w:snapToGrid w:val="0"/>
                    <w:jc w:val="center"/>
                    <w:rPr>
                      <w:szCs w:val="21"/>
                    </w:rPr>
                  </w:pPr>
                </w:p>
              </w:tc>
              <w:tc>
                <w:tcPr>
                  <w:tcW w:w="0" w:type="auto"/>
                  <w:vMerge w:val="continue"/>
                  <w:vAlign w:val="center"/>
                </w:tcPr>
                <w:p w14:paraId="2A476CC7">
                  <w:pPr>
                    <w:pStyle w:val="45"/>
                    <w:wordWrap w:val="0"/>
                    <w:spacing w:line="240" w:lineRule="auto"/>
                    <w:ind w:firstLine="0" w:firstLineChars="0"/>
                    <w:jc w:val="center"/>
                    <w:rPr>
                      <w:sz w:val="21"/>
                      <w:szCs w:val="21"/>
                    </w:rPr>
                  </w:pPr>
                </w:p>
              </w:tc>
              <w:tc>
                <w:tcPr>
                  <w:tcW w:w="0" w:type="auto"/>
                  <w:vAlign w:val="center"/>
                </w:tcPr>
                <w:p w14:paraId="528DC7E1">
                  <w:pPr>
                    <w:wordWrap w:val="0"/>
                    <w:adjustRightInd w:val="0"/>
                    <w:snapToGrid w:val="0"/>
                    <w:jc w:val="center"/>
                    <w:rPr>
                      <w:szCs w:val="21"/>
                    </w:rPr>
                  </w:pPr>
                  <w:r>
                    <w:rPr>
                      <w:rFonts w:hint="eastAsia"/>
                      <w:szCs w:val="21"/>
                    </w:rPr>
                    <w:t>非甲烷总烃</w:t>
                  </w:r>
                </w:p>
              </w:tc>
              <w:tc>
                <w:tcPr>
                  <w:tcW w:w="0" w:type="auto"/>
                  <w:vAlign w:val="center"/>
                </w:tcPr>
                <w:p w14:paraId="0056E043">
                  <w:pPr>
                    <w:pStyle w:val="2"/>
                    <w:wordWrap w:val="0"/>
                    <w:spacing w:after="0"/>
                    <w:ind w:left="0" w:leftChars="0" w:firstLine="0" w:firstLineChars="0"/>
                    <w:jc w:val="center"/>
                  </w:pPr>
                  <w:r>
                    <w:rPr>
                      <w:rFonts w:hint="eastAsia"/>
                    </w:rPr>
                    <w:t>0.008</w:t>
                  </w:r>
                  <w:r>
                    <w:t>t/a</w:t>
                  </w:r>
                </w:p>
              </w:tc>
              <w:tc>
                <w:tcPr>
                  <w:tcW w:w="0" w:type="auto"/>
                  <w:vMerge w:val="continue"/>
                  <w:vAlign w:val="center"/>
                </w:tcPr>
                <w:p w14:paraId="3AD86065">
                  <w:pPr>
                    <w:wordWrap w:val="0"/>
                    <w:adjustRightInd w:val="0"/>
                    <w:snapToGrid w:val="0"/>
                    <w:jc w:val="center"/>
                    <w:rPr>
                      <w:szCs w:val="21"/>
                    </w:rPr>
                  </w:pPr>
                </w:p>
              </w:tc>
              <w:tc>
                <w:tcPr>
                  <w:tcW w:w="0" w:type="auto"/>
                  <w:vAlign w:val="center"/>
                </w:tcPr>
                <w:p w14:paraId="40237969">
                  <w:pPr>
                    <w:wordWrap w:val="0"/>
                    <w:adjustRightInd w:val="0"/>
                    <w:snapToGrid w:val="0"/>
                    <w:jc w:val="center"/>
                    <w:rPr>
                      <w:szCs w:val="21"/>
                    </w:rPr>
                  </w:pPr>
                  <w:r>
                    <w:rPr>
                      <w:rFonts w:hint="eastAsia"/>
                      <w:szCs w:val="21"/>
                    </w:rPr>
                    <w:t>85%</w:t>
                  </w:r>
                </w:p>
              </w:tc>
              <w:tc>
                <w:tcPr>
                  <w:tcW w:w="0" w:type="auto"/>
                  <w:vAlign w:val="center"/>
                </w:tcPr>
                <w:p w14:paraId="72913E9C">
                  <w:pPr>
                    <w:wordWrap w:val="0"/>
                    <w:adjustRightInd w:val="0"/>
                    <w:snapToGrid w:val="0"/>
                    <w:jc w:val="center"/>
                    <w:rPr>
                      <w:szCs w:val="21"/>
                    </w:rPr>
                  </w:pPr>
                  <w:r>
                    <w:rPr>
                      <w:rFonts w:hint="eastAsia"/>
                      <w:szCs w:val="21"/>
                    </w:rPr>
                    <w:t>85%</w:t>
                  </w:r>
                </w:p>
              </w:tc>
              <w:tc>
                <w:tcPr>
                  <w:tcW w:w="0" w:type="auto"/>
                  <w:vAlign w:val="center"/>
                </w:tcPr>
                <w:p w14:paraId="6E1FB315">
                  <w:pPr>
                    <w:wordWrap w:val="0"/>
                    <w:adjustRightInd w:val="0"/>
                    <w:snapToGrid w:val="0"/>
                    <w:jc w:val="center"/>
                    <w:rPr>
                      <w:szCs w:val="21"/>
                    </w:rPr>
                  </w:pPr>
                  <w:r>
                    <w:rPr>
                      <w:rFonts w:hint="eastAsia"/>
                      <w:szCs w:val="21"/>
                    </w:rPr>
                    <w:t>0.001</w:t>
                  </w:r>
                </w:p>
              </w:tc>
              <w:tc>
                <w:tcPr>
                  <w:tcW w:w="0" w:type="auto"/>
                  <w:vAlign w:val="center"/>
                </w:tcPr>
                <w:p w14:paraId="5ADC4A55">
                  <w:pPr>
                    <w:wordWrap w:val="0"/>
                    <w:adjustRightInd w:val="0"/>
                    <w:snapToGrid w:val="0"/>
                    <w:jc w:val="center"/>
                    <w:rPr>
                      <w:szCs w:val="21"/>
                    </w:rPr>
                  </w:pPr>
                  <w:r>
                    <w:rPr>
                      <w:rFonts w:hint="eastAsia"/>
                      <w:szCs w:val="21"/>
                    </w:rPr>
                    <w:t>0.001</w:t>
                  </w:r>
                </w:p>
              </w:tc>
              <w:tc>
                <w:tcPr>
                  <w:tcW w:w="0" w:type="auto"/>
                  <w:vAlign w:val="center"/>
                </w:tcPr>
                <w:p w14:paraId="7D80FFFF">
                  <w:pPr>
                    <w:wordWrap w:val="0"/>
                    <w:adjustRightInd w:val="0"/>
                    <w:snapToGrid w:val="0"/>
                    <w:jc w:val="center"/>
                    <w:rPr>
                      <w:szCs w:val="21"/>
                    </w:rPr>
                  </w:pPr>
                  <w:r>
                    <w:rPr>
                      <w:rFonts w:hint="eastAsia"/>
                      <w:szCs w:val="21"/>
                    </w:rPr>
                    <w:t>0.002</w:t>
                  </w:r>
                </w:p>
              </w:tc>
              <w:tc>
                <w:tcPr>
                  <w:tcW w:w="0" w:type="auto"/>
                  <w:vAlign w:val="center"/>
                </w:tcPr>
                <w:p w14:paraId="5E137D76">
                  <w:pPr>
                    <w:wordWrap w:val="0"/>
                    <w:adjustRightInd w:val="0"/>
                    <w:snapToGrid w:val="0"/>
                    <w:jc w:val="center"/>
                    <w:rPr>
                      <w:szCs w:val="21"/>
                    </w:rPr>
                  </w:pPr>
                  <w:r>
                    <w:rPr>
                      <w:rFonts w:hint="eastAsia"/>
                      <w:szCs w:val="21"/>
                    </w:rPr>
                    <w:t>0.002</w:t>
                  </w:r>
                </w:p>
              </w:tc>
            </w:tr>
            <w:tr w14:paraId="1B9D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95E0FA3">
                  <w:pPr>
                    <w:wordWrap w:val="0"/>
                    <w:adjustRightInd w:val="0"/>
                    <w:snapToGrid w:val="0"/>
                    <w:jc w:val="center"/>
                    <w:rPr>
                      <w:szCs w:val="21"/>
                    </w:rPr>
                  </w:pPr>
                </w:p>
              </w:tc>
              <w:tc>
                <w:tcPr>
                  <w:tcW w:w="0" w:type="auto"/>
                  <w:vMerge w:val="restart"/>
                  <w:vAlign w:val="center"/>
                </w:tcPr>
                <w:p w14:paraId="468C5636">
                  <w:pPr>
                    <w:pStyle w:val="45"/>
                    <w:wordWrap w:val="0"/>
                    <w:spacing w:line="240" w:lineRule="auto"/>
                    <w:ind w:firstLine="0" w:firstLineChars="0"/>
                    <w:jc w:val="center"/>
                    <w:rPr>
                      <w:sz w:val="21"/>
                      <w:szCs w:val="21"/>
                    </w:rPr>
                  </w:pPr>
                  <w:r>
                    <w:rPr>
                      <w:rFonts w:hint="eastAsia"/>
                      <w:sz w:val="21"/>
                      <w:szCs w:val="21"/>
                    </w:rPr>
                    <w:t>烘箱1</w:t>
                  </w:r>
                </w:p>
              </w:tc>
              <w:tc>
                <w:tcPr>
                  <w:tcW w:w="0" w:type="auto"/>
                  <w:vAlign w:val="center"/>
                </w:tcPr>
                <w:p w14:paraId="3446177C">
                  <w:pPr>
                    <w:wordWrap w:val="0"/>
                    <w:adjustRightInd w:val="0"/>
                    <w:snapToGrid w:val="0"/>
                    <w:jc w:val="center"/>
                    <w:rPr>
                      <w:szCs w:val="21"/>
                    </w:rPr>
                  </w:pPr>
                  <w:r>
                    <w:rPr>
                      <w:rFonts w:hint="eastAsia"/>
                      <w:szCs w:val="21"/>
                    </w:rPr>
                    <w:t>喷涂非甲烷总烃</w:t>
                  </w:r>
                </w:p>
              </w:tc>
              <w:tc>
                <w:tcPr>
                  <w:tcW w:w="0" w:type="auto"/>
                  <w:vAlign w:val="center"/>
                </w:tcPr>
                <w:p w14:paraId="09C35344">
                  <w:pPr>
                    <w:wordWrap w:val="0"/>
                    <w:adjustRightInd w:val="0"/>
                    <w:snapToGrid w:val="0"/>
                    <w:jc w:val="center"/>
                    <w:rPr>
                      <w:szCs w:val="21"/>
                    </w:rPr>
                  </w:pPr>
                  <w:r>
                    <w:rPr>
                      <w:rFonts w:hint="eastAsia"/>
                    </w:rPr>
                    <w:t>0.036</w:t>
                  </w:r>
                  <w:r>
                    <w:t>t/a</w:t>
                  </w:r>
                </w:p>
              </w:tc>
              <w:tc>
                <w:tcPr>
                  <w:tcW w:w="0" w:type="auto"/>
                  <w:vMerge w:val="restart"/>
                  <w:vAlign w:val="center"/>
                </w:tcPr>
                <w:p w14:paraId="1130BEFD">
                  <w:pPr>
                    <w:wordWrap w:val="0"/>
                    <w:adjustRightInd w:val="0"/>
                    <w:snapToGrid w:val="0"/>
                    <w:jc w:val="center"/>
                    <w:rPr>
                      <w:szCs w:val="21"/>
                    </w:rPr>
                  </w:pPr>
                  <w:r>
                    <w:rPr>
                      <w:rFonts w:hint="eastAsia"/>
                      <w:szCs w:val="21"/>
                    </w:rPr>
                    <w:t>集气罩收集后至两级活性炭吸附装置处理后通过15m高排气筒DA004进行排放；</w:t>
                  </w:r>
                </w:p>
              </w:tc>
              <w:tc>
                <w:tcPr>
                  <w:tcW w:w="0" w:type="auto"/>
                  <w:vAlign w:val="center"/>
                </w:tcPr>
                <w:p w14:paraId="37122E45">
                  <w:pPr>
                    <w:wordWrap w:val="0"/>
                    <w:adjustRightInd w:val="0"/>
                    <w:snapToGrid w:val="0"/>
                    <w:jc w:val="center"/>
                    <w:rPr>
                      <w:szCs w:val="21"/>
                    </w:rPr>
                  </w:pPr>
                  <w:r>
                    <w:rPr>
                      <w:rFonts w:hint="eastAsia"/>
                      <w:szCs w:val="21"/>
                    </w:rPr>
                    <w:t>85%</w:t>
                  </w:r>
                </w:p>
              </w:tc>
              <w:tc>
                <w:tcPr>
                  <w:tcW w:w="0" w:type="auto"/>
                  <w:vAlign w:val="center"/>
                </w:tcPr>
                <w:p w14:paraId="4ECCFEBA">
                  <w:pPr>
                    <w:wordWrap w:val="0"/>
                    <w:adjustRightInd w:val="0"/>
                    <w:snapToGrid w:val="0"/>
                    <w:jc w:val="center"/>
                    <w:rPr>
                      <w:szCs w:val="21"/>
                    </w:rPr>
                  </w:pPr>
                  <w:r>
                    <w:rPr>
                      <w:rFonts w:hint="eastAsia"/>
                      <w:szCs w:val="21"/>
                    </w:rPr>
                    <w:t>85%</w:t>
                  </w:r>
                </w:p>
              </w:tc>
              <w:tc>
                <w:tcPr>
                  <w:tcW w:w="0" w:type="auto"/>
                  <w:vAlign w:val="center"/>
                </w:tcPr>
                <w:p w14:paraId="536A8C82">
                  <w:pPr>
                    <w:wordWrap w:val="0"/>
                    <w:adjustRightInd w:val="0"/>
                    <w:snapToGrid w:val="0"/>
                    <w:jc w:val="center"/>
                    <w:rPr>
                      <w:szCs w:val="21"/>
                    </w:rPr>
                  </w:pPr>
                  <w:r>
                    <w:rPr>
                      <w:rFonts w:hint="eastAsia"/>
                      <w:szCs w:val="21"/>
                    </w:rPr>
                    <w:t>0.005</w:t>
                  </w:r>
                </w:p>
              </w:tc>
              <w:tc>
                <w:tcPr>
                  <w:tcW w:w="0" w:type="auto"/>
                  <w:vAlign w:val="center"/>
                </w:tcPr>
                <w:p w14:paraId="38817BC9">
                  <w:pPr>
                    <w:wordWrap w:val="0"/>
                    <w:adjustRightInd w:val="0"/>
                    <w:snapToGrid w:val="0"/>
                    <w:jc w:val="center"/>
                    <w:rPr>
                      <w:szCs w:val="21"/>
                    </w:rPr>
                  </w:pPr>
                  <w:r>
                    <w:rPr>
                      <w:rFonts w:hint="eastAsia"/>
                      <w:szCs w:val="21"/>
                    </w:rPr>
                    <w:t>0.005</w:t>
                  </w:r>
                </w:p>
              </w:tc>
              <w:tc>
                <w:tcPr>
                  <w:tcW w:w="0" w:type="auto"/>
                  <w:vAlign w:val="center"/>
                </w:tcPr>
                <w:p w14:paraId="664F32BA">
                  <w:pPr>
                    <w:wordWrap w:val="0"/>
                    <w:adjustRightInd w:val="0"/>
                    <w:snapToGrid w:val="0"/>
                    <w:jc w:val="center"/>
                    <w:rPr>
                      <w:szCs w:val="21"/>
                    </w:rPr>
                  </w:pPr>
                  <w:r>
                    <w:rPr>
                      <w:rFonts w:hint="eastAsia"/>
                      <w:szCs w:val="21"/>
                    </w:rPr>
                    <w:t>0.004</w:t>
                  </w:r>
                </w:p>
              </w:tc>
              <w:tc>
                <w:tcPr>
                  <w:tcW w:w="0" w:type="auto"/>
                  <w:vAlign w:val="center"/>
                </w:tcPr>
                <w:p w14:paraId="13BDEED7">
                  <w:pPr>
                    <w:wordWrap w:val="0"/>
                    <w:adjustRightInd w:val="0"/>
                    <w:snapToGrid w:val="0"/>
                    <w:jc w:val="center"/>
                    <w:rPr>
                      <w:szCs w:val="21"/>
                    </w:rPr>
                  </w:pPr>
                  <w:r>
                    <w:rPr>
                      <w:rFonts w:hint="eastAsia"/>
                      <w:szCs w:val="21"/>
                    </w:rPr>
                    <w:t>0.010</w:t>
                  </w:r>
                </w:p>
              </w:tc>
            </w:tr>
            <w:tr w14:paraId="0B13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35049B9">
                  <w:pPr>
                    <w:wordWrap w:val="0"/>
                    <w:adjustRightInd w:val="0"/>
                    <w:snapToGrid w:val="0"/>
                    <w:jc w:val="center"/>
                    <w:rPr>
                      <w:szCs w:val="21"/>
                    </w:rPr>
                  </w:pPr>
                </w:p>
              </w:tc>
              <w:tc>
                <w:tcPr>
                  <w:tcW w:w="0" w:type="auto"/>
                  <w:vMerge w:val="continue"/>
                  <w:vAlign w:val="center"/>
                </w:tcPr>
                <w:p w14:paraId="06AA7B4A">
                  <w:pPr>
                    <w:pStyle w:val="45"/>
                    <w:wordWrap w:val="0"/>
                    <w:spacing w:line="240" w:lineRule="auto"/>
                    <w:ind w:firstLine="0" w:firstLineChars="0"/>
                    <w:jc w:val="center"/>
                    <w:rPr>
                      <w:sz w:val="21"/>
                      <w:szCs w:val="21"/>
                    </w:rPr>
                  </w:pPr>
                </w:p>
              </w:tc>
              <w:tc>
                <w:tcPr>
                  <w:tcW w:w="0" w:type="auto"/>
                  <w:vAlign w:val="center"/>
                </w:tcPr>
                <w:p w14:paraId="36ACD812">
                  <w:pPr>
                    <w:wordWrap w:val="0"/>
                    <w:adjustRightInd w:val="0"/>
                    <w:snapToGrid w:val="0"/>
                    <w:jc w:val="center"/>
                    <w:rPr>
                      <w:szCs w:val="21"/>
                    </w:rPr>
                  </w:pPr>
                  <w:r>
                    <w:rPr>
                      <w:rFonts w:hint="eastAsia"/>
                      <w:szCs w:val="21"/>
                    </w:rPr>
                    <w:t>喷漆非甲烷总烃</w:t>
                  </w:r>
                </w:p>
              </w:tc>
              <w:tc>
                <w:tcPr>
                  <w:tcW w:w="0" w:type="auto"/>
                  <w:vAlign w:val="center"/>
                </w:tcPr>
                <w:p w14:paraId="63DDD83C">
                  <w:pPr>
                    <w:wordWrap w:val="0"/>
                    <w:adjustRightInd w:val="0"/>
                    <w:snapToGrid w:val="0"/>
                    <w:jc w:val="center"/>
                    <w:rPr>
                      <w:szCs w:val="21"/>
                    </w:rPr>
                  </w:pPr>
                  <w:r>
                    <w:rPr>
                      <w:rFonts w:hint="eastAsia"/>
                    </w:rPr>
                    <w:t>0.011</w:t>
                  </w:r>
                  <w:r>
                    <w:t>t/a</w:t>
                  </w:r>
                </w:p>
              </w:tc>
              <w:tc>
                <w:tcPr>
                  <w:tcW w:w="0" w:type="auto"/>
                  <w:vMerge w:val="continue"/>
                  <w:vAlign w:val="center"/>
                </w:tcPr>
                <w:p w14:paraId="68EE2FA3">
                  <w:pPr>
                    <w:wordWrap w:val="0"/>
                    <w:adjustRightInd w:val="0"/>
                    <w:snapToGrid w:val="0"/>
                    <w:jc w:val="center"/>
                    <w:rPr>
                      <w:szCs w:val="21"/>
                    </w:rPr>
                  </w:pPr>
                </w:p>
              </w:tc>
              <w:tc>
                <w:tcPr>
                  <w:tcW w:w="0" w:type="auto"/>
                  <w:vAlign w:val="center"/>
                </w:tcPr>
                <w:p w14:paraId="1342D73E">
                  <w:pPr>
                    <w:wordWrap w:val="0"/>
                    <w:adjustRightInd w:val="0"/>
                    <w:snapToGrid w:val="0"/>
                    <w:jc w:val="center"/>
                    <w:rPr>
                      <w:szCs w:val="21"/>
                    </w:rPr>
                  </w:pPr>
                  <w:r>
                    <w:rPr>
                      <w:rFonts w:hint="eastAsia"/>
                      <w:szCs w:val="21"/>
                    </w:rPr>
                    <w:t>85%</w:t>
                  </w:r>
                </w:p>
              </w:tc>
              <w:tc>
                <w:tcPr>
                  <w:tcW w:w="0" w:type="auto"/>
                  <w:vAlign w:val="center"/>
                </w:tcPr>
                <w:p w14:paraId="4C427FF9">
                  <w:pPr>
                    <w:wordWrap w:val="0"/>
                    <w:adjustRightInd w:val="0"/>
                    <w:snapToGrid w:val="0"/>
                    <w:jc w:val="center"/>
                    <w:rPr>
                      <w:szCs w:val="21"/>
                    </w:rPr>
                  </w:pPr>
                  <w:r>
                    <w:rPr>
                      <w:rFonts w:hint="eastAsia"/>
                      <w:szCs w:val="21"/>
                    </w:rPr>
                    <w:t>85%</w:t>
                  </w:r>
                </w:p>
              </w:tc>
              <w:tc>
                <w:tcPr>
                  <w:tcW w:w="0" w:type="auto"/>
                  <w:vAlign w:val="center"/>
                </w:tcPr>
                <w:p w14:paraId="27F48F6D">
                  <w:pPr>
                    <w:wordWrap w:val="0"/>
                    <w:adjustRightInd w:val="0"/>
                    <w:snapToGrid w:val="0"/>
                    <w:jc w:val="center"/>
                    <w:rPr>
                      <w:szCs w:val="21"/>
                    </w:rPr>
                  </w:pPr>
                  <w:r>
                    <w:rPr>
                      <w:rFonts w:hint="eastAsia"/>
                      <w:szCs w:val="21"/>
                    </w:rPr>
                    <w:t>0.001</w:t>
                  </w:r>
                </w:p>
              </w:tc>
              <w:tc>
                <w:tcPr>
                  <w:tcW w:w="0" w:type="auto"/>
                  <w:vAlign w:val="center"/>
                </w:tcPr>
                <w:p w14:paraId="47CC4611">
                  <w:pPr>
                    <w:wordWrap w:val="0"/>
                    <w:adjustRightInd w:val="0"/>
                    <w:snapToGrid w:val="0"/>
                    <w:jc w:val="center"/>
                    <w:rPr>
                      <w:szCs w:val="21"/>
                    </w:rPr>
                  </w:pPr>
                  <w:r>
                    <w:rPr>
                      <w:rFonts w:hint="eastAsia"/>
                      <w:szCs w:val="21"/>
                    </w:rPr>
                    <w:t>0.002</w:t>
                  </w:r>
                </w:p>
              </w:tc>
              <w:tc>
                <w:tcPr>
                  <w:tcW w:w="0" w:type="auto"/>
                  <w:vAlign w:val="center"/>
                </w:tcPr>
                <w:p w14:paraId="5084B359">
                  <w:pPr>
                    <w:wordWrap w:val="0"/>
                    <w:adjustRightInd w:val="0"/>
                    <w:snapToGrid w:val="0"/>
                    <w:jc w:val="center"/>
                    <w:rPr>
                      <w:szCs w:val="21"/>
                    </w:rPr>
                  </w:pPr>
                  <w:r>
                    <w:rPr>
                      <w:rFonts w:hint="eastAsia"/>
                      <w:szCs w:val="21"/>
                    </w:rPr>
                    <w:t>0.001</w:t>
                  </w:r>
                </w:p>
              </w:tc>
              <w:tc>
                <w:tcPr>
                  <w:tcW w:w="0" w:type="auto"/>
                  <w:vAlign w:val="center"/>
                </w:tcPr>
                <w:p w14:paraId="20AB052B">
                  <w:pPr>
                    <w:wordWrap w:val="0"/>
                    <w:adjustRightInd w:val="0"/>
                    <w:snapToGrid w:val="0"/>
                    <w:jc w:val="center"/>
                    <w:rPr>
                      <w:szCs w:val="21"/>
                    </w:rPr>
                  </w:pPr>
                  <w:r>
                    <w:rPr>
                      <w:rFonts w:hint="eastAsia"/>
                      <w:szCs w:val="21"/>
                    </w:rPr>
                    <w:t>0.002</w:t>
                  </w:r>
                </w:p>
              </w:tc>
            </w:tr>
            <w:tr w14:paraId="4B6D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vMerge w:val="continue"/>
                  <w:vAlign w:val="center"/>
                </w:tcPr>
                <w:p w14:paraId="7FD2A5EB">
                  <w:pPr>
                    <w:wordWrap w:val="0"/>
                    <w:adjustRightInd w:val="0"/>
                    <w:snapToGrid w:val="0"/>
                    <w:jc w:val="center"/>
                    <w:rPr>
                      <w:szCs w:val="21"/>
                    </w:rPr>
                  </w:pPr>
                </w:p>
              </w:tc>
              <w:tc>
                <w:tcPr>
                  <w:tcW w:w="0" w:type="auto"/>
                  <w:vMerge w:val="continue"/>
                  <w:vAlign w:val="center"/>
                </w:tcPr>
                <w:p w14:paraId="2A77F99E">
                  <w:pPr>
                    <w:pStyle w:val="45"/>
                    <w:wordWrap w:val="0"/>
                    <w:spacing w:line="240" w:lineRule="auto"/>
                    <w:ind w:firstLine="0" w:firstLineChars="0"/>
                    <w:jc w:val="center"/>
                    <w:rPr>
                      <w:sz w:val="21"/>
                      <w:szCs w:val="21"/>
                    </w:rPr>
                  </w:pPr>
                </w:p>
              </w:tc>
              <w:tc>
                <w:tcPr>
                  <w:tcW w:w="0" w:type="auto"/>
                  <w:gridSpan w:val="9"/>
                </w:tcPr>
                <w:p w14:paraId="37B2DA94">
                  <w:pPr>
                    <w:wordWrap w:val="0"/>
                    <w:jc w:val="center"/>
                  </w:pPr>
                  <w:r>
                    <w:rPr>
                      <w:rFonts w:hint="eastAsia"/>
                    </w:rPr>
                    <w:t>当燃料为液化石油气时</w:t>
                  </w:r>
                </w:p>
              </w:tc>
            </w:tr>
            <w:tr w14:paraId="4B18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5A53911">
                  <w:pPr>
                    <w:wordWrap w:val="0"/>
                    <w:adjustRightInd w:val="0"/>
                    <w:snapToGrid w:val="0"/>
                    <w:jc w:val="center"/>
                    <w:rPr>
                      <w:szCs w:val="21"/>
                    </w:rPr>
                  </w:pPr>
                </w:p>
              </w:tc>
              <w:tc>
                <w:tcPr>
                  <w:tcW w:w="0" w:type="auto"/>
                  <w:vMerge w:val="continue"/>
                  <w:vAlign w:val="center"/>
                </w:tcPr>
                <w:p w14:paraId="342AC16D">
                  <w:pPr>
                    <w:pStyle w:val="45"/>
                    <w:wordWrap w:val="0"/>
                    <w:spacing w:line="240" w:lineRule="auto"/>
                    <w:ind w:firstLine="0" w:firstLineChars="0"/>
                    <w:jc w:val="center"/>
                    <w:rPr>
                      <w:sz w:val="21"/>
                      <w:szCs w:val="21"/>
                    </w:rPr>
                  </w:pPr>
                </w:p>
              </w:tc>
              <w:tc>
                <w:tcPr>
                  <w:tcW w:w="0" w:type="auto"/>
                  <w:vAlign w:val="center"/>
                </w:tcPr>
                <w:p w14:paraId="5FA17F6F">
                  <w:pPr>
                    <w:wordWrap w:val="0"/>
                    <w:adjustRightInd w:val="0"/>
                    <w:snapToGrid w:val="0"/>
                    <w:jc w:val="center"/>
                  </w:pPr>
                  <w:r>
                    <w:rPr>
                      <w:rFonts w:hint="eastAsia"/>
                    </w:rPr>
                    <w:t>二氧化硫</w:t>
                  </w:r>
                </w:p>
              </w:tc>
              <w:tc>
                <w:tcPr>
                  <w:tcW w:w="0" w:type="auto"/>
                  <w:vAlign w:val="center"/>
                </w:tcPr>
                <w:p w14:paraId="2C658466">
                  <w:pPr>
                    <w:wordWrap w:val="0"/>
                    <w:jc w:val="center"/>
                  </w:pPr>
                  <w:r>
                    <w:rPr>
                      <w:rFonts w:hint="eastAsia"/>
                    </w:rPr>
                    <w:t>12.8kg/a</w:t>
                  </w:r>
                </w:p>
              </w:tc>
              <w:tc>
                <w:tcPr>
                  <w:tcW w:w="0" w:type="auto"/>
                  <w:vMerge w:val="restart"/>
                  <w:vAlign w:val="center"/>
                </w:tcPr>
                <w:p w14:paraId="47B189AA">
                  <w:pPr>
                    <w:wordWrap w:val="0"/>
                    <w:jc w:val="center"/>
                    <w:rPr>
                      <w:szCs w:val="21"/>
                    </w:rPr>
                  </w:pPr>
                  <w:r>
                    <w:rPr>
                      <w:rFonts w:hint="eastAsia"/>
                      <w:szCs w:val="21"/>
                    </w:rPr>
                    <w:t>直接通过15m高排气筒DA005进行排放；</w:t>
                  </w:r>
                </w:p>
              </w:tc>
              <w:tc>
                <w:tcPr>
                  <w:tcW w:w="0" w:type="auto"/>
                  <w:gridSpan w:val="2"/>
                  <w:vMerge w:val="restart"/>
                  <w:vAlign w:val="center"/>
                </w:tcPr>
                <w:p w14:paraId="4F5A0F8E">
                  <w:pPr>
                    <w:wordWrap w:val="0"/>
                    <w:jc w:val="center"/>
                  </w:pPr>
                  <w:r>
                    <w:rPr>
                      <w:rFonts w:hint="eastAsia"/>
                      <w:szCs w:val="21"/>
                    </w:rPr>
                    <w:t>/</w:t>
                  </w:r>
                </w:p>
              </w:tc>
              <w:tc>
                <w:tcPr>
                  <w:tcW w:w="0" w:type="auto"/>
                  <w:vAlign w:val="center"/>
                </w:tcPr>
                <w:p w14:paraId="5628DD21">
                  <w:pPr>
                    <w:wordWrap w:val="0"/>
                    <w:jc w:val="center"/>
                  </w:pPr>
                  <w:r>
                    <w:rPr>
                      <w:rFonts w:hint="eastAsia"/>
                    </w:rPr>
                    <w:t>12.8kg/a</w:t>
                  </w:r>
                </w:p>
              </w:tc>
              <w:tc>
                <w:tcPr>
                  <w:tcW w:w="0" w:type="auto"/>
                  <w:vMerge w:val="restart"/>
                  <w:vAlign w:val="center"/>
                </w:tcPr>
                <w:p w14:paraId="2E5F70F0">
                  <w:pPr>
                    <w:pStyle w:val="2"/>
                    <w:wordWrap w:val="0"/>
                    <w:spacing w:after="0"/>
                    <w:ind w:left="0" w:leftChars="0" w:firstLine="0" w:firstLineChars="0"/>
                    <w:jc w:val="center"/>
                  </w:pPr>
                  <w:r>
                    <w:rPr>
                      <w:rFonts w:hint="eastAsia"/>
                    </w:rPr>
                    <w:t>/</w:t>
                  </w:r>
                </w:p>
              </w:tc>
              <w:tc>
                <w:tcPr>
                  <w:tcW w:w="0" w:type="auto"/>
                  <w:vAlign w:val="center"/>
                </w:tcPr>
                <w:p w14:paraId="70E6F788">
                  <w:pPr>
                    <w:pStyle w:val="2"/>
                    <w:wordWrap w:val="0"/>
                    <w:spacing w:after="0"/>
                    <w:ind w:left="0" w:leftChars="0" w:firstLine="0" w:firstLineChars="0"/>
                    <w:jc w:val="center"/>
                  </w:pPr>
                  <w:r>
                    <w:rPr>
                      <w:rFonts w:hint="eastAsia"/>
                    </w:rPr>
                    <w:t>0.010</w:t>
                  </w:r>
                </w:p>
              </w:tc>
              <w:tc>
                <w:tcPr>
                  <w:tcW w:w="0" w:type="auto"/>
                  <w:vAlign w:val="center"/>
                </w:tcPr>
                <w:p w14:paraId="761BB3F7">
                  <w:pPr>
                    <w:wordWrap w:val="0"/>
                    <w:jc w:val="center"/>
                  </w:pPr>
                  <w:r>
                    <w:rPr>
                      <w:rFonts w:hint="eastAsia"/>
                    </w:rPr>
                    <w:t>12.8kg/a</w:t>
                  </w:r>
                </w:p>
              </w:tc>
            </w:tr>
            <w:tr w14:paraId="2D7B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1AC8C92">
                  <w:pPr>
                    <w:wordWrap w:val="0"/>
                    <w:adjustRightInd w:val="0"/>
                    <w:snapToGrid w:val="0"/>
                    <w:jc w:val="center"/>
                    <w:rPr>
                      <w:szCs w:val="21"/>
                    </w:rPr>
                  </w:pPr>
                </w:p>
              </w:tc>
              <w:tc>
                <w:tcPr>
                  <w:tcW w:w="0" w:type="auto"/>
                  <w:vMerge w:val="continue"/>
                  <w:vAlign w:val="center"/>
                </w:tcPr>
                <w:p w14:paraId="2B32423E">
                  <w:pPr>
                    <w:pStyle w:val="45"/>
                    <w:wordWrap w:val="0"/>
                    <w:spacing w:line="240" w:lineRule="auto"/>
                    <w:ind w:firstLine="0" w:firstLineChars="0"/>
                    <w:jc w:val="center"/>
                    <w:rPr>
                      <w:sz w:val="21"/>
                      <w:szCs w:val="21"/>
                    </w:rPr>
                  </w:pPr>
                </w:p>
              </w:tc>
              <w:tc>
                <w:tcPr>
                  <w:tcW w:w="0" w:type="auto"/>
                  <w:vAlign w:val="center"/>
                </w:tcPr>
                <w:p w14:paraId="4FC253F3">
                  <w:pPr>
                    <w:wordWrap w:val="0"/>
                    <w:adjustRightInd w:val="0"/>
                    <w:snapToGrid w:val="0"/>
                    <w:jc w:val="center"/>
                  </w:pPr>
                  <w:r>
                    <w:rPr>
                      <w:rFonts w:hint="eastAsia"/>
                    </w:rPr>
                    <w:t>氮氧化物</w:t>
                  </w:r>
                </w:p>
              </w:tc>
              <w:tc>
                <w:tcPr>
                  <w:tcW w:w="0" w:type="auto"/>
                  <w:vAlign w:val="center"/>
                </w:tcPr>
                <w:p w14:paraId="3C3DF289">
                  <w:pPr>
                    <w:wordWrap w:val="0"/>
                    <w:jc w:val="center"/>
                  </w:pPr>
                  <w:r>
                    <w:rPr>
                      <w:rFonts w:hint="eastAsia"/>
                    </w:rPr>
                    <w:t>190.752kg/a</w:t>
                  </w:r>
                </w:p>
              </w:tc>
              <w:tc>
                <w:tcPr>
                  <w:tcW w:w="0" w:type="auto"/>
                  <w:vMerge w:val="continue"/>
                  <w:vAlign w:val="center"/>
                </w:tcPr>
                <w:p w14:paraId="7F3CD515">
                  <w:pPr>
                    <w:wordWrap w:val="0"/>
                    <w:jc w:val="center"/>
                  </w:pPr>
                </w:p>
              </w:tc>
              <w:tc>
                <w:tcPr>
                  <w:tcW w:w="0" w:type="auto"/>
                  <w:gridSpan w:val="2"/>
                  <w:vMerge w:val="continue"/>
                  <w:vAlign w:val="center"/>
                </w:tcPr>
                <w:p w14:paraId="1C08930F">
                  <w:pPr>
                    <w:wordWrap w:val="0"/>
                    <w:jc w:val="center"/>
                  </w:pPr>
                </w:p>
              </w:tc>
              <w:tc>
                <w:tcPr>
                  <w:tcW w:w="0" w:type="auto"/>
                  <w:vAlign w:val="center"/>
                </w:tcPr>
                <w:p w14:paraId="60CA7696">
                  <w:pPr>
                    <w:wordWrap w:val="0"/>
                    <w:jc w:val="center"/>
                  </w:pPr>
                  <w:r>
                    <w:rPr>
                      <w:rFonts w:hint="eastAsia"/>
                    </w:rPr>
                    <w:t>190.752kg/a</w:t>
                  </w:r>
                </w:p>
              </w:tc>
              <w:tc>
                <w:tcPr>
                  <w:tcW w:w="0" w:type="auto"/>
                  <w:vMerge w:val="continue"/>
                  <w:vAlign w:val="center"/>
                </w:tcPr>
                <w:p w14:paraId="71D2EB3E">
                  <w:pPr>
                    <w:pStyle w:val="2"/>
                    <w:wordWrap w:val="0"/>
                    <w:spacing w:after="0"/>
                    <w:ind w:left="0" w:leftChars="0" w:firstLine="0" w:firstLineChars="0"/>
                    <w:jc w:val="center"/>
                  </w:pPr>
                </w:p>
              </w:tc>
              <w:tc>
                <w:tcPr>
                  <w:tcW w:w="0" w:type="auto"/>
                  <w:vAlign w:val="center"/>
                </w:tcPr>
                <w:p w14:paraId="2E26B904">
                  <w:pPr>
                    <w:pStyle w:val="2"/>
                    <w:wordWrap w:val="0"/>
                    <w:spacing w:after="0"/>
                    <w:ind w:left="0" w:leftChars="0" w:firstLine="0" w:firstLineChars="0"/>
                    <w:jc w:val="center"/>
                  </w:pPr>
                  <w:r>
                    <w:rPr>
                      <w:rFonts w:hint="eastAsia"/>
                    </w:rPr>
                    <w:t>0.154</w:t>
                  </w:r>
                </w:p>
              </w:tc>
              <w:tc>
                <w:tcPr>
                  <w:tcW w:w="0" w:type="auto"/>
                  <w:vAlign w:val="center"/>
                </w:tcPr>
                <w:p w14:paraId="342F03DF">
                  <w:pPr>
                    <w:wordWrap w:val="0"/>
                    <w:jc w:val="center"/>
                  </w:pPr>
                  <w:r>
                    <w:rPr>
                      <w:rFonts w:hint="eastAsia"/>
                    </w:rPr>
                    <w:t>190.752kg/a</w:t>
                  </w:r>
                </w:p>
              </w:tc>
            </w:tr>
            <w:tr w14:paraId="5143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DEC9933">
                  <w:pPr>
                    <w:wordWrap w:val="0"/>
                    <w:adjustRightInd w:val="0"/>
                    <w:snapToGrid w:val="0"/>
                    <w:jc w:val="center"/>
                    <w:rPr>
                      <w:szCs w:val="21"/>
                    </w:rPr>
                  </w:pPr>
                </w:p>
              </w:tc>
              <w:tc>
                <w:tcPr>
                  <w:tcW w:w="0" w:type="auto"/>
                  <w:vMerge w:val="continue"/>
                  <w:vAlign w:val="center"/>
                </w:tcPr>
                <w:p w14:paraId="482B4C48">
                  <w:pPr>
                    <w:pStyle w:val="45"/>
                    <w:wordWrap w:val="0"/>
                    <w:spacing w:line="240" w:lineRule="auto"/>
                    <w:ind w:firstLine="0" w:firstLineChars="0"/>
                    <w:jc w:val="center"/>
                    <w:rPr>
                      <w:sz w:val="21"/>
                      <w:szCs w:val="21"/>
                    </w:rPr>
                  </w:pPr>
                </w:p>
              </w:tc>
              <w:tc>
                <w:tcPr>
                  <w:tcW w:w="0" w:type="auto"/>
                  <w:vAlign w:val="center"/>
                </w:tcPr>
                <w:p w14:paraId="5EA76F57">
                  <w:pPr>
                    <w:wordWrap w:val="0"/>
                    <w:adjustRightInd w:val="0"/>
                    <w:snapToGrid w:val="0"/>
                    <w:jc w:val="center"/>
                    <w:rPr>
                      <w:szCs w:val="21"/>
                    </w:rPr>
                  </w:pPr>
                  <w:r>
                    <w:rPr>
                      <w:rFonts w:hint="eastAsia"/>
                    </w:rPr>
                    <w:t>颗粒物</w:t>
                  </w:r>
                </w:p>
              </w:tc>
              <w:tc>
                <w:tcPr>
                  <w:tcW w:w="0" w:type="auto"/>
                  <w:vAlign w:val="center"/>
                </w:tcPr>
                <w:p w14:paraId="52FB1111">
                  <w:pPr>
                    <w:wordWrap w:val="0"/>
                    <w:jc w:val="center"/>
                  </w:pPr>
                  <w:r>
                    <w:rPr>
                      <w:rFonts w:hint="eastAsia"/>
                    </w:rPr>
                    <w:t>9.152kg/a</w:t>
                  </w:r>
                </w:p>
              </w:tc>
              <w:tc>
                <w:tcPr>
                  <w:tcW w:w="0" w:type="auto"/>
                  <w:vMerge w:val="continue"/>
                  <w:vAlign w:val="center"/>
                </w:tcPr>
                <w:p w14:paraId="5E3C5356">
                  <w:pPr>
                    <w:wordWrap w:val="0"/>
                    <w:jc w:val="center"/>
                  </w:pPr>
                </w:p>
              </w:tc>
              <w:tc>
                <w:tcPr>
                  <w:tcW w:w="0" w:type="auto"/>
                  <w:gridSpan w:val="2"/>
                  <w:vMerge w:val="continue"/>
                  <w:vAlign w:val="center"/>
                </w:tcPr>
                <w:p w14:paraId="6B88438C">
                  <w:pPr>
                    <w:wordWrap w:val="0"/>
                    <w:jc w:val="center"/>
                  </w:pPr>
                </w:p>
              </w:tc>
              <w:tc>
                <w:tcPr>
                  <w:tcW w:w="0" w:type="auto"/>
                  <w:vAlign w:val="center"/>
                </w:tcPr>
                <w:p w14:paraId="2A40545F">
                  <w:pPr>
                    <w:wordWrap w:val="0"/>
                    <w:jc w:val="center"/>
                  </w:pPr>
                  <w:r>
                    <w:rPr>
                      <w:rFonts w:hint="eastAsia"/>
                    </w:rPr>
                    <w:t>9.152kg/a</w:t>
                  </w:r>
                </w:p>
              </w:tc>
              <w:tc>
                <w:tcPr>
                  <w:tcW w:w="0" w:type="auto"/>
                  <w:vMerge w:val="continue"/>
                  <w:vAlign w:val="center"/>
                </w:tcPr>
                <w:p w14:paraId="25384483">
                  <w:pPr>
                    <w:pStyle w:val="2"/>
                    <w:wordWrap w:val="0"/>
                    <w:spacing w:after="0"/>
                    <w:ind w:left="0" w:leftChars="0" w:firstLine="0" w:firstLineChars="0"/>
                    <w:jc w:val="center"/>
                  </w:pPr>
                </w:p>
              </w:tc>
              <w:tc>
                <w:tcPr>
                  <w:tcW w:w="0" w:type="auto"/>
                  <w:vAlign w:val="center"/>
                </w:tcPr>
                <w:p w14:paraId="01B669BF">
                  <w:pPr>
                    <w:pStyle w:val="2"/>
                    <w:wordWrap w:val="0"/>
                    <w:spacing w:after="0"/>
                    <w:ind w:left="0" w:leftChars="0" w:firstLine="0" w:firstLineChars="0"/>
                    <w:jc w:val="center"/>
                  </w:pPr>
                  <w:r>
                    <w:rPr>
                      <w:rFonts w:hint="eastAsia"/>
                    </w:rPr>
                    <w:t>0.007</w:t>
                  </w:r>
                </w:p>
              </w:tc>
              <w:tc>
                <w:tcPr>
                  <w:tcW w:w="0" w:type="auto"/>
                  <w:vAlign w:val="center"/>
                </w:tcPr>
                <w:p w14:paraId="06A282F1">
                  <w:pPr>
                    <w:wordWrap w:val="0"/>
                    <w:jc w:val="center"/>
                  </w:pPr>
                  <w:r>
                    <w:rPr>
                      <w:rFonts w:hint="eastAsia"/>
                    </w:rPr>
                    <w:t>9.152kg/a</w:t>
                  </w:r>
                </w:p>
              </w:tc>
            </w:tr>
            <w:tr w14:paraId="4B6C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0" w:type="auto"/>
                  <w:vMerge w:val="continue"/>
                  <w:vAlign w:val="center"/>
                </w:tcPr>
                <w:p w14:paraId="64054268">
                  <w:pPr>
                    <w:wordWrap w:val="0"/>
                    <w:adjustRightInd w:val="0"/>
                    <w:snapToGrid w:val="0"/>
                    <w:jc w:val="center"/>
                    <w:rPr>
                      <w:szCs w:val="21"/>
                    </w:rPr>
                  </w:pPr>
                </w:p>
              </w:tc>
              <w:tc>
                <w:tcPr>
                  <w:tcW w:w="0" w:type="auto"/>
                  <w:vMerge w:val="continue"/>
                  <w:vAlign w:val="center"/>
                </w:tcPr>
                <w:p w14:paraId="4748103D">
                  <w:pPr>
                    <w:pStyle w:val="45"/>
                    <w:wordWrap w:val="0"/>
                    <w:spacing w:line="240" w:lineRule="auto"/>
                    <w:ind w:firstLine="0" w:firstLineChars="0"/>
                    <w:jc w:val="center"/>
                    <w:rPr>
                      <w:sz w:val="21"/>
                      <w:szCs w:val="21"/>
                    </w:rPr>
                  </w:pPr>
                </w:p>
              </w:tc>
              <w:tc>
                <w:tcPr>
                  <w:tcW w:w="0" w:type="auto"/>
                  <w:gridSpan w:val="9"/>
                  <w:vAlign w:val="center"/>
                </w:tcPr>
                <w:p w14:paraId="472FB61E">
                  <w:pPr>
                    <w:wordWrap w:val="0"/>
                    <w:jc w:val="center"/>
                  </w:pPr>
                  <w:r>
                    <w:rPr>
                      <w:rFonts w:hint="eastAsia"/>
                    </w:rPr>
                    <w:t>当燃料为天然气时</w:t>
                  </w:r>
                </w:p>
              </w:tc>
            </w:tr>
            <w:tr w14:paraId="2315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64E95AD">
                  <w:pPr>
                    <w:wordWrap w:val="0"/>
                    <w:adjustRightInd w:val="0"/>
                    <w:snapToGrid w:val="0"/>
                    <w:jc w:val="center"/>
                    <w:rPr>
                      <w:szCs w:val="21"/>
                    </w:rPr>
                  </w:pPr>
                </w:p>
              </w:tc>
              <w:tc>
                <w:tcPr>
                  <w:tcW w:w="0" w:type="auto"/>
                  <w:vMerge w:val="continue"/>
                  <w:vAlign w:val="center"/>
                </w:tcPr>
                <w:p w14:paraId="795317AC">
                  <w:pPr>
                    <w:pStyle w:val="45"/>
                    <w:wordWrap w:val="0"/>
                    <w:spacing w:line="240" w:lineRule="auto"/>
                    <w:ind w:firstLine="0" w:firstLineChars="0"/>
                    <w:jc w:val="center"/>
                    <w:rPr>
                      <w:sz w:val="21"/>
                      <w:szCs w:val="21"/>
                    </w:rPr>
                  </w:pPr>
                </w:p>
              </w:tc>
              <w:tc>
                <w:tcPr>
                  <w:tcW w:w="0" w:type="auto"/>
                  <w:vAlign w:val="center"/>
                </w:tcPr>
                <w:p w14:paraId="429AC6E0">
                  <w:pPr>
                    <w:wordWrap w:val="0"/>
                    <w:adjustRightInd w:val="0"/>
                    <w:snapToGrid w:val="0"/>
                    <w:jc w:val="center"/>
                  </w:pPr>
                  <w:r>
                    <w:rPr>
                      <w:rFonts w:hint="eastAsia"/>
                    </w:rPr>
                    <w:t>二氧化硫</w:t>
                  </w:r>
                </w:p>
              </w:tc>
              <w:tc>
                <w:tcPr>
                  <w:tcW w:w="0" w:type="auto"/>
                  <w:vAlign w:val="center"/>
                </w:tcPr>
                <w:p w14:paraId="5B6ECA90">
                  <w:pPr>
                    <w:wordWrap w:val="0"/>
                    <w:jc w:val="center"/>
                  </w:pPr>
                  <w:r>
                    <w:rPr>
                      <w:rFonts w:hint="eastAsia"/>
                    </w:rPr>
                    <w:t>16kg/a</w:t>
                  </w:r>
                </w:p>
              </w:tc>
              <w:tc>
                <w:tcPr>
                  <w:tcW w:w="0" w:type="auto"/>
                  <w:vMerge w:val="restart"/>
                  <w:vAlign w:val="center"/>
                </w:tcPr>
                <w:p w14:paraId="31108E94">
                  <w:pPr>
                    <w:wordWrap w:val="0"/>
                    <w:jc w:val="center"/>
                    <w:rPr>
                      <w:szCs w:val="21"/>
                    </w:rPr>
                  </w:pPr>
                  <w:r>
                    <w:rPr>
                      <w:rFonts w:hint="eastAsia"/>
                      <w:szCs w:val="21"/>
                    </w:rPr>
                    <w:t>直接通过15m高排气筒DA005进行排放；</w:t>
                  </w:r>
                </w:p>
              </w:tc>
              <w:tc>
                <w:tcPr>
                  <w:tcW w:w="0" w:type="auto"/>
                  <w:gridSpan w:val="2"/>
                  <w:vMerge w:val="restart"/>
                  <w:vAlign w:val="center"/>
                </w:tcPr>
                <w:p w14:paraId="587194A0">
                  <w:pPr>
                    <w:wordWrap w:val="0"/>
                    <w:jc w:val="center"/>
                  </w:pPr>
                  <w:r>
                    <w:rPr>
                      <w:rFonts w:hint="eastAsia"/>
                      <w:szCs w:val="21"/>
                    </w:rPr>
                    <w:t>/</w:t>
                  </w:r>
                </w:p>
              </w:tc>
              <w:tc>
                <w:tcPr>
                  <w:tcW w:w="0" w:type="auto"/>
                  <w:vAlign w:val="center"/>
                </w:tcPr>
                <w:p w14:paraId="3596F1A1">
                  <w:pPr>
                    <w:wordWrap w:val="0"/>
                    <w:jc w:val="center"/>
                  </w:pPr>
                  <w:r>
                    <w:rPr>
                      <w:rFonts w:hint="eastAsia"/>
                    </w:rPr>
                    <w:t>16kg/a</w:t>
                  </w:r>
                </w:p>
              </w:tc>
              <w:tc>
                <w:tcPr>
                  <w:tcW w:w="0" w:type="auto"/>
                  <w:vMerge w:val="restart"/>
                  <w:vAlign w:val="center"/>
                </w:tcPr>
                <w:p w14:paraId="2D5700C4">
                  <w:pPr>
                    <w:pStyle w:val="2"/>
                    <w:wordWrap w:val="0"/>
                    <w:spacing w:after="0"/>
                    <w:ind w:left="0" w:leftChars="0" w:firstLine="0" w:firstLineChars="0"/>
                    <w:jc w:val="center"/>
                  </w:pPr>
                  <w:r>
                    <w:rPr>
                      <w:rFonts w:hint="eastAsia"/>
                      <w:szCs w:val="21"/>
                    </w:rPr>
                    <w:t>/</w:t>
                  </w:r>
                </w:p>
              </w:tc>
              <w:tc>
                <w:tcPr>
                  <w:tcW w:w="0" w:type="auto"/>
                  <w:vAlign w:val="center"/>
                </w:tcPr>
                <w:p w14:paraId="70FAC2C7">
                  <w:pPr>
                    <w:pStyle w:val="2"/>
                    <w:wordWrap w:val="0"/>
                    <w:spacing w:after="0"/>
                    <w:ind w:left="0" w:leftChars="0" w:firstLine="0" w:firstLineChars="0"/>
                    <w:jc w:val="center"/>
                  </w:pPr>
                  <w:r>
                    <w:rPr>
                      <w:rFonts w:hint="eastAsia"/>
                    </w:rPr>
                    <w:t>0.013</w:t>
                  </w:r>
                </w:p>
              </w:tc>
              <w:tc>
                <w:tcPr>
                  <w:tcW w:w="0" w:type="auto"/>
                  <w:vAlign w:val="center"/>
                </w:tcPr>
                <w:p w14:paraId="55482374">
                  <w:pPr>
                    <w:wordWrap w:val="0"/>
                    <w:jc w:val="center"/>
                  </w:pPr>
                  <w:r>
                    <w:rPr>
                      <w:rFonts w:hint="eastAsia"/>
                    </w:rPr>
                    <w:t>16kg/a</w:t>
                  </w:r>
                </w:p>
              </w:tc>
            </w:tr>
            <w:tr w14:paraId="3722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520B148">
                  <w:pPr>
                    <w:wordWrap w:val="0"/>
                    <w:adjustRightInd w:val="0"/>
                    <w:snapToGrid w:val="0"/>
                    <w:jc w:val="center"/>
                    <w:rPr>
                      <w:szCs w:val="21"/>
                    </w:rPr>
                  </w:pPr>
                </w:p>
              </w:tc>
              <w:tc>
                <w:tcPr>
                  <w:tcW w:w="0" w:type="auto"/>
                  <w:vMerge w:val="continue"/>
                  <w:vAlign w:val="center"/>
                </w:tcPr>
                <w:p w14:paraId="3271A81D">
                  <w:pPr>
                    <w:pStyle w:val="45"/>
                    <w:wordWrap w:val="0"/>
                    <w:spacing w:line="240" w:lineRule="auto"/>
                    <w:ind w:firstLine="0" w:firstLineChars="0"/>
                    <w:jc w:val="center"/>
                    <w:rPr>
                      <w:sz w:val="21"/>
                      <w:szCs w:val="21"/>
                    </w:rPr>
                  </w:pPr>
                </w:p>
              </w:tc>
              <w:tc>
                <w:tcPr>
                  <w:tcW w:w="0" w:type="auto"/>
                  <w:vAlign w:val="center"/>
                </w:tcPr>
                <w:p w14:paraId="59A0344B">
                  <w:pPr>
                    <w:wordWrap w:val="0"/>
                    <w:adjustRightInd w:val="0"/>
                    <w:snapToGrid w:val="0"/>
                    <w:jc w:val="center"/>
                  </w:pPr>
                  <w:r>
                    <w:rPr>
                      <w:rFonts w:hint="eastAsia"/>
                    </w:rPr>
                    <w:t>氮氧化物</w:t>
                  </w:r>
                </w:p>
              </w:tc>
              <w:tc>
                <w:tcPr>
                  <w:tcW w:w="0" w:type="auto"/>
                  <w:vAlign w:val="center"/>
                </w:tcPr>
                <w:p w14:paraId="3B5EDF50">
                  <w:pPr>
                    <w:wordWrap w:val="0"/>
                    <w:jc w:val="center"/>
                  </w:pPr>
                  <w:r>
                    <w:rPr>
                      <w:rFonts w:hint="eastAsia"/>
                    </w:rPr>
                    <w:t>37.44kg/a</w:t>
                  </w:r>
                </w:p>
              </w:tc>
              <w:tc>
                <w:tcPr>
                  <w:tcW w:w="0" w:type="auto"/>
                  <w:vMerge w:val="continue"/>
                  <w:vAlign w:val="center"/>
                </w:tcPr>
                <w:p w14:paraId="030D1B41">
                  <w:pPr>
                    <w:wordWrap w:val="0"/>
                    <w:jc w:val="center"/>
                  </w:pPr>
                </w:p>
              </w:tc>
              <w:tc>
                <w:tcPr>
                  <w:tcW w:w="0" w:type="auto"/>
                  <w:gridSpan w:val="2"/>
                  <w:vMerge w:val="continue"/>
                  <w:vAlign w:val="center"/>
                </w:tcPr>
                <w:p w14:paraId="34834CA7">
                  <w:pPr>
                    <w:wordWrap w:val="0"/>
                    <w:jc w:val="center"/>
                  </w:pPr>
                </w:p>
              </w:tc>
              <w:tc>
                <w:tcPr>
                  <w:tcW w:w="0" w:type="auto"/>
                  <w:vAlign w:val="center"/>
                </w:tcPr>
                <w:p w14:paraId="46BCAF22">
                  <w:pPr>
                    <w:wordWrap w:val="0"/>
                    <w:jc w:val="center"/>
                  </w:pPr>
                  <w:r>
                    <w:rPr>
                      <w:rFonts w:hint="eastAsia"/>
                    </w:rPr>
                    <w:t>37.44kg/a</w:t>
                  </w:r>
                </w:p>
              </w:tc>
              <w:tc>
                <w:tcPr>
                  <w:tcW w:w="0" w:type="auto"/>
                  <w:vMerge w:val="continue"/>
                  <w:vAlign w:val="center"/>
                </w:tcPr>
                <w:p w14:paraId="673939F8">
                  <w:pPr>
                    <w:pStyle w:val="2"/>
                    <w:wordWrap w:val="0"/>
                    <w:spacing w:after="0"/>
                    <w:ind w:left="0" w:leftChars="0" w:firstLine="0" w:firstLineChars="0"/>
                    <w:jc w:val="center"/>
                  </w:pPr>
                </w:p>
              </w:tc>
              <w:tc>
                <w:tcPr>
                  <w:tcW w:w="0" w:type="auto"/>
                  <w:vAlign w:val="center"/>
                </w:tcPr>
                <w:p w14:paraId="493638EA">
                  <w:pPr>
                    <w:pStyle w:val="2"/>
                    <w:wordWrap w:val="0"/>
                    <w:spacing w:after="0"/>
                    <w:ind w:left="0" w:leftChars="0" w:firstLine="0" w:firstLineChars="0"/>
                    <w:jc w:val="center"/>
                  </w:pPr>
                  <w:r>
                    <w:rPr>
                      <w:rFonts w:hint="eastAsia"/>
                    </w:rPr>
                    <w:t>0.030</w:t>
                  </w:r>
                </w:p>
              </w:tc>
              <w:tc>
                <w:tcPr>
                  <w:tcW w:w="0" w:type="auto"/>
                  <w:vAlign w:val="center"/>
                </w:tcPr>
                <w:p w14:paraId="6660619E">
                  <w:pPr>
                    <w:wordWrap w:val="0"/>
                    <w:jc w:val="center"/>
                  </w:pPr>
                  <w:r>
                    <w:rPr>
                      <w:rFonts w:hint="eastAsia"/>
                    </w:rPr>
                    <w:t>37.44kg/a</w:t>
                  </w:r>
                </w:p>
              </w:tc>
            </w:tr>
            <w:tr w14:paraId="6B32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133A6E4">
                  <w:pPr>
                    <w:wordWrap w:val="0"/>
                    <w:adjustRightInd w:val="0"/>
                    <w:snapToGrid w:val="0"/>
                    <w:jc w:val="center"/>
                    <w:rPr>
                      <w:szCs w:val="21"/>
                    </w:rPr>
                  </w:pPr>
                </w:p>
              </w:tc>
              <w:tc>
                <w:tcPr>
                  <w:tcW w:w="0" w:type="auto"/>
                  <w:vMerge w:val="continue"/>
                  <w:vAlign w:val="center"/>
                </w:tcPr>
                <w:p w14:paraId="52224013">
                  <w:pPr>
                    <w:pStyle w:val="45"/>
                    <w:wordWrap w:val="0"/>
                    <w:spacing w:line="240" w:lineRule="auto"/>
                    <w:ind w:firstLine="0" w:firstLineChars="0"/>
                    <w:jc w:val="center"/>
                    <w:rPr>
                      <w:sz w:val="21"/>
                      <w:szCs w:val="21"/>
                    </w:rPr>
                  </w:pPr>
                </w:p>
              </w:tc>
              <w:tc>
                <w:tcPr>
                  <w:tcW w:w="0" w:type="auto"/>
                  <w:vAlign w:val="center"/>
                </w:tcPr>
                <w:p w14:paraId="0B323994">
                  <w:pPr>
                    <w:wordWrap w:val="0"/>
                    <w:adjustRightInd w:val="0"/>
                    <w:snapToGrid w:val="0"/>
                    <w:jc w:val="center"/>
                    <w:rPr>
                      <w:szCs w:val="21"/>
                    </w:rPr>
                  </w:pPr>
                  <w:r>
                    <w:rPr>
                      <w:rFonts w:hint="eastAsia"/>
                    </w:rPr>
                    <w:t>颗粒物</w:t>
                  </w:r>
                </w:p>
              </w:tc>
              <w:tc>
                <w:tcPr>
                  <w:tcW w:w="0" w:type="auto"/>
                  <w:vAlign w:val="center"/>
                </w:tcPr>
                <w:p w14:paraId="272A63A5">
                  <w:pPr>
                    <w:wordWrap w:val="0"/>
                    <w:jc w:val="center"/>
                  </w:pPr>
                  <w:r>
                    <w:rPr>
                      <w:rFonts w:hint="eastAsia"/>
                    </w:rPr>
                    <w:t>11.44kg/a</w:t>
                  </w:r>
                </w:p>
              </w:tc>
              <w:tc>
                <w:tcPr>
                  <w:tcW w:w="0" w:type="auto"/>
                  <w:vMerge w:val="continue"/>
                  <w:vAlign w:val="center"/>
                </w:tcPr>
                <w:p w14:paraId="2BE16E92">
                  <w:pPr>
                    <w:wordWrap w:val="0"/>
                    <w:jc w:val="center"/>
                  </w:pPr>
                </w:p>
              </w:tc>
              <w:tc>
                <w:tcPr>
                  <w:tcW w:w="0" w:type="auto"/>
                  <w:gridSpan w:val="2"/>
                  <w:vMerge w:val="continue"/>
                  <w:vAlign w:val="center"/>
                </w:tcPr>
                <w:p w14:paraId="24CC4805">
                  <w:pPr>
                    <w:wordWrap w:val="0"/>
                    <w:jc w:val="center"/>
                  </w:pPr>
                </w:p>
              </w:tc>
              <w:tc>
                <w:tcPr>
                  <w:tcW w:w="0" w:type="auto"/>
                  <w:vAlign w:val="center"/>
                </w:tcPr>
                <w:p w14:paraId="43D7A898">
                  <w:pPr>
                    <w:wordWrap w:val="0"/>
                    <w:jc w:val="center"/>
                  </w:pPr>
                  <w:r>
                    <w:rPr>
                      <w:rFonts w:hint="eastAsia"/>
                    </w:rPr>
                    <w:t>11.44kg/a</w:t>
                  </w:r>
                </w:p>
              </w:tc>
              <w:tc>
                <w:tcPr>
                  <w:tcW w:w="0" w:type="auto"/>
                  <w:vMerge w:val="continue"/>
                  <w:vAlign w:val="center"/>
                </w:tcPr>
                <w:p w14:paraId="67FADF28">
                  <w:pPr>
                    <w:pStyle w:val="2"/>
                    <w:wordWrap w:val="0"/>
                    <w:spacing w:after="0"/>
                    <w:ind w:left="0" w:leftChars="0" w:firstLine="0" w:firstLineChars="0"/>
                    <w:jc w:val="center"/>
                  </w:pPr>
                </w:p>
              </w:tc>
              <w:tc>
                <w:tcPr>
                  <w:tcW w:w="0" w:type="auto"/>
                  <w:vAlign w:val="center"/>
                </w:tcPr>
                <w:p w14:paraId="6CEFC2BC">
                  <w:pPr>
                    <w:pStyle w:val="2"/>
                    <w:wordWrap w:val="0"/>
                    <w:spacing w:after="0"/>
                    <w:ind w:left="0" w:leftChars="0" w:firstLine="0" w:firstLineChars="0"/>
                    <w:jc w:val="center"/>
                  </w:pPr>
                  <w:r>
                    <w:rPr>
                      <w:rFonts w:hint="eastAsia"/>
                    </w:rPr>
                    <w:t>0.009</w:t>
                  </w:r>
                </w:p>
              </w:tc>
              <w:tc>
                <w:tcPr>
                  <w:tcW w:w="0" w:type="auto"/>
                  <w:vAlign w:val="center"/>
                </w:tcPr>
                <w:p w14:paraId="0997FF89">
                  <w:pPr>
                    <w:wordWrap w:val="0"/>
                    <w:jc w:val="center"/>
                  </w:pPr>
                  <w:r>
                    <w:rPr>
                      <w:rFonts w:hint="eastAsia"/>
                    </w:rPr>
                    <w:t>11.44kg/a</w:t>
                  </w:r>
                </w:p>
              </w:tc>
            </w:tr>
            <w:tr w14:paraId="5633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DDB11CD">
                  <w:pPr>
                    <w:wordWrap w:val="0"/>
                    <w:adjustRightInd w:val="0"/>
                    <w:snapToGrid w:val="0"/>
                    <w:jc w:val="center"/>
                    <w:rPr>
                      <w:szCs w:val="21"/>
                    </w:rPr>
                  </w:pPr>
                  <w:r>
                    <w:t>半自动箱式喷涂流水线</w:t>
                  </w:r>
                </w:p>
              </w:tc>
              <w:tc>
                <w:tcPr>
                  <w:tcW w:w="0" w:type="auto"/>
                  <w:vAlign w:val="center"/>
                </w:tcPr>
                <w:p w14:paraId="30169FCC">
                  <w:pPr>
                    <w:pStyle w:val="45"/>
                    <w:wordWrap w:val="0"/>
                    <w:spacing w:line="240" w:lineRule="auto"/>
                    <w:ind w:firstLine="0" w:firstLineChars="0"/>
                    <w:jc w:val="center"/>
                    <w:rPr>
                      <w:sz w:val="21"/>
                      <w:szCs w:val="21"/>
                    </w:rPr>
                  </w:pPr>
                  <w:r>
                    <w:rPr>
                      <w:rFonts w:hint="eastAsia"/>
                      <w:sz w:val="21"/>
                      <w:szCs w:val="21"/>
                    </w:rPr>
                    <w:t>喷粉房4</w:t>
                  </w:r>
                </w:p>
              </w:tc>
              <w:tc>
                <w:tcPr>
                  <w:tcW w:w="0" w:type="auto"/>
                  <w:vAlign w:val="center"/>
                </w:tcPr>
                <w:p w14:paraId="03FC16D3">
                  <w:pPr>
                    <w:wordWrap w:val="0"/>
                    <w:adjustRightInd w:val="0"/>
                    <w:snapToGrid w:val="0"/>
                    <w:jc w:val="center"/>
                    <w:rPr>
                      <w:szCs w:val="21"/>
                    </w:rPr>
                  </w:pPr>
                  <w:r>
                    <w:rPr>
                      <w:rFonts w:hint="eastAsia"/>
                      <w:szCs w:val="21"/>
                    </w:rPr>
                    <w:t>颗粒物</w:t>
                  </w:r>
                </w:p>
              </w:tc>
              <w:tc>
                <w:tcPr>
                  <w:tcW w:w="0" w:type="auto"/>
                  <w:vAlign w:val="center"/>
                </w:tcPr>
                <w:p w14:paraId="40EA239F">
                  <w:pPr>
                    <w:wordWrap w:val="0"/>
                    <w:jc w:val="center"/>
                  </w:pPr>
                  <w:r>
                    <w:rPr>
                      <w:rFonts w:hint="eastAsia"/>
                    </w:rPr>
                    <w:t>3t/a</w:t>
                  </w:r>
                </w:p>
              </w:tc>
              <w:tc>
                <w:tcPr>
                  <w:tcW w:w="0" w:type="auto"/>
                  <w:vAlign w:val="center"/>
                </w:tcPr>
                <w:p w14:paraId="451F2D3C">
                  <w:pPr>
                    <w:wordWrap w:val="0"/>
                    <w:adjustRightInd w:val="0"/>
                    <w:snapToGrid w:val="0"/>
                    <w:jc w:val="center"/>
                    <w:rPr>
                      <w:szCs w:val="21"/>
                    </w:rPr>
                  </w:pPr>
                  <w:r>
                    <w:rPr>
                      <w:rFonts w:hint="eastAsia"/>
                      <w:szCs w:val="21"/>
                    </w:rPr>
                    <w:t>集气罩收集后至滤筒除尘器+纳米覆膜滤筒除尘器</w:t>
                  </w:r>
                  <w:r>
                    <w:rPr>
                      <w:rFonts w:hint="eastAsia"/>
                    </w:rPr>
                    <w:t>处理后通过17m高排气筒DA003进行排放；</w:t>
                  </w:r>
                </w:p>
              </w:tc>
              <w:tc>
                <w:tcPr>
                  <w:tcW w:w="0" w:type="auto"/>
                  <w:vAlign w:val="center"/>
                </w:tcPr>
                <w:p w14:paraId="718BD331">
                  <w:pPr>
                    <w:wordWrap w:val="0"/>
                    <w:adjustRightInd w:val="0"/>
                    <w:snapToGrid w:val="0"/>
                    <w:jc w:val="center"/>
                    <w:rPr>
                      <w:szCs w:val="21"/>
                    </w:rPr>
                  </w:pPr>
                  <w:r>
                    <w:rPr>
                      <w:rFonts w:hint="eastAsia"/>
                      <w:szCs w:val="21"/>
                    </w:rPr>
                    <w:t>85%</w:t>
                  </w:r>
                </w:p>
              </w:tc>
              <w:tc>
                <w:tcPr>
                  <w:tcW w:w="0" w:type="auto"/>
                  <w:vAlign w:val="center"/>
                </w:tcPr>
                <w:p w14:paraId="230C0572">
                  <w:pPr>
                    <w:wordWrap w:val="0"/>
                    <w:adjustRightInd w:val="0"/>
                    <w:snapToGrid w:val="0"/>
                    <w:jc w:val="center"/>
                    <w:rPr>
                      <w:szCs w:val="21"/>
                    </w:rPr>
                  </w:pPr>
                  <w:r>
                    <w:rPr>
                      <w:rFonts w:hint="eastAsia"/>
                      <w:szCs w:val="21"/>
                    </w:rPr>
                    <w:t>95%</w:t>
                  </w:r>
                </w:p>
              </w:tc>
              <w:tc>
                <w:tcPr>
                  <w:tcW w:w="0" w:type="auto"/>
                  <w:vAlign w:val="center"/>
                </w:tcPr>
                <w:p w14:paraId="789359CC">
                  <w:pPr>
                    <w:wordWrap w:val="0"/>
                    <w:adjustRightInd w:val="0"/>
                    <w:snapToGrid w:val="0"/>
                    <w:jc w:val="center"/>
                    <w:rPr>
                      <w:szCs w:val="21"/>
                    </w:rPr>
                  </w:pPr>
                  <w:r>
                    <w:rPr>
                      <w:rFonts w:hint="eastAsia"/>
                      <w:szCs w:val="21"/>
                    </w:rPr>
                    <w:t>0.128</w:t>
                  </w:r>
                </w:p>
              </w:tc>
              <w:tc>
                <w:tcPr>
                  <w:tcW w:w="0" w:type="auto"/>
                  <w:vAlign w:val="center"/>
                </w:tcPr>
                <w:p w14:paraId="479C916D">
                  <w:pPr>
                    <w:wordWrap w:val="0"/>
                    <w:adjustRightInd w:val="0"/>
                    <w:snapToGrid w:val="0"/>
                    <w:jc w:val="center"/>
                    <w:rPr>
                      <w:szCs w:val="21"/>
                    </w:rPr>
                  </w:pPr>
                  <w:r>
                    <w:rPr>
                      <w:rFonts w:hint="eastAsia"/>
                      <w:szCs w:val="21"/>
                    </w:rPr>
                    <w:t>0.450</w:t>
                  </w:r>
                </w:p>
              </w:tc>
              <w:tc>
                <w:tcPr>
                  <w:tcW w:w="0" w:type="auto"/>
                  <w:vAlign w:val="center"/>
                </w:tcPr>
                <w:p w14:paraId="0DBF8B3E">
                  <w:pPr>
                    <w:wordWrap w:val="0"/>
                    <w:adjustRightInd w:val="0"/>
                    <w:snapToGrid w:val="0"/>
                    <w:jc w:val="center"/>
                    <w:rPr>
                      <w:szCs w:val="21"/>
                    </w:rPr>
                  </w:pPr>
                  <w:r>
                    <w:rPr>
                      <w:rFonts w:hint="eastAsia"/>
                      <w:szCs w:val="21"/>
                    </w:rPr>
                    <w:t>0.103</w:t>
                  </w:r>
                </w:p>
              </w:tc>
              <w:tc>
                <w:tcPr>
                  <w:tcW w:w="0" w:type="auto"/>
                  <w:vAlign w:val="center"/>
                </w:tcPr>
                <w:p w14:paraId="7941A6C6">
                  <w:pPr>
                    <w:wordWrap w:val="0"/>
                    <w:adjustRightInd w:val="0"/>
                    <w:snapToGrid w:val="0"/>
                    <w:jc w:val="center"/>
                    <w:rPr>
                      <w:szCs w:val="21"/>
                    </w:rPr>
                  </w:pPr>
                  <w:r>
                    <w:rPr>
                      <w:rFonts w:hint="eastAsia"/>
                      <w:szCs w:val="21"/>
                    </w:rPr>
                    <w:t>0.578</w:t>
                  </w:r>
                </w:p>
              </w:tc>
            </w:tr>
            <w:tr w14:paraId="6579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0AF0134">
                  <w:pPr>
                    <w:wordWrap w:val="0"/>
                    <w:adjustRightInd w:val="0"/>
                    <w:snapToGrid w:val="0"/>
                    <w:jc w:val="center"/>
                    <w:rPr>
                      <w:szCs w:val="21"/>
                    </w:rPr>
                  </w:pPr>
                </w:p>
              </w:tc>
              <w:tc>
                <w:tcPr>
                  <w:tcW w:w="0" w:type="auto"/>
                  <w:vMerge w:val="restart"/>
                  <w:vAlign w:val="center"/>
                </w:tcPr>
                <w:p w14:paraId="111154DA">
                  <w:pPr>
                    <w:pStyle w:val="45"/>
                    <w:wordWrap w:val="0"/>
                    <w:spacing w:line="240" w:lineRule="auto"/>
                    <w:ind w:firstLine="0" w:firstLineChars="0"/>
                    <w:jc w:val="center"/>
                    <w:rPr>
                      <w:sz w:val="21"/>
                      <w:szCs w:val="21"/>
                    </w:rPr>
                  </w:pPr>
                  <w:r>
                    <w:rPr>
                      <w:rFonts w:hint="eastAsia"/>
                      <w:sz w:val="21"/>
                      <w:szCs w:val="21"/>
                    </w:rPr>
                    <w:t>烘箱2</w:t>
                  </w:r>
                </w:p>
              </w:tc>
              <w:tc>
                <w:tcPr>
                  <w:tcW w:w="0" w:type="auto"/>
                  <w:vAlign w:val="center"/>
                </w:tcPr>
                <w:p w14:paraId="2A97E79E">
                  <w:pPr>
                    <w:wordWrap w:val="0"/>
                    <w:adjustRightInd w:val="0"/>
                    <w:snapToGrid w:val="0"/>
                    <w:jc w:val="center"/>
                    <w:rPr>
                      <w:szCs w:val="21"/>
                    </w:rPr>
                  </w:pPr>
                  <w:r>
                    <w:rPr>
                      <w:rFonts w:hint="eastAsia"/>
                      <w:szCs w:val="21"/>
                    </w:rPr>
                    <w:t>喷涂非甲烷总烃</w:t>
                  </w:r>
                </w:p>
              </w:tc>
              <w:tc>
                <w:tcPr>
                  <w:tcW w:w="0" w:type="auto"/>
                  <w:vAlign w:val="center"/>
                </w:tcPr>
                <w:p w14:paraId="539C68C2">
                  <w:pPr>
                    <w:wordWrap w:val="0"/>
                    <w:adjustRightInd w:val="0"/>
                    <w:snapToGrid w:val="0"/>
                    <w:jc w:val="center"/>
                    <w:rPr>
                      <w:szCs w:val="21"/>
                    </w:rPr>
                  </w:pPr>
                  <w:r>
                    <w:rPr>
                      <w:rFonts w:hint="eastAsia"/>
                    </w:rPr>
                    <w:t>0.024</w:t>
                  </w:r>
                  <w:r>
                    <w:t>t/a</w:t>
                  </w:r>
                </w:p>
              </w:tc>
              <w:tc>
                <w:tcPr>
                  <w:tcW w:w="0" w:type="auto"/>
                  <w:vMerge w:val="restart"/>
                  <w:vAlign w:val="center"/>
                </w:tcPr>
                <w:p w14:paraId="232308DA">
                  <w:pPr>
                    <w:wordWrap w:val="0"/>
                    <w:adjustRightInd w:val="0"/>
                    <w:snapToGrid w:val="0"/>
                    <w:jc w:val="center"/>
                    <w:rPr>
                      <w:szCs w:val="21"/>
                    </w:rPr>
                  </w:pPr>
                  <w:r>
                    <w:rPr>
                      <w:rFonts w:hint="eastAsia"/>
                      <w:szCs w:val="21"/>
                    </w:rPr>
                    <w:t>集气罩收集后至两级活性炭吸附装置处理后通过15m高排气筒DA004进行排放；</w:t>
                  </w:r>
                </w:p>
              </w:tc>
              <w:tc>
                <w:tcPr>
                  <w:tcW w:w="0" w:type="auto"/>
                  <w:vAlign w:val="center"/>
                </w:tcPr>
                <w:p w14:paraId="46B08D30">
                  <w:pPr>
                    <w:wordWrap w:val="0"/>
                    <w:adjustRightInd w:val="0"/>
                    <w:snapToGrid w:val="0"/>
                    <w:jc w:val="center"/>
                    <w:rPr>
                      <w:szCs w:val="21"/>
                    </w:rPr>
                  </w:pPr>
                  <w:r>
                    <w:rPr>
                      <w:rFonts w:hint="eastAsia"/>
                      <w:szCs w:val="21"/>
                    </w:rPr>
                    <w:t>85%</w:t>
                  </w:r>
                </w:p>
              </w:tc>
              <w:tc>
                <w:tcPr>
                  <w:tcW w:w="0" w:type="auto"/>
                  <w:vAlign w:val="center"/>
                </w:tcPr>
                <w:p w14:paraId="25C37862">
                  <w:pPr>
                    <w:wordWrap w:val="0"/>
                    <w:adjustRightInd w:val="0"/>
                    <w:snapToGrid w:val="0"/>
                    <w:jc w:val="center"/>
                    <w:rPr>
                      <w:szCs w:val="21"/>
                    </w:rPr>
                  </w:pPr>
                  <w:r>
                    <w:rPr>
                      <w:rFonts w:hint="eastAsia"/>
                      <w:szCs w:val="21"/>
                    </w:rPr>
                    <w:t>85%</w:t>
                  </w:r>
                </w:p>
              </w:tc>
              <w:tc>
                <w:tcPr>
                  <w:tcW w:w="0" w:type="auto"/>
                  <w:vAlign w:val="center"/>
                </w:tcPr>
                <w:p w14:paraId="356C1422">
                  <w:pPr>
                    <w:wordWrap w:val="0"/>
                    <w:adjustRightInd w:val="0"/>
                    <w:snapToGrid w:val="0"/>
                    <w:jc w:val="center"/>
                    <w:rPr>
                      <w:szCs w:val="21"/>
                    </w:rPr>
                  </w:pPr>
                  <w:r>
                    <w:rPr>
                      <w:rFonts w:hint="eastAsia"/>
                      <w:szCs w:val="21"/>
                    </w:rPr>
                    <w:t>0.003</w:t>
                  </w:r>
                </w:p>
              </w:tc>
              <w:tc>
                <w:tcPr>
                  <w:tcW w:w="0" w:type="auto"/>
                  <w:vAlign w:val="center"/>
                </w:tcPr>
                <w:p w14:paraId="4A5FBA9E">
                  <w:pPr>
                    <w:wordWrap w:val="0"/>
                    <w:adjustRightInd w:val="0"/>
                    <w:snapToGrid w:val="0"/>
                    <w:jc w:val="center"/>
                    <w:rPr>
                      <w:szCs w:val="21"/>
                    </w:rPr>
                  </w:pPr>
                  <w:r>
                    <w:rPr>
                      <w:rFonts w:hint="eastAsia"/>
                      <w:szCs w:val="21"/>
                    </w:rPr>
                    <w:t>0.004</w:t>
                  </w:r>
                </w:p>
              </w:tc>
              <w:tc>
                <w:tcPr>
                  <w:tcW w:w="0" w:type="auto"/>
                  <w:vAlign w:val="center"/>
                </w:tcPr>
                <w:p w14:paraId="21A9AC66">
                  <w:pPr>
                    <w:wordWrap w:val="0"/>
                    <w:adjustRightInd w:val="0"/>
                    <w:snapToGrid w:val="0"/>
                    <w:jc w:val="center"/>
                    <w:rPr>
                      <w:szCs w:val="21"/>
                    </w:rPr>
                  </w:pPr>
                  <w:r>
                    <w:rPr>
                      <w:rFonts w:hint="eastAsia"/>
                      <w:szCs w:val="21"/>
                    </w:rPr>
                    <w:t>0.002</w:t>
                  </w:r>
                </w:p>
              </w:tc>
              <w:tc>
                <w:tcPr>
                  <w:tcW w:w="0" w:type="auto"/>
                  <w:vAlign w:val="center"/>
                </w:tcPr>
                <w:p w14:paraId="5F869F44">
                  <w:pPr>
                    <w:wordWrap w:val="0"/>
                    <w:adjustRightInd w:val="0"/>
                    <w:snapToGrid w:val="0"/>
                    <w:jc w:val="center"/>
                    <w:rPr>
                      <w:szCs w:val="21"/>
                    </w:rPr>
                  </w:pPr>
                  <w:r>
                    <w:rPr>
                      <w:rFonts w:hint="eastAsia"/>
                      <w:szCs w:val="21"/>
                    </w:rPr>
                    <w:t>0.005</w:t>
                  </w:r>
                </w:p>
              </w:tc>
            </w:tr>
            <w:tr w14:paraId="73EA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30BED81">
                  <w:pPr>
                    <w:wordWrap w:val="0"/>
                    <w:adjustRightInd w:val="0"/>
                    <w:snapToGrid w:val="0"/>
                    <w:jc w:val="center"/>
                    <w:rPr>
                      <w:szCs w:val="21"/>
                    </w:rPr>
                  </w:pPr>
                </w:p>
              </w:tc>
              <w:tc>
                <w:tcPr>
                  <w:tcW w:w="0" w:type="auto"/>
                  <w:vMerge w:val="continue"/>
                  <w:vAlign w:val="center"/>
                </w:tcPr>
                <w:p w14:paraId="05CD1CE2">
                  <w:pPr>
                    <w:pStyle w:val="45"/>
                    <w:wordWrap w:val="0"/>
                    <w:spacing w:line="240" w:lineRule="auto"/>
                    <w:ind w:firstLine="0" w:firstLineChars="0"/>
                    <w:jc w:val="center"/>
                    <w:rPr>
                      <w:sz w:val="21"/>
                      <w:szCs w:val="21"/>
                    </w:rPr>
                  </w:pPr>
                </w:p>
              </w:tc>
              <w:tc>
                <w:tcPr>
                  <w:tcW w:w="0" w:type="auto"/>
                  <w:vAlign w:val="center"/>
                </w:tcPr>
                <w:p w14:paraId="095149B5">
                  <w:pPr>
                    <w:wordWrap w:val="0"/>
                    <w:adjustRightInd w:val="0"/>
                    <w:snapToGrid w:val="0"/>
                    <w:jc w:val="center"/>
                    <w:rPr>
                      <w:szCs w:val="21"/>
                    </w:rPr>
                  </w:pPr>
                  <w:r>
                    <w:rPr>
                      <w:rFonts w:hint="eastAsia"/>
                      <w:szCs w:val="21"/>
                    </w:rPr>
                    <w:t>喷漆非甲烷总烃</w:t>
                  </w:r>
                </w:p>
              </w:tc>
              <w:tc>
                <w:tcPr>
                  <w:tcW w:w="0" w:type="auto"/>
                  <w:vAlign w:val="center"/>
                </w:tcPr>
                <w:p w14:paraId="4084BCEB">
                  <w:pPr>
                    <w:wordWrap w:val="0"/>
                    <w:adjustRightInd w:val="0"/>
                    <w:snapToGrid w:val="0"/>
                    <w:jc w:val="center"/>
                    <w:rPr>
                      <w:szCs w:val="21"/>
                    </w:rPr>
                  </w:pPr>
                  <w:r>
                    <w:rPr>
                      <w:rFonts w:hint="eastAsia"/>
                    </w:rPr>
                    <w:t>0.011</w:t>
                  </w:r>
                  <w:r>
                    <w:t>t/a</w:t>
                  </w:r>
                </w:p>
              </w:tc>
              <w:tc>
                <w:tcPr>
                  <w:tcW w:w="0" w:type="auto"/>
                  <w:vMerge w:val="continue"/>
                  <w:vAlign w:val="center"/>
                </w:tcPr>
                <w:p w14:paraId="60E018E8">
                  <w:pPr>
                    <w:wordWrap w:val="0"/>
                    <w:adjustRightInd w:val="0"/>
                    <w:snapToGrid w:val="0"/>
                    <w:jc w:val="center"/>
                    <w:rPr>
                      <w:szCs w:val="21"/>
                    </w:rPr>
                  </w:pPr>
                </w:p>
              </w:tc>
              <w:tc>
                <w:tcPr>
                  <w:tcW w:w="0" w:type="auto"/>
                  <w:vAlign w:val="center"/>
                </w:tcPr>
                <w:p w14:paraId="6EB8BD05">
                  <w:pPr>
                    <w:wordWrap w:val="0"/>
                    <w:adjustRightInd w:val="0"/>
                    <w:snapToGrid w:val="0"/>
                    <w:jc w:val="center"/>
                    <w:rPr>
                      <w:szCs w:val="21"/>
                    </w:rPr>
                  </w:pPr>
                  <w:r>
                    <w:rPr>
                      <w:rFonts w:hint="eastAsia"/>
                      <w:szCs w:val="21"/>
                    </w:rPr>
                    <w:t>85%</w:t>
                  </w:r>
                </w:p>
              </w:tc>
              <w:tc>
                <w:tcPr>
                  <w:tcW w:w="0" w:type="auto"/>
                  <w:vAlign w:val="center"/>
                </w:tcPr>
                <w:p w14:paraId="62E42753">
                  <w:pPr>
                    <w:wordWrap w:val="0"/>
                    <w:adjustRightInd w:val="0"/>
                    <w:snapToGrid w:val="0"/>
                    <w:jc w:val="center"/>
                    <w:rPr>
                      <w:szCs w:val="21"/>
                    </w:rPr>
                  </w:pPr>
                  <w:r>
                    <w:rPr>
                      <w:rFonts w:hint="eastAsia"/>
                      <w:szCs w:val="21"/>
                    </w:rPr>
                    <w:t>85%</w:t>
                  </w:r>
                </w:p>
              </w:tc>
              <w:tc>
                <w:tcPr>
                  <w:tcW w:w="0" w:type="auto"/>
                  <w:vAlign w:val="center"/>
                </w:tcPr>
                <w:p w14:paraId="1C439DF5">
                  <w:pPr>
                    <w:wordWrap w:val="0"/>
                    <w:adjustRightInd w:val="0"/>
                    <w:snapToGrid w:val="0"/>
                    <w:jc w:val="center"/>
                    <w:rPr>
                      <w:szCs w:val="21"/>
                    </w:rPr>
                  </w:pPr>
                  <w:r>
                    <w:rPr>
                      <w:rFonts w:hint="eastAsia"/>
                      <w:szCs w:val="21"/>
                    </w:rPr>
                    <w:t>0.001</w:t>
                  </w:r>
                </w:p>
              </w:tc>
              <w:tc>
                <w:tcPr>
                  <w:tcW w:w="0" w:type="auto"/>
                  <w:vAlign w:val="center"/>
                </w:tcPr>
                <w:p w14:paraId="0B5C1221">
                  <w:pPr>
                    <w:wordWrap w:val="0"/>
                    <w:adjustRightInd w:val="0"/>
                    <w:snapToGrid w:val="0"/>
                    <w:jc w:val="center"/>
                    <w:rPr>
                      <w:szCs w:val="21"/>
                    </w:rPr>
                  </w:pPr>
                  <w:r>
                    <w:rPr>
                      <w:rFonts w:hint="eastAsia"/>
                      <w:szCs w:val="21"/>
                    </w:rPr>
                    <w:t>0.002</w:t>
                  </w:r>
                </w:p>
              </w:tc>
              <w:tc>
                <w:tcPr>
                  <w:tcW w:w="0" w:type="auto"/>
                  <w:vAlign w:val="center"/>
                </w:tcPr>
                <w:p w14:paraId="40C0EB4D">
                  <w:pPr>
                    <w:wordWrap w:val="0"/>
                    <w:adjustRightInd w:val="0"/>
                    <w:snapToGrid w:val="0"/>
                    <w:jc w:val="center"/>
                    <w:rPr>
                      <w:szCs w:val="21"/>
                    </w:rPr>
                  </w:pPr>
                  <w:r>
                    <w:rPr>
                      <w:rFonts w:hint="eastAsia"/>
                      <w:szCs w:val="21"/>
                    </w:rPr>
                    <w:t>0.001</w:t>
                  </w:r>
                </w:p>
              </w:tc>
              <w:tc>
                <w:tcPr>
                  <w:tcW w:w="0" w:type="auto"/>
                  <w:vAlign w:val="center"/>
                </w:tcPr>
                <w:p w14:paraId="0644D0CB">
                  <w:pPr>
                    <w:wordWrap w:val="0"/>
                    <w:adjustRightInd w:val="0"/>
                    <w:snapToGrid w:val="0"/>
                    <w:jc w:val="center"/>
                    <w:rPr>
                      <w:szCs w:val="21"/>
                    </w:rPr>
                  </w:pPr>
                  <w:r>
                    <w:rPr>
                      <w:rFonts w:hint="eastAsia"/>
                      <w:szCs w:val="21"/>
                    </w:rPr>
                    <w:t>0.002</w:t>
                  </w:r>
                </w:p>
              </w:tc>
            </w:tr>
            <w:tr w14:paraId="2A95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44556A7">
                  <w:pPr>
                    <w:wordWrap w:val="0"/>
                    <w:adjustRightInd w:val="0"/>
                    <w:snapToGrid w:val="0"/>
                    <w:jc w:val="center"/>
                    <w:rPr>
                      <w:szCs w:val="21"/>
                    </w:rPr>
                  </w:pPr>
                </w:p>
              </w:tc>
              <w:tc>
                <w:tcPr>
                  <w:tcW w:w="0" w:type="auto"/>
                  <w:vMerge w:val="continue"/>
                  <w:vAlign w:val="center"/>
                </w:tcPr>
                <w:p w14:paraId="19546F04">
                  <w:pPr>
                    <w:pStyle w:val="45"/>
                    <w:wordWrap w:val="0"/>
                    <w:spacing w:line="240" w:lineRule="auto"/>
                    <w:ind w:firstLine="0" w:firstLineChars="0"/>
                    <w:jc w:val="center"/>
                    <w:rPr>
                      <w:sz w:val="21"/>
                      <w:szCs w:val="21"/>
                    </w:rPr>
                  </w:pPr>
                </w:p>
              </w:tc>
              <w:tc>
                <w:tcPr>
                  <w:tcW w:w="0" w:type="auto"/>
                  <w:gridSpan w:val="9"/>
                </w:tcPr>
                <w:p w14:paraId="74DF7848">
                  <w:pPr>
                    <w:wordWrap w:val="0"/>
                    <w:jc w:val="center"/>
                  </w:pPr>
                  <w:r>
                    <w:rPr>
                      <w:rFonts w:hint="eastAsia"/>
                    </w:rPr>
                    <w:t>当燃料为液化石油气时</w:t>
                  </w:r>
                </w:p>
              </w:tc>
            </w:tr>
            <w:tr w14:paraId="54BA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FD471CC">
                  <w:pPr>
                    <w:wordWrap w:val="0"/>
                    <w:adjustRightInd w:val="0"/>
                    <w:snapToGrid w:val="0"/>
                    <w:jc w:val="center"/>
                    <w:rPr>
                      <w:szCs w:val="21"/>
                    </w:rPr>
                  </w:pPr>
                </w:p>
              </w:tc>
              <w:tc>
                <w:tcPr>
                  <w:tcW w:w="0" w:type="auto"/>
                  <w:vMerge w:val="continue"/>
                  <w:vAlign w:val="center"/>
                </w:tcPr>
                <w:p w14:paraId="1F85F861">
                  <w:pPr>
                    <w:pStyle w:val="45"/>
                    <w:wordWrap w:val="0"/>
                    <w:spacing w:line="240" w:lineRule="auto"/>
                    <w:ind w:firstLine="0" w:firstLineChars="0"/>
                    <w:jc w:val="center"/>
                    <w:rPr>
                      <w:sz w:val="21"/>
                      <w:szCs w:val="21"/>
                    </w:rPr>
                  </w:pPr>
                </w:p>
              </w:tc>
              <w:tc>
                <w:tcPr>
                  <w:tcW w:w="0" w:type="auto"/>
                  <w:vAlign w:val="center"/>
                </w:tcPr>
                <w:p w14:paraId="35B6018C">
                  <w:pPr>
                    <w:wordWrap w:val="0"/>
                    <w:adjustRightInd w:val="0"/>
                    <w:snapToGrid w:val="0"/>
                    <w:jc w:val="center"/>
                  </w:pPr>
                  <w:r>
                    <w:rPr>
                      <w:rFonts w:hint="eastAsia"/>
                    </w:rPr>
                    <w:t>二氧化硫</w:t>
                  </w:r>
                </w:p>
              </w:tc>
              <w:tc>
                <w:tcPr>
                  <w:tcW w:w="0" w:type="auto"/>
                  <w:vAlign w:val="center"/>
                </w:tcPr>
                <w:p w14:paraId="3C107A5E">
                  <w:pPr>
                    <w:wordWrap w:val="0"/>
                    <w:jc w:val="center"/>
                  </w:pPr>
                  <w:r>
                    <w:rPr>
                      <w:rFonts w:hint="eastAsia"/>
                    </w:rPr>
                    <w:t>12.8kg/a</w:t>
                  </w:r>
                </w:p>
              </w:tc>
              <w:tc>
                <w:tcPr>
                  <w:tcW w:w="0" w:type="auto"/>
                  <w:vMerge w:val="restart"/>
                  <w:vAlign w:val="center"/>
                </w:tcPr>
                <w:p w14:paraId="548A0EFB">
                  <w:pPr>
                    <w:wordWrap w:val="0"/>
                    <w:jc w:val="center"/>
                    <w:rPr>
                      <w:szCs w:val="21"/>
                    </w:rPr>
                  </w:pPr>
                  <w:r>
                    <w:rPr>
                      <w:rFonts w:hint="eastAsia"/>
                      <w:szCs w:val="21"/>
                    </w:rPr>
                    <w:t>通过15m高排气筒DA005进行排放；</w:t>
                  </w:r>
                </w:p>
              </w:tc>
              <w:tc>
                <w:tcPr>
                  <w:tcW w:w="0" w:type="auto"/>
                  <w:gridSpan w:val="2"/>
                  <w:vMerge w:val="restart"/>
                  <w:vAlign w:val="center"/>
                </w:tcPr>
                <w:p w14:paraId="7A82459E">
                  <w:pPr>
                    <w:wordWrap w:val="0"/>
                    <w:jc w:val="center"/>
                  </w:pPr>
                  <w:r>
                    <w:rPr>
                      <w:rFonts w:hint="eastAsia"/>
                      <w:szCs w:val="21"/>
                    </w:rPr>
                    <w:t>/</w:t>
                  </w:r>
                </w:p>
              </w:tc>
              <w:tc>
                <w:tcPr>
                  <w:tcW w:w="0" w:type="auto"/>
                  <w:vAlign w:val="center"/>
                </w:tcPr>
                <w:p w14:paraId="710CE780">
                  <w:pPr>
                    <w:wordWrap w:val="0"/>
                    <w:jc w:val="center"/>
                  </w:pPr>
                  <w:r>
                    <w:rPr>
                      <w:rFonts w:hint="eastAsia"/>
                    </w:rPr>
                    <w:t>12.8kg/a</w:t>
                  </w:r>
                </w:p>
              </w:tc>
              <w:tc>
                <w:tcPr>
                  <w:tcW w:w="0" w:type="auto"/>
                  <w:vMerge w:val="restart"/>
                  <w:vAlign w:val="center"/>
                </w:tcPr>
                <w:p w14:paraId="56DEB75B">
                  <w:pPr>
                    <w:pStyle w:val="2"/>
                    <w:wordWrap w:val="0"/>
                    <w:spacing w:after="0"/>
                    <w:ind w:left="0" w:leftChars="0" w:firstLine="0" w:firstLineChars="0"/>
                    <w:jc w:val="center"/>
                  </w:pPr>
                  <w:r>
                    <w:rPr>
                      <w:rFonts w:hint="eastAsia"/>
                      <w:szCs w:val="21"/>
                    </w:rPr>
                    <w:t>/</w:t>
                  </w:r>
                </w:p>
              </w:tc>
              <w:tc>
                <w:tcPr>
                  <w:tcW w:w="0" w:type="auto"/>
                  <w:vAlign w:val="center"/>
                </w:tcPr>
                <w:p w14:paraId="01216A2A">
                  <w:pPr>
                    <w:pStyle w:val="2"/>
                    <w:wordWrap w:val="0"/>
                    <w:spacing w:after="0"/>
                    <w:ind w:left="0" w:leftChars="0" w:firstLine="0" w:firstLineChars="0"/>
                    <w:jc w:val="center"/>
                  </w:pPr>
                  <w:r>
                    <w:rPr>
                      <w:rFonts w:hint="eastAsia"/>
                    </w:rPr>
                    <w:t>0.010</w:t>
                  </w:r>
                </w:p>
              </w:tc>
              <w:tc>
                <w:tcPr>
                  <w:tcW w:w="0" w:type="auto"/>
                  <w:vAlign w:val="center"/>
                </w:tcPr>
                <w:p w14:paraId="5A11CC98">
                  <w:pPr>
                    <w:wordWrap w:val="0"/>
                    <w:jc w:val="center"/>
                  </w:pPr>
                  <w:r>
                    <w:rPr>
                      <w:rFonts w:hint="eastAsia"/>
                    </w:rPr>
                    <w:t>12.8kg/a</w:t>
                  </w:r>
                </w:p>
              </w:tc>
            </w:tr>
            <w:tr w14:paraId="57D5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C66D7FC">
                  <w:pPr>
                    <w:wordWrap w:val="0"/>
                    <w:adjustRightInd w:val="0"/>
                    <w:snapToGrid w:val="0"/>
                    <w:jc w:val="center"/>
                    <w:rPr>
                      <w:szCs w:val="21"/>
                    </w:rPr>
                  </w:pPr>
                </w:p>
              </w:tc>
              <w:tc>
                <w:tcPr>
                  <w:tcW w:w="0" w:type="auto"/>
                  <w:vMerge w:val="continue"/>
                  <w:vAlign w:val="center"/>
                </w:tcPr>
                <w:p w14:paraId="2A431CCE">
                  <w:pPr>
                    <w:pStyle w:val="45"/>
                    <w:wordWrap w:val="0"/>
                    <w:spacing w:line="240" w:lineRule="auto"/>
                    <w:ind w:firstLine="0" w:firstLineChars="0"/>
                    <w:jc w:val="center"/>
                    <w:rPr>
                      <w:sz w:val="21"/>
                      <w:szCs w:val="21"/>
                    </w:rPr>
                  </w:pPr>
                </w:p>
              </w:tc>
              <w:tc>
                <w:tcPr>
                  <w:tcW w:w="0" w:type="auto"/>
                  <w:vAlign w:val="center"/>
                </w:tcPr>
                <w:p w14:paraId="1CC2C36C">
                  <w:pPr>
                    <w:wordWrap w:val="0"/>
                    <w:adjustRightInd w:val="0"/>
                    <w:snapToGrid w:val="0"/>
                    <w:jc w:val="center"/>
                  </w:pPr>
                  <w:r>
                    <w:rPr>
                      <w:rFonts w:hint="eastAsia"/>
                    </w:rPr>
                    <w:t>氮氧化物</w:t>
                  </w:r>
                </w:p>
              </w:tc>
              <w:tc>
                <w:tcPr>
                  <w:tcW w:w="0" w:type="auto"/>
                  <w:vAlign w:val="center"/>
                </w:tcPr>
                <w:p w14:paraId="1C5DC7D7">
                  <w:pPr>
                    <w:wordWrap w:val="0"/>
                    <w:jc w:val="center"/>
                  </w:pPr>
                  <w:r>
                    <w:rPr>
                      <w:rFonts w:hint="eastAsia"/>
                    </w:rPr>
                    <w:t>190.752kg/a</w:t>
                  </w:r>
                </w:p>
              </w:tc>
              <w:tc>
                <w:tcPr>
                  <w:tcW w:w="0" w:type="auto"/>
                  <w:vMerge w:val="continue"/>
                  <w:vAlign w:val="center"/>
                </w:tcPr>
                <w:p w14:paraId="7DC38571">
                  <w:pPr>
                    <w:wordWrap w:val="0"/>
                    <w:jc w:val="center"/>
                  </w:pPr>
                </w:p>
              </w:tc>
              <w:tc>
                <w:tcPr>
                  <w:tcW w:w="0" w:type="auto"/>
                  <w:gridSpan w:val="2"/>
                  <w:vMerge w:val="continue"/>
                  <w:vAlign w:val="center"/>
                </w:tcPr>
                <w:p w14:paraId="21FF258B">
                  <w:pPr>
                    <w:wordWrap w:val="0"/>
                    <w:jc w:val="center"/>
                  </w:pPr>
                </w:p>
              </w:tc>
              <w:tc>
                <w:tcPr>
                  <w:tcW w:w="0" w:type="auto"/>
                  <w:vAlign w:val="center"/>
                </w:tcPr>
                <w:p w14:paraId="2093A953">
                  <w:pPr>
                    <w:wordWrap w:val="0"/>
                    <w:jc w:val="center"/>
                  </w:pPr>
                  <w:r>
                    <w:rPr>
                      <w:rFonts w:hint="eastAsia"/>
                    </w:rPr>
                    <w:t>190.752kg/a</w:t>
                  </w:r>
                </w:p>
              </w:tc>
              <w:tc>
                <w:tcPr>
                  <w:tcW w:w="0" w:type="auto"/>
                  <w:vMerge w:val="continue"/>
                  <w:vAlign w:val="center"/>
                </w:tcPr>
                <w:p w14:paraId="3F78E04B">
                  <w:pPr>
                    <w:pStyle w:val="2"/>
                    <w:wordWrap w:val="0"/>
                    <w:spacing w:after="0"/>
                    <w:ind w:left="0" w:leftChars="0" w:firstLine="0" w:firstLineChars="0"/>
                    <w:jc w:val="center"/>
                  </w:pPr>
                </w:p>
              </w:tc>
              <w:tc>
                <w:tcPr>
                  <w:tcW w:w="0" w:type="auto"/>
                  <w:vAlign w:val="center"/>
                </w:tcPr>
                <w:p w14:paraId="5EC7F914">
                  <w:pPr>
                    <w:pStyle w:val="2"/>
                    <w:wordWrap w:val="0"/>
                    <w:spacing w:after="0"/>
                    <w:ind w:left="0" w:leftChars="0" w:firstLine="0" w:firstLineChars="0"/>
                    <w:jc w:val="center"/>
                  </w:pPr>
                  <w:r>
                    <w:rPr>
                      <w:rFonts w:hint="eastAsia"/>
                    </w:rPr>
                    <w:t>0.154</w:t>
                  </w:r>
                </w:p>
              </w:tc>
              <w:tc>
                <w:tcPr>
                  <w:tcW w:w="0" w:type="auto"/>
                  <w:vAlign w:val="center"/>
                </w:tcPr>
                <w:p w14:paraId="16759BE1">
                  <w:pPr>
                    <w:wordWrap w:val="0"/>
                    <w:jc w:val="center"/>
                  </w:pPr>
                  <w:r>
                    <w:rPr>
                      <w:rFonts w:hint="eastAsia"/>
                    </w:rPr>
                    <w:t>190.752kg/a</w:t>
                  </w:r>
                </w:p>
              </w:tc>
            </w:tr>
            <w:tr w14:paraId="32A8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1AE736F">
                  <w:pPr>
                    <w:wordWrap w:val="0"/>
                    <w:adjustRightInd w:val="0"/>
                    <w:snapToGrid w:val="0"/>
                    <w:jc w:val="center"/>
                    <w:rPr>
                      <w:szCs w:val="21"/>
                    </w:rPr>
                  </w:pPr>
                </w:p>
              </w:tc>
              <w:tc>
                <w:tcPr>
                  <w:tcW w:w="0" w:type="auto"/>
                  <w:vMerge w:val="continue"/>
                  <w:vAlign w:val="center"/>
                </w:tcPr>
                <w:p w14:paraId="4549FD14">
                  <w:pPr>
                    <w:pStyle w:val="45"/>
                    <w:wordWrap w:val="0"/>
                    <w:spacing w:line="240" w:lineRule="auto"/>
                    <w:ind w:firstLine="0" w:firstLineChars="0"/>
                    <w:jc w:val="center"/>
                    <w:rPr>
                      <w:sz w:val="21"/>
                      <w:szCs w:val="21"/>
                    </w:rPr>
                  </w:pPr>
                </w:p>
              </w:tc>
              <w:tc>
                <w:tcPr>
                  <w:tcW w:w="0" w:type="auto"/>
                  <w:vAlign w:val="center"/>
                </w:tcPr>
                <w:p w14:paraId="2BD539AE">
                  <w:pPr>
                    <w:wordWrap w:val="0"/>
                    <w:adjustRightInd w:val="0"/>
                    <w:snapToGrid w:val="0"/>
                    <w:jc w:val="center"/>
                    <w:rPr>
                      <w:szCs w:val="21"/>
                    </w:rPr>
                  </w:pPr>
                  <w:r>
                    <w:rPr>
                      <w:rFonts w:hint="eastAsia"/>
                    </w:rPr>
                    <w:t>颗粒物</w:t>
                  </w:r>
                </w:p>
              </w:tc>
              <w:tc>
                <w:tcPr>
                  <w:tcW w:w="0" w:type="auto"/>
                  <w:vAlign w:val="center"/>
                </w:tcPr>
                <w:p w14:paraId="4C4F5DBB">
                  <w:pPr>
                    <w:wordWrap w:val="0"/>
                    <w:jc w:val="center"/>
                  </w:pPr>
                  <w:r>
                    <w:rPr>
                      <w:rFonts w:hint="eastAsia"/>
                    </w:rPr>
                    <w:t>9.152kg/a</w:t>
                  </w:r>
                </w:p>
              </w:tc>
              <w:tc>
                <w:tcPr>
                  <w:tcW w:w="0" w:type="auto"/>
                  <w:vMerge w:val="continue"/>
                  <w:vAlign w:val="center"/>
                </w:tcPr>
                <w:p w14:paraId="36B5C70C">
                  <w:pPr>
                    <w:wordWrap w:val="0"/>
                    <w:jc w:val="center"/>
                  </w:pPr>
                </w:p>
              </w:tc>
              <w:tc>
                <w:tcPr>
                  <w:tcW w:w="0" w:type="auto"/>
                  <w:gridSpan w:val="2"/>
                  <w:vMerge w:val="continue"/>
                  <w:vAlign w:val="center"/>
                </w:tcPr>
                <w:p w14:paraId="24BF023E">
                  <w:pPr>
                    <w:wordWrap w:val="0"/>
                    <w:jc w:val="center"/>
                  </w:pPr>
                </w:p>
              </w:tc>
              <w:tc>
                <w:tcPr>
                  <w:tcW w:w="0" w:type="auto"/>
                  <w:vAlign w:val="center"/>
                </w:tcPr>
                <w:p w14:paraId="03BE691D">
                  <w:pPr>
                    <w:wordWrap w:val="0"/>
                    <w:jc w:val="center"/>
                  </w:pPr>
                  <w:r>
                    <w:rPr>
                      <w:rFonts w:hint="eastAsia"/>
                    </w:rPr>
                    <w:t>9.152kg/a</w:t>
                  </w:r>
                </w:p>
              </w:tc>
              <w:tc>
                <w:tcPr>
                  <w:tcW w:w="0" w:type="auto"/>
                  <w:vMerge w:val="continue"/>
                  <w:vAlign w:val="center"/>
                </w:tcPr>
                <w:p w14:paraId="3471A480">
                  <w:pPr>
                    <w:pStyle w:val="2"/>
                    <w:wordWrap w:val="0"/>
                    <w:spacing w:after="0"/>
                    <w:ind w:left="0" w:leftChars="0" w:firstLine="0" w:firstLineChars="0"/>
                    <w:jc w:val="center"/>
                  </w:pPr>
                </w:p>
              </w:tc>
              <w:tc>
                <w:tcPr>
                  <w:tcW w:w="0" w:type="auto"/>
                  <w:vAlign w:val="center"/>
                </w:tcPr>
                <w:p w14:paraId="217BEE21">
                  <w:pPr>
                    <w:pStyle w:val="2"/>
                    <w:wordWrap w:val="0"/>
                    <w:spacing w:after="0"/>
                    <w:ind w:left="0" w:leftChars="0" w:firstLine="0" w:firstLineChars="0"/>
                    <w:jc w:val="center"/>
                  </w:pPr>
                  <w:r>
                    <w:rPr>
                      <w:rFonts w:hint="eastAsia"/>
                    </w:rPr>
                    <w:t>0.007</w:t>
                  </w:r>
                </w:p>
              </w:tc>
              <w:tc>
                <w:tcPr>
                  <w:tcW w:w="0" w:type="auto"/>
                  <w:vAlign w:val="center"/>
                </w:tcPr>
                <w:p w14:paraId="17636BCA">
                  <w:pPr>
                    <w:wordWrap w:val="0"/>
                    <w:jc w:val="center"/>
                  </w:pPr>
                  <w:r>
                    <w:rPr>
                      <w:rFonts w:hint="eastAsia"/>
                    </w:rPr>
                    <w:t>9.152kg/a</w:t>
                  </w:r>
                </w:p>
              </w:tc>
            </w:tr>
            <w:tr w14:paraId="3E1F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6EC18B2">
                  <w:pPr>
                    <w:wordWrap w:val="0"/>
                    <w:adjustRightInd w:val="0"/>
                    <w:snapToGrid w:val="0"/>
                    <w:jc w:val="center"/>
                    <w:rPr>
                      <w:szCs w:val="21"/>
                    </w:rPr>
                  </w:pPr>
                </w:p>
              </w:tc>
              <w:tc>
                <w:tcPr>
                  <w:tcW w:w="0" w:type="auto"/>
                  <w:vMerge w:val="continue"/>
                  <w:vAlign w:val="center"/>
                </w:tcPr>
                <w:p w14:paraId="7E933C82">
                  <w:pPr>
                    <w:pStyle w:val="45"/>
                    <w:wordWrap w:val="0"/>
                    <w:spacing w:line="240" w:lineRule="auto"/>
                    <w:ind w:firstLine="0" w:firstLineChars="0"/>
                    <w:jc w:val="center"/>
                    <w:rPr>
                      <w:sz w:val="21"/>
                      <w:szCs w:val="21"/>
                    </w:rPr>
                  </w:pPr>
                </w:p>
              </w:tc>
              <w:tc>
                <w:tcPr>
                  <w:tcW w:w="0" w:type="auto"/>
                  <w:gridSpan w:val="9"/>
                  <w:vAlign w:val="center"/>
                </w:tcPr>
                <w:p w14:paraId="379A1E1C">
                  <w:pPr>
                    <w:wordWrap w:val="0"/>
                    <w:jc w:val="center"/>
                  </w:pPr>
                  <w:r>
                    <w:rPr>
                      <w:rFonts w:hint="eastAsia"/>
                    </w:rPr>
                    <w:t>当燃料为天然气时</w:t>
                  </w:r>
                </w:p>
              </w:tc>
            </w:tr>
            <w:tr w14:paraId="5C15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F032C00">
                  <w:pPr>
                    <w:wordWrap w:val="0"/>
                    <w:adjustRightInd w:val="0"/>
                    <w:snapToGrid w:val="0"/>
                    <w:jc w:val="center"/>
                    <w:rPr>
                      <w:szCs w:val="21"/>
                    </w:rPr>
                  </w:pPr>
                </w:p>
              </w:tc>
              <w:tc>
                <w:tcPr>
                  <w:tcW w:w="0" w:type="auto"/>
                  <w:vMerge w:val="continue"/>
                  <w:vAlign w:val="center"/>
                </w:tcPr>
                <w:p w14:paraId="287406AA">
                  <w:pPr>
                    <w:pStyle w:val="45"/>
                    <w:wordWrap w:val="0"/>
                    <w:spacing w:line="240" w:lineRule="auto"/>
                    <w:ind w:firstLine="0" w:firstLineChars="0"/>
                    <w:jc w:val="center"/>
                    <w:rPr>
                      <w:sz w:val="21"/>
                      <w:szCs w:val="21"/>
                    </w:rPr>
                  </w:pPr>
                </w:p>
              </w:tc>
              <w:tc>
                <w:tcPr>
                  <w:tcW w:w="0" w:type="auto"/>
                  <w:vAlign w:val="center"/>
                </w:tcPr>
                <w:p w14:paraId="6DDBFFDA">
                  <w:pPr>
                    <w:wordWrap w:val="0"/>
                    <w:adjustRightInd w:val="0"/>
                    <w:snapToGrid w:val="0"/>
                    <w:jc w:val="center"/>
                  </w:pPr>
                  <w:r>
                    <w:rPr>
                      <w:rFonts w:hint="eastAsia"/>
                    </w:rPr>
                    <w:t>二氧化硫</w:t>
                  </w:r>
                </w:p>
              </w:tc>
              <w:tc>
                <w:tcPr>
                  <w:tcW w:w="0" w:type="auto"/>
                  <w:vAlign w:val="center"/>
                </w:tcPr>
                <w:p w14:paraId="1876DFED">
                  <w:pPr>
                    <w:wordWrap w:val="0"/>
                    <w:jc w:val="center"/>
                  </w:pPr>
                  <w:r>
                    <w:rPr>
                      <w:rFonts w:hint="eastAsia"/>
                    </w:rPr>
                    <w:t>16kg/a</w:t>
                  </w:r>
                </w:p>
              </w:tc>
              <w:tc>
                <w:tcPr>
                  <w:tcW w:w="0" w:type="auto"/>
                  <w:vMerge w:val="restart"/>
                  <w:vAlign w:val="center"/>
                </w:tcPr>
                <w:p w14:paraId="42F0FD26">
                  <w:pPr>
                    <w:wordWrap w:val="0"/>
                    <w:jc w:val="center"/>
                    <w:rPr>
                      <w:szCs w:val="21"/>
                    </w:rPr>
                  </w:pPr>
                  <w:r>
                    <w:rPr>
                      <w:rFonts w:hint="eastAsia"/>
                      <w:szCs w:val="21"/>
                    </w:rPr>
                    <w:t>直接通过15m高排气筒DA005进行排放；</w:t>
                  </w:r>
                </w:p>
              </w:tc>
              <w:tc>
                <w:tcPr>
                  <w:tcW w:w="0" w:type="auto"/>
                  <w:gridSpan w:val="2"/>
                  <w:vMerge w:val="restart"/>
                  <w:vAlign w:val="center"/>
                </w:tcPr>
                <w:p w14:paraId="710D545B">
                  <w:pPr>
                    <w:wordWrap w:val="0"/>
                    <w:jc w:val="center"/>
                  </w:pPr>
                  <w:r>
                    <w:rPr>
                      <w:rFonts w:hint="eastAsia"/>
                      <w:szCs w:val="21"/>
                    </w:rPr>
                    <w:t>/</w:t>
                  </w:r>
                </w:p>
              </w:tc>
              <w:tc>
                <w:tcPr>
                  <w:tcW w:w="0" w:type="auto"/>
                  <w:vAlign w:val="center"/>
                </w:tcPr>
                <w:p w14:paraId="43F28766">
                  <w:pPr>
                    <w:wordWrap w:val="0"/>
                    <w:jc w:val="center"/>
                  </w:pPr>
                  <w:r>
                    <w:rPr>
                      <w:rFonts w:hint="eastAsia"/>
                    </w:rPr>
                    <w:t>16kg/a</w:t>
                  </w:r>
                </w:p>
              </w:tc>
              <w:tc>
                <w:tcPr>
                  <w:tcW w:w="0" w:type="auto"/>
                  <w:vMerge w:val="restart"/>
                  <w:vAlign w:val="center"/>
                </w:tcPr>
                <w:p w14:paraId="62D8E566">
                  <w:pPr>
                    <w:pStyle w:val="2"/>
                    <w:wordWrap w:val="0"/>
                    <w:spacing w:after="0"/>
                    <w:ind w:left="0" w:leftChars="0" w:firstLine="0" w:firstLineChars="0"/>
                    <w:jc w:val="center"/>
                  </w:pPr>
                  <w:r>
                    <w:rPr>
                      <w:rFonts w:hint="eastAsia"/>
                      <w:szCs w:val="21"/>
                    </w:rPr>
                    <w:t>/</w:t>
                  </w:r>
                </w:p>
              </w:tc>
              <w:tc>
                <w:tcPr>
                  <w:tcW w:w="0" w:type="auto"/>
                  <w:vAlign w:val="center"/>
                </w:tcPr>
                <w:p w14:paraId="22C9E39D">
                  <w:pPr>
                    <w:pStyle w:val="2"/>
                    <w:wordWrap w:val="0"/>
                    <w:spacing w:after="0"/>
                    <w:ind w:left="0" w:leftChars="0" w:firstLine="0" w:firstLineChars="0"/>
                    <w:jc w:val="center"/>
                  </w:pPr>
                  <w:r>
                    <w:rPr>
                      <w:rFonts w:hint="eastAsia"/>
                    </w:rPr>
                    <w:t>0.013</w:t>
                  </w:r>
                </w:p>
              </w:tc>
              <w:tc>
                <w:tcPr>
                  <w:tcW w:w="0" w:type="auto"/>
                  <w:vAlign w:val="center"/>
                </w:tcPr>
                <w:p w14:paraId="7D10157B">
                  <w:pPr>
                    <w:wordWrap w:val="0"/>
                    <w:jc w:val="center"/>
                  </w:pPr>
                  <w:r>
                    <w:rPr>
                      <w:rFonts w:hint="eastAsia"/>
                    </w:rPr>
                    <w:t>16kg/a</w:t>
                  </w:r>
                </w:p>
              </w:tc>
            </w:tr>
            <w:tr w14:paraId="10D7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68BC7BE">
                  <w:pPr>
                    <w:wordWrap w:val="0"/>
                    <w:adjustRightInd w:val="0"/>
                    <w:snapToGrid w:val="0"/>
                    <w:jc w:val="center"/>
                    <w:rPr>
                      <w:szCs w:val="21"/>
                    </w:rPr>
                  </w:pPr>
                </w:p>
              </w:tc>
              <w:tc>
                <w:tcPr>
                  <w:tcW w:w="0" w:type="auto"/>
                  <w:vMerge w:val="continue"/>
                  <w:vAlign w:val="center"/>
                </w:tcPr>
                <w:p w14:paraId="2E69E867">
                  <w:pPr>
                    <w:pStyle w:val="45"/>
                    <w:wordWrap w:val="0"/>
                    <w:spacing w:line="240" w:lineRule="auto"/>
                    <w:ind w:firstLine="0" w:firstLineChars="0"/>
                    <w:jc w:val="center"/>
                    <w:rPr>
                      <w:sz w:val="21"/>
                      <w:szCs w:val="21"/>
                    </w:rPr>
                  </w:pPr>
                </w:p>
              </w:tc>
              <w:tc>
                <w:tcPr>
                  <w:tcW w:w="0" w:type="auto"/>
                  <w:vAlign w:val="center"/>
                </w:tcPr>
                <w:p w14:paraId="076EBDDB">
                  <w:pPr>
                    <w:wordWrap w:val="0"/>
                    <w:adjustRightInd w:val="0"/>
                    <w:snapToGrid w:val="0"/>
                    <w:jc w:val="center"/>
                  </w:pPr>
                  <w:r>
                    <w:rPr>
                      <w:rFonts w:hint="eastAsia"/>
                    </w:rPr>
                    <w:t>氮氧化物</w:t>
                  </w:r>
                </w:p>
              </w:tc>
              <w:tc>
                <w:tcPr>
                  <w:tcW w:w="0" w:type="auto"/>
                  <w:vAlign w:val="center"/>
                </w:tcPr>
                <w:p w14:paraId="7FDB36D4">
                  <w:pPr>
                    <w:wordWrap w:val="0"/>
                    <w:jc w:val="center"/>
                  </w:pPr>
                  <w:r>
                    <w:rPr>
                      <w:rFonts w:hint="eastAsia"/>
                    </w:rPr>
                    <w:t>37.44kg/a</w:t>
                  </w:r>
                </w:p>
              </w:tc>
              <w:tc>
                <w:tcPr>
                  <w:tcW w:w="0" w:type="auto"/>
                  <w:vMerge w:val="continue"/>
                  <w:vAlign w:val="center"/>
                </w:tcPr>
                <w:p w14:paraId="53B1E450">
                  <w:pPr>
                    <w:wordWrap w:val="0"/>
                    <w:jc w:val="center"/>
                  </w:pPr>
                </w:p>
              </w:tc>
              <w:tc>
                <w:tcPr>
                  <w:tcW w:w="0" w:type="auto"/>
                  <w:gridSpan w:val="2"/>
                  <w:vMerge w:val="continue"/>
                  <w:vAlign w:val="center"/>
                </w:tcPr>
                <w:p w14:paraId="5E45C345">
                  <w:pPr>
                    <w:wordWrap w:val="0"/>
                    <w:jc w:val="center"/>
                  </w:pPr>
                </w:p>
              </w:tc>
              <w:tc>
                <w:tcPr>
                  <w:tcW w:w="0" w:type="auto"/>
                  <w:vAlign w:val="center"/>
                </w:tcPr>
                <w:p w14:paraId="5876F451">
                  <w:pPr>
                    <w:wordWrap w:val="0"/>
                    <w:jc w:val="center"/>
                  </w:pPr>
                  <w:r>
                    <w:rPr>
                      <w:rFonts w:hint="eastAsia"/>
                    </w:rPr>
                    <w:t>37.44kg/a</w:t>
                  </w:r>
                </w:p>
              </w:tc>
              <w:tc>
                <w:tcPr>
                  <w:tcW w:w="0" w:type="auto"/>
                  <w:vMerge w:val="continue"/>
                  <w:vAlign w:val="center"/>
                </w:tcPr>
                <w:p w14:paraId="7A46997A">
                  <w:pPr>
                    <w:pStyle w:val="2"/>
                    <w:wordWrap w:val="0"/>
                    <w:spacing w:after="0"/>
                    <w:ind w:left="0" w:leftChars="0" w:firstLine="0" w:firstLineChars="0"/>
                    <w:jc w:val="center"/>
                  </w:pPr>
                </w:p>
              </w:tc>
              <w:tc>
                <w:tcPr>
                  <w:tcW w:w="0" w:type="auto"/>
                  <w:vAlign w:val="center"/>
                </w:tcPr>
                <w:p w14:paraId="2687855E">
                  <w:pPr>
                    <w:pStyle w:val="2"/>
                    <w:wordWrap w:val="0"/>
                    <w:spacing w:after="0"/>
                    <w:ind w:left="0" w:leftChars="0" w:firstLine="0" w:firstLineChars="0"/>
                    <w:jc w:val="center"/>
                  </w:pPr>
                  <w:r>
                    <w:rPr>
                      <w:rFonts w:hint="eastAsia"/>
                    </w:rPr>
                    <w:t>0.030</w:t>
                  </w:r>
                </w:p>
              </w:tc>
              <w:tc>
                <w:tcPr>
                  <w:tcW w:w="0" w:type="auto"/>
                  <w:vAlign w:val="center"/>
                </w:tcPr>
                <w:p w14:paraId="418AF84D">
                  <w:pPr>
                    <w:wordWrap w:val="0"/>
                    <w:jc w:val="center"/>
                  </w:pPr>
                  <w:r>
                    <w:rPr>
                      <w:rFonts w:hint="eastAsia"/>
                    </w:rPr>
                    <w:t>37.44kg/a</w:t>
                  </w:r>
                </w:p>
              </w:tc>
            </w:tr>
            <w:tr w14:paraId="7C77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F2E5205">
                  <w:pPr>
                    <w:wordWrap w:val="0"/>
                    <w:adjustRightInd w:val="0"/>
                    <w:snapToGrid w:val="0"/>
                    <w:jc w:val="center"/>
                    <w:rPr>
                      <w:szCs w:val="21"/>
                    </w:rPr>
                  </w:pPr>
                </w:p>
              </w:tc>
              <w:tc>
                <w:tcPr>
                  <w:tcW w:w="0" w:type="auto"/>
                  <w:vMerge w:val="continue"/>
                  <w:vAlign w:val="center"/>
                </w:tcPr>
                <w:p w14:paraId="17D3F418">
                  <w:pPr>
                    <w:pStyle w:val="45"/>
                    <w:wordWrap w:val="0"/>
                    <w:spacing w:line="240" w:lineRule="auto"/>
                    <w:ind w:firstLine="0" w:firstLineChars="0"/>
                    <w:jc w:val="center"/>
                    <w:rPr>
                      <w:sz w:val="21"/>
                      <w:szCs w:val="21"/>
                    </w:rPr>
                  </w:pPr>
                </w:p>
              </w:tc>
              <w:tc>
                <w:tcPr>
                  <w:tcW w:w="0" w:type="auto"/>
                  <w:vAlign w:val="center"/>
                </w:tcPr>
                <w:p w14:paraId="6FCC019A">
                  <w:pPr>
                    <w:wordWrap w:val="0"/>
                    <w:adjustRightInd w:val="0"/>
                    <w:snapToGrid w:val="0"/>
                    <w:jc w:val="center"/>
                    <w:rPr>
                      <w:szCs w:val="21"/>
                    </w:rPr>
                  </w:pPr>
                  <w:r>
                    <w:rPr>
                      <w:rFonts w:hint="eastAsia"/>
                    </w:rPr>
                    <w:t>颗粒物</w:t>
                  </w:r>
                </w:p>
              </w:tc>
              <w:tc>
                <w:tcPr>
                  <w:tcW w:w="0" w:type="auto"/>
                  <w:vAlign w:val="center"/>
                </w:tcPr>
                <w:p w14:paraId="189ECB72">
                  <w:pPr>
                    <w:wordWrap w:val="0"/>
                    <w:jc w:val="center"/>
                  </w:pPr>
                  <w:r>
                    <w:rPr>
                      <w:rFonts w:hint="eastAsia"/>
                    </w:rPr>
                    <w:t>11.44kg/a</w:t>
                  </w:r>
                </w:p>
              </w:tc>
              <w:tc>
                <w:tcPr>
                  <w:tcW w:w="0" w:type="auto"/>
                  <w:vMerge w:val="continue"/>
                  <w:vAlign w:val="center"/>
                </w:tcPr>
                <w:p w14:paraId="0F1C3AF8">
                  <w:pPr>
                    <w:wordWrap w:val="0"/>
                    <w:jc w:val="center"/>
                  </w:pPr>
                </w:p>
              </w:tc>
              <w:tc>
                <w:tcPr>
                  <w:tcW w:w="0" w:type="auto"/>
                  <w:gridSpan w:val="2"/>
                  <w:vMerge w:val="continue"/>
                  <w:vAlign w:val="center"/>
                </w:tcPr>
                <w:p w14:paraId="4D461116">
                  <w:pPr>
                    <w:wordWrap w:val="0"/>
                    <w:jc w:val="center"/>
                  </w:pPr>
                </w:p>
              </w:tc>
              <w:tc>
                <w:tcPr>
                  <w:tcW w:w="0" w:type="auto"/>
                  <w:vAlign w:val="center"/>
                </w:tcPr>
                <w:p w14:paraId="6B95F0EE">
                  <w:pPr>
                    <w:wordWrap w:val="0"/>
                    <w:jc w:val="center"/>
                  </w:pPr>
                  <w:r>
                    <w:rPr>
                      <w:rFonts w:hint="eastAsia"/>
                    </w:rPr>
                    <w:t>11.44kg/a</w:t>
                  </w:r>
                </w:p>
              </w:tc>
              <w:tc>
                <w:tcPr>
                  <w:tcW w:w="0" w:type="auto"/>
                  <w:vMerge w:val="continue"/>
                  <w:vAlign w:val="center"/>
                </w:tcPr>
                <w:p w14:paraId="4957B31E">
                  <w:pPr>
                    <w:pStyle w:val="2"/>
                    <w:wordWrap w:val="0"/>
                    <w:spacing w:after="0"/>
                    <w:ind w:left="0" w:leftChars="0" w:firstLine="0" w:firstLineChars="0"/>
                    <w:jc w:val="center"/>
                  </w:pPr>
                </w:p>
              </w:tc>
              <w:tc>
                <w:tcPr>
                  <w:tcW w:w="0" w:type="auto"/>
                  <w:vAlign w:val="center"/>
                </w:tcPr>
                <w:p w14:paraId="5E096AC2">
                  <w:pPr>
                    <w:pStyle w:val="2"/>
                    <w:wordWrap w:val="0"/>
                    <w:spacing w:after="0"/>
                    <w:ind w:left="0" w:leftChars="0" w:firstLine="0" w:firstLineChars="0"/>
                    <w:jc w:val="center"/>
                  </w:pPr>
                  <w:r>
                    <w:rPr>
                      <w:rFonts w:hint="eastAsia"/>
                    </w:rPr>
                    <w:t>0.009</w:t>
                  </w:r>
                </w:p>
              </w:tc>
              <w:tc>
                <w:tcPr>
                  <w:tcW w:w="0" w:type="auto"/>
                  <w:vAlign w:val="center"/>
                </w:tcPr>
                <w:p w14:paraId="0A4829CB">
                  <w:pPr>
                    <w:wordWrap w:val="0"/>
                    <w:jc w:val="center"/>
                  </w:pPr>
                  <w:r>
                    <w:rPr>
                      <w:rFonts w:hint="eastAsia"/>
                    </w:rPr>
                    <w:t>11.44kg/a</w:t>
                  </w:r>
                </w:p>
              </w:tc>
            </w:tr>
            <w:tr w14:paraId="75B2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ED7E66E">
                  <w:pPr>
                    <w:wordWrap w:val="0"/>
                    <w:adjustRightInd w:val="0"/>
                    <w:snapToGrid w:val="0"/>
                    <w:jc w:val="center"/>
                    <w:rPr>
                      <w:szCs w:val="21"/>
                    </w:rPr>
                  </w:pPr>
                </w:p>
              </w:tc>
              <w:tc>
                <w:tcPr>
                  <w:tcW w:w="0" w:type="auto"/>
                  <w:vAlign w:val="center"/>
                </w:tcPr>
                <w:p w14:paraId="547CA461">
                  <w:pPr>
                    <w:pStyle w:val="45"/>
                    <w:wordWrap w:val="0"/>
                    <w:spacing w:line="240" w:lineRule="auto"/>
                    <w:ind w:firstLine="0" w:firstLineChars="0"/>
                    <w:jc w:val="center"/>
                    <w:rPr>
                      <w:sz w:val="21"/>
                      <w:szCs w:val="21"/>
                    </w:rPr>
                  </w:pPr>
                  <w:r>
                    <w:rPr>
                      <w:rFonts w:hint="eastAsia"/>
                      <w:sz w:val="21"/>
                      <w:szCs w:val="21"/>
                    </w:rPr>
                    <w:t>喷粉房5</w:t>
                  </w:r>
                </w:p>
              </w:tc>
              <w:tc>
                <w:tcPr>
                  <w:tcW w:w="0" w:type="auto"/>
                  <w:vAlign w:val="center"/>
                </w:tcPr>
                <w:p w14:paraId="2225E2E8">
                  <w:pPr>
                    <w:wordWrap w:val="0"/>
                    <w:adjustRightInd w:val="0"/>
                    <w:snapToGrid w:val="0"/>
                    <w:jc w:val="center"/>
                    <w:rPr>
                      <w:szCs w:val="21"/>
                    </w:rPr>
                  </w:pPr>
                  <w:r>
                    <w:rPr>
                      <w:rFonts w:hint="eastAsia"/>
                      <w:szCs w:val="21"/>
                    </w:rPr>
                    <w:t>颗粒物</w:t>
                  </w:r>
                </w:p>
              </w:tc>
              <w:tc>
                <w:tcPr>
                  <w:tcW w:w="0" w:type="auto"/>
                  <w:vAlign w:val="center"/>
                </w:tcPr>
                <w:p w14:paraId="56F65197">
                  <w:pPr>
                    <w:wordWrap w:val="0"/>
                    <w:jc w:val="center"/>
                  </w:pPr>
                  <w:r>
                    <w:rPr>
                      <w:rFonts w:hint="eastAsia"/>
                    </w:rPr>
                    <w:t>3t/a</w:t>
                  </w:r>
                </w:p>
              </w:tc>
              <w:tc>
                <w:tcPr>
                  <w:tcW w:w="0" w:type="auto"/>
                  <w:vAlign w:val="center"/>
                </w:tcPr>
                <w:p w14:paraId="4C244C15">
                  <w:pPr>
                    <w:wordWrap w:val="0"/>
                    <w:adjustRightInd w:val="0"/>
                    <w:snapToGrid w:val="0"/>
                    <w:jc w:val="center"/>
                    <w:rPr>
                      <w:szCs w:val="21"/>
                    </w:rPr>
                  </w:pPr>
                  <w:r>
                    <w:rPr>
                      <w:rFonts w:hint="eastAsia"/>
                      <w:szCs w:val="21"/>
                    </w:rPr>
                    <w:t>集气罩收集后至滤筒除尘器+纳米覆膜滤筒除尘器</w:t>
                  </w:r>
                  <w:r>
                    <w:rPr>
                      <w:rFonts w:hint="eastAsia"/>
                    </w:rPr>
                    <w:t>处理后17m高排气筒DA006进行排放；</w:t>
                  </w:r>
                </w:p>
              </w:tc>
              <w:tc>
                <w:tcPr>
                  <w:tcW w:w="0" w:type="auto"/>
                  <w:vAlign w:val="center"/>
                </w:tcPr>
                <w:p w14:paraId="32682CC4">
                  <w:pPr>
                    <w:wordWrap w:val="0"/>
                    <w:adjustRightInd w:val="0"/>
                    <w:snapToGrid w:val="0"/>
                    <w:jc w:val="center"/>
                    <w:rPr>
                      <w:szCs w:val="21"/>
                    </w:rPr>
                  </w:pPr>
                  <w:r>
                    <w:rPr>
                      <w:rFonts w:hint="eastAsia"/>
                      <w:szCs w:val="21"/>
                    </w:rPr>
                    <w:t>85%</w:t>
                  </w:r>
                </w:p>
              </w:tc>
              <w:tc>
                <w:tcPr>
                  <w:tcW w:w="0" w:type="auto"/>
                  <w:vAlign w:val="center"/>
                </w:tcPr>
                <w:p w14:paraId="29A1EBE6">
                  <w:pPr>
                    <w:wordWrap w:val="0"/>
                    <w:adjustRightInd w:val="0"/>
                    <w:snapToGrid w:val="0"/>
                    <w:jc w:val="center"/>
                    <w:rPr>
                      <w:szCs w:val="21"/>
                    </w:rPr>
                  </w:pPr>
                  <w:r>
                    <w:rPr>
                      <w:rFonts w:hint="eastAsia"/>
                      <w:szCs w:val="21"/>
                    </w:rPr>
                    <w:t>95%</w:t>
                  </w:r>
                </w:p>
              </w:tc>
              <w:tc>
                <w:tcPr>
                  <w:tcW w:w="0" w:type="auto"/>
                  <w:vAlign w:val="center"/>
                </w:tcPr>
                <w:p w14:paraId="3063982C">
                  <w:pPr>
                    <w:wordWrap w:val="0"/>
                    <w:adjustRightInd w:val="0"/>
                    <w:snapToGrid w:val="0"/>
                    <w:jc w:val="center"/>
                    <w:rPr>
                      <w:szCs w:val="21"/>
                    </w:rPr>
                  </w:pPr>
                  <w:r>
                    <w:rPr>
                      <w:rFonts w:hint="eastAsia"/>
                      <w:szCs w:val="21"/>
                    </w:rPr>
                    <w:t>0.128</w:t>
                  </w:r>
                </w:p>
              </w:tc>
              <w:tc>
                <w:tcPr>
                  <w:tcW w:w="0" w:type="auto"/>
                  <w:vAlign w:val="center"/>
                </w:tcPr>
                <w:p w14:paraId="49366DB4">
                  <w:pPr>
                    <w:wordWrap w:val="0"/>
                    <w:adjustRightInd w:val="0"/>
                    <w:snapToGrid w:val="0"/>
                    <w:jc w:val="center"/>
                    <w:rPr>
                      <w:szCs w:val="21"/>
                    </w:rPr>
                  </w:pPr>
                  <w:r>
                    <w:rPr>
                      <w:rFonts w:hint="eastAsia"/>
                      <w:szCs w:val="21"/>
                    </w:rPr>
                    <w:t>0.103</w:t>
                  </w:r>
                </w:p>
              </w:tc>
              <w:tc>
                <w:tcPr>
                  <w:tcW w:w="0" w:type="auto"/>
                  <w:vAlign w:val="center"/>
                </w:tcPr>
                <w:p w14:paraId="0D72812A">
                  <w:pPr>
                    <w:wordWrap w:val="0"/>
                    <w:adjustRightInd w:val="0"/>
                    <w:snapToGrid w:val="0"/>
                    <w:jc w:val="center"/>
                    <w:rPr>
                      <w:szCs w:val="21"/>
                    </w:rPr>
                  </w:pPr>
                  <w:r>
                    <w:rPr>
                      <w:rFonts w:hint="eastAsia"/>
                      <w:szCs w:val="21"/>
                    </w:rPr>
                    <w:t>0.450</w:t>
                  </w:r>
                </w:p>
              </w:tc>
              <w:tc>
                <w:tcPr>
                  <w:tcW w:w="0" w:type="auto"/>
                  <w:vAlign w:val="center"/>
                </w:tcPr>
                <w:p w14:paraId="346430C9">
                  <w:pPr>
                    <w:wordWrap w:val="0"/>
                    <w:adjustRightInd w:val="0"/>
                    <w:snapToGrid w:val="0"/>
                    <w:jc w:val="center"/>
                    <w:rPr>
                      <w:szCs w:val="21"/>
                    </w:rPr>
                  </w:pPr>
                  <w:r>
                    <w:rPr>
                      <w:rFonts w:hint="eastAsia"/>
                      <w:szCs w:val="21"/>
                    </w:rPr>
                    <w:t>0.578</w:t>
                  </w:r>
                </w:p>
              </w:tc>
            </w:tr>
            <w:tr w14:paraId="1492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FA48415">
                  <w:pPr>
                    <w:wordWrap w:val="0"/>
                    <w:adjustRightInd w:val="0"/>
                    <w:snapToGrid w:val="0"/>
                    <w:jc w:val="center"/>
                    <w:rPr>
                      <w:szCs w:val="21"/>
                    </w:rPr>
                  </w:pPr>
                </w:p>
              </w:tc>
              <w:tc>
                <w:tcPr>
                  <w:tcW w:w="0" w:type="auto"/>
                  <w:vMerge w:val="restart"/>
                  <w:vAlign w:val="center"/>
                </w:tcPr>
                <w:p w14:paraId="1EFAB697">
                  <w:pPr>
                    <w:pStyle w:val="45"/>
                    <w:wordWrap w:val="0"/>
                    <w:spacing w:line="240" w:lineRule="auto"/>
                    <w:ind w:firstLine="0" w:firstLineChars="0"/>
                    <w:jc w:val="center"/>
                    <w:rPr>
                      <w:sz w:val="21"/>
                      <w:szCs w:val="21"/>
                    </w:rPr>
                  </w:pPr>
                  <w:r>
                    <w:rPr>
                      <w:rFonts w:hint="eastAsia"/>
                      <w:sz w:val="21"/>
                      <w:szCs w:val="21"/>
                    </w:rPr>
                    <w:t>喷漆房2</w:t>
                  </w:r>
                </w:p>
              </w:tc>
              <w:tc>
                <w:tcPr>
                  <w:tcW w:w="0" w:type="auto"/>
                  <w:vAlign w:val="center"/>
                </w:tcPr>
                <w:p w14:paraId="11B02DB2">
                  <w:pPr>
                    <w:wordWrap w:val="0"/>
                    <w:adjustRightInd w:val="0"/>
                    <w:snapToGrid w:val="0"/>
                    <w:jc w:val="center"/>
                    <w:rPr>
                      <w:szCs w:val="21"/>
                    </w:rPr>
                  </w:pPr>
                  <w:r>
                    <w:rPr>
                      <w:rFonts w:hint="eastAsia"/>
                      <w:szCs w:val="21"/>
                    </w:rPr>
                    <w:t>颗粒物</w:t>
                  </w:r>
                </w:p>
              </w:tc>
              <w:tc>
                <w:tcPr>
                  <w:tcW w:w="0" w:type="auto"/>
                  <w:vAlign w:val="center"/>
                </w:tcPr>
                <w:p w14:paraId="5907B240">
                  <w:pPr>
                    <w:pStyle w:val="2"/>
                    <w:wordWrap w:val="0"/>
                    <w:spacing w:after="0"/>
                    <w:ind w:left="0" w:leftChars="0" w:firstLine="0" w:firstLineChars="0"/>
                    <w:jc w:val="center"/>
                  </w:pPr>
                  <w:r>
                    <w:rPr>
                      <w:rFonts w:hint="eastAsia"/>
                    </w:rPr>
                    <w:t>0.156t/a</w:t>
                  </w:r>
                </w:p>
              </w:tc>
              <w:tc>
                <w:tcPr>
                  <w:tcW w:w="0" w:type="auto"/>
                  <w:vMerge w:val="restart"/>
                  <w:vAlign w:val="center"/>
                </w:tcPr>
                <w:p w14:paraId="467975DE">
                  <w:pPr>
                    <w:wordWrap w:val="0"/>
                    <w:adjustRightInd w:val="0"/>
                    <w:snapToGrid w:val="0"/>
                    <w:jc w:val="center"/>
                    <w:rPr>
                      <w:szCs w:val="21"/>
                    </w:rPr>
                  </w:pPr>
                  <w:r>
                    <w:rPr>
                      <w:rFonts w:hint="eastAsia"/>
                      <w:szCs w:val="21"/>
                    </w:rPr>
                    <w:t>集气罩收集后至玻璃纤维过滤棉+活性炭吸附装置处理后通过17m高排气筒DA007进行排放；</w:t>
                  </w:r>
                </w:p>
              </w:tc>
              <w:tc>
                <w:tcPr>
                  <w:tcW w:w="0" w:type="auto"/>
                  <w:vAlign w:val="center"/>
                </w:tcPr>
                <w:p w14:paraId="3E810238">
                  <w:pPr>
                    <w:wordWrap w:val="0"/>
                    <w:adjustRightInd w:val="0"/>
                    <w:snapToGrid w:val="0"/>
                    <w:jc w:val="center"/>
                    <w:rPr>
                      <w:szCs w:val="21"/>
                    </w:rPr>
                  </w:pPr>
                  <w:r>
                    <w:rPr>
                      <w:rFonts w:hint="eastAsia"/>
                      <w:szCs w:val="21"/>
                    </w:rPr>
                    <w:t>85%</w:t>
                  </w:r>
                </w:p>
              </w:tc>
              <w:tc>
                <w:tcPr>
                  <w:tcW w:w="0" w:type="auto"/>
                  <w:vAlign w:val="center"/>
                </w:tcPr>
                <w:p w14:paraId="5FE3CB5A">
                  <w:pPr>
                    <w:wordWrap w:val="0"/>
                    <w:adjustRightInd w:val="0"/>
                    <w:snapToGrid w:val="0"/>
                    <w:jc w:val="center"/>
                    <w:rPr>
                      <w:szCs w:val="21"/>
                    </w:rPr>
                  </w:pPr>
                  <w:r>
                    <w:rPr>
                      <w:rFonts w:hint="eastAsia"/>
                      <w:szCs w:val="21"/>
                    </w:rPr>
                    <w:t>95%</w:t>
                  </w:r>
                </w:p>
              </w:tc>
              <w:tc>
                <w:tcPr>
                  <w:tcW w:w="0" w:type="auto"/>
                  <w:vAlign w:val="center"/>
                </w:tcPr>
                <w:p w14:paraId="398BC565">
                  <w:pPr>
                    <w:wordWrap w:val="0"/>
                    <w:adjustRightInd w:val="0"/>
                    <w:snapToGrid w:val="0"/>
                    <w:jc w:val="center"/>
                    <w:rPr>
                      <w:szCs w:val="21"/>
                    </w:rPr>
                  </w:pPr>
                  <w:r>
                    <w:rPr>
                      <w:rFonts w:hint="eastAsia"/>
                      <w:szCs w:val="21"/>
                    </w:rPr>
                    <w:t>0.001</w:t>
                  </w:r>
                </w:p>
              </w:tc>
              <w:tc>
                <w:tcPr>
                  <w:tcW w:w="0" w:type="auto"/>
                  <w:vAlign w:val="center"/>
                </w:tcPr>
                <w:p w14:paraId="6EE82015">
                  <w:pPr>
                    <w:wordWrap w:val="0"/>
                    <w:adjustRightInd w:val="0"/>
                    <w:snapToGrid w:val="0"/>
                    <w:jc w:val="center"/>
                    <w:rPr>
                      <w:szCs w:val="21"/>
                    </w:rPr>
                  </w:pPr>
                  <w:r>
                    <w:rPr>
                      <w:rFonts w:hint="eastAsia"/>
                      <w:szCs w:val="21"/>
                    </w:rPr>
                    <w:t>0.002</w:t>
                  </w:r>
                </w:p>
              </w:tc>
              <w:tc>
                <w:tcPr>
                  <w:tcW w:w="0" w:type="auto"/>
                  <w:vAlign w:val="center"/>
                </w:tcPr>
                <w:p w14:paraId="73D7CD3C">
                  <w:pPr>
                    <w:wordWrap w:val="0"/>
                    <w:adjustRightInd w:val="0"/>
                    <w:snapToGrid w:val="0"/>
                    <w:jc w:val="center"/>
                    <w:rPr>
                      <w:szCs w:val="21"/>
                    </w:rPr>
                  </w:pPr>
                  <w:r>
                    <w:rPr>
                      <w:rFonts w:hint="eastAsia"/>
                      <w:szCs w:val="21"/>
                    </w:rPr>
                    <w:t>0.001</w:t>
                  </w:r>
                </w:p>
              </w:tc>
              <w:tc>
                <w:tcPr>
                  <w:tcW w:w="0" w:type="auto"/>
                  <w:vAlign w:val="center"/>
                </w:tcPr>
                <w:p w14:paraId="71889106">
                  <w:pPr>
                    <w:wordWrap w:val="0"/>
                    <w:adjustRightInd w:val="0"/>
                    <w:snapToGrid w:val="0"/>
                    <w:jc w:val="center"/>
                    <w:rPr>
                      <w:szCs w:val="21"/>
                    </w:rPr>
                  </w:pPr>
                  <w:r>
                    <w:rPr>
                      <w:rFonts w:hint="eastAsia"/>
                      <w:szCs w:val="21"/>
                    </w:rPr>
                    <w:t>0.003</w:t>
                  </w:r>
                </w:p>
              </w:tc>
            </w:tr>
            <w:tr w14:paraId="08C6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9EF8E89">
                  <w:pPr>
                    <w:wordWrap w:val="0"/>
                    <w:adjustRightInd w:val="0"/>
                    <w:snapToGrid w:val="0"/>
                    <w:jc w:val="center"/>
                    <w:rPr>
                      <w:szCs w:val="21"/>
                    </w:rPr>
                  </w:pPr>
                </w:p>
              </w:tc>
              <w:tc>
                <w:tcPr>
                  <w:tcW w:w="0" w:type="auto"/>
                  <w:vMerge w:val="continue"/>
                  <w:vAlign w:val="center"/>
                </w:tcPr>
                <w:p w14:paraId="25C7A4B1">
                  <w:pPr>
                    <w:pStyle w:val="45"/>
                    <w:wordWrap w:val="0"/>
                    <w:spacing w:line="240" w:lineRule="auto"/>
                    <w:ind w:firstLine="0" w:firstLineChars="0"/>
                    <w:jc w:val="center"/>
                    <w:rPr>
                      <w:sz w:val="21"/>
                      <w:szCs w:val="21"/>
                    </w:rPr>
                  </w:pPr>
                </w:p>
              </w:tc>
              <w:tc>
                <w:tcPr>
                  <w:tcW w:w="0" w:type="auto"/>
                  <w:vAlign w:val="center"/>
                </w:tcPr>
                <w:p w14:paraId="3860AE23">
                  <w:pPr>
                    <w:wordWrap w:val="0"/>
                    <w:adjustRightInd w:val="0"/>
                    <w:snapToGrid w:val="0"/>
                    <w:jc w:val="center"/>
                    <w:rPr>
                      <w:szCs w:val="21"/>
                    </w:rPr>
                  </w:pPr>
                  <w:r>
                    <w:rPr>
                      <w:rFonts w:hint="eastAsia"/>
                      <w:szCs w:val="21"/>
                    </w:rPr>
                    <w:t>非甲烷总烃</w:t>
                  </w:r>
                </w:p>
              </w:tc>
              <w:tc>
                <w:tcPr>
                  <w:tcW w:w="0" w:type="auto"/>
                  <w:vAlign w:val="center"/>
                </w:tcPr>
                <w:p w14:paraId="4CB10FF5">
                  <w:pPr>
                    <w:pStyle w:val="2"/>
                    <w:wordWrap w:val="0"/>
                    <w:spacing w:after="0"/>
                    <w:ind w:left="0" w:leftChars="0" w:firstLine="0" w:firstLineChars="0"/>
                    <w:jc w:val="center"/>
                  </w:pPr>
                  <w:r>
                    <w:rPr>
                      <w:rFonts w:hint="eastAsia"/>
                    </w:rPr>
                    <w:t>0.008</w:t>
                  </w:r>
                  <w:r>
                    <w:t>t/a</w:t>
                  </w:r>
                </w:p>
              </w:tc>
              <w:tc>
                <w:tcPr>
                  <w:tcW w:w="0" w:type="auto"/>
                  <w:vMerge w:val="continue"/>
                  <w:vAlign w:val="center"/>
                </w:tcPr>
                <w:p w14:paraId="392E8479">
                  <w:pPr>
                    <w:wordWrap w:val="0"/>
                    <w:adjustRightInd w:val="0"/>
                    <w:snapToGrid w:val="0"/>
                    <w:jc w:val="center"/>
                    <w:rPr>
                      <w:szCs w:val="21"/>
                    </w:rPr>
                  </w:pPr>
                </w:p>
              </w:tc>
              <w:tc>
                <w:tcPr>
                  <w:tcW w:w="0" w:type="auto"/>
                  <w:vAlign w:val="center"/>
                </w:tcPr>
                <w:p w14:paraId="235435DF">
                  <w:pPr>
                    <w:wordWrap w:val="0"/>
                    <w:adjustRightInd w:val="0"/>
                    <w:snapToGrid w:val="0"/>
                    <w:jc w:val="center"/>
                    <w:rPr>
                      <w:szCs w:val="21"/>
                    </w:rPr>
                  </w:pPr>
                  <w:r>
                    <w:rPr>
                      <w:rFonts w:hint="eastAsia"/>
                      <w:szCs w:val="21"/>
                    </w:rPr>
                    <w:t>85%</w:t>
                  </w:r>
                </w:p>
              </w:tc>
              <w:tc>
                <w:tcPr>
                  <w:tcW w:w="0" w:type="auto"/>
                  <w:vAlign w:val="center"/>
                </w:tcPr>
                <w:p w14:paraId="5C6976EB">
                  <w:pPr>
                    <w:wordWrap w:val="0"/>
                    <w:adjustRightInd w:val="0"/>
                    <w:snapToGrid w:val="0"/>
                    <w:jc w:val="center"/>
                    <w:rPr>
                      <w:szCs w:val="21"/>
                    </w:rPr>
                  </w:pPr>
                  <w:r>
                    <w:rPr>
                      <w:rFonts w:hint="eastAsia"/>
                      <w:szCs w:val="21"/>
                    </w:rPr>
                    <w:t>85%</w:t>
                  </w:r>
                </w:p>
              </w:tc>
              <w:tc>
                <w:tcPr>
                  <w:tcW w:w="0" w:type="auto"/>
                  <w:vAlign w:val="center"/>
                </w:tcPr>
                <w:p w14:paraId="24B08E13">
                  <w:pPr>
                    <w:wordWrap w:val="0"/>
                    <w:adjustRightInd w:val="0"/>
                    <w:snapToGrid w:val="0"/>
                    <w:jc w:val="center"/>
                    <w:rPr>
                      <w:szCs w:val="21"/>
                    </w:rPr>
                  </w:pPr>
                  <w:r>
                    <w:rPr>
                      <w:rFonts w:hint="eastAsia"/>
                      <w:szCs w:val="21"/>
                    </w:rPr>
                    <w:t>0.001</w:t>
                  </w:r>
                </w:p>
              </w:tc>
              <w:tc>
                <w:tcPr>
                  <w:tcW w:w="0" w:type="auto"/>
                  <w:vAlign w:val="center"/>
                </w:tcPr>
                <w:p w14:paraId="6E1F92D1">
                  <w:pPr>
                    <w:wordWrap w:val="0"/>
                    <w:adjustRightInd w:val="0"/>
                    <w:snapToGrid w:val="0"/>
                    <w:jc w:val="center"/>
                    <w:rPr>
                      <w:szCs w:val="21"/>
                    </w:rPr>
                  </w:pPr>
                  <w:r>
                    <w:rPr>
                      <w:rFonts w:hint="eastAsia"/>
                      <w:szCs w:val="21"/>
                    </w:rPr>
                    <w:t>0.001</w:t>
                  </w:r>
                </w:p>
              </w:tc>
              <w:tc>
                <w:tcPr>
                  <w:tcW w:w="0" w:type="auto"/>
                  <w:vAlign w:val="center"/>
                </w:tcPr>
                <w:p w14:paraId="7EFC4C03">
                  <w:pPr>
                    <w:wordWrap w:val="0"/>
                    <w:adjustRightInd w:val="0"/>
                    <w:snapToGrid w:val="0"/>
                    <w:jc w:val="center"/>
                    <w:rPr>
                      <w:szCs w:val="21"/>
                    </w:rPr>
                  </w:pPr>
                  <w:r>
                    <w:rPr>
                      <w:rFonts w:hint="eastAsia"/>
                      <w:szCs w:val="21"/>
                    </w:rPr>
                    <w:t>0.002</w:t>
                  </w:r>
                </w:p>
              </w:tc>
              <w:tc>
                <w:tcPr>
                  <w:tcW w:w="0" w:type="auto"/>
                  <w:vAlign w:val="center"/>
                </w:tcPr>
                <w:p w14:paraId="7AEAE2DA">
                  <w:pPr>
                    <w:wordWrap w:val="0"/>
                    <w:adjustRightInd w:val="0"/>
                    <w:snapToGrid w:val="0"/>
                    <w:jc w:val="center"/>
                    <w:rPr>
                      <w:szCs w:val="21"/>
                    </w:rPr>
                  </w:pPr>
                  <w:r>
                    <w:rPr>
                      <w:rFonts w:hint="eastAsia"/>
                      <w:szCs w:val="21"/>
                    </w:rPr>
                    <w:t>0.002</w:t>
                  </w:r>
                </w:p>
              </w:tc>
            </w:tr>
          </w:tbl>
          <w:p w14:paraId="281B3957">
            <w:pPr>
              <w:wordWrap w:val="0"/>
              <w:adjustRightInd w:val="0"/>
              <w:snapToGrid w:val="0"/>
              <w:jc w:val="left"/>
              <w:rPr>
                <w:sz w:val="24"/>
              </w:rPr>
            </w:pPr>
            <w:r>
              <w:rPr>
                <w:rFonts w:hint="eastAsia"/>
                <w:sz w:val="24"/>
              </w:rPr>
              <w:t>项目排气筒排放污染物</w:t>
            </w:r>
            <w:r>
              <w:rPr>
                <w:sz w:val="24"/>
              </w:rPr>
              <w:t>情况如下：</w:t>
            </w:r>
          </w:p>
          <w:p w14:paraId="0D73B9CC">
            <w:pPr>
              <w:pStyle w:val="52"/>
              <w:numPr>
                <w:ilvl w:val="0"/>
                <w:numId w:val="1"/>
              </w:numPr>
              <w:wordWrap w:val="0"/>
              <w:ind w:left="0" w:firstLine="0"/>
              <w:rPr>
                <w:color w:val="auto"/>
              </w:rPr>
            </w:pPr>
            <w:r>
              <w:rPr>
                <w:rFonts w:hint="eastAsia"/>
                <w:color w:val="auto"/>
              </w:rPr>
              <w:t xml:space="preserve">    </w:t>
            </w:r>
            <w:r>
              <w:rPr>
                <w:color w:val="auto"/>
              </w:rPr>
              <w:t>本项目</w:t>
            </w:r>
            <w:r>
              <w:rPr>
                <w:rFonts w:hint="eastAsia"/>
                <w:color w:val="auto"/>
              </w:rPr>
              <w:t>排气筒排放污染物</w:t>
            </w:r>
            <w:r>
              <w:rPr>
                <w:color w:val="auto"/>
              </w:rPr>
              <w:t>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668"/>
              <w:gridCol w:w="859"/>
              <w:gridCol w:w="1009"/>
              <w:gridCol w:w="1034"/>
              <w:gridCol w:w="1294"/>
              <w:gridCol w:w="947"/>
              <w:gridCol w:w="708"/>
              <w:gridCol w:w="901"/>
            </w:tblGrid>
            <w:tr w14:paraId="172B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Align w:val="center"/>
                </w:tcPr>
                <w:p w14:paraId="0E8AEFD9">
                  <w:pPr>
                    <w:wordWrap w:val="0"/>
                    <w:adjustRightInd w:val="0"/>
                    <w:snapToGrid w:val="0"/>
                    <w:jc w:val="center"/>
                    <w:rPr>
                      <w:szCs w:val="21"/>
                    </w:rPr>
                  </w:pPr>
                  <w:r>
                    <w:rPr>
                      <w:rFonts w:hint="eastAsia"/>
                      <w:szCs w:val="21"/>
                    </w:rPr>
                    <w:t>排气筒</w:t>
                  </w:r>
                </w:p>
              </w:tc>
              <w:tc>
                <w:tcPr>
                  <w:tcW w:w="406" w:type="pct"/>
                  <w:vAlign w:val="center"/>
                </w:tcPr>
                <w:p w14:paraId="6B70ADAC">
                  <w:pPr>
                    <w:wordWrap w:val="0"/>
                    <w:adjustRightInd w:val="0"/>
                    <w:snapToGrid w:val="0"/>
                    <w:jc w:val="center"/>
                    <w:rPr>
                      <w:szCs w:val="21"/>
                    </w:rPr>
                  </w:pPr>
                  <w:r>
                    <w:rPr>
                      <w:rFonts w:hint="eastAsia"/>
                      <w:szCs w:val="21"/>
                    </w:rPr>
                    <w:t>污染物</w:t>
                  </w:r>
                </w:p>
              </w:tc>
              <w:tc>
                <w:tcPr>
                  <w:tcW w:w="522" w:type="pct"/>
                  <w:vAlign w:val="center"/>
                </w:tcPr>
                <w:p w14:paraId="5E0023FE">
                  <w:pPr>
                    <w:wordWrap w:val="0"/>
                    <w:adjustRightInd w:val="0"/>
                    <w:snapToGrid w:val="0"/>
                    <w:jc w:val="center"/>
                    <w:rPr>
                      <w:szCs w:val="21"/>
                    </w:rPr>
                  </w:pPr>
                  <w:r>
                    <w:rPr>
                      <w:rFonts w:hint="eastAsia"/>
                      <w:szCs w:val="21"/>
                    </w:rPr>
                    <w:t>有组织排放量（t/a）</w:t>
                  </w:r>
                </w:p>
              </w:tc>
              <w:tc>
                <w:tcPr>
                  <w:tcW w:w="613" w:type="pct"/>
                  <w:vAlign w:val="center"/>
                </w:tcPr>
                <w:p w14:paraId="427AE94D">
                  <w:pPr>
                    <w:wordWrap w:val="0"/>
                    <w:adjustRightInd w:val="0"/>
                    <w:snapToGrid w:val="0"/>
                    <w:jc w:val="center"/>
                    <w:rPr>
                      <w:szCs w:val="21"/>
                    </w:rPr>
                  </w:pPr>
                  <w:r>
                    <w:rPr>
                      <w:rFonts w:hint="eastAsia"/>
                      <w:szCs w:val="21"/>
                    </w:rPr>
                    <w:t>有组织排放速率（kg/h）</w:t>
                  </w:r>
                </w:p>
              </w:tc>
              <w:tc>
                <w:tcPr>
                  <w:tcW w:w="628" w:type="pct"/>
                  <w:vAlign w:val="center"/>
                </w:tcPr>
                <w:p w14:paraId="5F19D173">
                  <w:pPr>
                    <w:wordWrap w:val="0"/>
                    <w:adjustRightInd w:val="0"/>
                    <w:snapToGrid w:val="0"/>
                    <w:jc w:val="center"/>
                    <w:rPr>
                      <w:szCs w:val="21"/>
                    </w:rPr>
                  </w:pPr>
                  <w:r>
                    <w:rPr>
                      <w:rFonts w:hint="eastAsia"/>
                      <w:szCs w:val="21"/>
                    </w:rPr>
                    <w:t>风机风量/废气量（m</w:t>
                  </w:r>
                  <w:r>
                    <w:rPr>
                      <w:rFonts w:hint="eastAsia"/>
                      <w:szCs w:val="21"/>
                      <w:vertAlign w:val="superscript"/>
                    </w:rPr>
                    <w:t>3</w:t>
                  </w:r>
                  <w:r>
                    <w:rPr>
                      <w:rFonts w:hint="eastAsia"/>
                      <w:szCs w:val="21"/>
                    </w:rPr>
                    <w:t>/h）</w:t>
                  </w:r>
                </w:p>
              </w:tc>
              <w:tc>
                <w:tcPr>
                  <w:tcW w:w="786" w:type="pct"/>
                  <w:vAlign w:val="center"/>
                </w:tcPr>
                <w:p w14:paraId="1C3A9C3E">
                  <w:pPr>
                    <w:wordWrap w:val="0"/>
                    <w:adjustRightInd w:val="0"/>
                    <w:snapToGrid w:val="0"/>
                    <w:jc w:val="center"/>
                    <w:rPr>
                      <w:szCs w:val="21"/>
                    </w:rPr>
                  </w:pPr>
                  <w:r>
                    <w:rPr>
                      <w:rFonts w:hint="eastAsia"/>
                      <w:szCs w:val="21"/>
                    </w:rPr>
                    <w:t>排放浓度（mg/m</w:t>
                  </w:r>
                  <w:r>
                    <w:rPr>
                      <w:rFonts w:hint="eastAsia"/>
                      <w:szCs w:val="21"/>
                      <w:vertAlign w:val="superscript"/>
                    </w:rPr>
                    <w:t>3</w:t>
                  </w:r>
                  <w:r>
                    <w:rPr>
                      <w:rFonts w:hint="eastAsia"/>
                      <w:szCs w:val="21"/>
                    </w:rPr>
                    <w:t>）</w:t>
                  </w:r>
                </w:p>
              </w:tc>
              <w:tc>
                <w:tcPr>
                  <w:tcW w:w="575" w:type="pct"/>
                  <w:vAlign w:val="center"/>
                </w:tcPr>
                <w:p w14:paraId="765AEAE1">
                  <w:pPr>
                    <w:wordWrap w:val="0"/>
                    <w:adjustRightInd w:val="0"/>
                    <w:snapToGrid w:val="0"/>
                    <w:jc w:val="center"/>
                    <w:rPr>
                      <w:szCs w:val="21"/>
                    </w:rPr>
                  </w:pPr>
                  <w:r>
                    <w:rPr>
                      <w:rFonts w:hint="eastAsia"/>
                      <w:szCs w:val="21"/>
                    </w:rPr>
                    <w:t>标准浓度（mg/ m</w:t>
                  </w:r>
                  <w:r>
                    <w:rPr>
                      <w:rFonts w:hint="eastAsia"/>
                      <w:szCs w:val="21"/>
                      <w:vertAlign w:val="superscript"/>
                    </w:rPr>
                    <w:t>3</w:t>
                  </w:r>
                  <w:r>
                    <w:rPr>
                      <w:rFonts w:hint="eastAsia"/>
                      <w:szCs w:val="21"/>
                    </w:rPr>
                    <w:t>）</w:t>
                  </w:r>
                </w:p>
              </w:tc>
              <w:tc>
                <w:tcPr>
                  <w:tcW w:w="430" w:type="pct"/>
                  <w:vAlign w:val="center"/>
                </w:tcPr>
                <w:p w14:paraId="2E1D22F2">
                  <w:pPr>
                    <w:wordWrap w:val="0"/>
                    <w:adjustRightInd w:val="0"/>
                    <w:snapToGrid w:val="0"/>
                    <w:jc w:val="center"/>
                    <w:rPr>
                      <w:szCs w:val="21"/>
                    </w:rPr>
                  </w:pPr>
                  <w:r>
                    <w:rPr>
                      <w:rFonts w:hint="eastAsia"/>
                      <w:szCs w:val="21"/>
                    </w:rPr>
                    <w:t>是否达标</w:t>
                  </w:r>
                </w:p>
              </w:tc>
              <w:tc>
                <w:tcPr>
                  <w:tcW w:w="548" w:type="pct"/>
                  <w:vAlign w:val="center"/>
                </w:tcPr>
                <w:p w14:paraId="6F318961">
                  <w:pPr>
                    <w:wordWrap w:val="0"/>
                    <w:adjustRightInd w:val="0"/>
                    <w:snapToGrid w:val="0"/>
                    <w:jc w:val="center"/>
                    <w:rPr>
                      <w:szCs w:val="21"/>
                    </w:rPr>
                  </w:pPr>
                  <w:r>
                    <w:rPr>
                      <w:rFonts w:hint="eastAsia"/>
                      <w:szCs w:val="21"/>
                    </w:rPr>
                    <w:t>执行标准</w:t>
                  </w:r>
                </w:p>
              </w:tc>
            </w:tr>
            <w:tr w14:paraId="222D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Align w:val="center"/>
                </w:tcPr>
                <w:p w14:paraId="21D716FD">
                  <w:pPr>
                    <w:wordWrap w:val="0"/>
                    <w:adjustRightInd w:val="0"/>
                    <w:snapToGrid w:val="0"/>
                    <w:jc w:val="center"/>
                    <w:rPr>
                      <w:szCs w:val="21"/>
                    </w:rPr>
                  </w:pPr>
                  <w:r>
                    <w:rPr>
                      <w:rFonts w:hint="eastAsia"/>
                      <w:szCs w:val="21"/>
                    </w:rPr>
                    <w:t>抛丸粉尘排气筒DA001</w:t>
                  </w:r>
                </w:p>
              </w:tc>
              <w:tc>
                <w:tcPr>
                  <w:tcW w:w="406" w:type="pct"/>
                  <w:vAlign w:val="center"/>
                </w:tcPr>
                <w:p w14:paraId="71E146FD">
                  <w:pPr>
                    <w:wordWrap w:val="0"/>
                    <w:adjustRightInd w:val="0"/>
                    <w:snapToGrid w:val="0"/>
                    <w:jc w:val="center"/>
                    <w:rPr>
                      <w:szCs w:val="21"/>
                    </w:rPr>
                  </w:pPr>
                  <w:r>
                    <w:rPr>
                      <w:rFonts w:hint="eastAsia"/>
                      <w:szCs w:val="21"/>
                    </w:rPr>
                    <w:t>颗粒物</w:t>
                  </w:r>
                </w:p>
              </w:tc>
              <w:tc>
                <w:tcPr>
                  <w:tcW w:w="522" w:type="pct"/>
                  <w:vAlign w:val="center"/>
                </w:tcPr>
                <w:p w14:paraId="3772911E">
                  <w:pPr>
                    <w:wordWrap w:val="0"/>
                    <w:adjustRightInd w:val="0"/>
                    <w:snapToGrid w:val="0"/>
                    <w:jc w:val="center"/>
                    <w:rPr>
                      <w:szCs w:val="21"/>
                    </w:rPr>
                  </w:pPr>
                  <w:r>
                    <w:rPr>
                      <w:rFonts w:hint="eastAsia"/>
                      <w:szCs w:val="21"/>
                    </w:rPr>
                    <w:t>0.104</w:t>
                  </w:r>
                </w:p>
              </w:tc>
              <w:tc>
                <w:tcPr>
                  <w:tcW w:w="613" w:type="pct"/>
                  <w:vAlign w:val="center"/>
                </w:tcPr>
                <w:p w14:paraId="630B6A8E">
                  <w:pPr>
                    <w:wordWrap w:val="0"/>
                    <w:adjustRightInd w:val="0"/>
                    <w:snapToGrid w:val="0"/>
                    <w:jc w:val="center"/>
                    <w:rPr>
                      <w:szCs w:val="21"/>
                    </w:rPr>
                  </w:pPr>
                  <w:r>
                    <w:rPr>
                      <w:rFonts w:hint="eastAsia"/>
                      <w:szCs w:val="21"/>
                    </w:rPr>
                    <w:t>0.344</w:t>
                  </w:r>
                </w:p>
              </w:tc>
              <w:tc>
                <w:tcPr>
                  <w:tcW w:w="628" w:type="pct"/>
                  <w:vAlign w:val="center"/>
                </w:tcPr>
                <w:p w14:paraId="25F5389B">
                  <w:pPr>
                    <w:wordWrap w:val="0"/>
                    <w:adjustRightInd w:val="0"/>
                    <w:snapToGrid w:val="0"/>
                    <w:jc w:val="center"/>
                    <w:rPr>
                      <w:szCs w:val="21"/>
                    </w:rPr>
                  </w:pPr>
                  <w:r>
                    <w:rPr>
                      <w:rFonts w:hint="eastAsia"/>
                      <w:szCs w:val="21"/>
                    </w:rPr>
                    <w:t>5000</w:t>
                  </w:r>
                </w:p>
              </w:tc>
              <w:tc>
                <w:tcPr>
                  <w:tcW w:w="786" w:type="pct"/>
                  <w:vAlign w:val="center"/>
                </w:tcPr>
                <w:p w14:paraId="436696A2">
                  <w:pPr>
                    <w:wordWrap w:val="0"/>
                    <w:adjustRightInd w:val="0"/>
                    <w:snapToGrid w:val="0"/>
                    <w:jc w:val="center"/>
                    <w:rPr>
                      <w:szCs w:val="21"/>
                    </w:rPr>
                  </w:pPr>
                  <w:r>
                    <w:rPr>
                      <w:rFonts w:hint="eastAsia"/>
                      <w:szCs w:val="21"/>
                    </w:rPr>
                    <w:t>67.097</w:t>
                  </w:r>
                </w:p>
              </w:tc>
              <w:tc>
                <w:tcPr>
                  <w:tcW w:w="575" w:type="pct"/>
                  <w:vAlign w:val="center"/>
                </w:tcPr>
                <w:p w14:paraId="27E8B795">
                  <w:pPr>
                    <w:wordWrap w:val="0"/>
                    <w:adjustRightInd w:val="0"/>
                    <w:snapToGrid w:val="0"/>
                    <w:jc w:val="center"/>
                    <w:rPr>
                      <w:szCs w:val="21"/>
                    </w:rPr>
                  </w:pPr>
                  <w:r>
                    <w:rPr>
                      <w:rFonts w:hint="eastAsia"/>
                      <w:szCs w:val="21"/>
                    </w:rPr>
                    <w:t>120</w:t>
                  </w:r>
                </w:p>
              </w:tc>
              <w:tc>
                <w:tcPr>
                  <w:tcW w:w="430" w:type="pct"/>
                  <w:vAlign w:val="center"/>
                </w:tcPr>
                <w:p w14:paraId="1CCCCE5A">
                  <w:pPr>
                    <w:wordWrap w:val="0"/>
                    <w:adjustRightInd w:val="0"/>
                    <w:snapToGrid w:val="0"/>
                    <w:jc w:val="center"/>
                    <w:rPr>
                      <w:szCs w:val="21"/>
                    </w:rPr>
                  </w:pPr>
                  <w:r>
                    <w:rPr>
                      <w:rFonts w:hint="eastAsia"/>
                      <w:szCs w:val="21"/>
                    </w:rPr>
                    <w:t>是</w:t>
                  </w:r>
                </w:p>
              </w:tc>
              <w:tc>
                <w:tcPr>
                  <w:tcW w:w="548" w:type="pct"/>
                  <w:vMerge w:val="restart"/>
                  <w:vAlign w:val="center"/>
                </w:tcPr>
                <w:p w14:paraId="7B936890">
                  <w:pPr>
                    <w:wordWrap w:val="0"/>
                    <w:adjustRightInd w:val="0"/>
                    <w:snapToGrid w:val="0"/>
                    <w:jc w:val="center"/>
                    <w:rPr>
                      <w:szCs w:val="21"/>
                    </w:rPr>
                  </w:pPr>
                  <w:r>
                    <w:rPr>
                      <w:rFonts w:hAnsi="宋体"/>
                      <w:szCs w:val="21"/>
                    </w:rPr>
                    <w:t>《大气污染物综合排放标准》（</w:t>
                  </w:r>
                  <w:r>
                    <w:rPr>
                      <w:szCs w:val="21"/>
                    </w:rPr>
                    <w:t>GB16297-1996</w:t>
                  </w:r>
                  <w:r>
                    <w:rPr>
                      <w:rFonts w:hAnsi="宋体"/>
                      <w:szCs w:val="21"/>
                    </w:rPr>
                    <w:t>）</w:t>
                  </w:r>
                </w:p>
              </w:tc>
            </w:tr>
            <w:tr w14:paraId="2BA8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0F027F6D">
                  <w:pPr>
                    <w:wordWrap w:val="0"/>
                    <w:adjustRightInd w:val="0"/>
                    <w:snapToGrid w:val="0"/>
                    <w:jc w:val="center"/>
                    <w:rPr>
                      <w:szCs w:val="21"/>
                    </w:rPr>
                  </w:pPr>
                  <w:r>
                    <w:rPr>
                      <w:rFonts w:hint="eastAsia"/>
                      <w:szCs w:val="21"/>
                    </w:rPr>
                    <w:t>喷涂工序1排气筒DA002</w:t>
                  </w:r>
                </w:p>
              </w:tc>
              <w:tc>
                <w:tcPr>
                  <w:tcW w:w="406" w:type="pct"/>
                  <w:vAlign w:val="center"/>
                </w:tcPr>
                <w:p w14:paraId="417C7AD5">
                  <w:pPr>
                    <w:wordWrap w:val="0"/>
                    <w:adjustRightInd w:val="0"/>
                    <w:snapToGrid w:val="0"/>
                    <w:jc w:val="center"/>
                    <w:rPr>
                      <w:szCs w:val="21"/>
                    </w:rPr>
                  </w:pPr>
                  <w:r>
                    <w:rPr>
                      <w:rFonts w:hint="eastAsia"/>
                      <w:szCs w:val="21"/>
                    </w:rPr>
                    <w:t>颗粒物</w:t>
                  </w:r>
                </w:p>
              </w:tc>
              <w:tc>
                <w:tcPr>
                  <w:tcW w:w="522" w:type="pct"/>
                  <w:vAlign w:val="center"/>
                </w:tcPr>
                <w:p w14:paraId="56539B63">
                  <w:pPr>
                    <w:wordWrap w:val="0"/>
                    <w:adjustRightInd w:val="0"/>
                    <w:snapToGrid w:val="0"/>
                    <w:jc w:val="center"/>
                    <w:rPr>
                      <w:szCs w:val="21"/>
                    </w:rPr>
                  </w:pPr>
                  <w:r>
                    <w:rPr>
                      <w:rFonts w:hint="eastAsia"/>
                      <w:szCs w:val="21"/>
                    </w:rPr>
                    <w:t>0.257</w:t>
                  </w:r>
                </w:p>
              </w:tc>
              <w:tc>
                <w:tcPr>
                  <w:tcW w:w="613" w:type="pct"/>
                  <w:vAlign w:val="center"/>
                </w:tcPr>
                <w:p w14:paraId="190BB41B">
                  <w:pPr>
                    <w:wordWrap w:val="0"/>
                    <w:adjustRightInd w:val="0"/>
                    <w:snapToGrid w:val="0"/>
                    <w:jc w:val="center"/>
                    <w:rPr>
                      <w:szCs w:val="21"/>
                    </w:rPr>
                  </w:pPr>
                  <w:r>
                    <w:rPr>
                      <w:rFonts w:hint="eastAsia"/>
                      <w:szCs w:val="21"/>
                    </w:rPr>
                    <w:t>0.207</w:t>
                  </w:r>
                </w:p>
              </w:tc>
              <w:tc>
                <w:tcPr>
                  <w:tcW w:w="628" w:type="pct"/>
                  <w:vAlign w:val="center"/>
                </w:tcPr>
                <w:p w14:paraId="5C47E9F8">
                  <w:pPr>
                    <w:wordWrap w:val="0"/>
                    <w:adjustRightInd w:val="0"/>
                    <w:snapToGrid w:val="0"/>
                    <w:jc w:val="center"/>
                    <w:rPr>
                      <w:szCs w:val="21"/>
                    </w:rPr>
                  </w:pPr>
                  <w:r>
                    <w:rPr>
                      <w:rFonts w:hint="eastAsia"/>
                      <w:szCs w:val="21"/>
                    </w:rPr>
                    <w:t>9000</w:t>
                  </w:r>
                </w:p>
              </w:tc>
              <w:tc>
                <w:tcPr>
                  <w:tcW w:w="786" w:type="pct"/>
                  <w:vAlign w:val="center"/>
                </w:tcPr>
                <w:p w14:paraId="3E5E4B56">
                  <w:pPr>
                    <w:wordWrap w:val="0"/>
                    <w:adjustRightInd w:val="0"/>
                    <w:snapToGrid w:val="0"/>
                    <w:jc w:val="center"/>
                    <w:rPr>
                      <w:szCs w:val="21"/>
                    </w:rPr>
                  </w:pPr>
                  <w:r>
                    <w:rPr>
                      <w:rFonts w:hint="eastAsia"/>
                      <w:szCs w:val="21"/>
                    </w:rPr>
                    <w:t>23.029</w:t>
                  </w:r>
                </w:p>
              </w:tc>
              <w:tc>
                <w:tcPr>
                  <w:tcW w:w="575" w:type="pct"/>
                  <w:vAlign w:val="center"/>
                </w:tcPr>
                <w:p w14:paraId="5E5EC74B">
                  <w:pPr>
                    <w:wordWrap w:val="0"/>
                    <w:adjustRightInd w:val="0"/>
                    <w:snapToGrid w:val="0"/>
                    <w:jc w:val="center"/>
                    <w:rPr>
                      <w:szCs w:val="21"/>
                    </w:rPr>
                  </w:pPr>
                  <w:r>
                    <w:rPr>
                      <w:rFonts w:hint="eastAsia"/>
                      <w:szCs w:val="21"/>
                    </w:rPr>
                    <w:t>120</w:t>
                  </w:r>
                </w:p>
              </w:tc>
              <w:tc>
                <w:tcPr>
                  <w:tcW w:w="430" w:type="pct"/>
                  <w:vAlign w:val="center"/>
                </w:tcPr>
                <w:p w14:paraId="797B0667">
                  <w:pPr>
                    <w:wordWrap w:val="0"/>
                    <w:adjustRightInd w:val="0"/>
                    <w:snapToGrid w:val="0"/>
                    <w:jc w:val="center"/>
                    <w:rPr>
                      <w:szCs w:val="21"/>
                    </w:rPr>
                  </w:pPr>
                  <w:r>
                    <w:rPr>
                      <w:rFonts w:hint="eastAsia"/>
                      <w:szCs w:val="21"/>
                    </w:rPr>
                    <w:t>是</w:t>
                  </w:r>
                </w:p>
              </w:tc>
              <w:tc>
                <w:tcPr>
                  <w:tcW w:w="548" w:type="pct"/>
                  <w:vMerge w:val="continue"/>
                  <w:vAlign w:val="center"/>
                </w:tcPr>
                <w:p w14:paraId="0C8D3682">
                  <w:pPr>
                    <w:wordWrap w:val="0"/>
                    <w:adjustRightInd w:val="0"/>
                    <w:snapToGrid w:val="0"/>
                    <w:jc w:val="center"/>
                    <w:rPr>
                      <w:szCs w:val="21"/>
                    </w:rPr>
                  </w:pPr>
                </w:p>
              </w:tc>
            </w:tr>
            <w:tr w14:paraId="4B44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7BFDEF32">
                  <w:pPr>
                    <w:wordWrap w:val="0"/>
                    <w:adjustRightInd w:val="0"/>
                    <w:snapToGrid w:val="0"/>
                    <w:jc w:val="center"/>
                    <w:rPr>
                      <w:szCs w:val="21"/>
                    </w:rPr>
                  </w:pPr>
                </w:p>
              </w:tc>
              <w:tc>
                <w:tcPr>
                  <w:tcW w:w="406" w:type="pct"/>
                  <w:vAlign w:val="center"/>
                </w:tcPr>
                <w:p w14:paraId="011502A5">
                  <w:pPr>
                    <w:wordWrap w:val="0"/>
                    <w:adjustRightInd w:val="0"/>
                    <w:snapToGrid w:val="0"/>
                    <w:jc w:val="center"/>
                    <w:rPr>
                      <w:szCs w:val="21"/>
                    </w:rPr>
                  </w:pPr>
                  <w:r>
                    <w:rPr>
                      <w:rFonts w:hint="eastAsia"/>
                      <w:szCs w:val="21"/>
                    </w:rPr>
                    <w:t>非甲烷总烃</w:t>
                  </w:r>
                </w:p>
              </w:tc>
              <w:tc>
                <w:tcPr>
                  <w:tcW w:w="522" w:type="pct"/>
                  <w:vAlign w:val="center"/>
                </w:tcPr>
                <w:p w14:paraId="09167EA0">
                  <w:pPr>
                    <w:wordWrap w:val="0"/>
                    <w:adjustRightInd w:val="0"/>
                    <w:snapToGrid w:val="0"/>
                    <w:jc w:val="center"/>
                    <w:rPr>
                      <w:szCs w:val="21"/>
                    </w:rPr>
                  </w:pPr>
                  <w:r>
                    <w:rPr>
                      <w:rFonts w:hint="eastAsia"/>
                      <w:szCs w:val="21"/>
                    </w:rPr>
                    <w:t>0.001</w:t>
                  </w:r>
                </w:p>
              </w:tc>
              <w:tc>
                <w:tcPr>
                  <w:tcW w:w="613" w:type="pct"/>
                  <w:vAlign w:val="center"/>
                </w:tcPr>
                <w:p w14:paraId="380676D2">
                  <w:pPr>
                    <w:wordWrap w:val="0"/>
                    <w:adjustRightInd w:val="0"/>
                    <w:snapToGrid w:val="0"/>
                    <w:jc w:val="center"/>
                    <w:rPr>
                      <w:szCs w:val="21"/>
                    </w:rPr>
                  </w:pPr>
                  <w:r>
                    <w:rPr>
                      <w:rFonts w:hint="eastAsia"/>
                      <w:szCs w:val="21"/>
                    </w:rPr>
                    <w:t>0.002</w:t>
                  </w:r>
                </w:p>
              </w:tc>
              <w:tc>
                <w:tcPr>
                  <w:tcW w:w="628" w:type="pct"/>
                  <w:vAlign w:val="center"/>
                </w:tcPr>
                <w:p w14:paraId="5F0D6DFA">
                  <w:pPr>
                    <w:wordWrap w:val="0"/>
                    <w:adjustRightInd w:val="0"/>
                    <w:snapToGrid w:val="0"/>
                    <w:jc w:val="center"/>
                    <w:rPr>
                      <w:szCs w:val="21"/>
                    </w:rPr>
                  </w:pPr>
                  <w:r>
                    <w:rPr>
                      <w:rFonts w:hint="eastAsia"/>
                      <w:szCs w:val="21"/>
                    </w:rPr>
                    <w:t>3000</w:t>
                  </w:r>
                </w:p>
              </w:tc>
              <w:tc>
                <w:tcPr>
                  <w:tcW w:w="786" w:type="pct"/>
                  <w:vAlign w:val="center"/>
                </w:tcPr>
                <w:p w14:paraId="3CB1AEF8">
                  <w:pPr>
                    <w:wordWrap w:val="0"/>
                    <w:adjustRightInd w:val="0"/>
                    <w:snapToGrid w:val="0"/>
                    <w:jc w:val="center"/>
                    <w:rPr>
                      <w:szCs w:val="21"/>
                    </w:rPr>
                  </w:pPr>
                  <w:r>
                    <w:rPr>
                      <w:rFonts w:hint="eastAsia"/>
                      <w:szCs w:val="21"/>
                    </w:rPr>
                    <w:t>0.538</w:t>
                  </w:r>
                </w:p>
              </w:tc>
              <w:tc>
                <w:tcPr>
                  <w:tcW w:w="575" w:type="pct"/>
                  <w:vAlign w:val="center"/>
                </w:tcPr>
                <w:p w14:paraId="3A7C84BA">
                  <w:pPr>
                    <w:wordWrap w:val="0"/>
                    <w:adjustRightInd w:val="0"/>
                    <w:snapToGrid w:val="0"/>
                    <w:jc w:val="center"/>
                    <w:rPr>
                      <w:szCs w:val="21"/>
                    </w:rPr>
                  </w:pPr>
                  <w:r>
                    <w:rPr>
                      <w:rFonts w:hint="eastAsia"/>
                      <w:szCs w:val="21"/>
                    </w:rPr>
                    <w:t>50</w:t>
                  </w:r>
                </w:p>
              </w:tc>
              <w:tc>
                <w:tcPr>
                  <w:tcW w:w="430" w:type="pct"/>
                  <w:vAlign w:val="center"/>
                </w:tcPr>
                <w:p w14:paraId="00CBDF2A">
                  <w:pPr>
                    <w:wordWrap w:val="0"/>
                    <w:adjustRightInd w:val="0"/>
                    <w:snapToGrid w:val="0"/>
                    <w:jc w:val="center"/>
                    <w:rPr>
                      <w:szCs w:val="21"/>
                    </w:rPr>
                  </w:pPr>
                  <w:r>
                    <w:rPr>
                      <w:rFonts w:hint="eastAsia"/>
                      <w:szCs w:val="21"/>
                    </w:rPr>
                    <w:t>是</w:t>
                  </w:r>
                </w:p>
              </w:tc>
              <w:tc>
                <w:tcPr>
                  <w:tcW w:w="548" w:type="pct"/>
                  <w:vAlign w:val="center"/>
                </w:tcPr>
                <w:p w14:paraId="63EAD8DF">
                  <w:pPr>
                    <w:wordWrap w:val="0"/>
                    <w:adjustRightInd w:val="0"/>
                    <w:snapToGrid w:val="0"/>
                    <w:jc w:val="center"/>
                    <w:rPr>
                      <w:szCs w:val="21"/>
                    </w:rPr>
                  </w:pPr>
                  <w:r>
                    <w:rPr>
                      <w:rFonts w:hint="eastAsia"/>
                      <w:szCs w:val="21"/>
                    </w:rPr>
                    <w:t>《挥发性有机物排放控制标准》（DB61/T1061-2017）</w:t>
                  </w:r>
                </w:p>
              </w:tc>
            </w:tr>
            <w:tr w14:paraId="259B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Align w:val="center"/>
                </w:tcPr>
                <w:p w14:paraId="60D8E951">
                  <w:pPr>
                    <w:wordWrap w:val="0"/>
                    <w:adjustRightInd w:val="0"/>
                    <w:snapToGrid w:val="0"/>
                    <w:jc w:val="center"/>
                    <w:rPr>
                      <w:szCs w:val="21"/>
                    </w:rPr>
                  </w:pPr>
                  <w:r>
                    <w:rPr>
                      <w:rFonts w:hint="eastAsia"/>
                      <w:szCs w:val="21"/>
                    </w:rPr>
                    <w:t>喷涂工序2排气筒DA003</w:t>
                  </w:r>
                </w:p>
              </w:tc>
              <w:tc>
                <w:tcPr>
                  <w:tcW w:w="406" w:type="pct"/>
                  <w:vAlign w:val="center"/>
                </w:tcPr>
                <w:p w14:paraId="22305526">
                  <w:pPr>
                    <w:wordWrap w:val="0"/>
                    <w:adjustRightInd w:val="0"/>
                    <w:snapToGrid w:val="0"/>
                    <w:jc w:val="center"/>
                    <w:rPr>
                      <w:szCs w:val="21"/>
                    </w:rPr>
                  </w:pPr>
                  <w:r>
                    <w:rPr>
                      <w:rFonts w:hint="eastAsia"/>
                      <w:szCs w:val="21"/>
                    </w:rPr>
                    <w:t>颗粒物</w:t>
                  </w:r>
                </w:p>
              </w:tc>
              <w:tc>
                <w:tcPr>
                  <w:tcW w:w="522" w:type="pct"/>
                  <w:vAlign w:val="center"/>
                </w:tcPr>
                <w:p w14:paraId="79A5F5C0">
                  <w:pPr>
                    <w:wordWrap w:val="0"/>
                    <w:adjustRightInd w:val="0"/>
                    <w:snapToGrid w:val="0"/>
                    <w:jc w:val="center"/>
                    <w:rPr>
                      <w:szCs w:val="21"/>
                    </w:rPr>
                  </w:pPr>
                  <w:r>
                    <w:rPr>
                      <w:rFonts w:hint="eastAsia"/>
                      <w:szCs w:val="21"/>
                    </w:rPr>
                    <w:t>0.256</w:t>
                  </w:r>
                </w:p>
              </w:tc>
              <w:tc>
                <w:tcPr>
                  <w:tcW w:w="613" w:type="pct"/>
                  <w:vAlign w:val="center"/>
                </w:tcPr>
                <w:p w14:paraId="2210CA52">
                  <w:pPr>
                    <w:wordWrap w:val="0"/>
                    <w:adjustRightInd w:val="0"/>
                    <w:snapToGrid w:val="0"/>
                    <w:jc w:val="center"/>
                    <w:rPr>
                      <w:szCs w:val="21"/>
                    </w:rPr>
                  </w:pPr>
                  <w:r>
                    <w:rPr>
                      <w:rFonts w:hint="eastAsia"/>
                      <w:szCs w:val="21"/>
                    </w:rPr>
                    <w:t>0.207</w:t>
                  </w:r>
                </w:p>
              </w:tc>
              <w:tc>
                <w:tcPr>
                  <w:tcW w:w="628" w:type="pct"/>
                  <w:vAlign w:val="center"/>
                </w:tcPr>
                <w:p w14:paraId="5E44291F">
                  <w:pPr>
                    <w:wordWrap w:val="0"/>
                    <w:adjustRightInd w:val="0"/>
                    <w:snapToGrid w:val="0"/>
                    <w:jc w:val="center"/>
                    <w:rPr>
                      <w:szCs w:val="21"/>
                    </w:rPr>
                  </w:pPr>
                  <w:r>
                    <w:rPr>
                      <w:rFonts w:hint="eastAsia"/>
                      <w:szCs w:val="21"/>
                    </w:rPr>
                    <w:t>6000</w:t>
                  </w:r>
                </w:p>
              </w:tc>
              <w:tc>
                <w:tcPr>
                  <w:tcW w:w="786" w:type="pct"/>
                  <w:vAlign w:val="center"/>
                </w:tcPr>
                <w:p w14:paraId="36C6630E">
                  <w:pPr>
                    <w:wordWrap w:val="0"/>
                    <w:adjustRightInd w:val="0"/>
                    <w:snapToGrid w:val="0"/>
                    <w:jc w:val="center"/>
                    <w:rPr>
                      <w:szCs w:val="21"/>
                    </w:rPr>
                  </w:pPr>
                  <w:r>
                    <w:rPr>
                      <w:rFonts w:hint="eastAsia"/>
                      <w:szCs w:val="21"/>
                    </w:rPr>
                    <w:t>34.543</w:t>
                  </w:r>
                </w:p>
              </w:tc>
              <w:tc>
                <w:tcPr>
                  <w:tcW w:w="575" w:type="pct"/>
                  <w:vAlign w:val="center"/>
                </w:tcPr>
                <w:p w14:paraId="58E05F05">
                  <w:pPr>
                    <w:wordWrap w:val="0"/>
                    <w:adjustRightInd w:val="0"/>
                    <w:snapToGrid w:val="0"/>
                    <w:jc w:val="center"/>
                    <w:rPr>
                      <w:szCs w:val="21"/>
                    </w:rPr>
                  </w:pPr>
                  <w:r>
                    <w:rPr>
                      <w:rFonts w:hint="eastAsia"/>
                      <w:szCs w:val="21"/>
                    </w:rPr>
                    <w:t>120</w:t>
                  </w:r>
                </w:p>
              </w:tc>
              <w:tc>
                <w:tcPr>
                  <w:tcW w:w="430" w:type="pct"/>
                  <w:vAlign w:val="center"/>
                </w:tcPr>
                <w:p w14:paraId="61FD2C13">
                  <w:pPr>
                    <w:wordWrap w:val="0"/>
                    <w:adjustRightInd w:val="0"/>
                    <w:snapToGrid w:val="0"/>
                    <w:jc w:val="center"/>
                    <w:rPr>
                      <w:szCs w:val="21"/>
                    </w:rPr>
                  </w:pPr>
                  <w:r>
                    <w:rPr>
                      <w:rFonts w:hint="eastAsia"/>
                      <w:szCs w:val="21"/>
                    </w:rPr>
                    <w:t>是</w:t>
                  </w:r>
                </w:p>
              </w:tc>
              <w:tc>
                <w:tcPr>
                  <w:tcW w:w="548" w:type="pct"/>
                  <w:vAlign w:val="center"/>
                </w:tcPr>
                <w:p w14:paraId="7E4F2978">
                  <w:pPr>
                    <w:wordWrap w:val="0"/>
                    <w:adjustRightInd w:val="0"/>
                    <w:snapToGrid w:val="0"/>
                    <w:jc w:val="center"/>
                    <w:rPr>
                      <w:szCs w:val="21"/>
                    </w:rPr>
                  </w:pPr>
                  <w:r>
                    <w:rPr>
                      <w:rFonts w:hAnsi="宋体"/>
                      <w:szCs w:val="21"/>
                    </w:rPr>
                    <w:t>《大气污染物综合排放标准》（</w:t>
                  </w:r>
                  <w:r>
                    <w:rPr>
                      <w:szCs w:val="21"/>
                    </w:rPr>
                    <w:t>GB16297-1996</w:t>
                  </w:r>
                  <w:r>
                    <w:rPr>
                      <w:rFonts w:hAnsi="宋体"/>
                      <w:szCs w:val="21"/>
                    </w:rPr>
                    <w:t>）</w:t>
                  </w:r>
                </w:p>
              </w:tc>
            </w:tr>
            <w:tr w14:paraId="113F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Align w:val="center"/>
                </w:tcPr>
                <w:p w14:paraId="1DBC0C8E">
                  <w:pPr>
                    <w:wordWrap w:val="0"/>
                    <w:adjustRightInd w:val="0"/>
                    <w:snapToGrid w:val="0"/>
                    <w:jc w:val="center"/>
                    <w:rPr>
                      <w:szCs w:val="21"/>
                    </w:rPr>
                  </w:pPr>
                  <w:r>
                    <w:rPr>
                      <w:rFonts w:hint="eastAsia"/>
                      <w:szCs w:val="21"/>
                    </w:rPr>
                    <w:t>烘干工序有机废气排气筒DA004</w:t>
                  </w:r>
                </w:p>
              </w:tc>
              <w:tc>
                <w:tcPr>
                  <w:tcW w:w="406" w:type="pct"/>
                  <w:vAlign w:val="center"/>
                </w:tcPr>
                <w:p w14:paraId="48B735D1">
                  <w:pPr>
                    <w:wordWrap w:val="0"/>
                    <w:adjustRightInd w:val="0"/>
                    <w:snapToGrid w:val="0"/>
                    <w:jc w:val="center"/>
                    <w:rPr>
                      <w:szCs w:val="21"/>
                    </w:rPr>
                  </w:pPr>
                  <w:r>
                    <w:rPr>
                      <w:rFonts w:hint="eastAsia"/>
                      <w:szCs w:val="21"/>
                    </w:rPr>
                    <w:t>非甲烷总烃</w:t>
                  </w:r>
                </w:p>
              </w:tc>
              <w:tc>
                <w:tcPr>
                  <w:tcW w:w="522" w:type="pct"/>
                  <w:vAlign w:val="center"/>
                </w:tcPr>
                <w:p w14:paraId="0523FF87">
                  <w:pPr>
                    <w:wordWrap w:val="0"/>
                    <w:adjustRightInd w:val="0"/>
                    <w:snapToGrid w:val="0"/>
                    <w:jc w:val="center"/>
                    <w:rPr>
                      <w:szCs w:val="21"/>
                    </w:rPr>
                  </w:pPr>
                  <w:r>
                    <w:rPr>
                      <w:rFonts w:hint="eastAsia"/>
                      <w:szCs w:val="21"/>
                    </w:rPr>
                    <w:t>0.010</w:t>
                  </w:r>
                </w:p>
              </w:tc>
              <w:tc>
                <w:tcPr>
                  <w:tcW w:w="613" w:type="pct"/>
                  <w:vAlign w:val="center"/>
                </w:tcPr>
                <w:p w14:paraId="30453118">
                  <w:pPr>
                    <w:wordWrap w:val="0"/>
                    <w:adjustRightInd w:val="0"/>
                    <w:snapToGrid w:val="0"/>
                    <w:jc w:val="center"/>
                    <w:rPr>
                      <w:szCs w:val="21"/>
                    </w:rPr>
                  </w:pPr>
                  <w:r>
                    <w:rPr>
                      <w:rFonts w:hint="eastAsia"/>
                      <w:szCs w:val="21"/>
                    </w:rPr>
                    <w:t>0.008</w:t>
                  </w:r>
                </w:p>
              </w:tc>
              <w:tc>
                <w:tcPr>
                  <w:tcW w:w="628" w:type="pct"/>
                  <w:vAlign w:val="center"/>
                </w:tcPr>
                <w:p w14:paraId="44679A41">
                  <w:pPr>
                    <w:wordWrap w:val="0"/>
                    <w:adjustRightInd w:val="0"/>
                    <w:snapToGrid w:val="0"/>
                    <w:jc w:val="center"/>
                    <w:rPr>
                      <w:szCs w:val="21"/>
                    </w:rPr>
                  </w:pPr>
                  <w:r>
                    <w:rPr>
                      <w:rFonts w:hint="eastAsia"/>
                      <w:szCs w:val="21"/>
                    </w:rPr>
                    <w:t>6000</w:t>
                  </w:r>
                </w:p>
              </w:tc>
              <w:tc>
                <w:tcPr>
                  <w:tcW w:w="786" w:type="pct"/>
                  <w:vAlign w:val="center"/>
                </w:tcPr>
                <w:p w14:paraId="1D74502C">
                  <w:pPr>
                    <w:wordWrap w:val="0"/>
                    <w:adjustRightInd w:val="0"/>
                    <w:snapToGrid w:val="0"/>
                    <w:jc w:val="center"/>
                    <w:rPr>
                      <w:szCs w:val="21"/>
                    </w:rPr>
                  </w:pPr>
                  <w:r>
                    <w:rPr>
                      <w:rFonts w:hint="eastAsia"/>
                      <w:szCs w:val="21"/>
                    </w:rPr>
                    <w:t>1.344</w:t>
                  </w:r>
                </w:p>
              </w:tc>
              <w:tc>
                <w:tcPr>
                  <w:tcW w:w="575" w:type="pct"/>
                  <w:vAlign w:val="center"/>
                </w:tcPr>
                <w:p w14:paraId="02C30FA0">
                  <w:pPr>
                    <w:wordWrap w:val="0"/>
                    <w:adjustRightInd w:val="0"/>
                    <w:snapToGrid w:val="0"/>
                    <w:jc w:val="center"/>
                    <w:rPr>
                      <w:szCs w:val="21"/>
                    </w:rPr>
                  </w:pPr>
                  <w:r>
                    <w:rPr>
                      <w:rFonts w:hint="eastAsia"/>
                      <w:szCs w:val="21"/>
                    </w:rPr>
                    <w:t>50</w:t>
                  </w:r>
                </w:p>
              </w:tc>
              <w:tc>
                <w:tcPr>
                  <w:tcW w:w="430" w:type="pct"/>
                  <w:vAlign w:val="center"/>
                </w:tcPr>
                <w:p w14:paraId="252AB5CC">
                  <w:pPr>
                    <w:wordWrap w:val="0"/>
                    <w:adjustRightInd w:val="0"/>
                    <w:snapToGrid w:val="0"/>
                    <w:jc w:val="center"/>
                    <w:rPr>
                      <w:szCs w:val="21"/>
                    </w:rPr>
                  </w:pPr>
                  <w:r>
                    <w:rPr>
                      <w:rFonts w:hint="eastAsia"/>
                      <w:szCs w:val="21"/>
                    </w:rPr>
                    <w:t>是</w:t>
                  </w:r>
                </w:p>
              </w:tc>
              <w:tc>
                <w:tcPr>
                  <w:tcW w:w="548" w:type="pct"/>
                  <w:vAlign w:val="center"/>
                </w:tcPr>
                <w:p w14:paraId="7C56D43D">
                  <w:pPr>
                    <w:wordWrap w:val="0"/>
                    <w:adjustRightInd w:val="0"/>
                    <w:snapToGrid w:val="0"/>
                    <w:jc w:val="center"/>
                    <w:rPr>
                      <w:szCs w:val="21"/>
                    </w:rPr>
                  </w:pPr>
                  <w:r>
                    <w:rPr>
                      <w:rFonts w:hint="eastAsia"/>
                      <w:szCs w:val="21"/>
                    </w:rPr>
                    <w:t>《挥发性有机物排放控制标准》（DB61/T1061-2017）</w:t>
                  </w:r>
                </w:p>
              </w:tc>
            </w:tr>
            <w:tr w14:paraId="553F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5D11791D">
                  <w:pPr>
                    <w:wordWrap w:val="0"/>
                    <w:adjustRightInd w:val="0"/>
                    <w:snapToGrid w:val="0"/>
                    <w:jc w:val="center"/>
                    <w:rPr>
                      <w:szCs w:val="21"/>
                    </w:rPr>
                  </w:pPr>
                  <w:r>
                    <w:rPr>
                      <w:rFonts w:hint="eastAsia"/>
                      <w:szCs w:val="21"/>
                    </w:rPr>
                    <w:t>烘干工序燃料燃烧废气排气筒DA005</w:t>
                  </w:r>
                </w:p>
              </w:tc>
              <w:tc>
                <w:tcPr>
                  <w:tcW w:w="4507" w:type="pct"/>
                  <w:gridSpan w:val="8"/>
                  <w:vAlign w:val="center"/>
                </w:tcPr>
                <w:p w14:paraId="2CDB207B">
                  <w:pPr>
                    <w:wordWrap w:val="0"/>
                    <w:adjustRightInd w:val="0"/>
                    <w:snapToGrid w:val="0"/>
                    <w:jc w:val="center"/>
                    <w:rPr>
                      <w:szCs w:val="21"/>
                    </w:rPr>
                  </w:pPr>
                  <w:r>
                    <w:rPr>
                      <w:rFonts w:hint="eastAsia"/>
                      <w:szCs w:val="21"/>
                    </w:rPr>
                    <w:t>当燃料为液化石油气时</w:t>
                  </w:r>
                </w:p>
              </w:tc>
            </w:tr>
            <w:tr w14:paraId="6B48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3" w:type="pct"/>
                  <w:vMerge w:val="continue"/>
                  <w:vAlign w:val="center"/>
                </w:tcPr>
                <w:p w14:paraId="6D84F933">
                  <w:pPr>
                    <w:wordWrap w:val="0"/>
                    <w:adjustRightInd w:val="0"/>
                    <w:snapToGrid w:val="0"/>
                    <w:jc w:val="center"/>
                    <w:rPr>
                      <w:szCs w:val="21"/>
                    </w:rPr>
                  </w:pPr>
                </w:p>
              </w:tc>
              <w:tc>
                <w:tcPr>
                  <w:tcW w:w="406" w:type="pct"/>
                  <w:vAlign w:val="center"/>
                </w:tcPr>
                <w:p w14:paraId="0E8FDFCC">
                  <w:pPr>
                    <w:wordWrap w:val="0"/>
                    <w:adjustRightInd w:val="0"/>
                    <w:snapToGrid w:val="0"/>
                    <w:jc w:val="center"/>
                    <w:rPr>
                      <w:szCs w:val="21"/>
                    </w:rPr>
                  </w:pPr>
                  <w:r>
                    <w:rPr>
                      <w:rFonts w:hint="eastAsia"/>
                      <w:szCs w:val="21"/>
                    </w:rPr>
                    <w:t>颗粒物</w:t>
                  </w:r>
                </w:p>
              </w:tc>
              <w:tc>
                <w:tcPr>
                  <w:tcW w:w="522" w:type="pct"/>
                  <w:vAlign w:val="center"/>
                </w:tcPr>
                <w:p w14:paraId="0817CB69">
                  <w:pPr>
                    <w:wordWrap w:val="0"/>
                    <w:jc w:val="center"/>
                  </w:pPr>
                  <w:r>
                    <w:rPr>
                      <w:rFonts w:hint="eastAsia"/>
                    </w:rPr>
                    <w:t>18.304kg/a</w:t>
                  </w:r>
                </w:p>
              </w:tc>
              <w:tc>
                <w:tcPr>
                  <w:tcW w:w="613" w:type="pct"/>
                  <w:vAlign w:val="center"/>
                </w:tcPr>
                <w:p w14:paraId="2209BEF6">
                  <w:pPr>
                    <w:wordWrap w:val="0"/>
                    <w:adjustRightInd w:val="0"/>
                    <w:snapToGrid w:val="0"/>
                    <w:jc w:val="center"/>
                  </w:pPr>
                  <w:r>
                    <w:rPr>
                      <w:rFonts w:hint="eastAsia"/>
                      <w:szCs w:val="21"/>
                    </w:rPr>
                    <w:t>0.015</w:t>
                  </w:r>
                </w:p>
              </w:tc>
              <w:tc>
                <w:tcPr>
                  <w:tcW w:w="628" w:type="pct"/>
                  <w:vMerge w:val="restart"/>
                  <w:vAlign w:val="center"/>
                </w:tcPr>
                <w:p w14:paraId="6545A1C7">
                  <w:pPr>
                    <w:wordWrap w:val="0"/>
                    <w:adjustRightInd w:val="0"/>
                    <w:snapToGrid w:val="0"/>
                    <w:jc w:val="center"/>
                    <w:rPr>
                      <w:szCs w:val="21"/>
                    </w:rPr>
                  </w:pPr>
                  <w:r>
                    <w:rPr>
                      <w:rFonts w:hint="eastAsia"/>
                      <w:szCs w:val="21"/>
                    </w:rPr>
                    <w:t>5000</w:t>
                  </w:r>
                </w:p>
              </w:tc>
              <w:tc>
                <w:tcPr>
                  <w:tcW w:w="786" w:type="pct"/>
                  <w:vAlign w:val="center"/>
                </w:tcPr>
                <w:p w14:paraId="035CF4DE">
                  <w:pPr>
                    <w:wordWrap w:val="0"/>
                    <w:adjustRightInd w:val="0"/>
                    <w:snapToGrid w:val="0"/>
                    <w:jc w:val="center"/>
                    <w:rPr>
                      <w:szCs w:val="21"/>
                    </w:rPr>
                  </w:pPr>
                  <w:r>
                    <w:rPr>
                      <w:rFonts w:hint="eastAsia"/>
                      <w:szCs w:val="21"/>
                    </w:rPr>
                    <w:t>2.952</w:t>
                  </w:r>
                </w:p>
              </w:tc>
              <w:tc>
                <w:tcPr>
                  <w:tcW w:w="575" w:type="pct"/>
                  <w:vAlign w:val="center"/>
                </w:tcPr>
                <w:p w14:paraId="0B0F6B1B">
                  <w:pPr>
                    <w:wordWrap w:val="0"/>
                    <w:adjustRightInd w:val="0"/>
                    <w:snapToGrid w:val="0"/>
                    <w:jc w:val="center"/>
                    <w:rPr>
                      <w:szCs w:val="21"/>
                    </w:rPr>
                  </w:pPr>
                  <w:r>
                    <w:rPr>
                      <w:rFonts w:hint="eastAsia"/>
                      <w:szCs w:val="21"/>
                    </w:rPr>
                    <w:t>10</w:t>
                  </w:r>
                </w:p>
              </w:tc>
              <w:tc>
                <w:tcPr>
                  <w:tcW w:w="430" w:type="pct"/>
                  <w:vAlign w:val="center"/>
                </w:tcPr>
                <w:p w14:paraId="3927E3E6">
                  <w:pPr>
                    <w:wordWrap w:val="0"/>
                    <w:adjustRightInd w:val="0"/>
                    <w:snapToGrid w:val="0"/>
                    <w:jc w:val="center"/>
                    <w:rPr>
                      <w:szCs w:val="21"/>
                    </w:rPr>
                  </w:pPr>
                  <w:r>
                    <w:rPr>
                      <w:rFonts w:hint="eastAsia"/>
                      <w:szCs w:val="21"/>
                    </w:rPr>
                    <w:t>是</w:t>
                  </w:r>
                </w:p>
              </w:tc>
              <w:tc>
                <w:tcPr>
                  <w:tcW w:w="548" w:type="pct"/>
                  <w:vMerge w:val="restart"/>
                  <w:vAlign w:val="center"/>
                </w:tcPr>
                <w:p w14:paraId="234C02A3">
                  <w:pPr>
                    <w:wordWrap w:val="0"/>
                    <w:adjustRightInd w:val="0"/>
                    <w:snapToGrid w:val="0"/>
                    <w:jc w:val="center"/>
                    <w:rPr>
                      <w:szCs w:val="21"/>
                    </w:rPr>
                  </w:pPr>
                  <w:r>
                    <w:rPr>
                      <w:rFonts w:hint="eastAsia" w:hAnsi="宋体"/>
                      <w:szCs w:val="21"/>
                    </w:rPr>
                    <w:t>《锅炉大气污染物排放标准》（DB61/1226-2018）表3中标准</w:t>
                  </w:r>
                </w:p>
              </w:tc>
            </w:tr>
            <w:tr w14:paraId="10CE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68F64B75">
                  <w:pPr>
                    <w:wordWrap w:val="0"/>
                    <w:adjustRightInd w:val="0"/>
                    <w:snapToGrid w:val="0"/>
                    <w:jc w:val="center"/>
                    <w:rPr>
                      <w:szCs w:val="21"/>
                    </w:rPr>
                  </w:pPr>
                </w:p>
              </w:tc>
              <w:tc>
                <w:tcPr>
                  <w:tcW w:w="406" w:type="pct"/>
                  <w:vAlign w:val="center"/>
                </w:tcPr>
                <w:p w14:paraId="4745A5F6">
                  <w:pPr>
                    <w:wordWrap w:val="0"/>
                    <w:adjustRightInd w:val="0"/>
                    <w:snapToGrid w:val="0"/>
                    <w:jc w:val="center"/>
                    <w:rPr>
                      <w:szCs w:val="21"/>
                    </w:rPr>
                  </w:pPr>
                  <w:r>
                    <w:rPr>
                      <w:rFonts w:hint="eastAsia"/>
                      <w:szCs w:val="21"/>
                    </w:rPr>
                    <w:t>二氧化硫</w:t>
                  </w:r>
                </w:p>
              </w:tc>
              <w:tc>
                <w:tcPr>
                  <w:tcW w:w="522" w:type="pct"/>
                  <w:vAlign w:val="center"/>
                </w:tcPr>
                <w:p w14:paraId="038991DF">
                  <w:pPr>
                    <w:wordWrap w:val="0"/>
                    <w:jc w:val="center"/>
                  </w:pPr>
                  <w:r>
                    <w:rPr>
                      <w:rFonts w:hint="eastAsia"/>
                    </w:rPr>
                    <w:t>25.6kg/a</w:t>
                  </w:r>
                </w:p>
              </w:tc>
              <w:tc>
                <w:tcPr>
                  <w:tcW w:w="613" w:type="pct"/>
                  <w:vAlign w:val="center"/>
                </w:tcPr>
                <w:p w14:paraId="2353CED7">
                  <w:pPr>
                    <w:wordWrap w:val="0"/>
                    <w:adjustRightInd w:val="0"/>
                    <w:snapToGrid w:val="0"/>
                    <w:jc w:val="center"/>
                  </w:pPr>
                  <w:r>
                    <w:rPr>
                      <w:rFonts w:hint="eastAsia"/>
                      <w:szCs w:val="21"/>
                    </w:rPr>
                    <w:t>0.021</w:t>
                  </w:r>
                </w:p>
              </w:tc>
              <w:tc>
                <w:tcPr>
                  <w:tcW w:w="628" w:type="pct"/>
                  <w:vMerge w:val="continue"/>
                  <w:vAlign w:val="center"/>
                </w:tcPr>
                <w:p w14:paraId="7BFD1207">
                  <w:pPr>
                    <w:wordWrap w:val="0"/>
                    <w:adjustRightInd w:val="0"/>
                    <w:snapToGrid w:val="0"/>
                    <w:jc w:val="center"/>
                    <w:rPr>
                      <w:szCs w:val="21"/>
                    </w:rPr>
                  </w:pPr>
                </w:p>
              </w:tc>
              <w:tc>
                <w:tcPr>
                  <w:tcW w:w="786" w:type="pct"/>
                  <w:vAlign w:val="center"/>
                </w:tcPr>
                <w:p w14:paraId="0FC3A282">
                  <w:pPr>
                    <w:wordWrap w:val="0"/>
                    <w:adjustRightInd w:val="0"/>
                    <w:snapToGrid w:val="0"/>
                    <w:jc w:val="center"/>
                    <w:rPr>
                      <w:szCs w:val="21"/>
                    </w:rPr>
                  </w:pPr>
                  <w:r>
                    <w:rPr>
                      <w:rFonts w:hint="eastAsia"/>
                      <w:szCs w:val="21"/>
                    </w:rPr>
                    <w:t>4.129</w:t>
                  </w:r>
                </w:p>
              </w:tc>
              <w:tc>
                <w:tcPr>
                  <w:tcW w:w="575" w:type="pct"/>
                  <w:vAlign w:val="center"/>
                </w:tcPr>
                <w:p w14:paraId="3BA1B6C4">
                  <w:pPr>
                    <w:wordWrap w:val="0"/>
                    <w:adjustRightInd w:val="0"/>
                    <w:snapToGrid w:val="0"/>
                    <w:jc w:val="center"/>
                    <w:rPr>
                      <w:szCs w:val="21"/>
                    </w:rPr>
                  </w:pPr>
                  <w:r>
                    <w:rPr>
                      <w:rFonts w:hint="eastAsia"/>
                      <w:szCs w:val="21"/>
                    </w:rPr>
                    <w:t>50</w:t>
                  </w:r>
                </w:p>
              </w:tc>
              <w:tc>
                <w:tcPr>
                  <w:tcW w:w="430" w:type="pct"/>
                  <w:vAlign w:val="center"/>
                </w:tcPr>
                <w:p w14:paraId="2F577770">
                  <w:pPr>
                    <w:wordWrap w:val="0"/>
                    <w:adjustRightInd w:val="0"/>
                    <w:snapToGrid w:val="0"/>
                    <w:jc w:val="center"/>
                    <w:rPr>
                      <w:szCs w:val="21"/>
                    </w:rPr>
                  </w:pPr>
                  <w:r>
                    <w:rPr>
                      <w:rFonts w:hint="eastAsia"/>
                      <w:szCs w:val="21"/>
                    </w:rPr>
                    <w:t>是</w:t>
                  </w:r>
                </w:p>
              </w:tc>
              <w:tc>
                <w:tcPr>
                  <w:tcW w:w="548" w:type="pct"/>
                  <w:vMerge w:val="continue"/>
                  <w:vAlign w:val="center"/>
                </w:tcPr>
                <w:p w14:paraId="6148D9DD">
                  <w:pPr>
                    <w:wordWrap w:val="0"/>
                    <w:adjustRightInd w:val="0"/>
                    <w:snapToGrid w:val="0"/>
                    <w:jc w:val="center"/>
                    <w:rPr>
                      <w:szCs w:val="21"/>
                    </w:rPr>
                  </w:pPr>
                </w:p>
              </w:tc>
            </w:tr>
            <w:tr w14:paraId="6B0F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2AFC6A83">
                  <w:pPr>
                    <w:wordWrap w:val="0"/>
                    <w:adjustRightInd w:val="0"/>
                    <w:snapToGrid w:val="0"/>
                    <w:jc w:val="center"/>
                    <w:rPr>
                      <w:szCs w:val="21"/>
                    </w:rPr>
                  </w:pPr>
                </w:p>
              </w:tc>
              <w:tc>
                <w:tcPr>
                  <w:tcW w:w="406" w:type="pct"/>
                  <w:vAlign w:val="center"/>
                </w:tcPr>
                <w:p w14:paraId="420AB11E">
                  <w:pPr>
                    <w:wordWrap w:val="0"/>
                    <w:adjustRightInd w:val="0"/>
                    <w:snapToGrid w:val="0"/>
                    <w:jc w:val="center"/>
                    <w:rPr>
                      <w:szCs w:val="21"/>
                    </w:rPr>
                  </w:pPr>
                  <w:r>
                    <w:rPr>
                      <w:rFonts w:hint="eastAsia"/>
                      <w:szCs w:val="21"/>
                    </w:rPr>
                    <w:t>氮氧化物</w:t>
                  </w:r>
                </w:p>
              </w:tc>
              <w:tc>
                <w:tcPr>
                  <w:tcW w:w="522" w:type="pct"/>
                  <w:vAlign w:val="center"/>
                </w:tcPr>
                <w:p w14:paraId="5897A2AE">
                  <w:pPr>
                    <w:wordWrap w:val="0"/>
                    <w:adjustRightInd w:val="0"/>
                    <w:snapToGrid w:val="0"/>
                    <w:jc w:val="center"/>
                  </w:pPr>
                  <w:r>
                    <w:rPr>
                      <w:rFonts w:hint="eastAsia"/>
                    </w:rPr>
                    <w:t>381.504kg/a</w:t>
                  </w:r>
                </w:p>
              </w:tc>
              <w:tc>
                <w:tcPr>
                  <w:tcW w:w="613" w:type="pct"/>
                  <w:vAlign w:val="center"/>
                </w:tcPr>
                <w:p w14:paraId="614CA383">
                  <w:pPr>
                    <w:wordWrap w:val="0"/>
                    <w:adjustRightInd w:val="0"/>
                    <w:snapToGrid w:val="0"/>
                    <w:jc w:val="center"/>
                  </w:pPr>
                  <w:r>
                    <w:rPr>
                      <w:rFonts w:hint="eastAsia"/>
                      <w:szCs w:val="21"/>
                    </w:rPr>
                    <w:t>0.308</w:t>
                  </w:r>
                </w:p>
              </w:tc>
              <w:tc>
                <w:tcPr>
                  <w:tcW w:w="628" w:type="pct"/>
                  <w:vMerge w:val="continue"/>
                  <w:vAlign w:val="center"/>
                </w:tcPr>
                <w:p w14:paraId="518FD18C">
                  <w:pPr>
                    <w:wordWrap w:val="0"/>
                    <w:adjustRightInd w:val="0"/>
                    <w:snapToGrid w:val="0"/>
                    <w:jc w:val="center"/>
                    <w:rPr>
                      <w:szCs w:val="21"/>
                    </w:rPr>
                  </w:pPr>
                </w:p>
              </w:tc>
              <w:tc>
                <w:tcPr>
                  <w:tcW w:w="786" w:type="pct"/>
                  <w:vAlign w:val="center"/>
                </w:tcPr>
                <w:p w14:paraId="57843467">
                  <w:pPr>
                    <w:wordWrap w:val="0"/>
                    <w:adjustRightInd w:val="0"/>
                    <w:snapToGrid w:val="0"/>
                    <w:jc w:val="center"/>
                    <w:rPr>
                      <w:szCs w:val="21"/>
                    </w:rPr>
                  </w:pPr>
                  <w:r>
                    <w:rPr>
                      <w:rFonts w:hint="eastAsia"/>
                      <w:szCs w:val="21"/>
                    </w:rPr>
                    <w:t>61.532</w:t>
                  </w:r>
                </w:p>
              </w:tc>
              <w:tc>
                <w:tcPr>
                  <w:tcW w:w="575" w:type="pct"/>
                  <w:vAlign w:val="center"/>
                </w:tcPr>
                <w:p w14:paraId="579BC9BA">
                  <w:pPr>
                    <w:wordWrap w:val="0"/>
                    <w:adjustRightInd w:val="0"/>
                    <w:snapToGrid w:val="0"/>
                    <w:jc w:val="center"/>
                    <w:rPr>
                      <w:szCs w:val="21"/>
                    </w:rPr>
                  </w:pPr>
                  <w:r>
                    <w:rPr>
                      <w:rFonts w:hint="eastAsia"/>
                      <w:szCs w:val="21"/>
                    </w:rPr>
                    <w:t>150</w:t>
                  </w:r>
                </w:p>
              </w:tc>
              <w:tc>
                <w:tcPr>
                  <w:tcW w:w="430" w:type="pct"/>
                  <w:vAlign w:val="center"/>
                </w:tcPr>
                <w:p w14:paraId="0011BDF9">
                  <w:pPr>
                    <w:wordWrap w:val="0"/>
                    <w:adjustRightInd w:val="0"/>
                    <w:snapToGrid w:val="0"/>
                    <w:jc w:val="center"/>
                    <w:rPr>
                      <w:szCs w:val="21"/>
                    </w:rPr>
                  </w:pPr>
                  <w:r>
                    <w:rPr>
                      <w:rFonts w:hint="eastAsia"/>
                      <w:szCs w:val="21"/>
                    </w:rPr>
                    <w:t>是</w:t>
                  </w:r>
                </w:p>
              </w:tc>
              <w:tc>
                <w:tcPr>
                  <w:tcW w:w="548" w:type="pct"/>
                  <w:vMerge w:val="continue"/>
                  <w:vAlign w:val="center"/>
                </w:tcPr>
                <w:p w14:paraId="10E227A1">
                  <w:pPr>
                    <w:wordWrap w:val="0"/>
                    <w:adjustRightInd w:val="0"/>
                    <w:snapToGrid w:val="0"/>
                    <w:jc w:val="center"/>
                    <w:rPr>
                      <w:szCs w:val="21"/>
                    </w:rPr>
                  </w:pPr>
                </w:p>
              </w:tc>
            </w:tr>
            <w:tr w14:paraId="679D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5203109E">
                  <w:pPr>
                    <w:wordWrap w:val="0"/>
                    <w:adjustRightInd w:val="0"/>
                    <w:snapToGrid w:val="0"/>
                    <w:jc w:val="center"/>
                    <w:rPr>
                      <w:szCs w:val="21"/>
                    </w:rPr>
                  </w:pPr>
                </w:p>
              </w:tc>
              <w:tc>
                <w:tcPr>
                  <w:tcW w:w="4507" w:type="pct"/>
                  <w:gridSpan w:val="8"/>
                  <w:vAlign w:val="center"/>
                </w:tcPr>
                <w:p w14:paraId="02D2E9EF">
                  <w:pPr>
                    <w:wordWrap w:val="0"/>
                    <w:adjustRightInd w:val="0"/>
                    <w:snapToGrid w:val="0"/>
                    <w:jc w:val="center"/>
                    <w:rPr>
                      <w:szCs w:val="21"/>
                    </w:rPr>
                  </w:pPr>
                  <w:r>
                    <w:rPr>
                      <w:rFonts w:hint="eastAsia"/>
                      <w:szCs w:val="21"/>
                    </w:rPr>
                    <w:t>当燃料为天然气时</w:t>
                  </w:r>
                </w:p>
              </w:tc>
            </w:tr>
            <w:tr w14:paraId="213C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66D7085A">
                  <w:pPr>
                    <w:wordWrap w:val="0"/>
                    <w:adjustRightInd w:val="0"/>
                    <w:snapToGrid w:val="0"/>
                    <w:jc w:val="center"/>
                    <w:rPr>
                      <w:szCs w:val="21"/>
                    </w:rPr>
                  </w:pPr>
                </w:p>
              </w:tc>
              <w:tc>
                <w:tcPr>
                  <w:tcW w:w="406" w:type="pct"/>
                  <w:vAlign w:val="center"/>
                </w:tcPr>
                <w:p w14:paraId="2C694986">
                  <w:pPr>
                    <w:wordWrap w:val="0"/>
                    <w:adjustRightInd w:val="0"/>
                    <w:snapToGrid w:val="0"/>
                    <w:jc w:val="center"/>
                    <w:rPr>
                      <w:szCs w:val="21"/>
                    </w:rPr>
                  </w:pPr>
                  <w:r>
                    <w:rPr>
                      <w:rFonts w:hint="eastAsia"/>
                      <w:szCs w:val="21"/>
                    </w:rPr>
                    <w:t>颗粒物</w:t>
                  </w:r>
                </w:p>
              </w:tc>
              <w:tc>
                <w:tcPr>
                  <w:tcW w:w="522" w:type="pct"/>
                  <w:vAlign w:val="center"/>
                </w:tcPr>
                <w:p w14:paraId="6032FE8A">
                  <w:pPr>
                    <w:wordWrap w:val="0"/>
                    <w:jc w:val="center"/>
                  </w:pPr>
                  <w:r>
                    <w:rPr>
                      <w:rFonts w:hint="eastAsia"/>
                    </w:rPr>
                    <w:t>22.88kg/a</w:t>
                  </w:r>
                </w:p>
              </w:tc>
              <w:tc>
                <w:tcPr>
                  <w:tcW w:w="613" w:type="pct"/>
                  <w:vAlign w:val="center"/>
                </w:tcPr>
                <w:p w14:paraId="6116A5E2">
                  <w:pPr>
                    <w:wordWrap w:val="0"/>
                    <w:adjustRightInd w:val="0"/>
                    <w:snapToGrid w:val="0"/>
                    <w:jc w:val="center"/>
                    <w:rPr>
                      <w:szCs w:val="21"/>
                    </w:rPr>
                  </w:pPr>
                  <w:r>
                    <w:rPr>
                      <w:rFonts w:hint="eastAsia"/>
                      <w:szCs w:val="21"/>
                    </w:rPr>
                    <w:t>0.027</w:t>
                  </w:r>
                </w:p>
              </w:tc>
              <w:tc>
                <w:tcPr>
                  <w:tcW w:w="628" w:type="pct"/>
                  <w:vMerge w:val="restart"/>
                  <w:vAlign w:val="center"/>
                </w:tcPr>
                <w:p w14:paraId="74505717">
                  <w:pPr>
                    <w:wordWrap w:val="0"/>
                    <w:adjustRightInd w:val="0"/>
                    <w:snapToGrid w:val="0"/>
                    <w:jc w:val="center"/>
                    <w:rPr>
                      <w:szCs w:val="21"/>
                    </w:rPr>
                  </w:pPr>
                  <w:r>
                    <w:rPr>
                      <w:rFonts w:hint="eastAsia"/>
                      <w:szCs w:val="21"/>
                    </w:rPr>
                    <w:t>5000</w:t>
                  </w:r>
                </w:p>
              </w:tc>
              <w:tc>
                <w:tcPr>
                  <w:tcW w:w="786" w:type="pct"/>
                  <w:vAlign w:val="center"/>
                </w:tcPr>
                <w:p w14:paraId="37BE4535">
                  <w:pPr>
                    <w:wordWrap w:val="0"/>
                    <w:adjustRightInd w:val="0"/>
                    <w:snapToGrid w:val="0"/>
                    <w:jc w:val="center"/>
                    <w:rPr>
                      <w:szCs w:val="21"/>
                    </w:rPr>
                  </w:pPr>
                  <w:r>
                    <w:rPr>
                      <w:rFonts w:hint="eastAsia"/>
                      <w:szCs w:val="21"/>
                    </w:rPr>
                    <w:t>5.448</w:t>
                  </w:r>
                </w:p>
              </w:tc>
              <w:tc>
                <w:tcPr>
                  <w:tcW w:w="575" w:type="pct"/>
                  <w:vAlign w:val="center"/>
                </w:tcPr>
                <w:p w14:paraId="662A7F07">
                  <w:pPr>
                    <w:wordWrap w:val="0"/>
                    <w:adjustRightInd w:val="0"/>
                    <w:snapToGrid w:val="0"/>
                    <w:jc w:val="center"/>
                    <w:rPr>
                      <w:szCs w:val="21"/>
                    </w:rPr>
                  </w:pPr>
                  <w:r>
                    <w:rPr>
                      <w:rFonts w:hint="eastAsia"/>
                      <w:szCs w:val="21"/>
                    </w:rPr>
                    <w:t>10</w:t>
                  </w:r>
                </w:p>
              </w:tc>
              <w:tc>
                <w:tcPr>
                  <w:tcW w:w="430" w:type="pct"/>
                  <w:vAlign w:val="center"/>
                </w:tcPr>
                <w:p w14:paraId="537A40CC">
                  <w:pPr>
                    <w:wordWrap w:val="0"/>
                    <w:adjustRightInd w:val="0"/>
                    <w:snapToGrid w:val="0"/>
                    <w:jc w:val="center"/>
                    <w:rPr>
                      <w:szCs w:val="21"/>
                    </w:rPr>
                  </w:pPr>
                  <w:r>
                    <w:rPr>
                      <w:rFonts w:hint="eastAsia"/>
                      <w:szCs w:val="21"/>
                    </w:rPr>
                    <w:t>是</w:t>
                  </w:r>
                </w:p>
              </w:tc>
              <w:tc>
                <w:tcPr>
                  <w:tcW w:w="548" w:type="pct"/>
                  <w:vMerge w:val="restart"/>
                  <w:vAlign w:val="center"/>
                </w:tcPr>
                <w:p w14:paraId="52FAB9E7">
                  <w:pPr>
                    <w:wordWrap w:val="0"/>
                    <w:adjustRightInd w:val="0"/>
                    <w:snapToGrid w:val="0"/>
                    <w:jc w:val="center"/>
                    <w:rPr>
                      <w:szCs w:val="21"/>
                    </w:rPr>
                  </w:pPr>
                  <w:r>
                    <w:rPr>
                      <w:rFonts w:hint="eastAsia"/>
                      <w:szCs w:val="21"/>
                    </w:rPr>
                    <w:t>《锅炉大气污染物排放标准》（DB61/1226-2018）表3中标准</w:t>
                  </w:r>
                </w:p>
              </w:tc>
            </w:tr>
            <w:tr w14:paraId="415E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1D7D24B8">
                  <w:pPr>
                    <w:wordWrap w:val="0"/>
                    <w:adjustRightInd w:val="0"/>
                    <w:snapToGrid w:val="0"/>
                    <w:jc w:val="center"/>
                    <w:rPr>
                      <w:szCs w:val="21"/>
                    </w:rPr>
                  </w:pPr>
                </w:p>
              </w:tc>
              <w:tc>
                <w:tcPr>
                  <w:tcW w:w="406" w:type="pct"/>
                  <w:vAlign w:val="center"/>
                </w:tcPr>
                <w:p w14:paraId="5BF2DE9D">
                  <w:pPr>
                    <w:wordWrap w:val="0"/>
                    <w:adjustRightInd w:val="0"/>
                    <w:snapToGrid w:val="0"/>
                    <w:jc w:val="center"/>
                    <w:rPr>
                      <w:szCs w:val="21"/>
                    </w:rPr>
                  </w:pPr>
                  <w:r>
                    <w:rPr>
                      <w:rFonts w:hint="eastAsia"/>
                      <w:szCs w:val="21"/>
                    </w:rPr>
                    <w:t>二氧化硫</w:t>
                  </w:r>
                </w:p>
              </w:tc>
              <w:tc>
                <w:tcPr>
                  <w:tcW w:w="522" w:type="pct"/>
                  <w:vAlign w:val="center"/>
                </w:tcPr>
                <w:p w14:paraId="55F20B86">
                  <w:pPr>
                    <w:wordWrap w:val="0"/>
                    <w:jc w:val="center"/>
                  </w:pPr>
                  <w:r>
                    <w:rPr>
                      <w:rFonts w:hint="eastAsia"/>
                    </w:rPr>
                    <w:t>32kg/a</w:t>
                  </w:r>
                </w:p>
              </w:tc>
              <w:tc>
                <w:tcPr>
                  <w:tcW w:w="613" w:type="pct"/>
                  <w:vAlign w:val="center"/>
                </w:tcPr>
                <w:p w14:paraId="2976ECD6">
                  <w:pPr>
                    <w:wordWrap w:val="0"/>
                    <w:adjustRightInd w:val="0"/>
                    <w:snapToGrid w:val="0"/>
                    <w:jc w:val="center"/>
                    <w:rPr>
                      <w:szCs w:val="21"/>
                    </w:rPr>
                  </w:pPr>
                  <w:r>
                    <w:rPr>
                      <w:rFonts w:hint="eastAsia"/>
                      <w:szCs w:val="21"/>
                    </w:rPr>
                    <w:t>0.038</w:t>
                  </w:r>
                </w:p>
              </w:tc>
              <w:tc>
                <w:tcPr>
                  <w:tcW w:w="628" w:type="pct"/>
                  <w:vMerge w:val="continue"/>
                  <w:vAlign w:val="center"/>
                </w:tcPr>
                <w:p w14:paraId="7A57CAAF">
                  <w:pPr>
                    <w:wordWrap w:val="0"/>
                    <w:adjustRightInd w:val="0"/>
                    <w:snapToGrid w:val="0"/>
                    <w:jc w:val="center"/>
                    <w:rPr>
                      <w:szCs w:val="21"/>
                    </w:rPr>
                  </w:pPr>
                </w:p>
              </w:tc>
              <w:tc>
                <w:tcPr>
                  <w:tcW w:w="786" w:type="pct"/>
                  <w:vAlign w:val="center"/>
                </w:tcPr>
                <w:p w14:paraId="5503860C">
                  <w:pPr>
                    <w:wordWrap w:val="0"/>
                    <w:adjustRightInd w:val="0"/>
                    <w:snapToGrid w:val="0"/>
                    <w:jc w:val="center"/>
                    <w:rPr>
                      <w:szCs w:val="21"/>
                    </w:rPr>
                  </w:pPr>
                  <w:r>
                    <w:rPr>
                      <w:rFonts w:hint="eastAsia"/>
                      <w:szCs w:val="21"/>
                    </w:rPr>
                    <w:t>7.619</w:t>
                  </w:r>
                </w:p>
              </w:tc>
              <w:tc>
                <w:tcPr>
                  <w:tcW w:w="575" w:type="pct"/>
                  <w:vAlign w:val="center"/>
                </w:tcPr>
                <w:p w14:paraId="2D8DF2A0">
                  <w:pPr>
                    <w:wordWrap w:val="0"/>
                    <w:adjustRightInd w:val="0"/>
                    <w:snapToGrid w:val="0"/>
                    <w:jc w:val="center"/>
                    <w:rPr>
                      <w:szCs w:val="21"/>
                    </w:rPr>
                  </w:pPr>
                  <w:r>
                    <w:rPr>
                      <w:rFonts w:hint="eastAsia"/>
                      <w:szCs w:val="21"/>
                    </w:rPr>
                    <w:t>20</w:t>
                  </w:r>
                </w:p>
              </w:tc>
              <w:tc>
                <w:tcPr>
                  <w:tcW w:w="430" w:type="pct"/>
                  <w:vAlign w:val="center"/>
                </w:tcPr>
                <w:p w14:paraId="09E7A3A5">
                  <w:pPr>
                    <w:wordWrap w:val="0"/>
                    <w:adjustRightInd w:val="0"/>
                    <w:snapToGrid w:val="0"/>
                    <w:jc w:val="center"/>
                    <w:rPr>
                      <w:szCs w:val="21"/>
                    </w:rPr>
                  </w:pPr>
                  <w:r>
                    <w:rPr>
                      <w:rFonts w:hint="eastAsia"/>
                      <w:szCs w:val="21"/>
                    </w:rPr>
                    <w:t>是</w:t>
                  </w:r>
                </w:p>
              </w:tc>
              <w:tc>
                <w:tcPr>
                  <w:tcW w:w="548" w:type="pct"/>
                  <w:vMerge w:val="continue"/>
                  <w:vAlign w:val="center"/>
                </w:tcPr>
                <w:p w14:paraId="2C31B9DF">
                  <w:pPr>
                    <w:wordWrap w:val="0"/>
                    <w:adjustRightInd w:val="0"/>
                    <w:snapToGrid w:val="0"/>
                    <w:jc w:val="center"/>
                    <w:rPr>
                      <w:szCs w:val="21"/>
                    </w:rPr>
                  </w:pPr>
                </w:p>
              </w:tc>
            </w:tr>
            <w:tr w14:paraId="79D3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4B8B1FA3">
                  <w:pPr>
                    <w:wordWrap w:val="0"/>
                    <w:adjustRightInd w:val="0"/>
                    <w:snapToGrid w:val="0"/>
                    <w:jc w:val="center"/>
                    <w:rPr>
                      <w:szCs w:val="21"/>
                    </w:rPr>
                  </w:pPr>
                </w:p>
              </w:tc>
              <w:tc>
                <w:tcPr>
                  <w:tcW w:w="406" w:type="pct"/>
                  <w:vAlign w:val="center"/>
                </w:tcPr>
                <w:p w14:paraId="0744C4CE">
                  <w:pPr>
                    <w:wordWrap w:val="0"/>
                    <w:adjustRightInd w:val="0"/>
                    <w:snapToGrid w:val="0"/>
                    <w:jc w:val="center"/>
                    <w:rPr>
                      <w:szCs w:val="21"/>
                    </w:rPr>
                  </w:pPr>
                  <w:r>
                    <w:rPr>
                      <w:rFonts w:hint="eastAsia"/>
                      <w:szCs w:val="21"/>
                    </w:rPr>
                    <w:t>氮氧化物</w:t>
                  </w:r>
                </w:p>
              </w:tc>
              <w:tc>
                <w:tcPr>
                  <w:tcW w:w="522" w:type="pct"/>
                  <w:vAlign w:val="center"/>
                </w:tcPr>
                <w:p w14:paraId="03B3FA38">
                  <w:pPr>
                    <w:wordWrap w:val="0"/>
                    <w:adjustRightInd w:val="0"/>
                    <w:snapToGrid w:val="0"/>
                    <w:jc w:val="center"/>
                    <w:rPr>
                      <w:szCs w:val="21"/>
                    </w:rPr>
                  </w:pPr>
                  <w:r>
                    <w:rPr>
                      <w:rFonts w:hint="eastAsia"/>
                    </w:rPr>
                    <w:t>74.88kg/a</w:t>
                  </w:r>
                </w:p>
              </w:tc>
              <w:tc>
                <w:tcPr>
                  <w:tcW w:w="613" w:type="pct"/>
                  <w:vAlign w:val="center"/>
                </w:tcPr>
                <w:p w14:paraId="5A9C6F69">
                  <w:pPr>
                    <w:wordWrap w:val="0"/>
                    <w:adjustRightInd w:val="0"/>
                    <w:snapToGrid w:val="0"/>
                    <w:jc w:val="center"/>
                    <w:rPr>
                      <w:szCs w:val="21"/>
                    </w:rPr>
                  </w:pPr>
                  <w:r>
                    <w:rPr>
                      <w:rFonts w:hint="eastAsia"/>
                      <w:szCs w:val="21"/>
                    </w:rPr>
                    <w:t>0.089</w:t>
                  </w:r>
                </w:p>
              </w:tc>
              <w:tc>
                <w:tcPr>
                  <w:tcW w:w="628" w:type="pct"/>
                  <w:vMerge w:val="continue"/>
                  <w:vAlign w:val="center"/>
                </w:tcPr>
                <w:p w14:paraId="7B28E079">
                  <w:pPr>
                    <w:wordWrap w:val="0"/>
                    <w:adjustRightInd w:val="0"/>
                    <w:snapToGrid w:val="0"/>
                    <w:jc w:val="center"/>
                    <w:rPr>
                      <w:szCs w:val="21"/>
                    </w:rPr>
                  </w:pPr>
                </w:p>
              </w:tc>
              <w:tc>
                <w:tcPr>
                  <w:tcW w:w="786" w:type="pct"/>
                  <w:vAlign w:val="center"/>
                </w:tcPr>
                <w:p w14:paraId="2F2D74CC">
                  <w:pPr>
                    <w:wordWrap w:val="0"/>
                    <w:adjustRightInd w:val="0"/>
                    <w:snapToGrid w:val="0"/>
                    <w:jc w:val="center"/>
                    <w:rPr>
                      <w:szCs w:val="21"/>
                    </w:rPr>
                  </w:pPr>
                  <w:r>
                    <w:rPr>
                      <w:rFonts w:hint="eastAsia"/>
                      <w:szCs w:val="21"/>
                    </w:rPr>
                    <w:t>17.829</w:t>
                  </w:r>
                </w:p>
              </w:tc>
              <w:tc>
                <w:tcPr>
                  <w:tcW w:w="575" w:type="pct"/>
                  <w:vAlign w:val="center"/>
                </w:tcPr>
                <w:p w14:paraId="06B6F908">
                  <w:pPr>
                    <w:wordWrap w:val="0"/>
                    <w:adjustRightInd w:val="0"/>
                    <w:snapToGrid w:val="0"/>
                    <w:jc w:val="center"/>
                    <w:rPr>
                      <w:szCs w:val="21"/>
                    </w:rPr>
                  </w:pPr>
                  <w:r>
                    <w:rPr>
                      <w:rFonts w:hint="eastAsia"/>
                      <w:szCs w:val="21"/>
                    </w:rPr>
                    <w:t>50</w:t>
                  </w:r>
                </w:p>
              </w:tc>
              <w:tc>
                <w:tcPr>
                  <w:tcW w:w="430" w:type="pct"/>
                  <w:vAlign w:val="center"/>
                </w:tcPr>
                <w:p w14:paraId="6F412669">
                  <w:pPr>
                    <w:wordWrap w:val="0"/>
                    <w:adjustRightInd w:val="0"/>
                    <w:snapToGrid w:val="0"/>
                    <w:jc w:val="center"/>
                    <w:rPr>
                      <w:szCs w:val="21"/>
                    </w:rPr>
                  </w:pPr>
                  <w:r>
                    <w:rPr>
                      <w:rFonts w:hint="eastAsia"/>
                      <w:szCs w:val="21"/>
                    </w:rPr>
                    <w:t>是</w:t>
                  </w:r>
                </w:p>
              </w:tc>
              <w:tc>
                <w:tcPr>
                  <w:tcW w:w="548" w:type="pct"/>
                  <w:vMerge w:val="continue"/>
                  <w:vAlign w:val="center"/>
                </w:tcPr>
                <w:p w14:paraId="26D52E9E">
                  <w:pPr>
                    <w:wordWrap w:val="0"/>
                    <w:adjustRightInd w:val="0"/>
                    <w:snapToGrid w:val="0"/>
                    <w:jc w:val="center"/>
                    <w:rPr>
                      <w:szCs w:val="21"/>
                    </w:rPr>
                  </w:pPr>
                </w:p>
              </w:tc>
            </w:tr>
            <w:tr w14:paraId="64D7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Align w:val="center"/>
                </w:tcPr>
                <w:p w14:paraId="7E8EEAFD">
                  <w:pPr>
                    <w:wordWrap w:val="0"/>
                    <w:adjustRightInd w:val="0"/>
                    <w:snapToGrid w:val="0"/>
                    <w:jc w:val="center"/>
                    <w:rPr>
                      <w:szCs w:val="21"/>
                    </w:rPr>
                  </w:pPr>
                  <w:r>
                    <w:rPr>
                      <w:rFonts w:hint="eastAsia"/>
                      <w:szCs w:val="21"/>
                    </w:rPr>
                    <w:t>喷涂工序3排气筒DA006</w:t>
                  </w:r>
                </w:p>
              </w:tc>
              <w:tc>
                <w:tcPr>
                  <w:tcW w:w="406" w:type="pct"/>
                  <w:vAlign w:val="center"/>
                </w:tcPr>
                <w:p w14:paraId="4882BD65">
                  <w:pPr>
                    <w:wordWrap w:val="0"/>
                    <w:adjustRightInd w:val="0"/>
                    <w:snapToGrid w:val="0"/>
                    <w:jc w:val="center"/>
                    <w:rPr>
                      <w:szCs w:val="21"/>
                    </w:rPr>
                  </w:pPr>
                  <w:r>
                    <w:rPr>
                      <w:rFonts w:hint="eastAsia"/>
                      <w:szCs w:val="21"/>
                    </w:rPr>
                    <w:t>颗粒物</w:t>
                  </w:r>
                </w:p>
              </w:tc>
              <w:tc>
                <w:tcPr>
                  <w:tcW w:w="522" w:type="pct"/>
                  <w:vAlign w:val="center"/>
                </w:tcPr>
                <w:p w14:paraId="7B4952AF">
                  <w:pPr>
                    <w:wordWrap w:val="0"/>
                    <w:adjustRightInd w:val="0"/>
                    <w:snapToGrid w:val="0"/>
                    <w:jc w:val="center"/>
                    <w:rPr>
                      <w:szCs w:val="21"/>
                    </w:rPr>
                  </w:pPr>
                  <w:r>
                    <w:rPr>
                      <w:rFonts w:hint="eastAsia"/>
                      <w:szCs w:val="21"/>
                    </w:rPr>
                    <w:t>0.128</w:t>
                  </w:r>
                </w:p>
              </w:tc>
              <w:tc>
                <w:tcPr>
                  <w:tcW w:w="613" w:type="pct"/>
                  <w:vAlign w:val="center"/>
                </w:tcPr>
                <w:p w14:paraId="2BDC776B">
                  <w:pPr>
                    <w:wordWrap w:val="0"/>
                    <w:adjustRightInd w:val="0"/>
                    <w:snapToGrid w:val="0"/>
                    <w:jc w:val="center"/>
                    <w:rPr>
                      <w:szCs w:val="21"/>
                    </w:rPr>
                  </w:pPr>
                  <w:r>
                    <w:rPr>
                      <w:rFonts w:hint="eastAsia"/>
                      <w:szCs w:val="21"/>
                    </w:rPr>
                    <w:t>0.103</w:t>
                  </w:r>
                </w:p>
              </w:tc>
              <w:tc>
                <w:tcPr>
                  <w:tcW w:w="628" w:type="pct"/>
                  <w:vAlign w:val="center"/>
                </w:tcPr>
                <w:p w14:paraId="1C7E56BE">
                  <w:pPr>
                    <w:wordWrap w:val="0"/>
                    <w:adjustRightInd w:val="0"/>
                    <w:snapToGrid w:val="0"/>
                    <w:jc w:val="center"/>
                    <w:rPr>
                      <w:szCs w:val="21"/>
                    </w:rPr>
                  </w:pPr>
                  <w:r>
                    <w:rPr>
                      <w:rFonts w:hint="eastAsia"/>
                      <w:szCs w:val="21"/>
                    </w:rPr>
                    <w:t>5000</w:t>
                  </w:r>
                </w:p>
              </w:tc>
              <w:tc>
                <w:tcPr>
                  <w:tcW w:w="786" w:type="pct"/>
                  <w:vAlign w:val="center"/>
                </w:tcPr>
                <w:p w14:paraId="389C58B8">
                  <w:pPr>
                    <w:wordWrap w:val="0"/>
                    <w:adjustRightInd w:val="0"/>
                    <w:snapToGrid w:val="0"/>
                    <w:jc w:val="center"/>
                    <w:rPr>
                      <w:szCs w:val="21"/>
                    </w:rPr>
                  </w:pPr>
                  <w:r>
                    <w:rPr>
                      <w:rFonts w:hint="eastAsia"/>
                      <w:szCs w:val="21"/>
                    </w:rPr>
                    <w:t>34.409</w:t>
                  </w:r>
                </w:p>
              </w:tc>
              <w:tc>
                <w:tcPr>
                  <w:tcW w:w="575" w:type="pct"/>
                  <w:vAlign w:val="center"/>
                </w:tcPr>
                <w:p w14:paraId="1DB074BD">
                  <w:pPr>
                    <w:wordWrap w:val="0"/>
                    <w:adjustRightInd w:val="0"/>
                    <w:snapToGrid w:val="0"/>
                    <w:jc w:val="center"/>
                    <w:rPr>
                      <w:szCs w:val="21"/>
                    </w:rPr>
                  </w:pPr>
                  <w:r>
                    <w:rPr>
                      <w:rFonts w:hint="eastAsia"/>
                      <w:szCs w:val="21"/>
                    </w:rPr>
                    <w:t>120</w:t>
                  </w:r>
                </w:p>
              </w:tc>
              <w:tc>
                <w:tcPr>
                  <w:tcW w:w="430" w:type="pct"/>
                  <w:vAlign w:val="center"/>
                </w:tcPr>
                <w:p w14:paraId="1CE76C45">
                  <w:pPr>
                    <w:wordWrap w:val="0"/>
                    <w:adjustRightInd w:val="0"/>
                    <w:snapToGrid w:val="0"/>
                    <w:jc w:val="center"/>
                    <w:rPr>
                      <w:szCs w:val="21"/>
                    </w:rPr>
                  </w:pPr>
                  <w:r>
                    <w:rPr>
                      <w:rFonts w:hint="eastAsia"/>
                      <w:szCs w:val="21"/>
                    </w:rPr>
                    <w:t>是</w:t>
                  </w:r>
                </w:p>
              </w:tc>
              <w:tc>
                <w:tcPr>
                  <w:tcW w:w="548" w:type="pct"/>
                  <w:vMerge w:val="restart"/>
                  <w:vAlign w:val="center"/>
                </w:tcPr>
                <w:p w14:paraId="3E167266">
                  <w:pPr>
                    <w:wordWrap w:val="0"/>
                    <w:adjustRightInd w:val="0"/>
                    <w:snapToGrid w:val="0"/>
                    <w:jc w:val="center"/>
                    <w:rPr>
                      <w:szCs w:val="21"/>
                    </w:rPr>
                  </w:pPr>
                  <w:r>
                    <w:rPr>
                      <w:rFonts w:hAnsi="宋体"/>
                      <w:szCs w:val="21"/>
                    </w:rPr>
                    <w:t>《大气污染物综合排放标准》（</w:t>
                  </w:r>
                  <w:r>
                    <w:rPr>
                      <w:szCs w:val="21"/>
                    </w:rPr>
                    <w:t>GB16297-1996</w:t>
                  </w:r>
                  <w:r>
                    <w:rPr>
                      <w:rFonts w:hAnsi="宋体"/>
                      <w:szCs w:val="21"/>
                    </w:rPr>
                    <w:t>）</w:t>
                  </w:r>
                </w:p>
              </w:tc>
            </w:tr>
            <w:tr w14:paraId="12D5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vAlign w:val="center"/>
                </w:tcPr>
                <w:p w14:paraId="3D29F76B">
                  <w:pPr>
                    <w:wordWrap w:val="0"/>
                    <w:adjustRightInd w:val="0"/>
                    <w:snapToGrid w:val="0"/>
                    <w:jc w:val="center"/>
                    <w:rPr>
                      <w:szCs w:val="21"/>
                    </w:rPr>
                  </w:pPr>
                  <w:r>
                    <w:rPr>
                      <w:rFonts w:hint="eastAsia"/>
                      <w:szCs w:val="21"/>
                    </w:rPr>
                    <w:t>喷漆工序4排气筒DA007</w:t>
                  </w:r>
                </w:p>
              </w:tc>
              <w:tc>
                <w:tcPr>
                  <w:tcW w:w="406" w:type="pct"/>
                  <w:vAlign w:val="center"/>
                </w:tcPr>
                <w:p w14:paraId="69B6F0B3">
                  <w:pPr>
                    <w:wordWrap w:val="0"/>
                    <w:adjustRightInd w:val="0"/>
                    <w:snapToGrid w:val="0"/>
                    <w:jc w:val="center"/>
                    <w:rPr>
                      <w:szCs w:val="21"/>
                    </w:rPr>
                  </w:pPr>
                  <w:r>
                    <w:rPr>
                      <w:rFonts w:hint="eastAsia"/>
                      <w:szCs w:val="21"/>
                    </w:rPr>
                    <w:t>颗粒物</w:t>
                  </w:r>
                </w:p>
              </w:tc>
              <w:tc>
                <w:tcPr>
                  <w:tcW w:w="522" w:type="pct"/>
                  <w:vAlign w:val="center"/>
                </w:tcPr>
                <w:p w14:paraId="29DD9C06">
                  <w:pPr>
                    <w:wordWrap w:val="0"/>
                    <w:adjustRightInd w:val="0"/>
                    <w:snapToGrid w:val="0"/>
                    <w:jc w:val="center"/>
                    <w:rPr>
                      <w:szCs w:val="21"/>
                    </w:rPr>
                  </w:pPr>
                  <w:r>
                    <w:rPr>
                      <w:rFonts w:hint="eastAsia"/>
                      <w:szCs w:val="21"/>
                    </w:rPr>
                    <w:t>0.001</w:t>
                  </w:r>
                </w:p>
              </w:tc>
              <w:tc>
                <w:tcPr>
                  <w:tcW w:w="613" w:type="pct"/>
                  <w:vAlign w:val="center"/>
                </w:tcPr>
                <w:p w14:paraId="36190254">
                  <w:pPr>
                    <w:wordWrap w:val="0"/>
                    <w:adjustRightInd w:val="0"/>
                    <w:snapToGrid w:val="0"/>
                    <w:jc w:val="center"/>
                    <w:rPr>
                      <w:szCs w:val="21"/>
                    </w:rPr>
                  </w:pPr>
                  <w:r>
                    <w:rPr>
                      <w:rFonts w:hint="eastAsia"/>
                      <w:szCs w:val="21"/>
                    </w:rPr>
                    <w:t>0.002</w:t>
                  </w:r>
                </w:p>
              </w:tc>
              <w:tc>
                <w:tcPr>
                  <w:tcW w:w="628" w:type="pct"/>
                  <w:vMerge w:val="restart"/>
                  <w:vAlign w:val="center"/>
                </w:tcPr>
                <w:p w14:paraId="5853F1E9">
                  <w:pPr>
                    <w:wordWrap w:val="0"/>
                    <w:adjustRightInd w:val="0"/>
                    <w:snapToGrid w:val="0"/>
                    <w:jc w:val="center"/>
                    <w:rPr>
                      <w:szCs w:val="21"/>
                    </w:rPr>
                  </w:pPr>
                  <w:r>
                    <w:rPr>
                      <w:rFonts w:hint="eastAsia"/>
                      <w:szCs w:val="21"/>
                    </w:rPr>
                    <w:t>3000</w:t>
                  </w:r>
                </w:p>
              </w:tc>
              <w:tc>
                <w:tcPr>
                  <w:tcW w:w="786" w:type="pct"/>
                  <w:vAlign w:val="center"/>
                </w:tcPr>
                <w:p w14:paraId="53386E35">
                  <w:pPr>
                    <w:wordWrap w:val="0"/>
                    <w:adjustRightInd w:val="0"/>
                    <w:snapToGrid w:val="0"/>
                    <w:jc w:val="center"/>
                    <w:rPr>
                      <w:szCs w:val="21"/>
                    </w:rPr>
                  </w:pPr>
                  <w:r>
                    <w:rPr>
                      <w:rFonts w:hint="eastAsia"/>
                      <w:szCs w:val="21"/>
                    </w:rPr>
                    <w:t>0.538</w:t>
                  </w:r>
                </w:p>
              </w:tc>
              <w:tc>
                <w:tcPr>
                  <w:tcW w:w="575" w:type="pct"/>
                  <w:vAlign w:val="center"/>
                </w:tcPr>
                <w:p w14:paraId="0E5A8D8F">
                  <w:pPr>
                    <w:wordWrap w:val="0"/>
                    <w:adjustRightInd w:val="0"/>
                    <w:snapToGrid w:val="0"/>
                    <w:jc w:val="center"/>
                    <w:rPr>
                      <w:szCs w:val="21"/>
                    </w:rPr>
                  </w:pPr>
                  <w:r>
                    <w:rPr>
                      <w:rFonts w:hint="eastAsia"/>
                      <w:szCs w:val="21"/>
                    </w:rPr>
                    <w:t>120</w:t>
                  </w:r>
                </w:p>
              </w:tc>
              <w:tc>
                <w:tcPr>
                  <w:tcW w:w="430" w:type="pct"/>
                  <w:vAlign w:val="center"/>
                </w:tcPr>
                <w:p w14:paraId="5B1C9333">
                  <w:pPr>
                    <w:wordWrap w:val="0"/>
                    <w:adjustRightInd w:val="0"/>
                    <w:snapToGrid w:val="0"/>
                    <w:jc w:val="center"/>
                    <w:rPr>
                      <w:szCs w:val="21"/>
                    </w:rPr>
                  </w:pPr>
                  <w:r>
                    <w:rPr>
                      <w:rFonts w:hint="eastAsia"/>
                      <w:szCs w:val="21"/>
                    </w:rPr>
                    <w:t>是</w:t>
                  </w:r>
                </w:p>
              </w:tc>
              <w:tc>
                <w:tcPr>
                  <w:tcW w:w="548" w:type="pct"/>
                  <w:vMerge w:val="continue"/>
                  <w:vAlign w:val="center"/>
                </w:tcPr>
                <w:p w14:paraId="40772D5E">
                  <w:pPr>
                    <w:wordWrap w:val="0"/>
                    <w:adjustRightInd w:val="0"/>
                    <w:snapToGrid w:val="0"/>
                    <w:jc w:val="center"/>
                    <w:rPr>
                      <w:szCs w:val="21"/>
                    </w:rPr>
                  </w:pPr>
                </w:p>
              </w:tc>
            </w:tr>
            <w:tr w14:paraId="1EE5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vAlign w:val="center"/>
                </w:tcPr>
                <w:p w14:paraId="2E6ED7C3">
                  <w:pPr>
                    <w:wordWrap w:val="0"/>
                    <w:adjustRightInd w:val="0"/>
                    <w:snapToGrid w:val="0"/>
                    <w:jc w:val="center"/>
                    <w:rPr>
                      <w:szCs w:val="21"/>
                    </w:rPr>
                  </w:pPr>
                </w:p>
              </w:tc>
              <w:tc>
                <w:tcPr>
                  <w:tcW w:w="406" w:type="pct"/>
                  <w:vAlign w:val="center"/>
                </w:tcPr>
                <w:p w14:paraId="5F9BC778">
                  <w:pPr>
                    <w:wordWrap w:val="0"/>
                    <w:adjustRightInd w:val="0"/>
                    <w:snapToGrid w:val="0"/>
                    <w:jc w:val="center"/>
                    <w:rPr>
                      <w:szCs w:val="21"/>
                    </w:rPr>
                  </w:pPr>
                  <w:r>
                    <w:rPr>
                      <w:rFonts w:hint="eastAsia"/>
                      <w:szCs w:val="21"/>
                    </w:rPr>
                    <w:t>非甲烷总烃</w:t>
                  </w:r>
                </w:p>
              </w:tc>
              <w:tc>
                <w:tcPr>
                  <w:tcW w:w="522" w:type="pct"/>
                  <w:vAlign w:val="center"/>
                </w:tcPr>
                <w:p w14:paraId="3DF9AA11">
                  <w:pPr>
                    <w:wordWrap w:val="0"/>
                    <w:adjustRightInd w:val="0"/>
                    <w:snapToGrid w:val="0"/>
                    <w:jc w:val="center"/>
                    <w:rPr>
                      <w:szCs w:val="21"/>
                    </w:rPr>
                  </w:pPr>
                  <w:r>
                    <w:rPr>
                      <w:rFonts w:hint="eastAsia"/>
                      <w:szCs w:val="21"/>
                    </w:rPr>
                    <w:t>0.001</w:t>
                  </w:r>
                </w:p>
              </w:tc>
              <w:tc>
                <w:tcPr>
                  <w:tcW w:w="613" w:type="pct"/>
                  <w:vAlign w:val="center"/>
                </w:tcPr>
                <w:p w14:paraId="2D35BA17">
                  <w:pPr>
                    <w:wordWrap w:val="0"/>
                    <w:adjustRightInd w:val="0"/>
                    <w:snapToGrid w:val="0"/>
                    <w:jc w:val="center"/>
                    <w:rPr>
                      <w:szCs w:val="21"/>
                    </w:rPr>
                  </w:pPr>
                  <w:r>
                    <w:rPr>
                      <w:rFonts w:hint="eastAsia"/>
                      <w:szCs w:val="21"/>
                    </w:rPr>
                    <w:t>0.002</w:t>
                  </w:r>
                </w:p>
              </w:tc>
              <w:tc>
                <w:tcPr>
                  <w:tcW w:w="628" w:type="pct"/>
                  <w:vMerge w:val="continue"/>
                  <w:vAlign w:val="center"/>
                </w:tcPr>
                <w:p w14:paraId="5EF7C2EA">
                  <w:pPr>
                    <w:wordWrap w:val="0"/>
                    <w:adjustRightInd w:val="0"/>
                    <w:snapToGrid w:val="0"/>
                    <w:jc w:val="center"/>
                    <w:rPr>
                      <w:szCs w:val="21"/>
                    </w:rPr>
                  </w:pPr>
                </w:p>
              </w:tc>
              <w:tc>
                <w:tcPr>
                  <w:tcW w:w="786" w:type="pct"/>
                  <w:vAlign w:val="center"/>
                </w:tcPr>
                <w:p w14:paraId="5776EE23">
                  <w:pPr>
                    <w:wordWrap w:val="0"/>
                    <w:adjustRightInd w:val="0"/>
                    <w:snapToGrid w:val="0"/>
                    <w:jc w:val="center"/>
                    <w:rPr>
                      <w:szCs w:val="21"/>
                    </w:rPr>
                  </w:pPr>
                  <w:r>
                    <w:rPr>
                      <w:rFonts w:hint="eastAsia"/>
                      <w:szCs w:val="21"/>
                    </w:rPr>
                    <w:t>0.538</w:t>
                  </w:r>
                </w:p>
              </w:tc>
              <w:tc>
                <w:tcPr>
                  <w:tcW w:w="575" w:type="pct"/>
                  <w:vAlign w:val="center"/>
                </w:tcPr>
                <w:p w14:paraId="7EC78F40">
                  <w:pPr>
                    <w:wordWrap w:val="0"/>
                    <w:adjustRightInd w:val="0"/>
                    <w:snapToGrid w:val="0"/>
                    <w:jc w:val="center"/>
                    <w:rPr>
                      <w:szCs w:val="21"/>
                    </w:rPr>
                  </w:pPr>
                  <w:r>
                    <w:rPr>
                      <w:rFonts w:hint="eastAsia"/>
                      <w:szCs w:val="21"/>
                    </w:rPr>
                    <w:t>50</w:t>
                  </w:r>
                </w:p>
              </w:tc>
              <w:tc>
                <w:tcPr>
                  <w:tcW w:w="430" w:type="pct"/>
                  <w:vAlign w:val="center"/>
                </w:tcPr>
                <w:p w14:paraId="11C27116">
                  <w:pPr>
                    <w:wordWrap w:val="0"/>
                    <w:adjustRightInd w:val="0"/>
                    <w:snapToGrid w:val="0"/>
                    <w:jc w:val="center"/>
                    <w:rPr>
                      <w:szCs w:val="21"/>
                    </w:rPr>
                  </w:pPr>
                  <w:r>
                    <w:rPr>
                      <w:rFonts w:hint="eastAsia"/>
                      <w:szCs w:val="21"/>
                    </w:rPr>
                    <w:t>是</w:t>
                  </w:r>
                </w:p>
              </w:tc>
              <w:tc>
                <w:tcPr>
                  <w:tcW w:w="548" w:type="pct"/>
                  <w:vAlign w:val="center"/>
                </w:tcPr>
                <w:p w14:paraId="60065862">
                  <w:pPr>
                    <w:wordWrap w:val="0"/>
                    <w:adjustRightInd w:val="0"/>
                    <w:snapToGrid w:val="0"/>
                    <w:jc w:val="center"/>
                    <w:rPr>
                      <w:szCs w:val="21"/>
                    </w:rPr>
                  </w:pPr>
                  <w:r>
                    <w:rPr>
                      <w:rFonts w:hint="eastAsia"/>
                      <w:szCs w:val="21"/>
                    </w:rPr>
                    <w:t>《挥发性有机物排放控制标准》（DB61/T1061-2017）</w:t>
                  </w:r>
                </w:p>
              </w:tc>
            </w:tr>
          </w:tbl>
          <w:p w14:paraId="0B7C55DD">
            <w:pPr>
              <w:wordWrap w:val="0"/>
              <w:adjustRightInd w:val="0"/>
              <w:snapToGrid w:val="0"/>
              <w:spacing w:line="360" w:lineRule="auto"/>
              <w:ind w:firstLine="420" w:firstLineChars="200"/>
              <w:jc w:val="left"/>
            </w:pPr>
          </w:p>
        </w:tc>
      </w:tr>
    </w:tbl>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0D5B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061" w:type="dxa"/>
          </w:tcPr>
          <w:p w14:paraId="0C5F05D2">
            <w:pPr>
              <w:adjustRightInd w:val="0"/>
              <w:snapToGrid w:val="0"/>
              <w:spacing w:line="360" w:lineRule="auto"/>
              <w:ind w:left="480"/>
              <w:jc w:val="left"/>
              <w:rPr>
                <w:sz w:val="24"/>
              </w:rPr>
            </w:pPr>
            <w:r>
              <w:rPr>
                <w:rFonts w:hint="eastAsia" w:ascii="宋体" w:hAnsi="宋体"/>
                <w:sz w:val="24"/>
              </w:rPr>
              <w:t>①</w:t>
            </w:r>
            <w:r>
              <w:rPr>
                <w:rFonts w:hint="eastAsia"/>
                <w:sz w:val="24"/>
              </w:rPr>
              <w:t>切割粉尘</w:t>
            </w:r>
          </w:p>
          <w:p w14:paraId="0BB01D0A">
            <w:pPr>
              <w:adjustRightInd w:val="0"/>
              <w:snapToGrid w:val="0"/>
              <w:spacing w:line="360" w:lineRule="auto"/>
              <w:jc w:val="left"/>
              <w:rPr>
                <w:sz w:val="24"/>
              </w:rPr>
            </w:pPr>
            <w:r>
              <w:rPr>
                <w:sz w:val="24"/>
              </w:rPr>
              <w:t>本项目镀锌方管、镀锌圆管、不锈钢圆管</w:t>
            </w:r>
            <w:r>
              <w:rPr>
                <w:rFonts w:hint="eastAsia"/>
                <w:sz w:val="24"/>
              </w:rPr>
              <w:t>采用</w:t>
            </w:r>
            <w:r>
              <w:rPr>
                <w:sz w:val="24"/>
              </w:rPr>
              <w:t>激光切割机进行</w:t>
            </w:r>
            <w:r>
              <w:rPr>
                <w:rFonts w:hint="eastAsia"/>
                <w:sz w:val="24"/>
              </w:rPr>
              <w:t>切割</w:t>
            </w:r>
            <w:r>
              <w:rPr>
                <w:sz w:val="24"/>
              </w:rPr>
              <w:t>，根据《排放源统计调查产排污核算方法与系数手册“C33-C37行业系数表”，切割粉尘产污系数按下料工段氧/可燃气切割1.10千克/t-原料计，项目年用镀锌方管、镀锌圆管、不锈钢圆管共计1000t，则切割</w:t>
            </w:r>
            <w:r>
              <w:rPr>
                <w:rFonts w:hint="eastAsia"/>
                <w:sz w:val="24"/>
              </w:rPr>
              <w:t>工序</w:t>
            </w:r>
            <w:r>
              <w:rPr>
                <w:sz w:val="24"/>
              </w:rPr>
              <w:t>粉尘产生量为1.1t/a。</w:t>
            </w:r>
          </w:p>
          <w:p w14:paraId="2004E565">
            <w:pPr>
              <w:adjustRightInd w:val="0"/>
              <w:snapToGrid w:val="0"/>
              <w:spacing w:line="360" w:lineRule="auto"/>
              <w:ind w:firstLine="480" w:firstLineChars="200"/>
              <w:jc w:val="left"/>
              <w:rPr>
                <w:sz w:val="24"/>
              </w:rPr>
            </w:pPr>
            <w:r>
              <w:rPr>
                <w:sz w:val="24"/>
              </w:rPr>
              <w:t>②焊接粉尘</w:t>
            </w:r>
          </w:p>
          <w:p w14:paraId="14072B01">
            <w:pPr>
              <w:wordWrap w:val="0"/>
              <w:autoSpaceDN w:val="0"/>
              <w:adjustRightInd w:val="0"/>
              <w:spacing w:line="360" w:lineRule="auto"/>
              <w:ind w:firstLine="480" w:firstLineChars="200"/>
              <w:jc w:val="left"/>
              <w:rPr>
                <w:sz w:val="24"/>
              </w:rPr>
            </w:pPr>
            <w:r>
              <w:rPr>
                <w:sz w:val="24"/>
              </w:rPr>
              <w:t>根据《排放源统计调查产排污核算方法与系数手册“C33-C37行业系数表”，焊接粉尘产污系数20.5千克/t-原料计，项目项目焊条用量约0.75t/a，日焊接设备使用时间约4h。则焊接烟尘产生量为0.015t/a</w:t>
            </w:r>
            <w:r>
              <w:rPr>
                <w:rFonts w:hint="eastAsia"/>
                <w:sz w:val="24"/>
              </w:rPr>
              <w:t>。</w:t>
            </w:r>
          </w:p>
          <w:p w14:paraId="25BDB369">
            <w:pPr>
              <w:wordWrap w:val="0"/>
              <w:autoSpaceDN w:val="0"/>
              <w:adjustRightInd w:val="0"/>
              <w:spacing w:line="360" w:lineRule="auto"/>
              <w:ind w:firstLine="480" w:firstLineChars="200"/>
              <w:jc w:val="left"/>
              <w:rPr>
                <w:sz w:val="24"/>
              </w:rPr>
            </w:pPr>
            <w:r>
              <w:rPr>
                <w:rFonts w:hint="eastAsia" w:ascii="宋体" w:hAnsi="宋体"/>
                <w:sz w:val="24"/>
              </w:rPr>
              <w:t>③</w:t>
            </w:r>
            <w:r>
              <w:rPr>
                <w:sz w:val="24"/>
              </w:rPr>
              <w:t>打磨粉尘</w:t>
            </w:r>
          </w:p>
          <w:p w14:paraId="248F8F87">
            <w:pPr>
              <w:wordWrap w:val="0"/>
              <w:autoSpaceDN w:val="0"/>
              <w:adjustRightInd w:val="0"/>
              <w:spacing w:line="360" w:lineRule="auto"/>
              <w:ind w:firstLine="480" w:firstLineChars="200"/>
              <w:jc w:val="left"/>
              <w:rPr>
                <w:sz w:val="24"/>
              </w:rPr>
            </w:pPr>
            <w:r>
              <w:rPr>
                <w:sz w:val="24"/>
              </w:rPr>
              <w:t>根据工程分析可知，本项目对镀锌方管、镀锌圆管、不锈钢圆管打磨过程中会产生一定粉尘，粉尘主要为金属颗粒物。项目根据建设单位提供资料，本项目打磨处理镀锌方管、镀锌圆管、不锈钢圆管约为1000t/a，根据《排放源统计调查产排污核算方法与系数手册》“C33-C37行业系数表”，打磨粉尘产生量按2.19kg/吨原料计，则打磨粉尘产生量为2.19t/a。</w:t>
            </w:r>
          </w:p>
          <w:p w14:paraId="2903B7F3">
            <w:pPr>
              <w:pStyle w:val="45"/>
              <w:ind w:firstLine="480"/>
            </w:pPr>
            <w:r>
              <w:rPr>
                <w:rFonts w:hint="eastAsia" w:ascii="宋体" w:hAnsi="宋体"/>
              </w:rPr>
              <w:t>④</w:t>
            </w:r>
            <w:r>
              <w:rPr>
                <w:rFonts w:hint="eastAsia"/>
              </w:rPr>
              <w:t>抛丸粉尘</w:t>
            </w:r>
          </w:p>
          <w:p w14:paraId="6FDFDE01">
            <w:pPr>
              <w:wordWrap w:val="0"/>
              <w:autoSpaceDN w:val="0"/>
              <w:adjustRightInd w:val="0"/>
              <w:spacing w:line="360" w:lineRule="auto"/>
              <w:ind w:firstLine="480" w:firstLineChars="200"/>
              <w:jc w:val="left"/>
              <w:rPr>
                <w:sz w:val="24"/>
              </w:rPr>
            </w:pPr>
            <w:r>
              <w:rPr>
                <w:sz w:val="24"/>
              </w:rPr>
              <w:t>根据工程分析可知，本项目对镀锌方管、镀锌圆管、不锈钢圆管</w:t>
            </w:r>
            <w:r>
              <w:rPr>
                <w:rFonts w:hint="eastAsia"/>
                <w:sz w:val="24"/>
              </w:rPr>
              <w:t>抛丸</w:t>
            </w:r>
            <w:r>
              <w:rPr>
                <w:sz w:val="24"/>
              </w:rPr>
              <w:t>过程中会产生一定粉尘，粉尘主要为金属颗粒物。项目根据建设单位提供资料，本项目抛丸处理镀锌方管、镀锌圆管、不锈钢圆管约为1000t/a，根据《排放源统计调查产排污核算方法与系数手册》“C33-C37行业系数表”，打磨抛丸粉尘产生量按2.19kg/吨原料计，则</w:t>
            </w:r>
            <w:r>
              <w:rPr>
                <w:rFonts w:hint="eastAsia"/>
                <w:sz w:val="24"/>
              </w:rPr>
              <w:t>抛丸</w:t>
            </w:r>
            <w:r>
              <w:rPr>
                <w:sz w:val="24"/>
              </w:rPr>
              <w:t>粉尘产生量为2.19t/a。</w:t>
            </w:r>
          </w:p>
          <w:p w14:paraId="752720F3">
            <w:pPr>
              <w:pStyle w:val="45"/>
              <w:ind w:firstLine="480"/>
            </w:pPr>
            <w:r>
              <w:rPr>
                <w:rFonts w:hint="eastAsia" w:ascii="宋体" w:hAnsi="宋体"/>
              </w:rPr>
              <w:t>⑤</w:t>
            </w:r>
            <w:r>
              <w:t>喷</w:t>
            </w:r>
            <w:r>
              <w:rPr>
                <w:rFonts w:hint="eastAsia"/>
              </w:rPr>
              <w:t>粉</w:t>
            </w:r>
            <w:r>
              <w:t>粉尘</w:t>
            </w:r>
          </w:p>
          <w:p w14:paraId="396904D4">
            <w:pPr>
              <w:spacing w:line="360" w:lineRule="auto"/>
              <w:ind w:firstLine="480" w:firstLineChars="200"/>
              <w:jc w:val="left"/>
              <w:rPr>
                <w:sz w:val="24"/>
              </w:rPr>
            </w:pPr>
            <w:r>
              <w:rPr>
                <w:sz w:val="24"/>
              </w:rPr>
              <w:t>本项目表面处理采用静电喷塑工艺，塑粉为环氧树脂粉末，无需有机溶剂作分散介质，常温下不产生有机废气，产生的污染物主要是塑粉粉尘，粉尘回收后重复利用，未收集到的粉尘作无组织排放。喷</w:t>
            </w:r>
            <w:r>
              <w:rPr>
                <w:rFonts w:hint="eastAsia"/>
                <w:sz w:val="24"/>
              </w:rPr>
              <w:t>粉</w:t>
            </w:r>
            <w:r>
              <w:rPr>
                <w:sz w:val="24"/>
              </w:rPr>
              <w:t>过程为间歇式，喷</w:t>
            </w:r>
            <w:r>
              <w:rPr>
                <w:rFonts w:hint="eastAsia"/>
                <w:sz w:val="24"/>
              </w:rPr>
              <w:t>粉</w:t>
            </w:r>
            <w:r>
              <w:rPr>
                <w:sz w:val="24"/>
              </w:rPr>
              <w:t>时间约为4h/d，年工作300d，根据《排放源统计调查产排污核算方法与系数手册》“C33-C37行业系数表”，喷涂粉尘产生量按300kg/吨原料计，项目所用的热固性粉末涂料约为50.0t/a，因此喷塑过程粉尘产生量约为15t/a。</w:t>
            </w:r>
          </w:p>
          <w:p w14:paraId="5D6497CD">
            <w:pPr>
              <w:pStyle w:val="45"/>
              <w:ind w:firstLine="480"/>
            </w:pPr>
            <w:r>
              <w:rPr>
                <w:rFonts w:hint="eastAsia" w:ascii="宋体" w:hAnsi="宋体"/>
              </w:rPr>
              <w:t>⑥</w:t>
            </w:r>
            <w:r>
              <w:t>喷漆废气</w:t>
            </w:r>
          </w:p>
          <w:p w14:paraId="72A0A4A3">
            <w:pPr>
              <w:pStyle w:val="64"/>
              <w:spacing w:line="360" w:lineRule="auto"/>
              <w:ind w:firstLine="464" w:firstLineChars="200"/>
            </w:pPr>
            <w:r>
              <w:rPr>
                <w:spacing w:val="-4"/>
              </w:rPr>
              <w:t>参照</w:t>
            </w:r>
            <w:r>
              <w:t>《</w:t>
            </w:r>
            <w:r>
              <w:rPr>
                <w:rFonts w:hint="eastAsia"/>
              </w:rPr>
              <w:t>排放源统计调查产排污核算方法和系数手册</w:t>
            </w:r>
            <w:r>
              <w:t>》</w:t>
            </w:r>
            <w:r>
              <w:rPr>
                <w:spacing w:val="1"/>
              </w:rPr>
              <w:t>中</w:t>
            </w:r>
            <w:r>
              <w:rPr>
                <w:rFonts w:eastAsia="Times New Roman"/>
                <w:spacing w:val="-4"/>
              </w:rPr>
              <w:t>211</w:t>
            </w:r>
            <w:r>
              <w:t>木质家具制造行业，</w:t>
            </w:r>
            <w:r>
              <w:rPr>
                <w:rFonts w:hint="eastAsia"/>
              </w:rPr>
              <w:t>水性漆喷漆漆雾（颗粒物）</w:t>
            </w:r>
            <w:r>
              <w:t>产污系数为</w:t>
            </w:r>
            <w:r>
              <w:rPr>
                <w:rFonts w:hint="eastAsia"/>
              </w:rPr>
              <w:t>20.8</w:t>
            </w:r>
            <w:r>
              <w:rPr>
                <w:rFonts w:eastAsia="Times New Roman"/>
              </w:rPr>
              <w:t>g/</w:t>
            </w:r>
            <w:r>
              <w:rPr>
                <w:rFonts w:hint="eastAsia"/>
              </w:rPr>
              <w:t>kg</w:t>
            </w:r>
            <w:r>
              <w:rPr>
                <w:rFonts w:eastAsia="Times New Roman"/>
              </w:rPr>
              <w:t>-</w:t>
            </w:r>
            <w:r>
              <w:rPr>
                <w:rFonts w:hint="eastAsia"/>
              </w:rPr>
              <w:t>涂料</w:t>
            </w:r>
            <w:r>
              <w:rPr>
                <w:spacing w:val="-2"/>
              </w:rPr>
              <w:t>。根据建设单位提供资料，项目年</w:t>
            </w:r>
            <w:r>
              <w:rPr>
                <w:rFonts w:hint="eastAsia"/>
                <w:spacing w:val="-2"/>
              </w:rPr>
              <w:t>使用水性漆1.5t</w:t>
            </w:r>
            <w:r>
              <w:t>，则</w:t>
            </w:r>
            <w:r>
              <w:rPr>
                <w:rFonts w:hint="eastAsia"/>
              </w:rPr>
              <w:t>漆雾（颗粒物）</w:t>
            </w:r>
            <w:r>
              <w:rPr>
                <w:spacing w:val="-8"/>
              </w:rPr>
              <w:t>产生量为</w:t>
            </w:r>
            <w:r>
              <w:rPr>
                <w:rFonts w:eastAsia="Times New Roman"/>
              </w:rPr>
              <w:t>0.</w:t>
            </w:r>
            <w:r>
              <w:rPr>
                <w:rFonts w:hint="eastAsia"/>
              </w:rPr>
              <w:t>229</w:t>
            </w:r>
            <w:r>
              <w:rPr>
                <w:rFonts w:eastAsia="Times New Roman"/>
              </w:rPr>
              <w:t>t/a</w:t>
            </w:r>
            <w:r>
              <w:t>。</w:t>
            </w:r>
          </w:p>
          <w:p w14:paraId="3682F08D">
            <w:pPr>
              <w:spacing w:line="360" w:lineRule="auto"/>
              <w:ind w:firstLine="480" w:firstLineChars="200"/>
              <w:jc w:val="left"/>
              <w:rPr>
                <w:sz w:val="24"/>
              </w:rPr>
            </w:pPr>
            <w:r>
              <w:rPr>
                <w:sz w:val="24"/>
              </w:rPr>
              <w:t>本项目使用水性漆、无需调配，采用喷枪对工件进行全方位喷漆，喷漆房采用全密闭负压设计，根据</w:t>
            </w:r>
            <w:r>
              <w:rPr>
                <w:rFonts w:hint="eastAsia"/>
                <w:sz w:val="24"/>
              </w:rPr>
              <w:t>附件水性漆监测报告，水性漆中VOCs含量为12.3</w:t>
            </w:r>
            <w:r>
              <w:rPr>
                <w:sz w:val="24"/>
              </w:rPr>
              <w:t>g/</w:t>
            </w:r>
            <w:r>
              <w:rPr>
                <w:rFonts w:hint="eastAsia"/>
                <w:sz w:val="24"/>
              </w:rPr>
              <w:t>L</w:t>
            </w:r>
            <w:r>
              <w:rPr>
                <w:sz w:val="24"/>
              </w:rPr>
              <w:t>原料计，项目所用的水性漆</w:t>
            </w:r>
            <w:r>
              <w:rPr>
                <w:rFonts w:hint="eastAsia"/>
                <w:sz w:val="24"/>
              </w:rPr>
              <w:t>量</w:t>
            </w:r>
            <w:r>
              <w:rPr>
                <w:sz w:val="24"/>
              </w:rPr>
              <w:t>约为</w:t>
            </w:r>
            <w:r>
              <w:rPr>
                <w:rFonts w:hint="eastAsia"/>
                <w:sz w:val="24"/>
              </w:rPr>
              <w:t>625L</w:t>
            </w:r>
            <w:r>
              <w:rPr>
                <w:sz w:val="24"/>
              </w:rPr>
              <w:t>/a，因此喷漆工序有机废气产生量为0.</w:t>
            </w:r>
            <w:r>
              <w:rPr>
                <w:rFonts w:hint="eastAsia"/>
                <w:sz w:val="24"/>
              </w:rPr>
              <w:t>016</w:t>
            </w:r>
            <w:r>
              <w:rPr>
                <w:sz w:val="24"/>
              </w:rPr>
              <w:t>t/a。</w:t>
            </w:r>
          </w:p>
          <w:p w14:paraId="56870F88">
            <w:pPr>
              <w:pStyle w:val="45"/>
              <w:ind w:firstLine="480"/>
            </w:pPr>
            <w:r>
              <w:rPr>
                <w:rFonts w:hint="eastAsia" w:ascii="宋体" w:hAnsi="宋体"/>
              </w:rPr>
              <w:t>⑦</w:t>
            </w:r>
            <w:r>
              <w:rPr>
                <w:rFonts w:hint="eastAsia"/>
              </w:rPr>
              <w:t>烘干有机</w:t>
            </w:r>
            <w:r>
              <w:t>废气</w:t>
            </w:r>
          </w:p>
          <w:p w14:paraId="548E0608">
            <w:pPr>
              <w:spacing w:line="360" w:lineRule="auto"/>
              <w:ind w:firstLine="480" w:firstLineChars="200"/>
              <w:jc w:val="left"/>
              <w:rPr>
                <w:sz w:val="24"/>
              </w:rPr>
            </w:pPr>
            <w:r>
              <w:rPr>
                <w:sz w:val="24"/>
              </w:rPr>
              <w:t>A.喷塑烘干有机废气</w:t>
            </w:r>
          </w:p>
          <w:p w14:paraId="32965A73">
            <w:pPr>
              <w:spacing w:line="360" w:lineRule="auto"/>
              <w:ind w:firstLine="480" w:firstLineChars="200"/>
              <w:jc w:val="left"/>
              <w:rPr>
                <w:sz w:val="24"/>
              </w:rPr>
            </w:pPr>
            <w:r>
              <w:rPr>
                <w:sz w:val="24"/>
              </w:rPr>
              <w:t>喷涂好的工件通过送入进入</w:t>
            </w:r>
            <w:r>
              <w:rPr>
                <w:rFonts w:hint="eastAsia"/>
                <w:sz w:val="24"/>
              </w:rPr>
              <w:t>烘箱烘干</w:t>
            </w:r>
            <w:r>
              <w:rPr>
                <w:sz w:val="24"/>
              </w:rPr>
              <w:t>（与喷涂共用一套</w:t>
            </w:r>
            <w:r>
              <w:rPr>
                <w:rFonts w:hint="eastAsia"/>
                <w:sz w:val="24"/>
              </w:rPr>
              <w:t>烘箱</w:t>
            </w:r>
            <w:r>
              <w:rPr>
                <w:sz w:val="24"/>
              </w:rPr>
              <w:t>），以燃烧室内（</w:t>
            </w:r>
            <w:r>
              <w:rPr>
                <w:rFonts w:hAnsi="宋体"/>
                <w:sz w:val="24"/>
              </w:rPr>
              <w:t>天然气</w:t>
            </w:r>
            <w:r>
              <w:rPr>
                <w:sz w:val="24"/>
              </w:rPr>
              <w:t>/</w:t>
            </w:r>
            <w:r>
              <w:rPr>
                <w:rFonts w:hAnsi="宋体"/>
                <w:sz w:val="24"/>
              </w:rPr>
              <w:t>液化石油气</w:t>
            </w:r>
            <w:r>
              <w:rPr>
                <w:sz w:val="24"/>
              </w:rPr>
              <w:t>）燃烧作热源进行间接加热烘干，通过加热空气形成热风循环烘道，烘道内设置温度检测装置，热空气以0.1-0.2m/s的风速进入到烘干线内；工作温度约为150-230℃，烘干时间约为20~30min，粉末固化时，粉末涂料中聚酯、环氧树脂与固化剂发生交联反应，形成三维网状不溶的体型分子。由于聚酯环氧树脂分解温度高于320℃，聚酯树脂分解温度高于300℃，本项目固化温度在180-200℃范围内，因此，固化过程中聚酯、环氧树脂自身不会分解产生有机废气，但是在烘干固化过程中会有少量的有机废气产生（烘烤工序每天工作4h），主要成分为非甲烷总烃。</w:t>
            </w:r>
            <w:r>
              <w:rPr>
                <w:rFonts w:hAnsi="Arial"/>
                <w:sz w:val="24"/>
              </w:rPr>
              <w:t>根据《排放源统计调查产排污核算方法和系数手册》</w:t>
            </w:r>
            <w:r>
              <w:rPr>
                <w:sz w:val="24"/>
              </w:rPr>
              <w:t>“C33-C37</w:t>
            </w:r>
            <w:r>
              <w:rPr>
                <w:rFonts w:hAnsi="Arial"/>
                <w:sz w:val="24"/>
              </w:rPr>
              <w:t>行业系数表</w:t>
            </w:r>
            <w:r>
              <w:rPr>
                <w:sz w:val="24"/>
              </w:rPr>
              <w:t>”</w:t>
            </w:r>
            <w:r>
              <w:rPr>
                <w:rFonts w:hAnsi="Arial"/>
                <w:sz w:val="24"/>
              </w:rPr>
              <w:t>核算环节，</w:t>
            </w:r>
            <w:r>
              <w:rPr>
                <w:sz w:val="24"/>
              </w:rPr>
              <w:t>喷塑后烘干工序挥发性有机物（以非甲烷总烃计）的产生量为1.20kg/t-原料，本项目年用塑粉50.0t，则非甲烷总烃产生量为0.06t/a。</w:t>
            </w:r>
          </w:p>
          <w:p w14:paraId="6C3C9D69">
            <w:pPr>
              <w:spacing w:line="360" w:lineRule="auto"/>
              <w:ind w:firstLine="480" w:firstLineChars="200"/>
              <w:jc w:val="left"/>
              <w:rPr>
                <w:sz w:val="24"/>
              </w:rPr>
            </w:pPr>
            <w:r>
              <w:rPr>
                <w:sz w:val="24"/>
              </w:rPr>
              <w:t>B.喷漆烘干有机废气</w:t>
            </w:r>
          </w:p>
          <w:p w14:paraId="53C68F17">
            <w:pPr>
              <w:spacing w:line="360" w:lineRule="auto"/>
              <w:ind w:firstLine="480" w:firstLineChars="200"/>
              <w:jc w:val="left"/>
              <w:rPr>
                <w:sz w:val="24"/>
              </w:rPr>
            </w:pPr>
            <w:r>
              <w:rPr>
                <w:sz w:val="24"/>
              </w:rPr>
              <w:t>喷漆结束后的工件进入</w:t>
            </w:r>
            <w:r>
              <w:rPr>
                <w:rFonts w:hint="eastAsia"/>
                <w:sz w:val="24"/>
              </w:rPr>
              <w:t>烘箱</w:t>
            </w:r>
            <w:r>
              <w:rPr>
                <w:sz w:val="24"/>
              </w:rPr>
              <w:t>（</w:t>
            </w:r>
            <w:r>
              <w:rPr>
                <w:rFonts w:hint="eastAsia"/>
                <w:sz w:val="24"/>
              </w:rPr>
              <w:t>烘箱</w:t>
            </w:r>
            <w:r>
              <w:rPr>
                <w:sz w:val="24"/>
              </w:rPr>
              <w:t>两端均设置有集气罩），根据《排放源统计调查产排污核算方法和系数手册》“C33-C37行业系数表”，喷漆后烘干工序挥发性有机物产生量为15kg/t-原料，项目所用的水性漆约为1.5t/a，因此喷漆工序有机废气产生量为0.023t/a。</w:t>
            </w:r>
          </w:p>
          <w:p w14:paraId="5C5C58E8">
            <w:pPr>
              <w:spacing w:line="360" w:lineRule="auto"/>
              <w:ind w:firstLine="480" w:firstLineChars="200"/>
              <w:jc w:val="left"/>
              <w:rPr>
                <w:sz w:val="24"/>
              </w:rPr>
            </w:pPr>
            <w:r>
              <w:rPr>
                <w:rFonts w:hint="eastAsia" w:ascii="宋体" w:hAnsi="宋体"/>
                <w:sz w:val="24"/>
              </w:rPr>
              <w:t>⑧</w:t>
            </w:r>
            <w:r>
              <w:rPr>
                <w:rFonts w:hint="eastAsia"/>
                <w:sz w:val="24"/>
              </w:rPr>
              <w:t>燃料</w:t>
            </w:r>
            <w:r>
              <w:rPr>
                <w:sz w:val="24"/>
              </w:rPr>
              <w:t>燃烧废气</w:t>
            </w:r>
          </w:p>
          <w:p w14:paraId="0A90DE57">
            <w:pPr>
              <w:spacing w:line="360" w:lineRule="auto"/>
              <w:ind w:firstLine="480" w:firstLineChars="200"/>
              <w:jc w:val="left"/>
              <w:rPr>
                <w:sz w:val="24"/>
              </w:rPr>
            </w:pPr>
            <w:r>
              <w:rPr>
                <w:sz w:val="24"/>
              </w:rPr>
              <w:t>本项目</w:t>
            </w:r>
            <w:r>
              <w:rPr>
                <w:rFonts w:hint="eastAsia"/>
                <w:sz w:val="24"/>
              </w:rPr>
              <w:t>烘箱前期燃料燃烧</w:t>
            </w:r>
            <w:r>
              <w:rPr>
                <w:sz w:val="24"/>
              </w:rPr>
              <w:t>采用</w:t>
            </w:r>
            <w:r>
              <w:rPr>
                <w:rFonts w:hint="eastAsia"/>
                <w:sz w:val="24"/>
              </w:rPr>
              <w:t>液化石油气作为燃料，后期使用</w:t>
            </w:r>
            <w:r>
              <w:rPr>
                <w:sz w:val="24"/>
              </w:rPr>
              <w:t>天然气作为燃料，</w:t>
            </w:r>
            <w:r>
              <w:rPr>
                <w:rFonts w:hint="eastAsia"/>
                <w:sz w:val="24"/>
              </w:rPr>
              <w:t>液化石油气及</w:t>
            </w:r>
            <w:r>
              <w:rPr>
                <w:sz w:val="24"/>
              </w:rPr>
              <w:t>天然气属于清洁能源（天然气燃烧生成二氧化碳和水），根据建设单位提供的资料，项目年使用</w:t>
            </w:r>
            <w:r>
              <w:rPr>
                <w:rFonts w:hint="eastAsia"/>
                <w:sz w:val="24"/>
              </w:rPr>
              <w:t>液化石油气</w:t>
            </w:r>
            <w:r>
              <w:rPr>
                <w:sz w:val="24"/>
              </w:rPr>
              <w:t>约为</w:t>
            </w:r>
            <w:r>
              <w:rPr>
                <w:rFonts w:hint="eastAsia"/>
                <w:sz w:val="24"/>
              </w:rPr>
              <w:t>6.4</w:t>
            </w:r>
            <w:r>
              <w:rPr>
                <w:sz w:val="24"/>
              </w:rPr>
              <w:t>万m</w:t>
            </w:r>
            <w:r>
              <w:rPr>
                <w:sz w:val="24"/>
                <w:vertAlign w:val="superscript"/>
              </w:rPr>
              <w:t>3</w:t>
            </w:r>
            <w:r>
              <w:rPr>
                <w:sz w:val="24"/>
              </w:rPr>
              <w:t>/a</w:t>
            </w:r>
            <w:r>
              <w:rPr>
                <w:rFonts w:hint="eastAsia"/>
                <w:sz w:val="24"/>
              </w:rPr>
              <w:t>、</w:t>
            </w:r>
            <w:r>
              <w:rPr>
                <w:sz w:val="24"/>
              </w:rPr>
              <w:t>天然气量约为8万m</w:t>
            </w:r>
            <w:r>
              <w:rPr>
                <w:sz w:val="24"/>
                <w:vertAlign w:val="superscript"/>
              </w:rPr>
              <w:t>3</w:t>
            </w:r>
            <w:r>
              <w:rPr>
                <w:sz w:val="24"/>
              </w:rPr>
              <w:t>/a，根据《排污许可证申请与核发技术规范 锅炉》表F.3燃气工业锅炉的废气产排污系数，中提供的数据进行估算，本项目天然气燃烧废气产排情况见表</w:t>
            </w:r>
            <w:r>
              <w:rPr>
                <w:rFonts w:hint="eastAsia"/>
                <w:sz w:val="24"/>
              </w:rPr>
              <w:t>20</w:t>
            </w:r>
            <w:r>
              <w:rPr>
                <w:sz w:val="24"/>
              </w:rPr>
              <w:t>。</w:t>
            </w:r>
          </w:p>
          <w:p w14:paraId="44D2C949">
            <w:pPr>
              <w:pStyle w:val="52"/>
              <w:numPr>
                <w:ilvl w:val="0"/>
                <w:numId w:val="1"/>
              </w:numPr>
              <w:ind w:left="0" w:firstLine="0"/>
              <w:rPr>
                <w:color w:val="auto"/>
              </w:rPr>
            </w:pPr>
            <w:r>
              <w:rPr>
                <w:rFonts w:hint="eastAsia"/>
                <w:color w:val="auto"/>
              </w:rPr>
              <w:t xml:space="preserve">    </w:t>
            </w:r>
            <w:r>
              <w:rPr>
                <w:color w:val="auto"/>
              </w:rPr>
              <w:t>本项目燃烧废气产排情况一览表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702"/>
              <w:gridCol w:w="3075"/>
              <w:gridCol w:w="3075"/>
            </w:tblGrid>
            <w:tr w14:paraId="2FA7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557" w:type="pct"/>
                  <w:vAlign w:val="center"/>
                </w:tcPr>
                <w:p w14:paraId="0BA0DEEF">
                  <w:pPr>
                    <w:jc w:val="center"/>
                  </w:pPr>
                  <w:r>
                    <w:t>序号</w:t>
                  </w:r>
                </w:p>
              </w:tc>
              <w:tc>
                <w:tcPr>
                  <w:tcW w:w="963" w:type="pct"/>
                  <w:vAlign w:val="center"/>
                </w:tcPr>
                <w:p w14:paraId="1D8E5841">
                  <w:pPr>
                    <w:jc w:val="center"/>
                  </w:pPr>
                  <w:r>
                    <w:t>污染物</w:t>
                  </w:r>
                </w:p>
              </w:tc>
              <w:tc>
                <w:tcPr>
                  <w:tcW w:w="1740" w:type="pct"/>
                  <w:vAlign w:val="center"/>
                </w:tcPr>
                <w:p w14:paraId="4240F025">
                  <w:pPr>
                    <w:jc w:val="center"/>
                  </w:pPr>
                  <w:r>
                    <w:rPr>
                      <w:rFonts w:hint="eastAsia"/>
                    </w:rPr>
                    <w:t>液化石油气燃烧产物系数</w:t>
                  </w:r>
                </w:p>
              </w:tc>
              <w:tc>
                <w:tcPr>
                  <w:tcW w:w="1740" w:type="pct"/>
                  <w:vAlign w:val="center"/>
                </w:tcPr>
                <w:p w14:paraId="220D5E28">
                  <w:pPr>
                    <w:jc w:val="center"/>
                  </w:pPr>
                  <w:r>
                    <w:t>天然气燃烧产污系数</w:t>
                  </w:r>
                </w:p>
              </w:tc>
            </w:tr>
            <w:tr w14:paraId="78F1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4A29FFDA">
                  <w:pPr>
                    <w:jc w:val="center"/>
                  </w:pPr>
                  <w:r>
                    <w:t>1</w:t>
                  </w:r>
                </w:p>
              </w:tc>
              <w:tc>
                <w:tcPr>
                  <w:tcW w:w="963" w:type="pct"/>
                  <w:vAlign w:val="center"/>
                </w:tcPr>
                <w:p w14:paraId="75C39528">
                  <w:pPr>
                    <w:jc w:val="center"/>
                  </w:pPr>
                  <w:r>
                    <w:rPr>
                      <w:rFonts w:hint="eastAsia"/>
                    </w:rPr>
                    <w:t>废气量</w:t>
                  </w:r>
                </w:p>
              </w:tc>
              <w:tc>
                <w:tcPr>
                  <w:tcW w:w="1740" w:type="pct"/>
                  <w:vAlign w:val="center"/>
                </w:tcPr>
                <w:p w14:paraId="21396556">
                  <w:pPr>
                    <w:jc w:val="center"/>
                  </w:pPr>
                  <w:r>
                    <w:rPr>
                      <w:rFonts w:hint="eastAsia"/>
                    </w:rPr>
                    <w:t>375170.58</w:t>
                  </w:r>
                  <w:r>
                    <w:t xml:space="preserve"> Nm</w:t>
                  </w:r>
                  <w:r>
                    <w:rPr>
                      <w:vertAlign w:val="superscript"/>
                    </w:rPr>
                    <w:t>3</w:t>
                  </w:r>
                  <w:r>
                    <w:t>/万m</w:t>
                  </w:r>
                  <w:r>
                    <w:rPr>
                      <w:vertAlign w:val="superscript"/>
                    </w:rPr>
                    <w:t>3</w:t>
                  </w:r>
                  <w:r>
                    <w:t>-原料</w:t>
                  </w:r>
                </w:p>
              </w:tc>
              <w:tc>
                <w:tcPr>
                  <w:tcW w:w="1740" w:type="pct"/>
                  <w:vAlign w:val="center"/>
                </w:tcPr>
                <w:p w14:paraId="416613BB">
                  <w:pPr>
                    <w:jc w:val="center"/>
                  </w:pPr>
                  <w:r>
                    <w:rPr>
                      <w:rFonts w:hint="eastAsia"/>
                    </w:rPr>
                    <w:t>136259.17Nm3/万m</w:t>
                  </w:r>
                  <w:r>
                    <w:rPr>
                      <w:rFonts w:hint="eastAsia"/>
                      <w:vertAlign w:val="superscript"/>
                    </w:rPr>
                    <w:t>3</w:t>
                  </w:r>
                  <w:r>
                    <w:rPr>
                      <w:rFonts w:hint="eastAsia"/>
                    </w:rPr>
                    <w:t>-原料</w:t>
                  </w:r>
                </w:p>
              </w:tc>
            </w:tr>
            <w:tr w14:paraId="720F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7AB24C14">
                  <w:pPr>
                    <w:jc w:val="center"/>
                  </w:pPr>
                  <w:r>
                    <w:t>2</w:t>
                  </w:r>
                </w:p>
              </w:tc>
              <w:tc>
                <w:tcPr>
                  <w:tcW w:w="963" w:type="pct"/>
                  <w:vAlign w:val="center"/>
                </w:tcPr>
                <w:p w14:paraId="2D7FCA97">
                  <w:pPr>
                    <w:jc w:val="center"/>
                  </w:pPr>
                  <w:r>
                    <w:t>颗粒物</w:t>
                  </w:r>
                </w:p>
              </w:tc>
              <w:tc>
                <w:tcPr>
                  <w:tcW w:w="1740" w:type="pct"/>
                  <w:vAlign w:val="center"/>
                </w:tcPr>
                <w:p w14:paraId="34ABF954">
                  <w:pPr>
                    <w:jc w:val="center"/>
                  </w:pPr>
                  <w:r>
                    <w:t>2.86千克/万m</w:t>
                  </w:r>
                  <w:r>
                    <w:rPr>
                      <w:vertAlign w:val="superscript"/>
                    </w:rPr>
                    <w:t>3</w:t>
                  </w:r>
                  <w:r>
                    <w:t>燃料</w:t>
                  </w:r>
                </w:p>
              </w:tc>
              <w:tc>
                <w:tcPr>
                  <w:tcW w:w="1740" w:type="pct"/>
                  <w:vAlign w:val="center"/>
                </w:tcPr>
                <w:p w14:paraId="6BA78ED1">
                  <w:pPr>
                    <w:jc w:val="center"/>
                  </w:pPr>
                  <w:r>
                    <w:t>2.86千克/万m</w:t>
                  </w:r>
                  <w:r>
                    <w:rPr>
                      <w:vertAlign w:val="superscript"/>
                    </w:rPr>
                    <w:t>3</w:t>
                  </w:r>
                  <w:r>
                    <w:t>燃料</w:t>
                  </w:r>
                </w:p>
              </w:tc>
            </w:tr>
            <w:tr w14:paraId="065E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3525A377">
                  <w:pPr>
                    <w:jc w:val="center"/>
                  </w:pPr>
                  <w:r>
                    <w:t>3</w:t>
                  </w:r>
                </w:p>
              </w:tc>
              <w:tc>
                <w:tcPr>
                  <w:tcW w:w="963" w:type="pct"/>
                  <w:vAlign w:val="center"/>
                </w:tcPr>
                <w:p w14:paraId="2C77E9FE">
                  <w:pPr>
                    <w:jc w:val="center"/>
                  </w:pPr>
                  <w:r>
                    <w:t>二氧化硫</w:t>
                  </w:r>
                </w:p>
              </w:tc>
              <w:tc>
                <w:tcPr>
                  <w:tcW w:w="1740" w:type="pct"/>
                  <w:vAlign w:val="center"/>
                </w:tcPr>
                <w:p w14:paraId="23ED6DA3">
                  <w:pPr>
                    <w:jc w:val="center"/>
                  </w:pPr>
                  <w:r>
                    <w:t>0.02S</w:t>
                  </w:r>
                  <w:r>
                    <w:rPr>
                      <w:rFonts w:hAnsi="宋体"/>
                    </w:rPr>
                    <w:t>①</w:t>
                  </w:r>
                  <w:r>
                    <w:t>千克/万m</w:t>
                  </w:r>
                  <w:r>
                    <w:rPr>
                      <w:vertAlign w:val="superscript"/>
                    </w:rPr>
                    <w:t>3</w:t>
                  </w:r>
                  <w:r>
                    <w:t>燃料</w:t>
                  </w:r>
                </w:p>
              </w:tc>
              <w:tc>
                <w:tcPr>
                  <w:tcW w:w="1740" w:type="pct"/>
                  <w:vAlign w:val="center"/>
                </w:tcPr>
                <w:p w14:paraId="0BB361E9">
                  <w:pPr>
                    <w:jc w:val="center"/>
                  </w:pPr>
                  <w:r>
                    <w:t>0.02S</w:t>
                  </w:r>
                  <w:r>
                    <w:rPr>
                      <w:rFonts w:hAnsi="宋体"/>
                    </w:rPr>
                    <w:t>①</w:t>
                  </w:r>
                  <w:r>
                    <w:t>千克/万m</w:t>
                  </w:r>
                  <w:r>
                    <w:rPr>
                      <w:vertAlign w:val="superscript"/>
                    </w:rPr>
                    <w:t>3</w:t>
                  </w:r>
                  <w:r>
                    <w:t>燃料</w:t>
                  </w:r>
                </w:p>
              </w:tc>
            </w:tr>
            <w:tr w14:paraId="55AA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64426629">
                  <w:pPr>
                    <w:jc w:val="center"/>
                  </w:pPr>
                  <w:r>
                    <w:rPr>
                      <w:rFonts w:hint="eastAsia"/>
                    </w:rPr>
                    <w:t>4</w:t>
                  </w:r>
                </w:p>
              </w:tc>
              <w:tc>
                <w:tcPr>
                  <w:tcW w:w="963" w:type="pct"/>
                  <w:vAlign w:val="center"/>
                </w:tcPr>
                <w:p w14:paraId="7858A74E">
                  <w:pPr>
                    <w:jc w:val="center"/>
                  </w:pPr>
                  <w:r>
                    <w:t>氮氧化物</w:t>
                  </w:r>
                </w:p>
              </w:tc>
              <w:tc>
                <w:tcPr>
                  <w:tcW w:w="1740" w:type="pct"/>
                  <w:vAlign w:val="center"/>
                </w:tcPr>
                <w:p w14:paraId="3AE38C39">
                  <w:pPr>
                    <w:jc w:val="center"/>
                  </w:pPr>
                  <w:r>
                    <w:rPr>
                      <w:rFonts w:hint="eastAsia"/>
                    </w:rPr>
                    <w:t>59.61</w:t>
                  </w:r>
                  <w:r>
                    <w:t>千克/万m</w:t>
                  </w:r>
                  <w:r>
                    <w:rPr>
                      <w:vertAlign w:val="superscript"/>
                    </w:rPr>
                    <w:t>3</w:t>
                  </w:r>
                  <w:r>
                    <w:t>燃料</w:t>
                  </w:r>
                </w:p>
              </w:tc>
              <w:tc>
                <w:tcPr>
                  <w:tcW w:w="1740" w:type="pct"/>
                  <w:vAlign w:val="center"/>
                </w:tcPr>
                <w:p w14:paraId="03230DFE">
                  <w:pPr>
                    <w:jc w:val="center"/>
                  </w:pPr>
                  <w:r>
                    <w:t>9.36千克/万m</w:t>
                  </w:r>
                  <w:r>
                    <w:rPr>
                      <w:vertAlign w:val="superscript"/>
                    </w:rPr>
                    <w:t>3</w:t>
                  </w:r>
                  <w:r>
                    <w:t>燃料</w:t>
                  </w:r>
                </w:p>
              </w:tc>
            </w:tr>
          </w:tbl>
          <w:p w14:paraId="2E0C7D60">
            <w:pPr>
              <w:spacing w:line="360" w:lineRule="auto"/>
              <w:ind w:firstLine="480" w:firstLineChars="200"/>
              <w:jc w:val="left"/>
              <w:rPr>
                <w:sz w:val="24"/>
              </w:rPr>
            </w:pPr>
            <w:r>
              <w:rPr>
                <w:sz w:val="24"/>
              </w:rPr>
              <w:t>4.1.2废气</w:t>
            </w:r>
            <w:r>
              <w:rPr>
                <w:rFonts w:hint="eastAsia"/>
                <w:sz w:val="24"/>
              </w:rPr>
              <w:t>达标分析</w:t>
            </w:r>
          </w:p>
          <w:p w14:paraId="368234E8">
            <w:pPr>
              <w:spacing w:line="360" w:lineRule="auto"/>
              <w:ind w:firstLine="480" w:firstLineChars="200"/>
              <w:jc w:val="left"/>
              <w:rPr>
                <w:sz w:val="24"/>
              </w:rPr>
            </w:pPr>
            <w:r>
              <w:rPr>
                <w:rFonts w:hint="eastAsia"/>
                <w:sz w:val="24"/>
              </w:rPr>
              <w:t>根据表19可知，项目抛丸工序、喷涂（包含喷粉和喷漆）工序颗粒物经污染治理设施处理后，均能满足《大气污染物综合排放标准》（GB16297-1996）表2中的二级标准浓度限值；液化石油气燃烧产生的废气满足《锅炉大气污染物排放标准》（DB61/1226-2018）表3中的其他燃气标准；天然气燃烧产生的废气满足《锅炉大气污染物排放标准》（DB61/1226-2018）表3中的天然气标准；喷漆工序及烘干工序非甲烷总烃满足《挥发性有机物排放控制标准》（DB61/T1061-2017）表面涂装相关标准。</w:t>
            </w:r>
          </w:p>
          <w:p w14:paraId="283E4995">
            <w:pPr>
              <w:spacing w:line="360" w:lineRule="auto"/>
              <w:ind w:firstLine="480" w:firstLineChars="200"/>
              <w:jc w:val="left"/>
              <w:rPr>
                <w:sz w:val="24"/>
              </w:rPr>
            </w:pPr>
            <w:r>
              <w:rPr>
                <w:sz w:val="24"/>
              </w:rPr>
              <w:t>4.1.3废气排放口基本信息</w:t>
            </w:r>
          </w:p>
          <w:p w14:paraId="1EFABA09">
            <w:pPr>
              <w:spacing w:line="360" w:lineRule="auto"/>
              <w:ind w:firstLine="480" w:firstLineChars="200"/>
              <w:jc w:val="left"/>
              <w:rPr>
                <w:sz w:val="24"/>
              </w:rPr>
            </w:pPr>
            <w:r>
              <w:rPr>
                <w:sz w:val="24"/>
              </w:rPr>
              <w:t>本项目废气治理排放口基本信息见表2</w:t>
            </w:r>
            <w:r>
              <w:rPr>
                <w:rFonts w:hint="eastAsia"/>
                <w:sz w:val="24"/>
              </w:rPr>
              <w:t>1</w:t>
            </w:r>
            <w:r>
              <w:rPr>
                <w:sz w:val="24"/>
              </w:rPr>
              <w:t>。</w:t>
            </w:r>
          </w:p>
          <w:p w14:paraId="648EE650">
            <w:pPr>
              <w:pStyle w:val="52"/>
              <w:numPr>
                <w:ilvl w:val="0"/>
                <w:numId w:val="1"/>
              </w:numPr>
              <w:ind w:left="0" w:firstLine="0"/>
              <w:rPr>
                <w:color w:val="auto"/>
              </w:rPr>
            </w:pPr>
            <w:r>
              <w:rPr>
                <w:rFonts w:hint="eastAsia"/>
                <w:color w:val="auto"/>
              </w:rPr>
              <w:t xml:space="preserve">    </w:t>
            </w:r>
            <w:r>
              <w:rPr>
                <w:color w:val="auto"/>
              </w:rPr>
              <w:t>废气治排设施放口基本信息一览表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988"/>
              <w:gridCol w:w="708"/>
              <w:gridCol w:w="708"/>
              <w:gridCol w:w="719"/>
              <w:gridCol w:w="841"/>
              <w:gridCol w:w="706"/>
              <w:gridCol w:w="567"/>
              <w:gridCol w:w="708"/>
              <w:gridCol w:w="426"/>
              <w:gridCol w:w="765"/>
              <w:gridCol w:w="1266"/>
            </w:tblGrid>
            <w:tr w14:paraId="065A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42" w:type="pct"/>
                  <w:vMerge w:val="restart"/>
                  <w:vAlign w:val="center"/>
                </w:tcPr>
                <w:p w14:paraId="6D75FD7B">
                  <w:pPr>
                    <w:jc w:val="center"/>
                  </w:pPr>
                  <w:r>
                    <w:t>序号</w:t>
                  </w:r>
                </w:p>
              </w:tc>
              <w:tc>
                <w:tcPr>
                  <w:tcW w:w="559" w:type="pct"/>
                  <w:vMerge w:val="restart"/>
                  <w:vAlign w:val="center"/>
                </w:tcPr>
                <w:p w14:paraId="21C4DEF0">
                  <w:pPr>
                    <w:jc w:val="center"/>
                  </w:pPr>
                  <w:r>
                    <w:t>污染工序</w:t>
                  </w:r>
                </w:p>
              </w:tc>
              <w:tc>
                <w:tcPr>
                  <w:tcW w:w="401" w:type="pct"/>
                  <w:vMerge w:val="restart"/>
                  <w:vAlign w:val="center"/>
                </w:tcPr>
                <w:p w14:paraId="49325D82">
                  <w:pPr>
                    <w:jc w:val="center"/>
                  </w:pPr>
                  <w:r>
                    <w:t>废气类别</w:t>
                  </w:r>
                </w:p>
              </w:tc>
              <w:tc>
                <w:tcPr>
                  <w:tcW w:w="401" w:type="pct"/>
                  <w:vMerge w:val="restart"/>
                  <w:vAlign w:val="center"/>
                </w:tcPr>
                <w:p w14:paraId="5730E33C">
                  <w:pPr>
                    <w:jc w:val="center"/>
                  </w:pPr>
                  <w:r>
                    <w:t>污染物种类</w:t>
                  </w:r>
                </w:p>
              </w:tc>
              <w:tc>
                <w:tcPr>
                  <w:tcW w:w="883" w:type="pct"/>
                  <w:gridSpan w:val="2"/>
                  <w:vAlign w:val="center"/>
                </w:tcPr>
                <w:p w14:paraId="56701E31">
                  <w:pPr>
                    <w:jc w:val="center"/>
                  </w:pPr>
                  <w:r>
                    <w:t>排放口地理坐标</w:t>
                  </w:r>
                </w:p>
              </w:tc>
              <w:tc>
                <w:tcPr>
                  <w:tcW w:w="400" w:type="pct"/>
                  <w:vMerge w:val="restart"/>
                  <w:vAlign w:val="center"/>
                </w:tcPr>
                <w:p w14:paraId="29CF9AD2">
                  <w:pPr>
                    <w:jc w:val="center"/>
                  </w:pPr>
                  <w:r>
                    <w:t>排放口编号</w:t>
                  </w:r>
                </w:p>
              </w:tc>
              <w:tc>
                <w:tcPr>
                  <w:tcW w:w="321" w:type="pct"/>
                  <w:vMerge w:val="restart"/>
                  <w:vAlign w:val="center"/>
                </w:tcPr>
                <w:p w14:paraId="4F7DD09A">
                  <w:pPr>
                    <w:jc w:val="center"/>
                  </w:pPr>
                  <w:r>
                    <w:t>高度m</w:t>
                  </w:r>
                </w:p>
              </w:tc>
              <w:tc>
                <w:tcPr>
                  <w:tcW w:w="401" w:type="pct"/>
                  <w:vMerge w:val="restart"/>
                  <w:vAlign w:val="center"/>
                </w:tcPr>
                <w:p w14:paraId="626153B4">
                  <w:pPr>
                    <w:jc w:val="center"/>
                  </w:pPr>
                  <w:r>
                    <w:t>排气口内径m</w:t>
                  </w:r>
                </w:p>
              </w:tc>
              <w:tc>
                <w:tcPr>
                  <w:tcW w:w="241" w:type="pct"/>
                  <w:vMerge w:val="restart"/>
                  <w:vAlign w:val="center"/>
                </w:tcPr>
                <w:p w14:paraId="70DAAB2B">
                  <w:pPr>
                    <w:jc w:val="center"/>
                  </w:pPr>
                  <w:r>
                    <w:t>排放温度ºC</w:t>
                  </w:r>
                </w:p>
              </w:tc>
              <w:tc>
                <w:tcPr>
                  <w:tcW w:w="433" w:type="pct"/>
                  <w:vMerge w:val="restart"/>
                  <w:vAlign w:val="center"/>
                </w:tcPr>
                <w:p w14:paraId="7ED860FC">
                  <w:pPr>
                    <w:jc w:val="center"/>
                  </w:pPr>
                  <w:r>
                    <w:t>排放口类型</w:t>
                  </w:r>
                </w:p>
              </w:tc>
              <w:tc>
                <w:tcPr>
                  <w:tcW w:w="717" w:type="pct"/>
                  <w:vMerge w:val="restart"/>
                  <w:vAlign w:val="center"/>
                </w:tcPr>
                <w:p w14:paraId="3A89BC23">
                  <w:pPr>
                    <w:jc w:val="center"/>
                  </w:pPr>
                  <w:r>
                    <w:t>执行标准</w:t>
                  </w:r>
                </w:p>
              </w:tc>
            </w:tr>
            <w:tr w14:paraId="400C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2" w:type="pct"/>
                  <w:vMerge w:val="continue"/>
                  <w:vAlign w:val="center"/>
                </w:tcPr>
                <w:p w14:paraId="0D8A4600">
                  <w:pPr>
                    <w:jc w:val="center"/>
                  </w:pPr>
                </w:p>
              </w:tc>
              <w:tc>
                <w:tcPr>
                  <w:tcW w:w="559" w:type="pct"/>
                  <w:vMerge w:val="continue"/>
                  <w:vAlign w:val="center"/>
                </w:tcPr>
                <w:p w14:paraId="28BCBF89">
                  <w:pPr>
                    <w:jc w:val="center"/>
                  </w:pPr>
                </w:p>
              </w:tc>
              <w:tc>
                <w:tcPr>
                  <w:tcW w:w="401" w:type="pct"/>
                  <w:vMerge w:val="continue"/>
                  <w:vAlign w:val="center"/>
                </w:tcPr>
                <w:p w14:paraId="0C6CD0F8">
                  <w:pPr>
                    <w:jc w:val="center"/>
                  </w:pPr>
                </w:p>
              </w:tc>
              <w:tc>
                <w:tcPr>
                  <w:tcW w:w="401" w:type="pct"/>
                  <w:vMerge w:val="continue"/>
                  <w:vAlign w:val="center"/>
                </w:tcPr>
                <w:p w14:paraId="4427240F">
                  <w:pPr>
                    <w:jc w:val="center"/>
                  </w:pPr>
                </w:p>
              </w:tc>
              <w:tc>
                <w:tcPr>
                  <w:tcW w:w="407" w:type="pct"/>
                  <w:vAlign w:val="center"/>
                </w:tcPr>
                <w:p w14:paraId="452FBCCC">
                  <w:pPr>
                    <w:jc w:val="center"/>
                  </w:pPr>
                  <w:r>
                    <w:t>经度</w:t>
                  </w:r>
                </w:p>
              </w:tc>
              <w:tc>
                <w:tcPr>
                  <w:tcW w:w="476" w:type="pct"/>
                  <w:vAlign w:val="center"/>
                </w:tcPr>
                <w:p w14:paraId="5824B676">
                  <w:pPr>
                    <w:jc w:val="center"/>
                  </w:pPr>
                  <w:r>
                    <w:t>纬度</w:t>
                  </w:r>
                </w:p>
              </w:tc>
              <w:tc>
                <w:tcPr>
                  <w:tcW w:w="400" w:type="pct"/>
                  <w:vMerge w:val="continue"/>
                  <w:vAlign w:val="center"/>
                </w:tcPr>
                <w:p w14:paraId="2DAE041C">
                  <w:pPr>
                    <w:jc w:val="center"/>
                  </w:pPr>
                </w:p>
              </w:tc>
              <w:tc>
                <w:tcPr>
                  <w:tcW w:w="321" w:type="pct"/>
                  <w:vMerge w:val="continue"/>
                  <w:vAlign w:val="center"/>
                </w:tcPr>
                <w:p w14:paraId="73062822">
                  <w:pPr>
                    <w:jc w:val="center"/>
                  </w:pPr>
                </w:p>
              </w:tc>
              <w:tc>
                <w:tcPr>
                  <w:tcW w:w="401" w:type="pct"/>
                  <w:vMerge w:val="continue"/>
                  <w:vAlign w:val="center"/>
                </w:tcPr>
                <w:p w14:paraId="2537F831">
                  <w:pPr>
                    <w:jc w:val="center"/>
                  </w:pPr>
                </w:p>
              </w:tc>
              <w:tc>
                <w:tcPr>
                  <w:tcW w:w="241" w:type="pct"/>
                  <w:vMerge w:val="continue"/>
                  <w:vAlign w:val="center"/>
                </w:tcPr>
                <w:p w14:paraId="440BE90E">
                  <w:pPr>
                    <w:jc w:val="center"/>
                  </w:pPr>
                </w:p>
              </w:tc>
              <w:tc>
                <w:tcPr>
                  <w:tcW w:w="433" w:type="pct"/>
                  <w:vMerge w:val="continue"/>
                  <w:vAlign w:val="center"/>
                </w:tcPr>
                <w:p w14:paraId="5486B45D">
                  <w:pPr>
                    <w:jc w:val="center"/>
                  </w:pPr>
                </w:p>
              </w:tc>
              <w:tc>
                <w:tcPr>
                  <w:tcW w:w="717" w:type="pct"/>
                  <w:vMerge w:val="continue"/>
                  <w:vAlign w:val="center"/>
                </w:tcPr>
                <w:p w14:paraId="2CC3295C">
                  <w:pPr>
                    <w:jc w:val="center"/>
                  </w:pPr>
                </w:p>
              </w:tc>
            </w:tr>
            <w:tr w14:paraId="0215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42" w:type="pct"/>
                  <w:vAlign w:val="center"/>
                </w:tcPr>
                <w:p w14:paraId="7F727A57">
                  <w:pPr>
                    <w:jc w:val="center"/>
                  </w:pPr>
                  <w:r>
                    <w:rPr>
                      <w:rFonts w:hint="eastAsia"/>
                    </w:rPr>
                    <w:t>1</w:t>
                  </w:r>
                </w:p>
              </w:tc>
              <w:tc>
                <w:tcPr>
                  <w:tcW w:w="559" w:type="pct"/>
                  <w:vAlign w:val="center"/>
                </w:tcPr>
                <w:p w14:paraId="1D0C5912">
                  <w:pPr>
                    <w:pStyle w:val="2"/>
                    <w:spacing w:after="0"/>
                    <w:ind w:left="0" w:leftChars="0" w:firstLine="0" w:firstLineChars="0"/>
                    <w:jc w:val="center"/>
                  </w:pPr>
                  <w:r>
                    <w:rPr>
                      <w:rFonts w:hint="eastAsia"/>
                    </w:rPr>
                    <w:t>抛丸工序</w:t>
                  </w:r>
                </w:p>
              </w:tc>
              <w:tc>
                <w:tcPr>
                  <w:tcW w:w="401" w:type="pct"/>
                  <w:vAlign w:val="center"/>
                </w:tcPr>
                <w:p w14:paraId="662D6A85">
                  <w:pPr>
                    <w:pStyle w:val="2"/>
                    <w:spacing w:after="0"/>
                    <w:ind w:left="0" w:leftChars="0" w:firstLine="0" w:firstLineChars="0"/>
                    <w:jc w:val="center"/>
                  </w:pPr>
                  <w:r>
                    <w:rPr>
                      <w:rFonts w:hint="eastAsia"/>
                    </w:rPr>
                    <w:t>抛丸废气</w:t>
                  </w:r>
                </w:p>
              </w:tc>
              <w:tc>
                <w:tcPr>
                  <w:tcW w:w="401" w:type="pct"/>
                  <w:vAlign w:val="center"/>
                </w:tcPr>
                <w:p w14:paraId="7B312790">
                  <w:pPr>
                    <w:adjustRightInd w:val="0"/>
                    <w:snapToGrid w:val="0"/>
                    <w:jc w:val="center"/>
                  </w:pPr>
                  <w:r>
                    <w:rPr>
                      <w:rFonts w:hint="eastAsia"/>
                    </w:rPr>
                    <w:t>颗粒物</w:t>
                  </w:r>
                </w:p>
              </w:tc>
              <w:tc>
                <w:tcPr>
                  <w:tcW w:w="407" w:type="pct"/>
                  <w:vAlign w:val="center"/>
                </w:tcPr>
                <w:p w14:paraId="526E9D8C">
                  <w:pPr>
                    <w:jc w:val="center"/>
                  </w:pPr>
                  <w:r>
                    <w:t>108.621260</w:t>
                  </w:r>
                  <w:r>
                    <w:rPr>
                      <w:rFonts w:hint="eastAsia"/>
                    </w:rPr>
                    <w:t>°</w:t>
                  </w:r>
                </w:p>
              </w:tc>
              <w:tc>
                <w:tcPr>
                  <w:tcW w:w="476" w:type="pct"/>
                  <w:vAlign w:val="center"/>
                </w:tcPr>
                <w:p w14:paraId="02A96F3B">
                  <w:pPr>
                    <w:jc w:val="center"/>
                  </w:pPr>
                  <w:r>
                    <w:t>34.071796</w:t>
                  </w:r>
                  <w:r>
                    <w:rPr>
                      <w:rFonts w:hint="eastAsia"/>
                    </w:rPr>
                    <w:t>°</w:t>
                  </w:r>
                </w:p>
              </w:tc>
              <w:tc>
                <w:tcPr>
                  <w:tcW w:w="400" w:type="pct"/>
                  <w:vAlign w:val="center"/>
                </w:tcPr>
                <w:p w14:paraId="42C932F9">
                  <w:pPr>
                    <w:jc w:val="center"/>
                  </w:pPr>
                  <w:r>
                    <w:rPr>
                      <w:rFonts w:hint="eastAsia"/>
                    </w:rPr>
                    <w:t>DA001</w:t>
                  </w:r>
                </w:p>
              </w:tc>
              <w:tc>
                <w:tcPr>
                  <w:tcW w:w="321" w:type="pct"/>
                  <w:vAlign w:val="center"/>
                </w:tcPr>
                <w:p w14:paraId="77410488">
                  <w:pPr>
                    <w:jc w:val="center"/>
                  </w:pPr>
                  <w:r>
                    <w:rPr>
                      <w:rFonts w:hint="eastAsia"/>
                    </w:rPr>
                    <w:t>17</w:t>
                  </w:r>
                </w:p>
              </w:tc>
              <w:tc>
                <w:tcPr>
                  <w:tcW w:w="401" w:type="pct"/>
                  <w:vAlign w:val="center"/>
                </w:tcPr>
                <w:p w14:paraId="1FD6CB39">
                  <w:pPr>
                    <w:jc w:val="center"/>
                  </w:pPr>
                  <w:r>
                    <w:rPr>
                      <w:rFonts w:hint="eastAsia"/>
                    </w:rPr>
                    <w:t>0.4</w:t>
                  </w:r>
                </w:p>
              </w:tc>
              <w:tc>
                <w:tcPr>
                  <w:tcW w:w="241" w:type="pct"/>
                  <w:vAlign w:val="center"/>
                </w:tcPr>
                <w:p w14:paraId="111D5945">
                  <w:pPr>
                    <w:jc w:val="center"/>
                  </w:pPr>
                  <w:r>
                    <w:rPr>
                      <w:rFonts w:hint="eastAsia"/>
                    </w:rPr>
                    <w:t>25</w:t>
                  </w:r>
                </w:p>
              </w:tc>
              <w:tc>
                <w:tcPr>
                  <w:tcW w:w="433" w:type="pct"/>
                  <w:vAlign w:val="center"/>
                </w:tcPr>
                <w:p w14:paraId="1675E16E">
                  <w:pPr>
                    <w:jc w:val="center"/>
                  </w:pPr>
                  <w:r>
                    <w:rPr>
                      <w:rFonts w:hint="eastAsia"/>
                    </w:rPr>
                    <w:t>一般排放口</w:t>
                  </w:r>
                </w:p>
              </w:tc>
              <w:tc>
                <w:tcPr>
                  <w:tcW w:w="717" w:type="pct"/>
                  <w:vAlign w:val="center"/>
                </w:tcPr>
                <w:p w14:paraId="0FD0FF6C">
                  <w:pPr>
                    <w:wordWrap w:val="0"/>
                    <w:jc w:val="center"/>
                  </w:pPr>
                  <w:r>
                    <w:t>《大气污染物综合排放标准》（GB16297-1996）表2中的二级标准</w:t>
                  </w:r>
                </w:p>
              </w:tc>
            </w:tr>
            <w:tr w14:paraId="125F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42" w:type="pct"/>
                  <w:vAlign w:val="center"/>
                </w:tcPr>
                <w:p w14:paraId="573CAE7A">
                  <w:pPr>
                    <w:jc w:val="center"/>
                  </w:pPr>
                  <w:r>
                    <w:rPr>
                      <w:rFonts w:hint="eastAsia"/>
                    </w:rPr>
                    <w:t>2</w:t>
                  </w:r>
                </w:p>
              </w:tc>
              <w:tc>
                <w:tcPr>
                  <w:tcW w:w="559" w:type="pct"/>
                  <w:vAlign w:val="center"/>
                </w:tcPr>
                <w:p w14:paraId="4EA0F07C">
                  <w:pPr>
                    <w:pStyle w:val="2"/>
                    <w:spacing w:after="0"/>
                    <w:ind w:left="0" w:leftChars="0" w:firstLine="0" w:firstLineChars="0"/>
                    <w:jc w:val="center"/>
                  </w:pPr>
                  <w:r>
                    <w:rPr>
                      <w:rFonts w:hint="eastAsia"/>
                    </w:rPr>
                    <w:t>喷涂工序1排气筒</w:t>
                  </w:r>
                </w:p>
              </w:tc>
              <w:tc>
                <w:tcPr>
                  <w:tcW w:w="401" w:type="pct"/>
                  <w:vAlign w:val="center"/>
                </w:tcPr>
                <w:p w14:paraId="4B5739AB">
                  <w:pPr>
                    <w:pStyle w:val="2"/>
                    <w:spacing w:after="0"/>
                    <w:ind w:left="0" w:leftChars="0" w:firstLine="0" w:firstLineChars="0"/>
                    <w:jc w:val="center"/>
                  </w:pPr>
                  <w:r>
                    <w:rPr>
                      <w:rFonts w:hint="eastAsia"/>
                    </w:rPr>
                    <w:t>喷粉、喷漆废气</w:t>
                  </w:r>
                </w:p>
              </w:tc>
              <w:tc>
                <w:tcPr>
                  <w:tcW w:w="401" w:type="pct"/>
                  <w:vAlign w:val="center"/>
                </w:tcPr>
                <w:p w14:paraId="7FB2C28D">
                  <w:pPr>
                    <w:adjustRightInd w:val="0"/>
                    <w:snapToGrid w:val="0"/>
                    <w:jc w:val="center"/>
                  </w:pPr>
                  <w:r>
                    <w:rPr>
                      <w:rFonts w:hint="eastAsia"/>
                    </w:rPr>
                    <w:t>颗粒物、非甲烷总烃</w:t>
                  </w:r>
                </w:p>
              </w:tc>
              <w:tc>
                <w:tcPr>
                  <w:tcW w:w="407" w:type="pct"/>
                  <w:vAlign w:val="center"/>
                </w:tcPr>
                <w:p w14:paraId="2CA4FE72">
                  <w:pPr>
                    <w:jc w:val="center"/>
                  </w:pPr>
                  <w:r>
                    <w:t>108.621052</w:t>
                  </w:r>
                  <w:r>
                    <w:rPr>
                      <w:rFonts w:hint="eastAsia"/>
                    </w:rPr>
                    <w:t>°</w:t>
                  </w:r>
                </w:p>
              </w:tc>
              <w:tc>
                <w:tcPr>
                  <w:tcW w:w="476" w:type="pct"/>
                  <w:vAlign w:val="center"/>
                </w:tcPr>
                <w:p w14:paraId="6246F8D5">
                  <w:pPr>
                    <w:jc w:val="center"/>
                  </w:pPr>
                  <w:r>
                    <w:t>34.072097</w:t>
                  </w:r>
                  <w:r>
                    <w:rPr>
                      <w:rFonts w:hint="eastAsia"/>
                    </w:rPr>
                    <w:t>°</w:t>
                  </w:r>
                </w:p>
              </w:tc>
              <w:tc>
                <w:tcPr>
                  <w:tcW w:w="400" w:type="pct"/>
                  <w:vAlign w:val="center"/>
                </w:tcPr>
                <w:p w14:paraId="049B8346">
                  <w:pPr>
                    <w:jc w:val="center"/>
                  </w:pPr>
                  <w:r>
                    <w:rPr>
                      <w:rFonts w:hint="eastAsia"/>
                    </w:rPr>
                    <w:t>DA002</w:t>
                  </w:r>
                </w:p>
              </w:tc>
              <w:tc>
                <w:tcPr>
                  <w:tcW w:w="321" w:type="pct"/>
                  <w:vAlign w:val="center"/>
                </w:tcPr>
                <w:p w14:paraId="51A61C3B">
                  <w:pPr>
                    <w:jc w:val="center"/>
                  </w:pPr>
                  <w:r>
                    <w:rPr>
                      <w:rFonts w:hint="eastAsia"/>
                    </w:rPr>
                    <w:t>17</w:t>
                  </w:r>
                </w:p>
              </w:tc>
              <w:tc>
                <w:tcPr>
                  <w:tcW w:w="401" w:type="pct"/>
                  <w:vAlign w:val="center"/>
                </w:tcPr>
                <w:p w14:paraId="37B0173B">
                  <w:pPr>
                    <w:jc w:val="center"/>
                  </w:pPr>
                  <w:r>
                    <w:rPr>
                      <w:rFonts w:hint="eastAsia"/>
                    </w:rPr>
                    <w:t>0.5</w:t>
                  </w:r>
                </w:p>
              </w:tc>
              <w:tc>
                <w:tcPr>
                  <w:tcW w:w="241" w:type="pct"/>
                  <w:vAlign w:val="center"/>
                </w:tcPr>
                <w:p w14:paraId="5633529E">
                  <w:pPr>
                    <w:jc w:val="center"/>
                  </w:pPr>
                  <w:r>
                    <w:rPr>
                      <w:rFonts w:hint="eastAsia"/>
                    </w:rPr>
                    <w:t>25</w:t>
                  </w:r>
                </w:p>
              </w:tc>
              <w:tc>
                <w:tcPr>
                  <w:tcW w:w="433" w:type="pct"/>
                  <w:vAlign w:val="center"/>
                </w:tcPr>
                <w:p w14:paraId="052D0B21">
                  <w:pPr>
                    <w:jc w:val="center"/>
                  </w:pPr>
                  <w:r>
                    <w:rPr>
                      <w:rFonts w:hint="eastAsia"/>
                    </w:rPr>
                    <w:t>一般排放口</w:t>
                  </w:r>
                </w:p>
              </w:tc>
              <w:tc>
                <w:tcPr>
                  <w:tcW w:w="717" w:type="pct"/>
                  <w:vAlign w:val="center"/>
                </w:tcPr>
                <w:p w14:paraId="11FB1B8A">
                  <w:pPr>
                    <w:wordWrap w:val="0"/>
                    <w:jc w:val="center"/>
                  </w:pPr>
                  <w:r>
                    <w:rPr>
                      <w:rFonts w:hint="eastAsia"/>
                    </w:rPr>
                    <w:t>颗粒物执行</w:t>
                  </w:r>
                  <w:r>
                    <w:t>《大气污染物综合排放标准》（GB16297-1996）表2中的二级标准</w:t>
                  </w:r>
                  <w:r>
                    <w:rPr>
                      <w:rFonts w:hint="eastAsia"/>
                    </w:rPr>
                    <w:t>；</w:t>
                  </w:r>
                  <w:r>
                    <w:t>非甲烷总烃执行《挥发性有机物排放控制标准》（DB61/T1061-2017）表面涂装行业中的相关标准</w:t>
                  </w:r>
                </w:p>
              </w:tc>
            </w:tr>
            <w:tr w14:paraId="630C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42" w:type="pct"/>
                  <w:vAlign w:val="center"/>
                </w:tcPr>
                <w:p w14:paraId="1BD739F2">
                  <w:pPr>
                    <w:jc w:val="center"/>
                  </w:pPr>
                  <w:r>
                    <w:rPr>
                      <w:rFonts w:hint="eastAsia"/>
                    </w:rPr>
                    <w:t>3</w:t>
                  </w:r>
                </w:p>
              </w:tc>
              <w:tc>
                <w:tcPr>
                  <w:tcW w:w="559" w:type="pct"/>
                  <w:vAlign w:val="center"/>
                </w:tcPr>
                <w:p w14:paraId="4C1D2187">
                  <w:pPr>
                    <w:pStyle w:val="2"/>
                    <w:spacing w:after="0"/>
                    <w:ind w:left="0" w:leftChars="0" w:firstLine="0" w:firstLineChars="0"/>
                    <w:jc w:val="center"/>
                  </w:pPr>
                  <w:r>
                    <w:rPr>
                      <w:rFonts w:hint="eastAsia"/>
                    </w:rPr>
                    <w:t>喷涂工序2排气筒</w:t>
                  </w:r>
                </w:p>
              </w:tc>
              <w:tc>
                <w:tcPr>
                  <w:tcW w:w="401" w:type="pct"/>
                  <w:vAlign w:val="center"/>
                </w:tcPr>
                <w:p w14:paraId="54FF9D2F">
                  <w:pPr>
                    <w:pStyle w:val="2"/>
                    <w:spacing w:after="0"/>
                    <w:ind w:left="0" w:leftChars="0" w:firstLine="0" w:firstLineChars="0"/>
                    <w:jc w:val="center"/>
                  </w:pPr>
                  <w:r>
                    <w:rPr>
                      <w:rFonts w:hint="eastAsia"/>
                    </w:rPr>
                    <w:t>喷粉废气</w:t>
                  </w:r>
                </w:p>
              </w:tc>
              <w:tc>
                <w:tcPr>
                  <w:tcW w:w="401" w:type="pct"/>
                  <w:vAlign w:val="center"/>
                </w:tcPr>
                <w:p w14:paraId="304EB319">
                  <w:pPr>
                    <w:adjustRightInd w:val="0"/>
                    <w:snapToGrid w:val="0"/>
                    <w:jc w:val="center"/>
                  </w:pPr>
                  <w:r>
                    <w:t>颗粒物</w:t>
                  </w:r>
                </w:p>
              </w:tc>
              <w:tc>
                <w:tcPr>
                  <w:tcW w:w="407" w:type="pct"/>
                  <w:vAlign w:val="center"/>
                </w:tcPr>
                <w:p w14:paraId="2E259475">
                  <w:pPr>
                    <w:jc w:val="center"/>
                  </w:pPr>
                  <w:r>
                    <w:t>108.621136</w:t>
                  </w:r>
                  <w:r>
                    <w:rPr>
                      <w:rFonts w:hint="eastAsia"/>
                    </w:rPr>
                    <w:t>°</w:t>
                  </w:r>
                </w:p>
              </w:tc>
              <w:tc>
                <w:tcPr>
                  <w:tcW w:w="476" w:type="pct"/>
                  <w:vAlign w:val="center"/>
                </w:tcPr>
                <w:p w14:paraId="1A29FA0C">
                  <w:pPr>
                    <w:jc w:val="center"/>
                  </w:pPr>
                  <w:r>
                    <w:t>34.072220</w:t>
                  </w:r>
                  <w:r>
                    <w:rPr>
                      <w:rFonts w:hint="eastAsia"/>
                    </w:rPr>
                    <w:t>°</w:t>
                  </w:r>
                </w:p>
              </w:tc>
              <w:tc>
                <w:tcPr>
                  <w:tcW w:w="400" w:type="pct"/>
                  <w:vAlign w:val="center"/>
                </w:tcPr>
                <w:p w14:paraId="378AC549">
                  <w:pPr>
                    <w:jc w:val="center"/>
                  </w:pPr>
                  <w:r>
                    <w:t>DA00</w:t>
                  </w:r>
                  <w:r>
                    <w:rPr>
                      <w:rFonts w:hint="eastAsia"/>
                    </w:rPr>
                    <w:t>3</w:t>
                  </w:r>
                </w:p>
              </w:tc>
              <w:tc>
                <w:tcPr>
                  <w:tcW w:w="321" w:type="pct"/>
                  <w:vAlign w:val="center"/>
                </w:tcPr>
                <w:p w14:paraId="64D606B4">
                  <w:pPr>
                    <w:jc w:val="center"/>
                  </w:pPr>
                  <w:r>
                    <w:rPr>
                      <w:rFonts w:hint="eastAsia"/>
                    </w:rPr>
                    <w:t>17</w:t>
                  </w:r>
                </w:p>
              </w:tc>
              <w:tc>
                <w:tcPr>
                  <w:tcW w:w="401" w:type="pct"/>
                  <w:vAlign w:val="center"/>
                </w:tcPr>
                <w:p w14:paraId="0EF1A508">
                  <w:pPr>
                    <w:jc w:val="center"/>
                  </w:pPr>
                  <w:r>
                    <w:rPr>
                      <w:rFonts w:hint="eastAsia"/>
                    </w:rPr>
                    <w:t>0.4</w:t>
                  </w:r>
                </w:p>
              </w:tc>
              <w:tc>
                <w:tcPr>
                  <w:tcW w:w="241" w:type="pct"/>
                  <w:vAlign w:val="center"/>
                </w:tcPr>
                <w:p w14:paraId="593D3EEA">
                  <w:pPr>
                    <w:jc w:val="center"/>
                  </w:pPr>
                  <w:r>
                    <w:rPr>
                      <w:rFonts w:hint="eastAsia"/>
                    </w:rPr>
                    <w:t>25</w:t>
                  </w:r>
                </w:p>
              </w:tc>
              <w:tc>
                <w:tcPr>
                  <w:tcW w:w="433" w:type="pct"/>
                  <w:vAlign w:val="center"/>
                </w:tcPr>
                <w:p w14:paraId="330F9460">
                  <w:pPr>
                    <w:jc w:val="center"/>
                  </w:pPr>
                  <w:r>
                    <w:rPr>
                      <w:rFonts w:hint="eastAsia"/>
                    </w:rPr>
                    <w:t>一般排放口</w:t>
                  </w:r>
                </w:p>
              </w:tc>
              <w:tc>
                <w:tcPr>
                  <w:tcW w:w="717" w:type="pct"/>
                  <w:vAlign w:val="center"/>
                </w:tcPr>
                <w:p w14:paraId="455AB5AC">
                  <w:pPr>
                    <w:wordWrap w:val="0"/>
                    <w:jc w:val="center"/>
                  </w:pPr>
                  <w:r>
                    <w:t>《大气污染物综合排放标准》（GB16297-1996）表2中的二级标准</w:t>
                  </w:r>
                </w:p>
              </w:tc>
            </w:tr>
            <w:tr w14:paraId="5886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42" w:type="pct"/>
                  <w:vAlign w:val="center"/>
                </w:tcPr>
                <w:p w14:paraId="13187C18">
                  <w:pPr>
                    <w:jc w:val="center"/>
                  </w:pPr>
                  <w:r>
                    <w:rPr>
                      <w:rFonts w:hint="eastAsia"/>
                    </w:rPr>
                    <w:t>4</w:t>
                  </w:r>
                </w:p>
              </w:tc>
              <w:tc>
                <w:tcPr>
                  <w:tcW w:w="559" w:type="pct"/>
                  <w:vAlign w:val="center"/>
                </w:tcPr>
                <w:p w14:paraId="62C36CD9">
                  <w:pPr>
                    <w:pStyle w:val="2"/>
                    <w:spacing w:after="0"/>
                    <w:ind w:left="0" w:leftChars="0" w:firstLine="0" w:firstLineChars="0"/>
                    <w:jc w:val="center"/>
                  </w:pPr>
                  <w:r>
                    <w:rPr>
                      <w:rFonts w:hint="eastAsia"/>
                    </w:rPr>
                    <w:t>烘干工序有机废气排气筒</w:t>
                  </w:r>
                </w:p>
              </w:tc>
              <w:tc>
                <w:tcPr>
                  <w:tcW w:w="401" w:type="pct"/>
                  <w:vAlign w:val="center"/>
                </w:tcPr>
                <w:p w14:paraId="248E9BEF">
                  <w:pPr>
                    <w:pStyle w:val="2"/>
                    <w:spacing w:after="0"/>
                    <w:ind w:left="0" w:leftChars="0" w:firstLine="0" w:firstLineChars="0"/>
                    <w:jc w:val="center"/>
                  </w:pPr>
                  <w:r>
                    <w:rPr>
                      <w:rFonts w:hint="eastAsia"/>
                    </w:rPr>
                    <w:t>烘干有机废气</w:t>
                  </w:r>
                </w:p>
              </w:tc>
              <w:tc>
                <w:tcPr>
                  <w:tcW w:w="401" w:type="pct"/>
                  <w:vAlign w:val="center"/>
                </w:tcPr>
                <w:p w14:paraId="1350AF04">
                  <w:pPr>
                    <w:adjustRightInd w:val="0"/>
                    <w:snapToGrid w:val="0"/>
                    <w:jc w:val="center"/>
                  </w:pPr>
                  <w:r>
                    <w:rPr>
                      <w:rFonts w:hint="eastAsia"/>
                    </w:rPr>
                    <w:t>非甲烷总烃</w:t>
                  </w:r>
                </w:p>
              </w:tc>
              <w:tc>
                <w:tcPr>
                  <w:tcW w:w="407" w:type="pct"/>
                  <w:vAlign w:val="center"/>
                </w:tcPr>
                <w:p w14:paraId="7D5E23CE">
                  <w:pPr>
                    <w:jc w:val="center"/>
                  </w:pPr>
                  <w:r>
                    <w:t>108.620953</w:t>
                  </w:r>
                  <w:r>
                    <w:rPr>
                      <w:rFonts w:hint="eastAsia"/>
                    </w:rPr>
                    <w:t>°</w:t>
                  </w:r>
                </w:p>
              </w:tc>
              <w:tc>
                <w:tcPr>
                  <w:tcW w:w="476" w:type="pct"/>
                  <w:vAlign w:val="center"/>
                </w:tcPr>
                <w:p w14:paraId="4E5B7F8E">
                  <w:pPr>
                    <w:jc w:val="center"/>
                  </w:pPr>
                  <w:r>
                    <w:t>34.072011</w:t>
                  </w:r>
                  <w:r>
                    <w:rPr>
                      <w:rFonts w:hint="eastAsia"/>
                    </w:rPr>
                    <w:t>°</w:t>
                  </w:r>
                </w:p>
              </w:tc>
              <w:tc>
                <w:tcPr>
                  <w:tcW w:w="400" w:type="pct"/>
                  <w:vAlign w:val="center"/>
                </w:tcPr>
                <w:p w14:paraId="24C7B2C0">
                  <w:pPr>
                    <w:jc w:val="center"/>
                  </w:pPr>
                  <w:r>
                    <w:t>DA00</w:t>
                  </w:r>
                  <w:r>
                    <w:rPr>
                      <w:rFonts w:hint="eastAsia"/>
                    </w:rPr>
                    <w:t>4</w:t>
                  </w:r>
                </w:p>
              </w:tc>
              <w:tc>
                <w:tcPr>
                  <w:tcW w:w="321" w:type="pct"/>
                  <w:vAlign w:val="center"/>
                </w:tcPr>
                <w:p w14:paraId="57027EE6">
                  <w:pPr>
                    <w:jc w:val="center"/>
                  </w:pPr>
                  <w:r>
                    <w:t>15</w:t>
                  </w:r>
                </w:p>
              </w:tc>
              <w:tc>
                <w:tcPr>
                  <w:tcW w:w="401" w:type="pct"/>
                  <w:vAlign w:val="center"/>
                </w:tcPr>
                <w:p w14:paraId="74660ABD">
                  <w:pPr>
                    <w:jc w:val="center"/>
                  </w:pPr>
                  <w:r>
                    <w:rPr>
                      <w:rFonts w:hint="eastAsia"/>
                    </w:rPr>
                    <w:t>0.4</w:t>
                  </w:r>
                </w:p>
              </w:tc>
              <w:tc>
                <w:tcPr>
                  <w:tcW w:w="241" w:type="pct"/>
                  <w:vAlign w:val="center"/>
                </w:tcPr>
                <w:p w14:paraId="7C1FB561">
                  <w:pPr>
                    <w:jc w:val="center"/>
                  </w:pPr>
                  <w:r>
                    <w:t>25</w:t>
                  </w:r>
                </w:p>
              </w:tc>
              <w:tc>
                <w:tcPr>
                  <w:tcW w:w="433" w:type="pct"/>
                  <w:vAlign w:val="center"/>
                </w:tcPr>
                <w:p w14:paraId="763BA41B">
                  <w:pPr>
                    <w:jc w:val="center"/>
                  </w:pPr>
                  <w:r>
                    <w:t>一般排放口</w:t>
                  </w:r>
                </w:p>
              </w:tc>
              <w:tc>
                <w:tcPr>
                  <w:tcW w:w="717" w:type="pct"/>
                  <w:vAlign w:val="center"/>
                </w:tcPr>
                <w:p w14:paraId="21A62A49">
                  <w:pPr>
                    <w:wordWrap w:val="0"/>
                    <w:jc w:val="center"/>
                  </w:pPr>
                  <w:r>
                    <w:t>非甲烷总烃执行《挥发性有机物排放控制标准》（DB61/T1061-2017）表面涂装行业中的相关标准</w:t>
                  </w:r>
                </w:p>
              </w:tc>
            </w:tr>
            <w:tr w14:paraId="7EAF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42" w:type="pct"/>
                  <w:vAlign w:val="center"/>
                </w:tcPr>
                <w:p w14:paraId="0074C0D1">
                  <w:pPr>
                    <w:jc w:val="center"/>
                  </w:pPr>
                  <w:r>
                    <w:rPr>
                      <w:rFonts w:hint="eastAsia"/>
                    </w:rPr>
                    <w:t>5</w:t>
                  </w:r>
                </w:p>
              </w:tc>
              <w:tc>
                <w:tcPr>
                  <w:tcW w:w="559" w:type="pct"/>
                  <w:vAlign w:val="center"/>
                </w:tcPr>
                <w:p w14:paraId="650895E5">
                  <w:pPr>
                    <w:pStyle w:val="2"/>
                    <w:spacing w:after="0"/>
                    <w:ind w:left="0" w:leftChars="0" w:firstLine="0" w:firstLineChars="0"/>
                    <w:jc w:val="center"/>
                  </w:pPr>
                  <w:r>
                    <w:rPr>
                      <w:rFonts w:hint="eastAsia"/>
                    </w:rPr>
                    <w:t>烘干工序燃料燃烧排气筒</w:t>
                  </w:r>
                </w:p>
              </w:tc>
              <w:tc>
                <w:tcPr>
                  <w:tcW w:w="401" w:type="pct"/>
                  <w:vAlign w:val="center"/>
                </w:tcPr>
                <w:p w14:paraId="1EE33686">
                  <w:pPr>
                    <w:pStyle w:val="2"/>
                    <w:spacing w:after="0"/>
                    <w:ind w:left="0" w:leftChars="0" w:firstLine="0" w:firstLineChars="0"/>
                    <w:jc w:val="center"/>
                  </w:pPr>
                  <w:r>
                    <w:rPr>
                      <w:rFonts w:hint="eastAsia"/>
                    </w:rPr>
                    <w:t>天然气/液化石油气燃烧废气</w:t>
                  </w:r>
                </w:p>
              </w:tc>
              <w:tc>
                <w:tcPr>
                  <w:tcW w:w="401" w:type="pct"/>
                  <w:vAlign w:val="center"/>
                </w:tcPr>
                <w:p w14:paraId="21E9A40C">
                  <w:pPr>
                    <w:adjustRightInd w:val="0"/>
                    <w:snapToGrid w:val="0"/>
                    <w:jc w:val="center"/>
                  </w:pPr>
                  <w:r>
                    <w:rPr>
                      <w:rFonts w:hint="eastAsia"/>
                    </w:rPr>
                    <w:t>颗粒物、二氧化硫、氮氧化物</w:t>
                  </w:r>
                </w:p>
              </w:tc>
              <w:tc>
                <w:tcPr>
                  <w:tcW w:w="407" w:type="pct"/>
                  <w:vAlign w:val="center"/>
                </w:tcPr>
                <w:p w14:paraId="0264286D">
                  <w:pPr>
                    <w:jc w:val="center"/>
                  </w:pPr>
                  <w:r>
                    <w:t>108.62</w:t>
                  </w:r>
                  <w:r>
                    <w:rPr>
                      <w:rFonts w:hint="eastAsia"/>
                    </w:rPr>
                    <w:t>10</w:t>
                  </w:r>
                  <w:r>
                    <w:t>53</w:t>
                  </w:r>
                  <w:r>
                    <w:rPr>
                      <w:rFonts w:hint="eastAsia"/>
                    </w:rPr>
                    <w:t>°</w:t>
                  </w:r>
                </w:p>
              </w:tc>
              <w:tc>
                <w:tcPr>
                  <w:tcW w:w="476" w:type="pct"/>
                  <w:vAlign w:val="center"/>
                </w:tcPr>
                <w:p w14:paraId="384A8AF0">
                  <w:pPr>
                    <w:jc w:val="center"/>
                  </w:pPr>
                  <w:r>
                    <w:t>34.07</w:t>
                  </w:r>
                  <w:r>
                    <w:rPr>
                      <w:rFonts w:hint="eastAsia"/>
                    </w:rPr>
                    <w:t>1</w:t>
                  </w:r>
                  <w:r>
                    <w:t>011</w:t>
                  </w:r>
                  <w:r>
                    <w:rPr>
                      <w:rFonts w:hint="eastAsia"/>
                    </w:rPr>
                    <w:t>°</w:t>
                  </w:r>
                </w:p>
              </w:tc>
              <w:tc>
                <w:tcPr>
                  <w:tcW w:w="400" w:type="pct"/>
                  <w:vAlign w:val="center"/>
                </w:tcPr>
                <w:p w14:paraId="03F2104B">
                  <w:pPr>
                    <w:jc w:val="center"/>
                  </w:pPr>
                  <w:r>
                    <w:t>DA00</w:t>
                  </w:r>
                  <w:r>
                    <w:rPr>
                      <w:rFonts w:hint="eastAsia"/>
                    </w:rPr>
                    <w:t>5</w:t>
                  </w:r>
                </w:p>
              </w:tc>
              <w:tc>
                <w:tcPr>
                  <w:tcW w:w="321" w:type="pct"/>
                  <w:vAlign w:val="center"/>
                </w:tcPr>
                <w:p w14:paraId="19A90D43">
                  <w:pPr>
                    <w:jc w:val="center"/>
                  </w:pPr>
                  <w:r>
                    <w:t>15</w:t>
                  </w:r>
                </w:p>
              </w:tc>
              <w:tc>
                <w:tcPr>
                  <w:tcW w:w="401" w:type="pct"/>
                  <w:vAlign w:val="center"/>
                </w:tcPr>
                <w:p w14:paraId="058513B9">
                  <w:pPr>
                    <w:jc w:val="center"/>
                  </w:pPr>
                  <w:r>
                    <w:rPr>
                      <w:rFonts w:hint="eastAsia"/>
                    </w:rPr>
                    <w:t>0.4</w:t>
                  </w:r>
                </w:p>
              </w:tc>
              <w:tc>
                <w:tcPr>
                  <w:tcW w:w="241" w:type="pct"/>
                  <w:vAlign w:val="center"/>
                </w:tcPr>
                <w:p w14:paraId="6A3794EE">
                  <w:pPr>
                    <w:jc w:val="center"/>
                  </w:pPr>
                  <w:r>
                    <w:t>25</w:t>
                  </w:r>
                </w:p>
              </w:tc>
              <w:tc>
                <w:tcPr>
                  <w:tcW w:w="433" w:type="pct"/>
                  <w:vAlign w:val="center"/>
                </w:tcPr>
                <w:p w14:paraId="7098B6AC">
                  <w:pPr>
                    <w:jc w:val="center"/>
                  </w:pPr>
                  <w:r>
                    <w:t>一般排放口</w:t>
                  </w:r>
                </w:p>
              </w:tc>
              <w:tc>
                <w:tcPr>
                  <w:tcW w:w="717" w:type="pct"/>
                  <w:vAlign w:val="center"/>
                </w:tcPr>
                <w:p w14:paraId="13496F1A">
                  <w:pPr>
                    <w:wordWrap w:val="0"/>
                    <w:jc w:val="center"/>
                  </w:pPr>
                  <w:r>
                    <w:t>《锅炉大气污染物排放标准》（DB61/1226-2018）</w:t>
                  </w:r>
                </w:p>
              </w:tc>
            </w:tr>
            <w:tr w14:paraId="0EC1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0F2B256C">
                  <w:pPr>
                    <w:jc w:val="center"/>
                  </w:pPr>
                  <w:r>
                    <w:rPr>
                      <w:rFonts w:hint="eastAsia"/>
                    </w:rPr>
                    <w:t>6</w:t>
                  </w:r>
                </w:p>
              </w:tc>
              <w:tc>
                <w:tcPr>
                  <w:tcW w:w="559" w:type="pct"/>
                  <w:vAlign w:val="center"/>
                </w:tcPr>
                <w:p w14:paraId="51CAC8E2">
                  <w:pPr>
                    <w:pStyle w:val="2"/>
                    <w:spacing w:after="0"/>
                    <w:ind w:left="0" w:leftChars="0" w:firstLine="0" w:firstLineChars="0"/>
                    <w:jc w:val="center"/>
                  </w:pPr>
                  <w:r>
                    <w:rPr>
                      <w:rFonts w:hint="eastAsia"/>
                    </w:rPr>
                    <w:t>喷涂工序3排气筒</w:t>
                  </w:r>
                </w:p>
              </w:tc>
              <w:tc>
                <w:tcPr>
                  <w:tcW w:w="401" w:type="pct"/>
                  <w:vAlign w:val="center"/>
                </w:tcPr>
                <w:p w14:paraId="40DB5E23">
                  <w:pPr>
                    <w:pStyle w:val="2"/>
                    <w:spacing w:after="0"/>
                    <w:ind w:left="0" w:leftChars="0" w:firstLine="0" w:firstLineChars="0"/>
                    <w:jc w:val="center"/>
                  </w:pPr>
                  <w:r>
                    <w:rPr>
                      <w:rFonts w:hint="eastAsia"/>
                    </w:rPr>
                    <w:t>喷粉废气</w:t>
                  </w:r>
                </w:p>
              </w:tc>
              <w:tc>
                <w:tcPr>
                  <w:tcW w:w="401" w:type="pct"/>
                  <w:vAlign w:val="center"/>
                </w:tcPr>
                <w:p w14:paraId="36DCE93B">
                  <w:pPr>
                    <w:adjustRightInd w:val="0"/>
                    <w:snapToGrid w:val="0"/>
                    <w:jc w:val="center"/>
                  </w:pPr>
                  <w:r>
                    <w:t>颗粒物</w:t>
                  </w:r>
                </w:p>
              </w:tc>
              <w:tc>
                <w:tcPr>
                  <w:tcW w:w="407" w:type="pct"/>
                  <w:vAlign w:val="center"/>
                </w:tcPr>
                <w:p w14:paraId="4BB248BC">
                  <w:pPr>
                    <w:jc w:val="center"/>
                  </w:pPr>
                  <w:r>
                    <w:t>108.620913</w:t>
                  </w:r>
                  <w:r>
                    <w:rPr>
                      <w:rFonts w:hint="eastAsia"/>
                    </w:rPr>
                    <w:t>°</w:t>
                  </w:r>
                </w:p>
              </w:tc>
              <w:tc>
                <w:tcPr>
                  <w:tcW w:w="476" w:type="pct"/>
                  <w:vAlign w:val="center"/>
                </w:tcPr>
                <w:p w14:paraId="7849E8BF">
                  <w:pPr>
                    <w:jc w:val="center"/>
                  </w:pPr>
                  <w:r>
                    <w:t>34.071721</w:t>
                  </w:r>
                  <w:r>
                    <w:rPr>
                      <w:rFonts w:hint="eastAsia"/>
                    </w:rPr>
                    <w:t>°</w:t>
                  </w:r>
                </w:p>
              </w:tc>
              <w:tc>
                <w:tcPr>
                  <w:tcW w:w="400" w:type="pct"/>
                  <w:vAlign w:val="center"/>
                </w:tcPr>
                <w:p w14:paraId="29294DD3">
                  <w:pPr>
                    <w:jc w:val="center"/>
                  </w:pPr>
                  <w:r>
                    <w:t>DA00</w:t>
                  </w:r>
                  <w:r>
                    <w:rPr>
                      <w:rFonts w:hint="eastAsia"/>
                    </w:rPr>
                    <w:t>6</w:t>
                  </w:r>
                </w:p>
              </w:tc>
              <w:tc>
                <w:tcPr>
                  <w:tcW w:w="321" w:type="pct"/>
                  <w:vAlign w:val="center"/>
                </w:tcPr>
                <w:p w14:paraId="24972D10">
                  <w:pPr>
                    <w:jc w:val="center"/>
                  </w:pPr>
                  <w:r>
                    <w:rPr>
                      <w:rFonts w:hint="eastAsia"/>
                    </w:rPr>
                    <w:t>17</w:t>
                  </w:r>
                </w:p>
              </w:tc>
              <w:tc>
                <w:tcPr>
                  <w:tcW w:w="401" w:type="pct"/>
                  <w:vAlign w:val="center"/>
                </w:tcPr>
                <w:p w14:paraId="0CCDF60D">
                  <w:pPr>
                    <w:jc w:val="center"/>
                  </w:pPr>
                  <w:r>
                    <w:rPr>
                      <w:rFonts w:hint="eastAsia"/>
                    </w:rPr>
                    <w:t>0.4</w:t>
                  </w:r>
                </w:p>
              </w:tc>
              <w:tc>
                <w:tcPr>
                  <w:tcW w:w="241" w:type="pct"/>
                  <w:vAlign w:val="center"/>
                </w:tcPr>
                <w:p w14:paraId="030316F7">
                  <w:pPr>
                    <w:jc w:val="center"/>
                  </w:pPr>
                  <w:r>
                    <w:t>25</w:t>
                  </w:r>
                </w:p>
              </w:tc>
              <w:tc>
                <w:tcPr>
                  <w:tcW w:w="433" w:type="pct"/>
                  <w:vAlign w:val="center"/>
                </w:tcPr>
                <w:p w14:paraId="65225E7E">
                  <w:pPr>
                    <w:jc w:val="center"/>
                  </w:pPr>
                  <w:r>
                    <w:t>一般排放口</w:t>
                  </w:r>
                </w:p>
              </w:tc>
              <w:tc>
                <w:tcPr>
                  <w:tcW w:w="717" w:type="pct"/>
                  <w:vAlign w:val="center"/>
                </w:tcPr>
                <w:p w14:paraId="2A40816E">
                  <w:pPr>
                    <w:wordWrap w:val="0"/>
                    <w:jc w:val="center"/>
                  </w:pPr>
                  <w:r>
                    <w:t>《大气污染物综合排放标准》（GB16297-1996）表2中的二级标准</w:t>
                  </w:r>
                </w:p>
              </w:tc>
            </w:tr>
            <w:tr w14:paraId="47BD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5DFB254F">
                  <w:pPr>
                    <w:jc w:val="center"/>
                  </w:pPr>
                  <w:r>
                    <w:rPr>
                      <w:rFonts w:hint="eastAsia"/>
                    </w:rPr>
                    <w:t>7</w:t>
                  </w:r>
                </w:p>
              </w:tc>
              <w:tc>
                <w:tcPr>
                  <w:tcW w:w="559" w:type="pct"/>
                  <w:vAlign w:val="center"/>
                </w:tcPr>
                <w:p w14:paraId="1EC7CD35">
                  <w:pPr>
                    <w:pStyle w:val="2"/>
                    <w:spacing w:after="0"/>
                    <w:ind w:left="0" w:leftChars="0" w:firstLine="0" w:firstLineChars="0"/>
                    <w:jc w:val="center"/>
                  </w:pPr>
                  <w:r>
                    <w:rPr>
                      <w:rFonts w:hint="eastAsia"/>
                    </w:rPr>
                    <w:t>喷漆工序4排气筒</w:t>
                  </w:r>
                </w:p>
              </w:tc>
              <w:tc>
                <w:tcPr>
                  <w:tcW w:w="401" w:type="pct"/>
                  <w:vAlign w:val="center"/>
                </w:tcPr>
                <w:p w14:paraId="6647F9DB">
                  <w:pPr>
                    <w:pStyle w:val="2"/>
                    <w:spacing w:after="0"/>
                    <w:ind w:left="0" w:leftChars="0" w:firstLine="0" w:firstLineChars="0"/>
                    <w:jc w:val="center"/>
                  </w:pPr>
                  <w:r>
                    <w:rPr>
                      <w:rFonts w:hint="eastAsia"/>
                    </w:rPr>
                    <w:t>喷漆废气</w:t>
                  </w:r>
                </w:p>
              </w:tc>
              <w:tc>
                <w:tcPr>
                  <w:tcW w:w="401" w:type="pct"/>
                  <w:vAlign w:val="center"/>
                </w:tcPr>
                <w:p w14:paraId="6469091E">
                  <w:pPr>
                    <w:adjustRightInd w:val="0"/>
                    <w:snapToGrid w:val="0"/>
                    <w:jc w:val="center"/>
                  </w:pPr>
                  <w:r>
                    <w:t>颗粒物</w:t>
                  </w:r>
                  <w:r>
                    <w:rPr>
                      <w:rFonts w:hint="eastAsia"/>
                    </w:rPr>
                    <w:t>、非甲烷总烃</w:t>
                  </w:r>
                </w:p>
              </w:tc>
              <w:tc>
                <w:tcPr>
                  <w:tcW w:w="407" w:type="pct"/>
                  <w:vAlign w:val="center"/>
                </w:tcPr>
                <w:p w14:paraId="1A1D0FD3">
                  <w:pPr>
                    <w:jc w:val="center"/>
                  </w:pPr>
                  <w:r>
                    <w:t>108.621294</w:t>
                  </w:r>
                  <w:r>
                    <w:rPr>
                      <w:rFonts w:hint="eastAsia"/>
                    </w:rPr>
                    <w:t>°</w:t>
                  </w:r>
                </w:p>
              </w:tc>
              <w:tc>
                <w:tcPr>
                  <w:tcW w:w="476" w:type="pct"/>
                  <w:vAlign w:val="center"/>
                </w:tcPr>
                <w:p w14:paraId="36173A9F">
                  <w:pPr>
                    <w:jc w:val="center"/>
                  </w:pPr>
                  <w:r>
                    <w:t>34.072150</w:t>
                  </w:r>
                  <w:r>
                    <w:rPr>
                      <w:rFonts w:hint="eastAsia"/>
                    </w:rPr>
                    <w:t>°</w:t>
                  </w:r>
                </w:p>
              </w:tc>
              <w:tc>
                <w:tcPr>
                  <w:tcW w:w="400" w:type="pct"/>
                  <w:vAlign w:val="center"/>
                </w:tcPr>
                <w:p w14:paraId="0472CF18">
                  <w:pPr>
                    <w:jc w:val="center"/>
                  </w:pPr>
                  <w:r>
                    <w:t>DA00</w:t>
                  </w:r>
                  <w:r>
                    <w:rPr>
                      <w:rFonts w:hint="eastAsia"/>
                    </w:rPr>
                    <w:t>7</w:t>
                  </w:r>
                </w:p>
              </w:tc>
              <w:tc>
                <w:tcPr>
                  <w:tcW w:w="321" w:type="pct"/>
                  <w:vAlign w:val="center"/>
                </w:tcPr>
                <w:p w14:paraId="757A86A6">
                  <w:pPr>
                    <w:jc w:val="center"/>
                  </w:pPr>
                  <w:r>
                    <w:rPr>
                      <w:rFonts w:hint="eastAsia"/>
                    </w:rPr>
                    <w:t>17</w:t>
                  </w:r>
                </w:p>
              </w:tc>
              <w:tc>
                <w:tcPr>
                  <w:tcW w:w="401" w:type="pct"/>
                  <w:vAlign w:val="center"/>
                </w:tcPr>
                <w:p w14:paraId="0A0E5350">
                  <w:pPr>
                    <w:jc w:val="center"/>
                  </w:pPr>
                  <w:r>
                    <w:rPr>
                      <w:rFonts w:hint="eastAsia"/>
                    </w:rPr>
                    <w:t>0.3</w:t>
                  </w:r>
                </w:p>
              </w:tc>
              <w:tc>
                <w:tcPr>
                  <w:tcW w:w="241" w:type="pct"/>
                  <w:vAlign w:val="center"/>
                </w:tcPr>
                <w:p w14:paraId="53835485">
                  <w:pPr>
                    <w:jc w:val="center"/>
                  </w:pPr>
                  <w:r>
                    <w:t>25</w:t>
                  </w:r>
                </w:p>
              </w:tc>
              <w:tc>
                <w:tcPr>
                  <w:tcW w:w="433" w:type="pct"/>
                  <w:vAlign w:val="center"/>
                </w:tcPr>
                <w:p w14:paraId="6894D97E">
                  <w:pPr>
                    <w:jc w:val="center"/>
                  </w:pPr>
                  <w:r>
                    <w:t>一般排放口</w:t>
                  </w:r>
                </w:p>
              </w:tc>
              <w:tc>
                <w:tcPr>
                  <w:tcW w:w="717" w:type="pct"/>
                  <w:vAlign w:val="center"/>
                </w:tcPr>
                <w:p w14:paraId="5EDB25E3">
                  <w:pPr>
                    <w:wordWrap w:val="0"/>
                    <w:jc w:val="center"/>
                  </w:pPr>
                  <w:r>
                    <w:rPr>
                      <w:rFonts w:hint="eastAsia"/>
                    </w:rPr>
                    <w:t>颗粒物执行</w:t>
                  </w:r>
                  <w:r>
                    <w:t>《大气污染物综合排放标准》（GB16297-1996）表2中的二级标准</w:t>
                  </w:r>
                  <w:r>
                    <w:rPr>
                      <w:rFonts w:hint="eastAsia"/>
                    </w:rPr>
                    <w:t>；</w:t>
                  </w:r>
                  <w:r>
                    <w:t>非甲烷总烃执行《挥发性有机物排放控制标准》（DB61/T1061-2017）表面涂装行业中的相关标准</w:t>
                  </w:r>
                </w:p>
              </w:tc>
            </w:tr>
          </w:tbl>
          <w:p w14:paraId="731F7FBB">
            <w:pPr>
              <w:spacing w:line="360" w:lineRule="auto"/>
              <w:ind w:firstLine="480" w:firstLineChars="200"/>
              <w:rPr>
                <w:sz w:val="24"/>
              </w:rPr>
            </w:pPr>
            <w:r>
              <w:rPr>
                <w:sz w:val="24"/>
              </w:rPr>
              <w:t>4.1.4废气监测要求</w:t>
            </w:r>
          </w:p>
          <w:p w14:paraId="47C41930">
            <w:pPr>
              <w:pStyle w:val="51"/>
              <w:spacing w:line="360" w:lineRule="auto"/>
              <w:ind w:firstLine="480" w:firstLineChars="200"/>
              <w:jc w:val="both"/>
              <w:rPr>
                <w:rFonts w:ascii="Times New Roman" w:cs="Times New Roman"/>
                <w:color w:val="auto"/>
              </w:rPr>
            </w:pPr>
            <w:r>
              <w:rPr>
                <w:rFonts w:ascii="Times New Roman" w:cs="Times New Roman"/>
                <w:color w:val="auto"/>
              </w:rPr>
              <w:t>参照《排污许可证申请与核发技术规范  铁路、船舶、航空航天和其他运输设备制造业》中附录A中表面处理（涂装）排污单位、《排污许可证申请与核发技术规范   家具制造工业》附录A中的相关要求和《排放源统计调查产排污核算方法》中的机械行业系数手册中推荐的末端治理技术和本项目废气排放情况，对本项目废气的监测要求见下表：</w:t>
            </w:r>
          </w:p>
          <w:p w14:paraId="64110953">
            <w:pPr>
              <w:pStyle w:val="52"/>
              <w:numPr>
                <w:ilvl w:val="0"/>
                <w:numId w:val="1"/>
              </w:numPr>
              <w:ind w:left="0" w:firstLine="0"/>
              <w:rPr>
                <w:color w:val="auto"/>
              </w:rPr>
            </w:pPr>
            <w:r>
              <w:rPr>
                <w:color w:val="auto"/>
              </w:rPr>
              <w:t xml:space="preserve">    建设项目废气监测要求</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794"/>
              <w:gridCol w:w="1702"/>
              <w:gridCol w:w="1134"/>
              <w:gridCol w:w="3453"/>
            </w:tblGrid>
            <w:tr w14:paraId="4160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441" w:type="pct"/>
                  <w:gridSpan w:val="2"/>
                </w:tcPr>
                <w:p w14:paraId="2B3842F8">
                  <w:pPr>
                    <w:jc w:val="center"/>
                  </w:pPr>
                  <w:r>
                    <w:t>监测点位</w:t>
                  </w:r>
                </w:p>
              </w:tc>
              <w:tc>
                <w:tcPr>
                  <w:tcW w:w="963" w:type="pct"/>
                  <w:vAlign w:val="center"/>
                </w:tcPr>
                <w:p w14:paraId="107C79ED">
                  <w:pPr>
                    <w:jc w:val="center"/>
                  </w:pPr>
                  <w:r>
                    <w:t>监测因子</w:t>
                  </w:r>
                </w:p>
              </w:tc>
              <w:tc>
                <w:tcPr>
                  <w:tcW w:w="642" w:type="pct"/>
                  <w:vAlign w:val="center"/>
                </w:tcPr>
                <w:p w14:paraId="0C842C0D">
                  <w:pPr>
                    <w:jc w:val="center"/>
                  </w:pPr>
                  <w:r>
                    <w:t>监测频次</w:t>
                  </w:r>
                </w:p>
              </w:tc>
              <w:tc>
                <w:tcPr>
                  <w:tcW w:w="1954" w:type="pct"/>
                </w:tcPr>
                <w:p w14:paraId="1785D9BC">
                  <w:pPr>
                    <w:jc w:val="center"/>
                  </w:pPr>
                  <w:r>
                    <w:t>控制标准</w:t>
                  </w:r>
                </w:p>
              </w:tc>
            </w:tr>
            <w:tr w14:paraId="0B9E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restart"/>
                  <w:vAlign w:val="center"/>
                </w:tcPr>
                <w:p w14:paraId="27B36D09">
                  <w:pPr>
                    <w:jc w:val="center"/>
                  </w:pPr>
                  <w:r>
                    <w:t>有组织</w:t>
                  </w:r>
                </w:p>
              </w:tc>
              <w:tc>
                <w:tcPr>
                  <w:tcW w:w="1015" w:type="pct"/>
                  <w:vAlign w:val="center"/>
                </w:tcPr>
                <w:p w14:paraId="4E07B9EF">
                  <w:pPr>
                    <w:jc w:val="center"/>
                  </w:pPr>
                  <w:r>
                    <w:t>抛丸工序粉尘排气筒DA001出口</w:t>
                  </w:r>
                </w:p>
              </w:tc>
              <w:tc>
                <w:tcPr>
                  <w:tcW w:w="963" w:type="pct"/>
                  <w:vAlign w:val="center"/>
                </w:tcPr>
                <w:p w14:paraId="3A2DEAFE">
                  <w:pPr>
                    <w:jc w:val="center"/>
                  </w:pPr>
                  <w:r>
                    <w:t>颗粒物</w:t>
                  </w:r>
                </w:p>
              </w:tc>
              <w:tc>
                <w:tcPr>
                  <w:tcW w:w="642" w:type="pct"/>
                  <w:vMerge w:val="restart"/>
                  <w:vAlign w:val="center"/>
                </w:tcPr>
                <w:p w14:paraId="3866F03B">
                  <w:pPr>
                    <w:jc w:val="center"/>
                  </w:pPr>
                  <w:r>
                    <w:t>每年1次</w:t>
                  </w:r>
                </w:p>
              </w:tc>
              <w:tc>
                <w:tcPr>
                  <w:tcW w:w="1954" w:type="pct"/>
                  <w:vMerge w:val="restart"/>
                  <w:vAlign w:val="center"/>
                </w:tcPr>
                <w:p w14:paraId="5BEFE369">
                  <w:pPr>
                    <w:wordWrap w:val="0"/>
                    <w:jc w:val="center"/>
                  </w:pPr>
                  <w:r>
                    <w:t>《大气污染物综合排放标准》（GB16297-1996）表2中的二级标准颗粒物</w:t>
                  </w:r>
                </w:p>
              </w:tc>
            </w:tr>
            <w:tr w14:paraId="0CB9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pct"/>
                  <w:vMerge w:val="continue"/>
                </w:tcPr>
                <w:p w14:paraId="6E41D61A">
                  <w:pPr>
                    <w:jc w:val="center"/>
                  </w:pPr>
                </w:p>
              </w:tc>
              <w:tc>
                <w:tcPr>
                  <w:tcW w:w="1015" w:type="pct"/>
                  <w:vAlign w:val="center"/>
                </w:tcPr>
                <w:p w14:paraId="371E64E0">
                  <w:pPr>
                    <w:jc w:val="center"/>
                  </w:pPr>
                  <w:r>
                    <w:t>喷涂工序1排气筒DA002出口</w:t>
                  </w:r>
                </w:p>
              </w:tc>
              <w:tc>
                <w:tcPr>
                  <w:tcW w:w="963" w:type="pct"/>
                  <w:vAlign w:val="center"/>
                </w:tcPr>
                <w:p w14:paraId="28740C10">
                  <w:pPr>
                    <w:jc w:val="center"/>
                  </w:pPr>
                  <w:r>
                    <w:t>颗粒物</w:t>
                  </w:r>
                </w:p>
              </w:tc>
              <w:tc>
                <w:tcPr>
                  <w:tcW w:w="642" w:type="pct"/>
                  <w:vMerge w:val="continue"/>
                  <w:vAlign w:val="center"/>
                </w:tcPr>
                <w:p w14:paraId="73547588">
                  <w:pPr>
                    <w:jc w:val="center"/>
                  </w:pPr>
                </w:p>
              </w:tc>
              <w:tc>
                <w:tcPr>
                  <w:tcW w:w="1954" w:type="pct"/>
                  <w:vMerge w:val="continue"/>
                  <w:vAlign w:val="center"/>
                </w:tcPr>
                <w:p w14:paraId="783199E1">
                  <w:pPr>
                    <w:wordWrap w:val="0"/>
                    <w:jc w:val="center"/>
                  </w:pPr>
                </w:p>
              </w:tc>
            </w:tr>
            <w:tr w14:paraId="5E9F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26" w:type="pct"/>
                  <w:vMerge w:val="continue"/>
                </w:tcPr>
                <w:p w14:paraId="018D5535">
                  <w:pPr>
                    <w:jc w:val="center"/>
                  </w:pPr>
                </w:p>
              </w:tc>
              <w:tc>
                <w:tcPr>
                  <w:tcW w:w="1015" w:type="pct"/>
                  <w:vAlign w:val="center"/>
                </w:tcPr>
                <w:p w14:paraId="37FF7CB1">
                  <w:pPr>
                    <w:jc w:val="center"/>
                  </w:pPr>
                  <w:r>
                    <w:t>喷涂工序1排气筒DA002进、出口</w:t>
                  </w:r>
                </w:p>
              </w:tc>
              <w:tc>
                <w:tcPr>
                  <w:tcW w:w="963" w:type="pct"/>
                  <w:vAlign w:val="center"/>
                </w:tcPr>
                <w:p w14:paraId="4E92B20E">
                  <w:pPr>
                    <w:jc w:val="center"/>
                  </w:pPr>
                  <w:r>
                    <w:t>非甲烷总烃</w:t>
                  </w:r>
                </w:p>
              </w:tc>
              <w:tc>
                <w:tcPr>
                  <w:tcW w:w="642" w:type="pct"/>
                  <w:vMerge w:val="continue"/>
                  <w:vAlign w:val="center"/>
                </w:tcPr>
                <w:p w14:paraId="3E848800">
                  <w:pPr>
                    <w:jc w:val="center"/>
                  </w:pPr>
                </w:p>
              </w:tc>
              <w:tc>
                <w:tcPr>
                  <w:tcW w:w="1954" w:type="pct"/>
                  <w:vAlign w:val="center"/>
                </w:tcPr>
                <w:p w14:paraId="2307B563">
                  <w:pPr>
                    <w:wordWrap w:val="0"/>
                    <w:jc w:val="center"/>
                  </w:pPr>
                  <w:r>
                    <w:t>《挥发性有机物排放控制标准》（DB61/T1061-2017）表面涂装行业中的相关标准</w:t>
                  </w:r>
                </w:p>
              </w:tc>
            </w:tr>
            <w:tr w14:paraId="17DA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26" w:type="pct"/>
                  <w:vMerge w:val="continue"/>
                </w:tcPr>
                <w:p w14:paraId="3A70216A">
                  <w:pPr>
                    <w:jc w:val="center"/>
                  </w:pPr>
                </w:p>
              </w:tc>
              <w:tc>
                <w:tcPr>
                  <w:tcW w:w="1015" w:type="pct"/>
                  <w:vAlign w:val="center"/>
                </w:tcPr>
                <w:p w14:paraId="6A8C182D">
                  <w:pPr>
                    <w:jc w:val="center"/>
                  </w:pPr>
                  <w:r>
                    <w:t>喷涂工序2排气筒DA003出口</w:t>
                  </w:r>
                </w:p>
              </w:tc>
              <w:tc>
                <w:tcPr>
                  <w:tcW w:w="963" w:type="pct"/>
                  <w:vAlign w:val="center"/>
                </w:tcPr>
                <w:p w14:paraId="3EAABCC1">
                  <w:pPr>
                    <w:jc w:val="center"/>
                  </w:pPr>
                  <w:r>
                    <w:t>颗粒物</w:t>
                  </w:r>
                </w:p>
              </w:tc>
              <w:tc>
                <w:tcPr>
                  <w:tcW w:w="642" w:type="pct"/>
                  <w:vMerge w:val="continue"/>
                  <w:vAlign w:val="center"/>
                </w:tcPr>
                <w:p w14:paraId="2400C39F">
                  <w:pPr>
                    <w:jc w:val="center"/>
                  </w:pPr>
                </w:p>
              </w:tc>
              <w:tc>
                <w:tcPr>
                  <w:tcW w:w="1954" w:type="pct"/>
                  <w:vAlign w:val="center"/>
                </w:tcPr>
                <w:p w14:paraId="173B3008">
                  <w:pPr>
                    <w:wordWrap w:val="0"/>
                    <w:jc w:val="center"/>
                  </w:pPr>
                  <w:r>
                    <w:t>《大气污染物综合排放标准》（GB16297-1996）</w:t>
                  </w:r>
                </w:p>
              </w:tc>
            </w:tr>
            <w:tr w14:paraId="3AA8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26" w:type="pct"/>
                  <w:vMerge w:val="continue"/>
                </w:tcPr>
                <w:p w14:paraId="362EF8BA">
                  <w:pPr>
                    <w:jc w:val="center"/>
                  </w:pPr>
                </w:p>
              </w:tc>
              <w:tc>
                <w:tcPr>
                  <w:tcW w:w="1015" w:type="pct"/>
                  <w:vAlign w:val="center"/>
                </w:tcPr>
                <w:p w14:paraId="71D210C3">
                  <w:pPr>
                    <w:jc w:val="center"/>
                  </w:pPr>
                  <w:r>
                    <w:rPr>
                      <w:rFonts w:hint="eastAsia"/>
                    </w:rPr>
                    <w:t>烘干工序有机废气排气筒DA004进、出口</w:t>
                  </w:r>
                </w:p>
              </w:tc>
              <w:tc>
                <w:tcPr>
                  <w:tcW w:w="963" w:type="pct"/>
                  <w:vAlign w:val="center"/>
                </w:tcPr>
                <w:p w14:paraId="50A04A71">
                  <w:pPr>
                    <w:jc w:val="center"/>
                  </w:pPr>
                  <w:r>
                    <w:rPr>
                      <w:rFonts w:hint="eastAsia"/>
                    </w:rPr>
                    <w:t>非甲烷总烃</w:t>
                  </w:r>
                </w:p>
              </w:tc>
              <w:tc>
                <w:tcPr>
                  <w:tcW w:w="642" w:type="pct"/>
                  <w:vMerge w:val="continue"/>
                  <w:vAlign w:val="center"/>
                </w:tcPr>
                <w:p w14:paraId="12A4BDA5">
                  <w:pPr>
                    <w:jc w:val="center"/>
                  </w:pPr>
                </w:p>
              </w:tc>
              <w:tc>
                <w:tcPr>
                  <w:tcW w:w="1954" w:type="pct"/>
                  <w:vAlign w:val="center"/>
                </w:tcPr>
                <w:p w14:paraId="3B83E87D">
                  <w:pPr>
                    <w:wordWrap w:val="0"/>
                    <w:jc w:val="center"/>
                  </w:pPr>
                  <w:r>
                    <w:t>《挥发性有机物排放控制标准》（DB61/T1061-2017）表面涂装行业中的相关标准</w:t>
                  </w:r>
                </w:p>
              </w:tc>
            </w:tr>
            <w:tr w14:paraId="485B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26" w:type="pct"/>
                  <w:vMerge w:val="continue"/>
                </w:tcPr>
                <w:p w14:paraId="6B6F97D2">
                  <w:pPr>
                    <w:jc w:val="center"/>
                  </w:pPr>
                </w:p>
              </w:tc>
              <w:tc>
                <w:tcPr>
                  <w:tcW w:w="1015" w:type="pct"/>
                  <w:vAlign w:val="center"/>
                </w:tcPr>
                <w:p w14:paraId="2980EE4F">
                  <w:pPr>
                    <w:jc w:val="center"/>
                  </w:pPr>
                  <w:r>
                    <w:rPr>
                      <w:rFonts w:hint="eastAsia"/>
                    </w:rPr>
                    <w:t>烘干工序燃料燃烧排气筒DA005出口</w:t>
                  </w:r>
                </w:p>
              </w:tc>
              <w:tc>
                <w:tcPr>
                  <w:tcW w:w="963" w:type="pct"/>
                  <w:vAlign w:val="center"/>
                </w:tcPr>
                <w:p w14:paraId="14A99189">
                  <w:pPr>
                    <w:jc w:val="center"/>
                  </w:pPr>
                  <w:r>
                    <w:t>颗粒物</w:t>
                  </w:r>
                  <w:r>
                    <w:rPr>
                      <w:rFonts w:hint="eastAsia"/>
                    </w:rPr>
                    <w:t>、</w:t>
                  </w:r>
                  <w:r>
                    <w:t>二氧化硫、氮氧化物</w:t>
                  </w:r>
                </w:p>
              </w:tc>
              <w:tc>
                <w:tcPr>
                  <w:tcW w:w="642" w:type="pct"/>
                  <w:vMerge w:val="continue"/>
                  <w:vAlign w:val="center"/>
                </w:tcPr>
                <w:p w14:paraId="51445491">
                  <w:pPr>
                    <w:jc w:val="center"/>
                  </w:pPr>
                </w:p>
              </w:tc>
              <w:tc>
                <w:tcPr>
                  <w:tcW w:w="1954" w:type="pct"/>
                  <w:vAlign w:val="center"/>
                </w:tcPr>
                <w:p w14:paraId="22FFD1AC">
                  <w:pPr>
                    <w:wordWrap w:val="0"/>
                    <w:jc w:val="center"/>
                  </w:pPr>
                  <w:r>
                    <w:t>《锅炉大气污染物排放标准》（DB61/1226-2018）</w:t>
                  </w:r>
                </w:p>
              </w:tc>
            </w:tr>
            <w:tr w14:paraId="154A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26" w:type="pct"/>
                  <w:vMerge w:val="continue"/>
                </w:tcPr>
                <w:p w14:paraId="46515F18">
                  <w:pPr>
                    <w:jc w:val="center"/>
                  </w:pPr>
                </w:p>
              </w:tc>
              <w:tc>
                <w:tcPr>
                  <w:tcW w:w="1015" w:type="pct"/>
                  <w:vAlign w:val="center"/>
                </w:tcPr>
                <w:p w14:paraId="738C498F">
                  <w:pPr>
                    <w:jc w:val="center"/>
                  </w:pPr>
                  <w:r>
                    <w:rPr>
                      <w:rFonts w:hint="eastAsia"/>
                    </w:rPr>
                    <w:t>喷涂3排气筒DA006出口</w:t>
                  </w:r>
                </w:p>
              </w:tc>
              <w:tc>
                <w:tcPr>
                  <w:tcW w:w="963" w:type="pct"/>
                  <w:vAlign w:val="center"/>
                </w:tcPr>
                <w:p w14:paraId="6224338B">
                  <w:pPr>
                    <w:jc w:val="center"/>
                  </w:pPr>
                  <w:r>
                    <w:rPr>
                      <w:rFonts w:hint="eastAsia"/>
                    </w:rPr>
                    <w:t>颗粒物</w:t>
                  </w:r>
                </w:p>
              </w:tc>
              <w:tc>
                <w:tcPr>
                  <w:tcW w:w="642" w:type="pct"/>
                  <w:vMerge w:val="continue"/>
                  <w:vAlign w:val="center"/>
                </w:tcPr>
                <w:p w14:paraId="7B664E8E">
                  <w:pPr>
                    <w:jc w:val="center"/>
                  </w:pPr>
                </w:p>
              </w:tc>
              <w:tc>
                <w:tcPr>
                  <w:tcW w:w="1954" w:type="pct"/>
                  <w:vAlign w:val="center"/>
                </w:tcPr>
                <w:p w14:paraId="2496BBDE">
                  <w:pPr>
                    <w:wordWrap w:val="0"/>
                    <w:jc w:val="center"/>
                  </w:pPr>
                  <w:r>
                    <w:t>《大气污染物综合排放标准》（GB16297-1996）</w:t>
                  </w:r>
                </w:p>
              </w:tc>
            </w:tr>
            <w:tr w14:paraId="3C07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426" w:type="pct"/>
                  <w:vMerge w:val="continue"/>
                </w:tcPr>
                <w:p w14:paraId="2E2489CA">
                  <w:pPr>
                    <w:jc w:val="center"/>
                  </w:pPr>
                </w:p>
              </w:tc>
              <w:tc>
                <w:tcPr>
                  <w:tcW w:w="1015" w:type="pct"/>
                  <w:vAlign w:val="center"/>
                </w:tcPr>
                <w:p w14:paraId="4AA6D858">
                  <w:pPr>
                    <w:jc w:val="center"/>
                  </w:pPr>
                  <w:r>
                    <w:rPr>
                      <w:rFonts w:hint="eastAsia"/>
                    </w:rPr>
                    <w:t>喷漆工序4排气筒DA007进、出口</w:t>
                  </w:r>
                </w:p>
              </w:tc>
              <w:tc>
                <w:tcPr>
                  <w:tcW w:w="963" w:type="pct"/>
                  <w:vAlign w:val="center"/>
                </w:tcPr>
                <w:p w14:paraId="00572D38">
                  <w:pPr>
                    <w:jc w:val="center"/>
                  </w:pPr>
                  <w:r>
                    <w:t>非甲烷总烃</w:t>
                  </w:r>
                </w:p>
              </w:tc>
              <w:tc>
                <w:tcPr>
                  <w:tcW w:w="642" w:type="pct"/>
                  <w:vMerge w:val="continue"/>
                  <w:vAlign w:val="center"/>
                </w:tcPr>
                <w:p w14:paraId="679BFA8F">
                  <w:pPr>
                    <w:jc w:val="center"/>
                  </w:pPr>
                </w:p>
              </w:tc>
              <w:tc>
                <w:tcPr>
                  <w:tcW w:w="1954" w:type="pct"/>
                  <w:vAlign w:val="center"/>
                </w:tcPr>
                <w:p w14:paraId="3FF155A5">
                  <w:pPr>
                    <w:wordWrap w:val="0"/>
                    <w:jc w:val="center"/>
                  </w:pPr>
                  <w:r>
                    <w:t>《挥发性有机物排放控制标准》（DB61/T1061-2017）表面涂装行业中的相关标准</w:t>
                  </w:r>
                </w:p>
              </w:tc>
            </w:tr>
            <w:tr w14:paraId="713E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26" w:type="pct"/>
                  <w:vMerge w:val="continue"/>
                </w:tcPr>
                <w:p w14:paraId="787BF794">
                  <w:pPr>
                    <w:jc w:val="center"/>
                  </w:pPr>
                </w:p>
              </w:tc>
              <w:tc>
                <w:tcPr>
                  <w:tcW w:w="1015" w:type="pct"/>
                  <w:vAlign w:val="center"/>
                </w:tcPr>
                <w:p w14:paraId="6B149482">
                  <w:pPr>
                    <w:jc w:val="center"/>
                  </w:pPr>
                  <w:r>
                    <w:rPr>
                      <w:rFonts w:hint="eastAsia"/>
                    </w:rPr>
                    <w:t>喷漆工序4排气筒DA007出口</w:t>
                  </w:r>
                </w:p>
              </w:tc>
              <w:tc>
                <w:tcPr>
                  <w:tcW w:w="963" w:type="pct"/>
                  <w:vAlign w:val="center"/>
                </w:tcPr>
                <w:p w14:paraId="48E8F8DA">
                  <w:pPr>
                    <w:jc w:val="center"/>
                  </w:pPr>
                  <w:r>
                    <w:t>颗粒物</w:t>
                  </w:r>
                </w:p>
              </w:tc>
              <w:tc>
                <w:tcPr>
                  <w:tcW w:w="642" w:type="pct"/>
                  <w:vMerge w:val="continue"/>
                  <w:vAlign w:val="center"/>
                </w:tcPr>
                <w:p w14:paraId="79554C00">
                  <w:pPr>
                    <w:jc w:val="center"/>
                  </w:pPr>
                </w:p>
              </w:tc>
              <w:tc>
                <w:tcPr>
                  <w:tcW w:w="1954" w:type="pct"/>
                  <w:vAlign w:val="center"/>
                </w:tcPr>
                <w:p w14:paraId="2B8DC4EF">
                  <w:pPr>
                    <w:wordWrap w:val="0"/>
                    <w:jc w:val="center"/>
                  </w:pPr>
                  <w:r>
                    <w:t>《大气污染物综合排放标准》（GB16297-1996）</w:t>
                  </w:r>
                </w:p>
              </w:tc>
            </w:tr>
            <w:tr w14:paraId="19EF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26" w:type="pct"/>
                  <w:vMerge w:val="restart"/>
                  <w:vAlign w:val="center"/>
                </w:tcPr>
                <w:p w14:paraId="60FF108A">
                  <w:pPr>
                    <w:jc w:val="center"/>
                  </w:pPr>
                  <w:r>
                    <w:t>无组织</w:t>
                  </w:r>
                </w:p>
              </w:tc>
              <w:tc>
                <w:tcPr>
                  <w:tcW w:w="1015" w:type="pct"/>
                  <w:vAlign w:val="center"/>
                </w:tcPr>
                <w:p w14:paraId="5118D7E0">
                  <w:pPr>
                    <w:jc w:val="center"/>
                  </w:pPr>
                  <w:r>
                    <w:rPr>
                      <w:rFonts w:hint="eastAsia"/>
                    </w:rPr>
                    <w:t>厂区内无组织</w:t>
                  </w:r>
                </w:p>
              </w:tc>
              <w:tc>
                <w:tcPr>
                  <w:tcW w:w="963" w:type="pct"/>
                  <w:vAlign w:val="center"/>
                </w:tcPr>
                <w:p w14:paraId="3CB31214">
                  <w:pPr>
                    <w:jc w:val="center"/>
                  </w:pPr>
                  <w:r>
                    <w:rPr>
                      <w:rFonts w:hint="eastAsia"/>
                    </w:rPr>
                    <w:t>非甲烷总烃</w:t>
                  </w:r>
                </w:p>
              </w:tc>
              <w:tc>
                <w:tcPr>
                  <w:tcW w:w="642" w:type="pct"/>
                  <w:vMerge w:val="continue"/>
                  <w:vAlign w:val="center"/>
                </w:tcPr>
                <w:p w14:paraId="3C2C270B">
                  <w:pPr>
                    <w:jc w:val="center"/>
                  </w:pPr>
                </w:p>
              </w:tc>
              <w:tc>
                <w:tcPr>
                  <w:tcW w:w="1954" w:type="pct"/>
                  <w:vAlign w:val="center"/>
                </w:tcPr>
                <w:p w14:paraId="4350A55E">
                  <w:pPr>
                    <w:wordWrap w:val="0"/>
                    <w:jc w:val="center"/>
                  </w:pPr>
                  <w:r>
                    <w:rPr>
                      <w:rFonts w:hAnsi="宋体"/>
                      <w:szCs w:val="21"/>
                    </w:rPr>
                    <w:t>《</w:t>
                  </w:r>
                  <w:r>
                    <w:rPr>
                      <w:rFonts w:hint="eastAsia" w:hAnsi="宋体"/>
                      <w:szCs w:val="21"/>
                    </w:rPr>
                    <w:t>挥发性有机物无组织</w:t>
                  </w:r>
                  <w:r>
                    <w:rPr>
                      <w:rFonts w:hAnsi="宋体"/>
                      <w:szCs w:val="21"/>
                    </w:rPr>
                    <w:t>排放</w:t>
                  </w:r>
                  <w:r>
                    <w:rPr>
                      <w:rFonts w:hint="eastAsia" w:hAnsi="宋体"/>
                      <w:szCs w:val="21"/>
                    </w:rPr>
                    <w:t>控制</w:t>
                  </w:r>
                  <w:r>
                    <w:rPr>
                      <w:rFonts w:hAnsi="宋体"/>
                      <w:szCs w:val="21"/>
                    </w:rPr>
                    <w:t>标准》（</w:t>
                  </w:r>
                  <w:r>
                    <w:rPr>
                      <w:rFonts w:hint="eastAsia"/>
                      <w:szCs w:val="21"/>
                    </w:rPr>
                    <w:t>G</w:t>
                  </w:r>
                  <w:r>
                    <w:rPr>
                      <w:szCs w:val="21"/>
                    </w:rPr>
                    <w:t>B</w:t>
                  </w:r>
                  <w:r>
                    <w:rPr>
                      <w:rFonts w:hint="eastAsia"/>
                      <w:szCs w:val="21"/>
                    </w:rPr>
                    <w:t>37822-2019</w:t>
                  </w:r>
                  <w:r>
                    <w:rPr>
                      <w:rFonts w:hAnsi="宋体"/>
                      <w:szCs w:val="21"/>
                    </w:rPr>
                    <w:t>）</w:t>
                  </w:r>
                </w:p>
              </w:tc>
            </w:tr>
            <w:tr w14:paraId="1D42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26" w:type="pct"/>
                  <w:vMerge w:val="continue"/>
                  <w:vAlign w:val="center"/>
                </w:tcPr>
                <w:p w14:paraId="400047DA">
                  <w:pPr>
                    <w:jc w:val="center"/>
                  </w:pPr>
                </w:p>
              </w:tc>
              <w:tc>
                <w:tcPr>
                  <w:tcW w:w="1015" w:type="pct"/>
                  <w:vMerge w:val="restart"/>
                  <w:vAlign w:val="center"/>
                </w:tcPr>
                <w:p w14:paraId="261F4F82">
                  <w:pPr>
                    <w:jc w:val="center"/>
                  </w:pPr>
                  <w:r>
                    <w:t>厂界上风向1个，下风向3个</w:t>
                  </w:r>
                </w:p>
              </w:tc>
              <w:tc>
                <w:tcPr>
                  <w:tcW w:w="963" w:type="pct"/>
                  <w:vAlign w:val="center"/>
                </w:tcPr>
                <w:p w14:paraId="52226B3D">
                  <w:pPr>
                    <w:jc w:val="center"/>
                  </w:pPr>
                  <w:r>
                    <w:t>非甲烷总烃</w:t>
                  </w:r>
                </w:p>
              </w:tc>
              <w:tc>
                <w:tcPr>
                  <w:tcW w:w="642" w:type="pct"/>
                  <w:vMerge w:val="continue"/>
                  <w:vAlign w:val="center"/>
                </w:tcPr>
                <w:p w14:paraId="21191601">
                  <w:pPr>
                    <w:jc w:val="center"/>
                  </w:pPr>
                </w:p>
              </w:tc>
              <w:tc>
                <w:tcPr>
                  <w:tcW w:w="1954" w:type="pct"/>
                  <w:vAlign w:val="center"/>
                </w:tcPr>
                <w:p w14:paraId="61E21F87">
                  <w:pPr>
                    <w:wordWrap w:val="0"/>
                    <w:jc w:val="center"/>
                  </w:pPr>
                  <w:r>
                    <w:t>《挥发性有机物排放控制标准》（DB61/T1061-2017）表面涂装行业中的相关标准</w:t>
                  </w:r>
                </w:p>
              </w:tc>
            </w:tr>
            <w:tr w14:paraId="4155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26" w:type="pct"/>
                  <w:vMerge w:val="continue"/>
                  <w:vAlign w:val="center"/>
                </w:tcPr>
                <w:p w14:paraId="05C326C3">
                  <w:pPr>
                    <w:jc w:val="center"/>
                  </w:pPr>
                </w:p>
              </w:tc>
              <w:tc>
                <w:tcPr>
                  <w:tcW w:w="1015" w:type="pct"/>
                  <w:vMerge w:val="continue"/>
                  <w:vAlign w:val="center"/>
                </w:tcPr>
                <w:p w14:paraId="4B0D6931">
                  <w:pPr>
                    <w:jc w:val="center"/>
                  </w:pPr>
                </w:p>
              </w:tc>
              <w:tc>
                <w:tcPr>
                  <w:tcW w:w="963" w:type="pct"/>
                  <w:vAlign w:val="center"/>
                </w:tcPr>
                <w:p w14:paraId="73AF4882">
                  <w:pPr>
                    <w:jc w:val="center"/>
                  </w:pPr>
                  <w:r>
                    <w:t>颗粒物</w:t>
                  </w:r>
                </w:p>
              </w:tc>
              <w:tc>
                <w:tcPr>
                  <w:tcW w:w="642" w:type="pct"/>
                  <w:vMerge w:val="continue"/>
                  <w:vAlign w:val="center"/>
                </w:tcPr>
                <w:p w14:paraId="18962FA0">
                  <w:pPr>
                    <w:jc w:val="center"/>
                  </w:pPr>
                </w:p>
              </w:tc>
              <w:tc>
                <w:tcPr>
                  <w:tcW w:w="1954" w:type="pct"/>
                  <w:vAlign w:val="center"/>
                </w:tcPr>
                <w:p w14:paraId="5B08AC28">
                  <w:pPr>
                    <w:wordWrap w:val="0"/>
                    <w:jc w:val="center"/>
                  </w:pPr>
                  <w:r>
                    <w:t>《大气污染物综合排放标准》（GB16297-1996）</w:t>
                  </w:r>
                </w:p>
              </w:tc>
            </w:tr>
          </w:tbl>
          <w:p w14:paraId="1ECA8A21">
            <w:pPr>
              <w:spacing w:line="360" w:lineRule="auto"/>
              <w:ind w:firstLine="480" w:firstLineChars="200"/>
              <w:rPr>
                <w:bCs/>
                <w:sz w:val="24"/>
              </w:rPr>
            </w:pPr>
            <w:r>
              <w:rPr>
                <w:rFonts w:hint="eastAsia"/>
                <w:bCs/>
                <w:sz w:val="24"/>
              </w:rPr>
              <w:t>4.1.5废气治理设施可行性分析</w:t>
            </w:r>
          </w:p>
          <w:p w14:paraId="5976FFAC">
            <w:pPr>
              <w:spacing w:line="360" w:lineRule="auto"/>
              <w:ind w:firstLine="480" w:firstLineChars="200"/>
              <w:rPr>
                <w:b/>
                <w:bCs/>
                <w:sz w:val="24"/>
              </w:rPr>
            </w:pPr>
            <w:r>
              <w:rPr>
                <w:rFonts w:hint="eastAsia"/>
                <w:bCs/>
                <w:sz w:val="24"/>
              </w:rPr>
              <w:t>（1）处理措施可行性分析</w:t>
            </w:r>
          </w:p>
          <w:p w14:paraId="32376B08">
            <w:pPr>
              <w:pStyle w:val="5"/>
              <w:keepNext w:val="0"/>
              <w:tabs>
                <w:tab w:val="left" w:pos="1302"/>
              </w:tabs>
              <w:ind w:firstLine="480" w:firstLineChars="200"/>
              <w:rPr>
                <w:rFonts w:ascii="宋体" w:hAnsi="宋体" w:cs="宋体"/>
                <w:sz w:val="24"/>
              </w:rPr>
            </w:pPr>
            <w:r>
              <w:rPr>
                <w:rFonts w:hAnsi="宋体"/>
                <w:sz w:val="24"/>
              </w:rPr>
              <w:t>项目</w:t>
            </w:r>
            <w:r>
              <w:rPr>
                <w:rFonts w:hint="eastAsia" w:hAnsi="宋体"/>
                <w:sz w:val="24"/>
              </w:rPr>
              <w:t>烘干</w:t>
            </w:r>
            <w:r>
              <w:rPr>
                <w:rFonts w:hAnsi="宋体"/>
                <w:sz w:val="24"/>
              </w:rPr>
              <w:t>工序粉尘通过</w:t>
            </w:r>
            <w:r>
              <w:rPr>
                <w:rFonts w:hint="eastAsia" w:hAnsi="宋体"/>
                <w:sz w:val="24"/>
              </w:rPr>
              <w:t>对各设备顶部上方设置</w:t>
            </w:r>
            <w:r>
              <w:rPr>
                <w:rFonts w:hAnsi="宋体"/>
                <w:sz w:val="24"/>
              </w:rPr>
              <w:t>集气罩进行收集，</w:t>
            </w:r>
            <w:r>
              <w:rPr>
                <w:rFonts w:hint="eastAsia"/>
                <w:sz w:val="24"/>
              </w:rPr>
              <w:t>参考《浙江省重点行业VOCs污染排放源排放量计算方法》及《袋式除尘工程通用技术规范</w:t>
            </w:r>
            <w:r>
              <w:rPr>
                <w:rFonts w:hint="eastAsia" w:ascii="宋体" w:hAnsi="宋体"/>
                <w:sz w:val="24"/>
              </w:rPr>
              <w:t>》</w:t>
            </w:r>
            <w:r>
              <w:rPr>
                <w:rFonts w:hint="eastAsia"/>
                <w:sz w:val="24"/>
              </w:rPr>
              <w:t>（HJ2020-2012），其中《浙江省重点行业VOCs污染排放源排放量计算方法》“对密闭间进行密闭收集截风速不低于0.5m/s，收集效率认定为80%~95%”；《袋式除尘工程通用技术规范</w:t>
            </w:r>
            <w:r>
              <w:rPr>
                <w:rFonts w:hint="eastAsia" w:ascii="宋体" w:hAnsi="宋体"/>
                <w:sz w:val="24"/>
              </w:rPr>
              <w:t>》</w:t>
            </w:r>
            <w:r>
              <w:rPr>
                <w:rFonts w:hint="eastAsia"/>
                <w:sz w:val="24"/>
              </w:rPr>
              <w:t>（HJ2020-2012）“集气罩应能实现对烟气（尘）的捕集效果，捕集率不低于：a）密闭罩100%；b）半密闭罩100%；c）半密闭罩100%；d）屋顶排烟罩90%；e）含有毒有害、易燃易爆污染源控制装置100%；”本项目废气集气罩收集效率取85%在合理范围，</w:t>
            </w:r>
            <w:r>
              <w:rPr>
                <w:kern w:val="0"/>
                <w:sz w:val="24"/>
              </w:rPr>
              <w:t>其余15%按无组织计。</w:t>
            </w:r>
            <w:r>
              <w:rPr>
                <w:sz w:val="24"/>
              </w:rPr>
              <w:t>参照</w:t>
            </w:r>
            <w:r>
              <w:rPr>
                <w:rFonts w:hint="eastAsia"/>
                <w:sz w:val="24"/>
              </w:rPr>
              <w:t xml:space="preserve">《排污许可证申请与核发技术规范 </w:t>
            </w:r>
            <w:r>
              <w:rPr>
                <w:sz w:val="24"/>
              </w:rPr>
              <w:t xml:space="preserve"> </w:t>
            </w:r>
            <w:r>
              <w:rPr>
                <w:rFonts w:hint="eastAsia"/>
                <w:sz w:val="24"/>
              </w:rPr>
              <w:t>铁路、船舶、航空航天和其他运输设备制造业》中附录A中表面处理（涂装）排污单位、</w:t>
            </w:r>
            <w:r>
              <w:rPr>
                <w:sz w:val="24"/>
              </w:rPr>
              <w:t>《排污许可证申请与核发技术规范</w:t>
            </w:r>
            <w:r>
              <w:rPr>
                <w:rFonts w:hint="eastAsia"/>
                <w:sz w:val="24"/>
              </w:rPr>
              <w:t xml:space="preserve">   </w:t>
            </w:r>
            <w:r>
              <w:rPr>
                <w:sz w:val="24"/>
              </w:rPr>
              <w:t>家具制造工业》附录A中的相关要求和《排放源统计调查产排污核算方法》中的机械行业系数手册中推荐的末端治理技术</w:t>
            </w:r>
            <w:r>
              <w:rPr>
                <w:rFonts w:ascii="宋体" w:hAnsi="宋体" w:cs="宋体"/>
                <w:sz w:val="24"/>
              </w:rPr>
              <w:t>”，本项目</w:t>
            </w:r>
            <w:r>
              <w:rPr>
                <w:rFonts w:hint="eastAsia" w:ascii="宋体" w:hAnsi="宋体" w:cs="宋体"/>
                <w:sz w:val="24"/>
              </w:rPr>
              <w:t>产生废气所采取废气治理措施均属于</w:t>
            </w:r>
            <w:r>
              <w:rPr>
                <w:rFonts w:ascii="宋体" w:hAnsi="宋体" w:cs="宋体"/>
                <w:sz w:val="24"/>
              </w:rPr>
              <w:t>废气防治可行技术</w:t>
            </w:r>
            <w:r>
              <w:rPr>
                <w:rFonts w:hint="eastAsia" w:ascii="宋体" w:hAnsi="宋体" w:cs="宋体"/>
                <w:sz w:val="24"/>
              </w:rPr>
              <w:t>。</w:t>
            </w:r>
          </w:p>
          <w:p w14:paraId="45BB738A">
            <w:pPr>
              <w:adjustRightInd w:val="0"/>
              <w:snapToGrid w:val="0"/>
              <w:spacing w:line="360" w:lineRule="auto"/>
              <w:ind w:firstLine="460" w:firstLineChars="200"/>
              <w:jc w:val="left"/>
              <w:rPr>
                <w:spacing w:val="-5"/>
                <w:sz w:val="24"/>
              </w:rPr>
            </w:pPr>
            <w:r>
              <w:rPr>
                <w:rFonts w:hint="eastAsia"/>
                <w:spacing w:val="-5"/>
                <w:sz w:val="24"/>
              </w:rPr>
              <w:t>纳米覆膜滤筒除尘系统原理：在传统滤材上复合一层细密的纳米纤维膜，再经过打褶定型制成滤筒或滤芯。这层纳米纤维膜的平均纤维直径仅有100纳米，孔径小于3微米；微小的孔径和巨大的比表面积覆膜滤筒，使其具有极高的过滤精度及效率。当含尘气体从风口进入灰斗后，一部分粗尘粒和凝聚的尘团，由于惯性作用，直接落下，起到预收尘的作用。进入灰斗的气流折转向上涌入箱体，当通过内部装有金属骨架的滤袋时，粉尘被阻留到滤袋的外表面。净化后的气体进入滤袋上部的清洁室汇集到出风管排出。</w:t>
            </w:r>
          </w:p>
          <w:p w14:paraId="391B1C74">
            <w:pPr>
              <w:adjustRightInd w:val="0"/>
              <w:snapToGrid w:val="0"/>
              <w:spacing w:line="360" w:lineRule="auto"/>
              <w:ind w:firstLine="480" w:firstLineChars="200"/>
              <w:jc w:val="left"/>
              <w:rPr>
                <w:bCs/>
                <w:sz w:val="24"/>
              </w:rPr>
            </w:pPr>
            <w:r>
              <w:rPr>
                <w:rFonts w:hint="eastAsia"/>
                <w:bCs/>
                <w:sz w:val="24"/>
              </w:rPr>
              <w:t>玻璃纤维过滤棉+活性炭吸附设施工作原理如下：</w:t>
            </w:r>
          </w:p>
          <w:p w14:paraId="0C2CA34A">
            <w:pPr>
              <w:adjustRightInd w:val="0"/>
              <w:snapToGrid w:val="0"/>
              <w:spacing w:line="360" w:lineRule="auto"/>
              <w:ind w:firstLine="480" w:firstLineChars="200"/>
              <w:jc w:val="left"/>
              <w:rPr>
                <w:bCs/>
                <w:sz w:val="24"/>
              </w:rPr>
            </w:pPr>
            <w:r>
              <w:rPr>
                <w:rFonts w:hint="eastAsia"/>
                <w:bCs/>
                <w:sz w:val="24"/>
              </w:rPr>
              <w:t>本项目喷漆废气更换为干式过滤，其具有设备简单、紧凑，占地面积小，易于使用、便于维护管理的特点。一道干式喷漆房专用迷宫纸箱，漆雾通过低压被吹入错综复杂的漆雾过滤纸箱系统内，它由边缘和内部开孔构成，以达到最大的漆雾吸附效果。通过扩大吸附表面、不同路径结构的排列组合以及对离心力的利用，使该过滤纸箱结构具备颠覆性的吸附能力，以便捕捉更多散飞的多余漆雾；二道过滤材料选用玻璃纤维漆雾过滤棉，该过滤棉具有较疏松的结构，具有在粘附漆雾后阻力增加较小的特点，该材料具有较大的厚度，可确保较高的过滤效率,过滤棉采用两层，以确保过滤效率更高，即采用玻璃纤维过滤毡进行漆雾过滤。活性炭吸附法以活性炭作为吸附剂，把废气中有机物溶剂的蒸汽吸附到固相表面进行吸附浓缩，从而达到净化废气的方法。活性炭作为一种具有非极性表面、疏水性、亲有机物的吸附剂，常常被用来吸附有机溶剂和恶臭物质。活性炭由各种含碳物质（如木材、泥煤、果核、椰壳等原料）在高温下炭化后，再用水蒸气或化学药品（如氯化锌、氯化锰、氯化钙和磷酸等）进行活化处理，然后制成的孔隙十分丰富的吸附剂。活性炭材料中有大量肉眼看不到的微孔，高度发达的空隙结构，使活性炭具有优良的吸附性能，尤其对挥发性有机物具有很强的吸附能力。</w:t>
            </w:r>
          </w:p>
          <w:p w14:paraId="132AA712">
            <w:pPr>
              <w:spacing w:line="360" w:lineRule="auto"/>
              <w:ind w:right="82" w:rightChars="39" w:firstLine="480"/>
              <w:rPr>
                <w:sz w:val="24"/>
              </w:rPr>
            </w:pPr>
            <w:r>
              <w:rPr>
                <w:rFonts w:hint="eastAsia"/>
                <w:sz w:val="24"/>
              </w:rPr>
              <w:t>低氮燃烧器：是指燃料燃烧过程中NOx排放量低的燃烧器。</w:t>
            </w:r>
            <w:r>
              <w:rPr>
                <w:sz w:val="24"/>
              </w:rPr>
              <w:t>通过特殊设计的燃烧器结构以及通过改变燃烧器的风和燃气比例，可以最大限度地抑制NOx生成。同时采用空气分级技术，通过控制空气与燃料的混合过程，将燃烧所需的空气逐级送入燃烧火焰中，使燃料在炉内分级分段燃烧，减少NOx的生成</w:t>
            </w:r>
            <w:r>
              <w:rPr>
                <w:rFonts w:hint="eastAsia"/>
                <w:sz w:val="24"/>
              </w:rPr>
              <w:t>。</w:t>
            </w:r>
            <w:r>
              <w:rPr>
                <w:sz w:val="24"/>
              </w:rPr>
              <w:t>根据类比分析，使用低氮燃烧器+空气分级燃烧技术，可使氮氧化物降低60%。</w:t>
            </w:r>
            <w:r>
              <w:rPr>
                <w:rFonts w:hint="eastAsia"/>
                <w:sz w:val="24"/>
              </w:rPr>
              <w:t>根据设备厂家提供相关资料，当燃料为液化石油气或天然气，低氮燃烧器均适用，故烘箱使用低氮燃烧器可行。</w:t>
            </w:r>
          </w:p>
          <w:p w14:paraId="3822663A">
            <w:pPr>
              <w:adjustRightInd w:val="0"/>
              <w:snapToGrid w:val="0"/>
              <w:spacing w:line="360" w:lineRule="auto"/>
              <w:ind w:firstLine="482" w:firstLineChars="200"/>
              <w:jc w:val="left"/>
              <w:rPr>
                <w:b/>
                <w:bCs/>
                <w:sz w:val="24"/>
              </w:rPr>
            </w:pPr>
            <w:r>
              <w:rPr>
                <w:rFonts w:hint="eastAsia"/>
                <w:b/>
                <w:bCs/>
                <w:sz w:val="24"/>
              </w:rPr>
              <w:t>（2）排气筒设置</w:t>
            </w:r>
            <w:r>
              <w:rPr>
                <w:rFonts w:hint="eastAsia"/>
                <w:b/>
                <w:bCs/>
                <w:sz w:val="24"/>
                <w:lang w:eastAsia="zh-TW"/>
              </w:rPr>
              <w:t>可行性</w:t>
            </w:r>
            <w:r>
              <w:rPr>
                <w:rFonts w:hint="eastAsia"/>
                <w:b/>
                <w:bCs/>
                <w:sz w:val="24"/>
              </w:rPr>
              <w:t>分析</w:t>
            </w:r>
          </w:p>
          <w:p w14:paraId="0914E4DC">
            <w:pPr>
              <w:pStyle w:val="8"/>
              <w:spacing w:line="360" w:lineRule="auto"/>
              <w:ind w:firstLine="480" w:firstLineChars="200"/>
            </w:pPr>
            <w:r>
              <w:t>根据《大气污染治理工程技术导则》（HJ 2000-2010），排气筒的出口内径根据出口流速确定，流速宜取15m/s左右。当采用钢管烟囱且高度较高时或烟气量较大时，可适当提高出口流速至20m/s~25m/s。但是速度超过30m/s，会发生笛音现象，所以尾气排放速度不能大于这个值。如果烟气流速过低，又会增加烟气对排气筒腐蚀的可能，也降低烟气的扩散稀释效果，对于一般项目的烟气出口流速应在15~25m/s左右，对于采用室内通风的机械排烟系统排烟出口流速不宜大于10.0m/s。</w:t>
            </w:r>
          </w:p>
          <w:p w14:paraId="5FA9853F">
            <w:pPr>
              <w:pStyle w:val="5"/>
              <w:ind w:firstLine="480" w:firstLineChars="200"/>
              <w:rPr>
                <w:b/>
                <w:bCs/>
                <w:sz w:val="24"/>
              </w:rPr>
            </w:pPr>
            <w:r>
              <w:rPr>
                <w:rFonts w:hint="eastAsia"/>
                <w:sz w:val="24"/>
              </w:rPr>
              <w:t>根据</w:t>
            </w:r>
            <w:r>
              <w:rPr>
                <w:sz w:val="24"/>
              </w:rPr>
              <w:t>《</w:t>
            </w:r>
            <w:r>
              <w:rPr>
                <w:rFonts w:hint="eastAsia"/>
                <w:sz w:val="24"/>
              </w:rPr>
              <w:t>锅炉</w:t>
            </w:r>
            <w:r>
              <w:rPr>
                <w:sz w:val="24"/>
              </w:rPr>
              <w:t>大气污染物排放标准》（DB61/1226-2018）中</w:t>
            </w:r>
            <w:r>
              <w:rPr>
                <w:rFonts w:hint="eastAsia"/>
                <w:sz w:val="24"/>
              </w:rPr>
              <w:t>4.5规定，每个新建燃煤锅炉房只能设一根烟囱，烟囱高度应根据锅炉房装机总容量，按表4规定执行，燃油、燃气锅炉烟囱不低于8米，锅炉烟囱的具体高度按批复的环境影响评价文件确定，新建锅炉房烟囱周围半径200m距离内有最高建筑物时，其烟囱应高出最高建筑物3m以上，本项目锅炉房烟囱周围半径200m距离内最高建筑物为12m的厂房，故环评要求锅炉房烟囱高度为15m。</w:t>
            </w:r>
          </w:p>
          <w:p w14:paraId="46D1833C">
            <w:pPr>
              <w:spacing w:line="360" w:lineRule="auto"/>
              <w:ind w:firstLine="480" w:firstLineChars="200"/>
              <w:rPr>
                <w:sz w:val="24"/>
              </w:rPr>
            </w:pPr>
            <w:r>
              <w:rPr>
                <w:rFonts w:hint="eastAsia"/>
                <w:sz w:val="24"/>
              </w:rPr>
              <w:t>根据《大气污染物综合排放标准》（GB16297-1996）</w:t>
            </w:r>
            <w:r>
              <w:rPr>
                <w:sz w:val="24"/>
              </w:rPr>
              <w:t>，</w:t>
            </w:r>
            <w:r>
              <w:rPr>
                <w:rFonts w:hint="eastAsia"/>
                <w:sz w:val="24"/>
              </w:rPr>
              <w:t>新污染源的排气筒一般不应低于15m。排气筒高度除须遵守表列排放速率标准值外，还应高出周围 200 m 半径范围的建筑 5 m 以上，不能达到该要求的排气筒，应按其高度对应的表列排放速率标准值严格 50%执行。本项目排气筒根据要求设置，DA001、DA002、DA003、DA006、DA007排气筒高度均为17m。项目风机风量及</w:t>
            </w:r>
            <w:r>
              <w:rPr>
                <w:sz w:val="24"/>
              </w:rPr>
              <w:t>排气筒烟气流速见表</w:t>
            </w:r>
            <w:r>
              <w:rPr>
                <w:rFonts w:hint="eastAsia"/>
                <w:sz w:val="24"/>
              </w:rPr>
              <w:t>23</w:t>
            </w:r>
            <w:r>
              <w:rPr>
                <w:sz w:val="24"/>
              </w:rPr>
              <w:t>，基本满足出口流速要求。因此，排气筒（</w:t>
            </w:r>
            <w:r>
              <w:rPr>
                <w:rFonts w:hint="eastAsia"/>
                <w:sz w:val="24"/>
              </w:rPr>
              <w:t>DA001</w:t>
            </w:r>
            <w:r>
              <w:rPr>
                <w:sz w:val="24"/>
              </w:rPr>
              <w:t>~</w:t>
            </w:r>
            <w:r>
              <w:rPr>
                <w:rFonts w:hint="eastAsia"/>
                <w:sz w:val="24"/>
              </w:rPr>
              <w:t>DA002</w:t>
            </w:r>
            <w:r>
              <w:rPr>
                <w:sz w:val="24"/>
              </w:rPr>
              <w:t>）设置合理</w:t>
            </w:r>
            <w:r>
              <w:rPr>
                <w:rFonts w:hint="eastAsia"/>
                <w:sz w:val="24"/>
              </w:rPr>
              <w:t>。</w:t>
            </w:r>
          </w:p>
          <w:p w14:paraId="126A7277">
            <w:pPr>
              <w:pStyle w:val="52"/>
              <w:numPr>
                <w:ilvl w:val="0"/>
                <w:numId w:val="1"/>
              </w:numPr>
              <w:ind w:left="0" w:firstLine="0"/>
              <w:rPr>
                <w:color w:val="auto"/>
              </w:rPr>
            </w:pPr>
            <w:r>
              <w:rPr>
                <w:color w:val="auto"/>
              </w:rPr>
              <w:t xml:space="preserve">   </w:t>
            </w:r>
            <w:r>
              <w:rPr>
                <w:rFonts w:hint="eastAsia"/>
                <w:color w:val="auto"/>
              </w:rPr>
              <w:t xml:space="preserve"> </w:t>
            </w:r>
            <w:r>
              <w:rPr>
                <w:color w:val="auto"/>
              </w:rPr>
              <w:t>各排气筒参数一览表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870"/>
              <w:gridCol w:w="2511"/>
              <w:gridCol w:w="1353"/>
              <w:gridCol w:w="1400"/>
            </w:tblGrid>
            <w:tr w14:paraId="1E5E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185F6A48">
                  <w:pPr>
                    <w:jc w:val="center"/>
                    <w:rPr>
                      <w:szCs w:val="21"/>
                    </w:rPr>
                  </w:pPr>
                  <w:r>
                    <w:rPr>
                      <w:b/>
                      <w:szCs w:val="21"/>
                    </w:rPr>
                    <w:t>污染源</w:t>
                  </w:r>
                </w:p>
              </w:tc>
              <w:tc>
                <w:tcPr>
                  <w:tcW w:w="1058" w:type="pct"/>
                  <w:vAlign w:val="center"/>
                </w:tcPr>
                <w:p w14:paraId="13D27DB1">
                  <w:pPr>
                    <w:jc w:val="center"/>
                    <w:rPr>
                      <w:szCs w:val="21"/>
                    </w:rPr>
                  </w:pPr>
                  <w:r>
                    <w:rPr>
                      <w:b/>
                      <w:szCs w:val="21"/>
                    </w:rPr>
                    <w:t>风量（m</w:t>
                  </w:r>
                  <w:r>
                    <w:rPr>
                      <w:b/>
                      <w:szCs w:val="21"/>
                      <w:vertAlign w:val="superscript"/>
                    </w:rPr>
                    <w:t>3</w:t>
                  </w:r>
                  <w:r>
                    <w:rPr>
                      <w:b/>
                      <w:szCs w:val="21"/>
                    </w:rPr>
                    <w:t>/h）</w:t>
                  </w:r>
                </w:p>
              </w:tc>
              <w:tc>
                <w:tcPr>
                  <w:tcW w:w="1421" w:type="pct"/>
                  <w:vAlign w:val="center"/>
                </w:tcPr>
                <w:p w14:paraId="2788532B">
                  <w:pPr>
                    <w:jc w:val="center"/>
                    <w:rPr>
                      <w:szCs w:val="21"/>
                    </w:rPr>
                  </w:pPr>
                  <w:r>
                    <w:rPr>
                      <w:b/>
                      <w:szCs w:val="21"/>
                    </w:rPr>
                    <w:t>排放方式</w:t>
                  </w:r>
                </w:p>
              </w:tc>
              <w:tc>
                <w:tcPr>
                  <w:tcW w:w="766" w:type="pct"/>
                  <w:vAlign w:val="center"/>
                </w:tcPr>
                <w:p w14:paraId="1339479A">
                  <w:pPr>
                    <w:jc w:val="center"/>
                    <w:rPr>
                      <w:szCs w:val="21"/>
                    </w:rPr>
                  </w:pPr>
                  <w:r>
                    <w:rPr>
                      <w:b/>
                      <w:szCs w:val="21"/>
                    </w:rPr>
                    <w:t>直径（m）</w:t>
                  </w:r>
                </w:p>
              </w:tc>
              <w:tc>
                <w:tcPr>
                  <w:tcW w:w="793" w:type="pct"/>
                  <w:vAlign w:val="center"/>
                </w:tcPr>
                <w:p w14:paraId="73A72CA5">
                  <w:pPr>
                    <w:jc w:val="center"/>
                    <w:rPr>
                      <w:b/>
                      <w:szCs w:val="21"/>
                    </w:rPr>
                  </w:pPr>
                  <w:r>
                    <w:rPr>
                      <w:rFonts w:hint="eastAsia"/>
                      <w:b/>
                      <w:szCs w:val="21"/>
                    </w:rPr>
                    <w:t>流速（m/s）</w:t>
                  </w:r>
                </w:p>
              </w:tc>
            </w:tr>
            <w:tr w14:paraId="79DD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59" w:type="pct"/>
                  <w:vAlign w:val="center"/>
                </w:tcPr>
                <w:p w14:paraId="7ED17D23">
                  <w:pPr>
                    <w:jc w:val="center"/>
                    <w:rPr>
                      <w:szCs w:val="21"/>
                    </w:rPr>
                  </w:pPr>
                  <w:r>
                    <w:rPr>
                      <w:rFonts w:hint="eastAsia"/>
                      <w:szCs w:val="21"/>
                    </w:rPr>
                    <w:t>抛丸工序</w:t>
                  </w:r>
                </w:p>
              </w:tc>
              <w:tc>
                <w:tcPr>
                  <w:tcW w:w="1058" w:type="pct"/>
                  <w:vAlign w:val="center"/>
                </w:tcPr>
                <w:p w14:paraId="2CDEB482">
                  <w:pPr>
                    <w:jc w:val="center"/>
                    <w:rPr>
                      <w:szCs w:val="21"/>
                    </w:rPr>
                  </w:pPr>
                  <w:r>
                    <w:rPr>
                      <w:rFonts w:hint="eastAsia"/>
                      <w:szCs w:val="21"/>
                    </w:rPr>
                    <w:t>5000</w:t>
                  </w:r>
                </w:p>
              </w:tc>
              <w:tc>
                <w:tcPr>
                  <w:tcW w:w="1421" w:type="pct"/>
                  <w:vAlign w:val="center"/>
                </w:tcPr>
                <w:p w14:paraId="163E7D8B">
                  <w:pPr>
                    <w:jc w:val="center"/>
                    <w:rPr>
                      <w:szCs w:val="21"/>
                    </w:rPr>
                  </w:pPr>
                  <w:r>
                    <w:rPr>
                      <w:rFonts w:hint="eastAsia"/>
                      <w:szCs w:val="21"/>
                    </w:rPr>
                    <w:t>DA001 17</w:t>
                  </w:r>
                  <w:r>
                    <w:rPr>
                      <w:szCs w:val="21"/>
                    </w:rPr>
                    <w:t>m高排气筒</w:t>
                  </w:r>
                </w:p>
              </w:tc>
              <w:tc>
                <w:tcPr>
                  <w:tcW w:w="766" w:type="pct"/>
                  <w:vAlign w:val="center"/>
                </w:tcPr>
                <w:p w14:paraId="23389F6A">
                  <w:pPr>
                    <w:widowControl/>
                    <w:jc w:val="center"/>
                    <w:textAlignment w:val="center"/>
                    <w:rPr>
                      <w:szCs w:val="21"/>
                    </w:rPr>
                  </w:pPr>
                  <w:r>
                    <w:rPr>
                      <w:rFonts w:hint="eastAsia"/>
                      <w:szCs w:val="21"/>
                    </w:rPr>
                    <w:t>0.4</w:t>
                  </w:r>
                </w:p>
              </w:tc>
              <w:tc>
                <w:tcPr>
                  <w:tcW w:w="793" w:type="pct"/>
                  <w:vAlign w:val="center"/>
                </w:tcPr>
                <w:p w14:paraId="79DA11F5">
                  <w:pPr>
                    <w:widowControl/>
                    <w:jc w:val="center"/>
                    <w:textAlignment w:val="center"/>
                    <w:rPr>
                      <w:szCs w:val="21"/>
                    </w:rPr>
                  </w:pPr>
                  <w:r>
                    <w:rPr>
                      <w:rFonts w:hint="eastAsia"/>
                      <w:szCs w:val="21"/>
                    </w:rPr>
                    <w:t>11.06</w:t>
                  </w:r>
                </w:p>
              </w:tc>
            </w:tr>
            <w:tr w14:paraId="59DF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11C0978E">
                  <w:pPr>
                    <w:jc w:val="center"/>
                    <w:rPr>
                      <w:szCs w:val="21"/>
                    </w:rPr>
                  </w:pPr>
                  <w:r>
                    <w:rPr>
                      <w:rFonts w:hint="eastAsia"/>
                      <w:szCs w:val="21"/>
                    </w:rPr>
                    <w:t>喷涂工序1</w:t>
                  </w:r>
                </w:p>
              </w:tc>
              <w:tc>
                <w:tcPr>
                  <w:tcW w:w="1058" w:type="pct"/>
                  <w:vAlign w:val="center"/>
                </w:tcPr>
                <w:p w14:paraId="4612A8D8">
                  <w:pPr>
                    <w:jc w:val="center"/>
                    <w:rPr>
                      <w:szCs w:val="21"/>
                    </w:rPr>
                  </w:pPr>
                  <w:r>
                    <w:rPr>
                      <w:rFonts w:hint="eastAsia"/>
                      <w:szCs w:val="21"/>
                    </w:rPr>
                    <w:t>9000</w:t>
                  </w:r>
                </w:p>
              </w:tc>
              <w:tc>
                <w:tcPr>
                  <w:tcW w:w="1421" w:type="pct"/>
                  <w:vAlign w:val="center"/>
                </w:tcPr>
                <w:p w14:paraId="623B0ACA">
                  <w:pPr>
                    <w:jc w:val="center"/>
                    <w:rPr>
                      <w:szCs w:val="21"/>
                    </w:rPr>
                  </w:pPr>
                  <w:r>
                    <w:rPr>
                      <w:rFonts w:hint="eastAsia"/>
                      <w:szCs w:val="21"/>
                    </w:rPr>
                    <w:t>DA002 17</w:t>
                  </w:r>
                  <w:r>
                    <w:rPr>
                      <w:szCs w:val="21"/>
                    </w:rPr>
                    <w:t>m高排气筒</w:t>
                  </w:r>
                </w:p>
              </w:tc>
              <w:tc>
                <w:tcPr>
                  <w:tcW w:w="766" w:type="pct"/>
                  <w:vAlign w:val="center"/>
                </w:tcPr>
                <w:p w14:paraId="777BF388">
                  <w:pPr>
                    <w:widowControl/>
                    <w:jc w:val="center"/>
                    <w:textAlignment w:val="center"/>
                    <w:rPr>
                      <w:szCs w:val="21"/>
                    </w:rPr>
                  </w:pPr>
                  <w:r>
                    <w:rPr>
                      <w:rFonts w:hint="eastAsia"/>
                      <w:szCs w:val="21"/>
                    </w:rPr>
                    <w:t>0.5</w:t>
                  </w:r>
                </w:p>
              </w:tc>
              <w:tc>
                <w:tcPr>
                  <w:tcW w:w="793" w:type="pct"/>
                  <w:vAlign w:val="center"/>
                </w:tcPr>
                <w:p w14:paraId="35F8CEB7">
                  <w:pPr>
                    <w:widowControl/>
                    <w:jc w:val="center"/>
                    <w:textAlignment w:val="center"/>
                    <w:rPr>
                      <w:szCs w:val="21"/>
                    </w:rPr>
                  </w:pPr>
                  <w:r>
                    <w:rPr>
                      <w:rFonts w:hint="eastAsia"/>
                      <w:szCs w:val="21"/>
                    </w:rPr>
                    <w:t>12.74</w:t>
                  </w:r>
                </w:p>
              </w:tc>
            </w:tr>
            <w:tr w14:paraId="1A28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7EAF9A67">
                  <w:pPr>
                    <w:jc w:val="center"/>
                    <w:rPr>
                      <w:szCs w:val="21"/>
                    </w:rPr>
                  </w:pPr>
                  <w:r>
                    <w:rPr>
                      <w:rFonts w:hint="eastAsia"/>
                      <w:szCs w:val="21"/>
                    </w:rPr>
                    <w:t>喷涂工序2</w:t>
                  </w:r>
                </w:p>
              </w:tc>
              <w:tc>
                <w:tcPr>
                  <w:tcW w:w="1058" w:type="pct"/>
                  <w:vAlign w:val="center"/>
                </w:tcPr>
                <w:p w14:paraId="3B3E92B3">
                  <w:pPr>
                    <w:jc w:val="center"/>
                    <w:rPr>
                      <w:szCs w:val="21"/>
                    </w:rPr>
                  </w:pPr>
                  <w:r>
                    <w:rPr>
                      <w:rFonts w:hint="eastAsia"/>
                      <w:szCs w:val="21"/>
                    </w:rPr>
                    <w:t>6000</w:t>
                  </w:r>
                </w:p>
              </w:tc>
              <w:tc>
                <w:tcPr>
                  <w:tcW w:w="1421" w:type="pct"/>
                  <w:vAlign w:val="center"/>
                </w:tcPr>
                <w:p w14:paraId="30C131F1">
                  <w:pPr>
                    <w:jc w:val="center"/>
                    <w:rPr>
                      <w:szCs w:val="21"/>
                    </w:rPr>
                  </w:pPr>
                  <w:r>
                    <w:rPr>
                      <w:rFonts w:hint="eastAsia"/>
                      <w:szCs w:val="21"/>
                    </w:rPr>
                    <w:t>DA003 17</w:t>
                  </w:r>
                  <w:r>
                    <w:rPr>
                      <w:szCs w:val="21"/>
                    </w:rPr>
                    <w:t>m高排气筒</w:t>
                  </w:r>
                </w:p>
              </w:tc>
              <w:tc>
                <w:tcPr>
                  <w:tcW w:w="766" w:type="pct"/>
                  <w:vAlign w:val="center"/>
                </w:tcPr>
                <w:p w14:paraId="7507BA54">
                  <w:pPr>
                    <w:widowControl/>
                    <w:jc w:val="center"/>
                    <w:textAlignment w:val="center"/>
                    <w:rPr>
                      <w:szCs w:val="21"/>
                    </w:rPr>
                  </w:pPr>
                  <w:r>
                    <w:rPr>
                      <w:rFonts w:hint="eastAsia"/>
                      <w:szCs w:val="21"/>
                    </w:rPr>
                    <w:t>0.4</w:t>
                  </w:r>
                </w:p>
              </w:tc>
              <w:tc>
                <w:tcPr>
                  <w:tcW w:w="793" w:type="pct"/>
                  <w:vAlign w:val="center"/>
                </w:tcPr>
                <w:p w14:paraId="65407D18">
                  <w:pPr>
                    <w:widowControl/>
                    <w:jc w:val="center"/>
                    <w:textAlignment w:val="center"/>
                    <w:rPr>
                      <w:szCs w:val="21"/>
                    </w:rPr>
                  </w:pPr>
                  <w:r>
                    <w:rPr>
                      <w:rFonts w:hint="eastAsia"/>
                      <w:szCs w:val="21"/>
                    </w:rPr>
                    <w:t>13.26</w:t>
                  </w:r>
                </w:p>
              </w:tc>
            </w:tr>
            <w:tr w14:paraId="780E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6660FDCB">
                  <w:pPr>
                    <w:jc w:val="center"/>
                    <w:rPr>
                      <w:szCs w:val="21"/>
                    </w:rPr>
                  </w:pPr>
                  <w:r>
                    <w:rPr>
                      <w:rFonts w:hint="eastAsia"/>
                      <w:szCs w:val="21"/>
                    </w:rPr>
                    <w:t>烘干工序</w:t>
                  </w:r>
                </w:p>
              </w:tc>
              <w:tc>
                <w:tcPr>
                  <w:tcW w:w="1058" w:type="pct"/>
                  <w:vAlign w:val="center"/>
                </w:tcPr>
                <w:p w14:paraId="239A901B">
                  <w:pPr>
                    <w:jc w:val="center"/>
                    <w:rPr>
                      <w:szCs w:val="21"/>
                    </w:rPr>
                  </w:pPr>
                  <w:r>
                    <w:rPr>
                      <w:rFonts w:hint="eastAsia"/>
                      <w:szCs w:val="21"/>
                    </w:rPr>
                    <w:t>6000</w:t>
                  </w:r>
                </w:p>
              </w:tc>
              <w:tc>
                <w:tcPr>
                  <w:tcW w:w="1421" w:type="pct"/>
                  <w:vAlign w:val="center"/>
                </w:tcPr>
                <w:p w14:paraId="273282EA">
                  <w:pPr>
                    <w:jc w:val="center"/>
                    <w:rPr>
                      <w:szCs w:val="21"/>
                    </w:rPr>
                  </w:pPr>
                  <w:r>
                    <w:rPr>
                      <w:rFonts w:hint="eastAsia"/>
                      <w:szCs w:val="21"/>
                    </w:rPr>
                    <w:t>DA004 15</w:t>
                  </w:r>
                  <w:r>
                    <w:rPr>
                      <w:szCs w:val="21"/>
                    </w:rPr>
                    <w:t>m高排气筒</w:t>
                  </w:r>
                </w:p>
              </w:tc>
              <w:tc>
                <w:tcPr>
                  <w:tcW w:w="766" w:type="pct"/>
                  <w:vAlign w:val="center"/>
                </w:tcPr>
                <w:p w14:paraId="18810204">
                  <w:pPr>
                    <w:widowControl/>
                    <w:jc w:val="center"/>
                    <w:textAlignment w:val="center"/>
                    <w:rPr>
                      <w:szCs w:val="21"/>
                    </w:rPr>
                  </w:pPr>
                  <w:r>
                    <w:rPr>
                      <w:rFonts w:hint="eastAsia"/>
                      <w:szCs w:val="21"/>
                    </w:rPr>
                    <w:t>0.4</w:t>
                  </w:r>
                </w:p>
              </w:tc>
              <w:tc>
                <w:tcPr>
                  <w:tcW w:w="793" w:type="pct"/>
                  <w:vAlign w:val="center"/>
                </w:tcPr>
                <w:p w14:paraId="5D4CA053">
                  <w:pPr>
                    <w:widowControl/>
                    <w:jc w:val="center"/>
                    <w:textAlignment w:val="center"/>
                    <w:rPr>
                      <w:szCs w:val="21"/>
                    </w:rPr>
                  </w:pPr>
                  <w:r>
                    <w:rPr>
                      <w:rFonts w:hint="eastAsia"/>
                      <w:szCs w:val="21"/>
                    </w:rPr>
                    <w:t>13.26</w:t>
                  </w:r>
                </w:p>
              </w:tc>
            </w:tr>
            <w:tr w14:paraId="7787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141FB649">
                  <w:pPr>
                    <w:jc w:val="center"/>
                    <w:rPr>
                      <w:szCs w:val="21"/>
                    </w:rPr>
                  </w:pPr>
                  <w:r>
                    <w:rPr>
                      <w:rFonts w:hint="eastAsia"/>
                      <w:szCs w:val="21"/>
                    </w:rPr>
                    <w:t>燃料燃燃烧废气</w:t>
                  </w:r>
                </w:p>
              </w:tc>
              <w:tc>
                <w:tcPr>
                  <w:tcW w:w="1058" w:type="pct"/>
                  <w:vAlign w:val="center"/>
                </w:tcPr>
                <w:p w14:paraId="1A90B8EE">
                  <w:pPr>
                    <w:jc w:val="center"/>
                    <w:rPr>
                      <w:szCs w:val="21"/>
                    </w:rPr>
                  </w:pPr>
                  <w:r>
                    <w:rPr>
                      <w:rFonts w:hint="eastAsia"/>
                      <w:szCs w:val="21"/>
                    </w:rPr>
                    <w:t>5000</w:t>
                  </w:r>
                </w:p>
              </w:tc>
              <w:tc>
                <w:tcPr>
                  <w:tcW w:w="1421" w:type="pct"/>
                  <w:vAlign w:val="center"/>
                </w:tcPr>
                <w:p w14:paraId="5361A475">
                  <w:pPr>
                    <w:jc w:val="center"/>
                    <w:rPr>
                      <w:szCs w:val="21"/>
                    </w:rPr>
                  </w:pPr>
                  <w:r>
                    <w:rPr>
                      <w:rFonts w:hint="eastAsia"/>
                      <w:szCs w:val="21"/>
                    </w:rPr>
                    <w:t>DA005 15</w:t>
                  </w:r>
                  <w:r>
                    <w:rPr>
                      <w:szCs w:val="21"/>
                    </w:rPr>
                    <w:t>m高排气筒</w:t>
                  </w:r>
                </w:p>
              </w:tc>
              <w:tc>
                <w:tcPr>
                  <w:tcW w:w="766" w:type="pct"/>
                  <w:vAlign w:val="center"/>
                </w:tcPr>
                <w:p w14:paraId="237DDBDC">
                  <w:pPr>
                    <w:widowControl/>
                    <w:jc w:val="center"/>
                    <w:textAlignment w:val="center"/>
                    <w:rPr>
                      <w:szCs w:val="21"/>
                    </w:rPr>
                  </w:pPr>
                  <w:r>
                    <w:rPr>
                      <w:rFonts w:hint="eastAsia"/>
                      <w:szCs w:val="21"/>
                    </w:rPr>
                    <w:t>0.4</w:t>
                  </w:r>
                </w:p>
              </w:tc>
              <w:tc>
                <w:tcPr>
                  <w:tcW w:w="793" w:type="pct"/>
                  <w:vAlign w:val="center"/>
                </w:tcPr>
                <w:p w14:paraId="5A4B69D4">
                  <w:pPr>
                    <w:widowControl/>
                    <w:jc w:val="center"/>
                    <w:textAlignment w:val="center"/>
                    <w:rPr>
                      <w:szCs w:val="21"/>
                    </w:rPr>
                  </w:pPr>
                  <w:r>
                    <w:rPr>
                      <w:rFonts w:hint="eastAsia"/>
                      <w:szCs w:val="21"/>
                    </w:rPr>
                    <w:t>11.06</w:t>
                  </w:r>
                </w:p>
              </w:tc>
            </w:tr>
            <w:tr w14:paraId="1F5C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6B11A981">
                  <w:pPr>
                    <w:jc w:val="center"/>
                    <w:rPr>
                      <w:szCs w:val="21"/>
                    </w:rPr>
                  </w:pPr>
                  <w:r>
                    <w:rPr>
                      <w:rFonts w:hint="eastAsia"/>
                      <w:szCs w:val="21"/>
                    </w:rPr>
                    <w:t>喷涂工序3</w:t>
                  </w:r>
                </w:p>
              </w:tc>
              <w:tc>
                <w:tcPr>
                  <w:tcW w:w="1058" w:type="pct"/>
                  <w:vAlign w:val="center"/>
                </w:tcPr>
                <w:p w14:paraId="6AB03BD7">
                  <w:pPr>
                    <w:jc w:val="center"/>
                    <w:rPr>
                      <w:szCs w:val="21"/>
                    </w:rPr>
                  </w:pPr>
                  <w:r>
                    <w:rPr>
                      <w:rFonts w:hint="eastAsia"/>
                      <w:szCs w:val="21"/>
                    </w:rPr>
                    <w:t>5000</w:t>
                  </w:r>
                </w:p>
              </w:tc>
              <w:tc>
                <w:tcPr>
                  <w:tcW w:w="1421" w:type="pct"/>
                  <w:vAlign w:val="center"/>
                </w:tcPr>
                <w:p w14:paraId="3CE3924B">
                  <w:pPr>
                    <w:jc w:val="center"/>
                    <w:rPr>
                      <w:szCs w:val="21"/>
                    </w:rPr>
                  </w:pPr>
                  <w:r>
                    <w:rPr>
                      <w:rFonts w:hint="eastAsia"/>
                      <w:szCs w:val="21"/>
                    </w:rPr>
                    <w:t>DA006 17</w:t>
                  </w:r>
                  <w:r>
                    <w:rPr>
                      <w:szCs w:val="21"/>
                    </w:rPr>
                    <w:t>m高排气筒</w:t>
                  </w:r>
                </w:p>
              </w:tc>
              <w:tc>
                <w:tcPr>
                  <w:tcW w:w="766" w:type="pct"/>
                  <w:vAlign w:val="center"/>
                </w:tcPr>
                <w:p w14:paraId="4AC158CA">
                  <w:pPr>
                    <w:widowControl/>
                    <w:jc w:val="center"/>
                    <w:textAlignment w:val="center"/>
                    <w:rPr>
                      <w:szCs w:val="21"/>
                    </w:rPr>
                  </w:pPr>
                  <w:r>
                    <w:rPr>
                      <w:rFonts w:hint="eastAsia"/>
                      <w:szCs w:val="21"/>
                    </w:rPr>
                    <w:t>0.4</w:t>
                  </w:r>
                </w:p>
              </w:tc>
              <w:tc>
                <w:tcPr>
                  <w:tcW w:w="793" w:type="pct"/>
                  <w:vAlign w:val="center"/>
                </w:tcPr>
                <w:p w14:paraId="498D9111">
                  <w:pPr>
                    <w:widowControl/>
                    <w:jc w:val="center"/>
                    <w:textAlignment w:val="center"/>
                    <w:rPr>
                      <w:szCs w:val="21"/>
                    </w:rPr>
                  </w:pPr>
                  <w:r>
                    <w:rPr>
                      <w:rFonts w:hint="eastAsia"/>
                      <w:szCs w:val="21"/>
                    </w:rPr>
                    <w:t>11.06</w:t>
                  </w:r>
                </w:p>
              </w:tc>
            </w:tr>
            <w:tr w14:paraId="6508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9" w:type="pct"/>
                  <w:vAlign w:val="center"/>
                </w:tcPr>
                <w:p w14:paraId="3015E61B">
                  <w:pPr>
                    <w:jc w:val="center"/>
                    <w:rPr>
                      <w:szCs w:val="21"/>
                    </w:rPr>
                  </w:pPr>
                  <w:r>
                    <w:rPr>
                      <w:rFonts w:hint="eastAsia"/>
                      <w:szCs w:val="21"/>
                    </w:rPr>
                    <w:t>喷漆工序4</w:t>
                  </w:r>
                </w:p>
              </w:tc>
              <w:tc>
                <w:tcPr>
                  <w:tcW w:w="1058" w:type="pct"/>
                  <w:vAlign w:val="center"/>
                </w:tcPr>
                <w:p w14:paraId="365D17BC">
                  <w:pPr>
                    <w:jc w:val="center"/>
                    <w:rPr>
                      <w:szCs w:val="21"/>
                    </w:rPr>
                  </w:pPr>
                  <w:r>
                    <w:rPr>
                      <w:rFonts w:hint="eastAsia"/>
                      <w:szCs w:val="21"/>
                    </w:rPr>
                    <w:t>3000</w:t>
                  </w:r>
                </w:p>
              </w:tc>
              <w:tc>
                <w:tcPr>
                  <w:tcW w:w="1421" w:type="pct"/>
                  <w:vAlign w:val="center"/>
                </w:tcPr>
                <w:p w14:paraId="1F4AAEA3">
                  <w:pPr>
                    <w:jc w:val="center"/>
                    <w:rPr>
                      <w:szCs w:val="21"/>
                    </w:rPr>
                  </w:pPr>
                  <w:r>
                    <w:rPr>
                      <w:rFonts w:hint="eastAsia"/>
                      <w:szCs w:val="21"/>
                    </w:rPr>
                    <w:t>DA007 17</w:t>
                  </w:r>
                  <w:r>
                    <w:rPr>
                      <w:szCs w:val="21"/>
                    </w:rPr>
                    <w:t>m高排气筒</w:t>
                  </w:r>
                </w:p>
              </w:tc>
              <w:tc>
                <w:tcPr>
                  <w:tcW w:w="766" w:type="pct"/>
                  <w:vAlign w:val="center"/>
                </w:tcPr>
                <w:p w14:paraId="1DBE44B6">
                  <w:pPr>
                    <w:widowControl/>
                    <w:jc w:val="center"/>
                    <w:textAlignment w:val="center"/>
                    <w:rPr>
                      <w:szCs w:val="21"/>
                    </w:rPr>
                  </w:pPr>
                  <w:r>
                    <w:rPr>
                      <w:rFonts w:hint="eastAsia"/>
                      <w:szCs w:val="21"/>
                    </w:rPr>
                    <w:t>0.3</w:t>
                  </w:r>
                </w:p>
              </w:tc>
              <w:tc>
                <w:tcPr>
                  <w:tcW w:w="793" w:type="pct"/>
                  <w:vAlign w:val="center"/>
                </w:tcPr>
                <w:p w14:paraId="3ACD239C">
                  <w:pPr>
                    <w:widowControl/>
                    <w:jc w:val="center"/>
                    <w:textAlignment w:val="center"/>
                    <w:rPr>
                      <w:szCs w:val="21"/>
                    </w:rPr>
                  </w:pPr>
                  <w:r>
                    <w:rPr>
                      <w:rFonts w:hint="eastAsia"/>
                      <w:szCs w:val="21"/>
                    </w:rPr>
                    <w:t>11.80</w:t>
                  </w:r>
                </w:p>
              </w:tc>
            </w:tr>
          </w:tbl>
          <w:p w14:paraId="459F87B2">
            <w:pPr>
              <w:pStyle w:val="2"/>
              <w:spacing w:after="0" w:line="360" w:lineRule="auto"/>
              <w:ind w:left="0" w:leftChars="0" w:firstLine="480"/>
              <w:rPr>
                <w:bCs/>
                <w:sz w:val="24"/>
              </w:rPr>
            </w:pPr>
            <w:r>
              <w:rPr>
                <w:rFonts w:hint="eastAsia"/>
                <w:bCs/>
                <w:sz w:val="24"/>
              </w:rPr>
              <w:t>本项目排气筒DA002排放的污染物主要为颗粒物、非甲烷总烃，主要为喷粉产生的颗粒物，喷漆产生的颗粒物及非甲烷总烃；本项目喷粉及喷漆工序分开运行，单独排放，故不会影响各种污染物的浓度。</w:t>
            </w:r>
          </w:p>
          <w:p w14:paraId="5A00F379">
            <w:pPr>
              <w:pStyle w:val="2"/>
              <w:spacing w:after="0" w:line="360" w:lineRule="auto"/>
              <w:ind w:left="0" w:leftChars="0" w:firstLine="482"/>
              <w:rPr>
                <w:b/>
                <w:bCs/>
                <w:sz w:val="24"/>
              </w:rPr>
            </w:pPr>
            <w:r>
              <w:rPr>
                <w:rFonts w:hint="eastAsia"/>
                <w:b/>
                <w:bCs/>
                <w:sz w:val="24"/>
              </w:rPr>
              <w:t>（3）废气处理工艺流程简图</w:t>
            </w:r>
          </w:p>
          <w:p w14:paraId="5CE6AA71">
            <w:pPr>
              <w:adjustRightInd w:val="0"/>
              <w:snapToGrid w:val="0"/>
              <w:jc w:val="center"/>
              <w:rPr>
                <w:sz w:val="24"/>
              </w:rPr>
            </w:pPr>
            <w:r>
              <w:rPr>
                <w:rFonts w:hint="eastAsia"/>
              </w:rPr>
              <w:t>\</w:t>
            </w:r>
            <w:r>
              <w:rPr>
                <w:sz w:val="24"/>
              </w:rPr>
              <w:object>
                <v:shape id="_x0000_i1027" o:spt="75" type="#_x0000_t75" style="height:340.5pt;width:281.25pt;" o:ole="t" filled="f" o:preferrelative="t" stroked="f" coordsize="21600,21600">
                  <v:path/>
                  <v:fill on="f" focussize="0,0"/>
                  <v:stroke on="f" joinstyle="miter"/>
                  <v:imagedata r:id="rId15" o:title=""/>
                  <o:lock v:ext="edit" aspectratio="t"/>
                  <w10:wrap type="none"/>
                  <w10:anchorlock/>
                </v:shape>
                <o:OLEObject Type="Embed" ProgID="Visio.Drawing.11" ShapeID="_x0000_i1027" DrawAspect="Content" ObjectID="_1468075727" r:id="rId14">
                  <o:LockedField>false</o:LockedField>
                </o:OLEObject>
              </w:object>
            </w:r>
          </w:p>
          <w:p w14:paraId="7CDAF1F7">
            <w:pPr>
              <w:numPr>
                <w:ilvl w:val="0"/>
                <w:numId w:val="2"/>
              </w:numPr>
              <w:adjustRightInd w:val="0"/>
              <w:snapToGrid w:val="0"/>
              <w:jc w:val="center"/>
              <w:rPr>
                <w:szCs w:val="21"/>
              </w:rPr>
            </w:pPr>
            <w:r>
              <w:rPr>
                <w:b/>
                <w:szCs w:val="21"/>
              </w:rPr>
              <w:t xml:space="preserve">    项目</w:t>
            </w:r>
            <w:r>
              <w:rPr>
                <w:rFonts w:hint="eastAsia"/>
                <w:b/>
                <w:szCs w:val="21"/>
              </w:rPr>
              <w:t>废气处理</w:t>
            </w:r>
            <w:r>
              <w:rPr>
                <w:b/>
                <w:szCs w:val="21"/>
              </w:rPr>
              <w:t>工艺流程图</w:t>
            </w:r>
          </w:p>
          <w:p w14:paraId="456D2597">
            <w:pPr>
              <w:spacing w:line="360" w:lineRule="auto"/>
              <w:ind w:firstLine="480" w:firstLineChars="200"/>
              <w:rPr>
                <w:sz w:val="24"/>
              </w:rPr>
            </w:pPr>
            <w:r>
              <w:rPr>
                <w:sz w:val="24"/>
              </w:rPr>
              <w:t>4.1.6非正常工况</w:t>
            </w:r>
          </w:p>
          <w:p w14:paraId="04E3BB4A">
            <w:pPr>
              <w:pStyle w:val="51"/>
              <w:spacing w:line="360" w:lineRule="auto"/>
              <w:ind w:firstLine="480" w:firstLineChars="200"/>
              <w:rPr>
                <w:rFonts w:ascii="Times New Roman" w:cs="Times New Roman"/>
                <w:color w:val="auto"/>
              </w:rPr>
            </w:pPr>
            <w:r>
              <w:rPr>
                <w:rFonts w:ascii="Times New Roman" w:cs="Times New Roman"/>
                <w:color w:val="auto"/>
              </w:rPr>
              <w:t>在非正常工况下，废气未经过净化直接向空气中排放，</w:t>
            </w:r>
            <w:r>
              <w:rPr>
                <w:rFonts w:hint="eastAsia" w:ascii="Times New Roman" w:cs="Times New Roman"/>
                <w:color w:val="auto"/>
              </w:rPr>
              <w:t>污染物</w:t>
            </w:r>
            <w:r>
              <w:rPr>
                <w:rFonts w:ascii="Times New Roman" w:cs="Times New Roman"/>
                <w:color w:val="auto"/>
              </w:rPr>
              <w:t>持续排放对空气影响较大，为减少废气产生量，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降低废气对环境产生的影响：</w:t>
            </w:r>
          </w:p>
          <w:p w14:paraId="7CA8FD97">
            <w:pPr>
              <w:pStyle w:val="54"/>
              <w:jc w:val="left"/>
              <w:rPr>
                <w:color w:val="auto"/>
              </w:rPr>
            </w:pPr>
            <w:r>
              <w:rPr>
                <w:rFonts w:ascii="宋体"/>
                <w:color w:val="auto"/>
              </w:rPr>
              <w:t>①</w:t>
            </w:r>
            <w:r>
              <w:rPr>
                <w:color w:val="auto"/>
              </w:rPr>
              <w:t>安排专人负责环保设备的日常维护和管理，每个固定时间检查、汇报情况，及时发现废气治理设施的隐患，确保废气处理系统正常运行。</w:t>
            </w:r>
          </w:p>
          <w:p w14:paraId="3BFB00C9">
            <w:pPr>
              <w:pStyle w:val="54"/>
              <w:jc w:val="left"/>
              <w:rPr>
                <w:color w:val="auto"/>
              </w:rPr>
            </w:pPr>
            <w:r>
              <w:rPr>
                <w:rFonts w:ascii="宋体"/>
                <w:color w:val="auto"/>
              </w:rPr>
              <w:t>②</w:t>
            </w:r>
            <w:r>
              <w:rPr>
                <w:color w:val="auto"/>
              </w:rPr>
              <w:t>应定期维护、检查废气净化装置，以保持废气处理装置的净化能力和净化容量。</w:t>
            </w:r>
          </w:p>
          <w:p w14:paraId="789ABE2C">
            <w:pPr>
              <w:pStyle w:val="54"/>
              <w:jc w:val="left"/>
              <w:rPr>
                <w:color w:val="auto"/>
              </w:rPr>
            </w:pPr>
            <w:r>
              <w:rPr>
                <w:rFonts w:ascii="宋体"/>
                <w:color w:val="auto"/>
              </w:rPr>
              <w:t>③</w:t>
            </w:r>
            <w:r>
              <w:rPr>
                <w:color w:val="auto"/>
              </w:rPr>
              <w:t>建立健全的环保管理制度，对环保管理人员和技术人员进行岗位培训，委托具有专业资质的环境监测单位对项目排放的污染物进行定期监测。</w:t>
            </w:r>
          </w:p>
          <w:p w14:paraId="6E281427">
            <w:pPr>
              <w:pStyle w:val="54"/>
              <w:jc w:val="left"/>
              <w:rPr>
                <w:rFonts w:ascii="宋体"/>
                <w:color w:val="auto"/>
              </w:rPr>
            </w:pPr>
            <w:r>
              <w:rPr>
                <w:rFonts w:hint="eastAsia" w:ascii="宋体"/>
                <w:color w:val="auto"/>
              </w:rPr>
              <w:t>④</w:t>
            </w:r>
            <w:r>
              <w:rPr>
                <w:rFonts w:ascii="宋体"/>
                <w:color w:val="auto"/>
              </w:rPr>
              <w:t>生产车间生产设施运行时，废气处理设施开启，关闭生产设施过一段时间后再关闭废气处理设施，保证废气得到有效处理。</w:t>
            </w:r>
          </w:p>
          <w:p w14:paraId="23BDB507">
            <w:pPr>
              <w:autoSpaceDE w:val="0"/>
              <w:autoSpaceDN w:val="0"/>
              <w:adjustRightInd w:val="0"/>
              <w:spacing w:line="360" w:lineRule="auto"/>
              <w:jc w:val="left"/>
              <w:rPr>
                <w:b/>
                <w:sz w:val="24"/>
              </w:rPr>
            </w:pPr>
            <w:r>
              <w:rPr>
                <w:b/>
                <w:sz w:val="24"/>
              </w:rPr>
              <w:t>4.2废水</w:t>
            </w:r>
          </w:p>
          <w:p w14:paraId="56B4A6DD">
            <w:pPr>
              <w:spacing w:line="360" w:lineRule="auto"/>
              <w:ind w:firstLine="480" w:firstLineChars="200"/>
              <w:rPr>
                <w:sz w:val="24"/>
              </w:rPr>
            </w:pPr>
            <w:r>
              <w:rPr>
                <w:sz w:val="24"/>
              </w:rPr>
              <w:t>4.2.1废水产污核算</w:t>
            </w:r>
          </w:p>
          <w:p w14:paraId="5772A82C">
            <w:pPr>
              <w:spacing w:line="360" w:lineRule="auto"/>
              <w:ind w:firstLine="480" w:firstLineChars="200"/>
              <w:rPr>
                <w:sz w:val="24"/>
                <w:szCs w:val="32"/>
              </w:rPr>
            </w:pPr>
            <w:r>
              <w:rPr>
                <w:sz w:val="24"/>
              </w:rPr>
              <w:t>本项目职工生活污水</w:t>
            </w:r>
            <w:r>
              <w:rPr>
                <w:rFonts w:hint="eastAsia"/>
                <w:sz w:val="24"/>
              </w:rPr>
              <w:t>，</w:t>
            </w:r>
            <w:r>
              <w:rPr>
                <w:sz w:val="24"/>
              </w:rPr>
              <w:t>生活污水产生量3</w:t>
            </w:r>
            <w:r>
              <w:rPr>
                <w:rFonts w:hint="eastAsia"/>
                <w:sz w:val="24"/>
              </w:rPr>
              <w:t>.488</w:t>
            </w:r>
            <w:r>
              <w:rPr>
                <w:sz w:val="24"/>
              </w:rPr>
              <w:t>m</w:t>
            </w:r>
            <w:r>
              <w:rPr>
                <w:sz w:val="24"/>
                <w:vertAlign w:val="superscript"/>
              </w:rPr>
              <w:t>3</w:t>
            </w:r>
            <w:r>
              <w:rPr>
                <w:sz w:val="24"/>
              </w:rPr>
              <w:t>/d，</w:t>
            </w:r>
            <w:r>
              <w:rPr>
                <w:rFonts w:hint="eastAsia"/>
                <w:sz w:val="24"/>
              </w:rPr>
              <w:t>1081.28</w:t>
            </w:r>
            <w:r>
              <w:rPr>
                <w:sz w:val="24"/>
              </w:rPr>
              <w:t>m</w:t>
            </w:r>
            <w:r>
              <w:rPr>
                <w:sz w:val="24"/>
                <w:vertAlign w:val="superscript"/>
              </w:rPr>
              <w:t>3</w:t>
            </w:r>
            <w:r>
              <w:rPr>
                <w:sz w:val="24"/>
              </w:rPr>
              <w:t>/a</w:t>
            </w:r>
            <w:r>
              <w:rPr>
                <w:rFonts w:hint="eastAsia"/>
                <w:sz w:val="24"/>
              </w:rPr>
              <w:t>，</w:t>
            </w:r>
            <w:r>
              <w:rPr>
                <w:sz w:val="24"/>
              </w:rPr>
              <w:t>主要污染物为COD、BOD</w:t>
            </w:r>
            <w:r>
              <w:rPr>
                <w:sz w:val="24"/>
                <w:vertAlign w:val="subscript"/>
              </w:rPr>
              <w:t>5</w:t>
            </w:r>
            <w:r>
              <w:rPr>
                <w:sz w:val="24"/>
              </w:rPr>
              <w:t>、氨氮、SS，项目生活污水排入</w:t>
            </w:r>
            <w:r>
              <w:rPr>
                <w:sz w:val="24"/>
                <w:szCs w:val="32"/>
              </w:rPr>
              <w:t>陕西敏瑞建筑科技有限公司鄠邑区分公司厂区东北角化粪池（18m</w:t>
            </w:r>
            <w:r>
              <w:rPr>
                <w:sz w:val="24"/>
                <w:szCs w:val="32"/>
                <w:vertAlign w:val="superscript"/>
              </w:rPr>
              <w:t>3</w:t>
            </w:r>
            <w:r>
              <w:rPr>
                <w:sz w:val="24"/>
                <w:szCs w:val="32"/>
              </w:rPr>
              <w:t>）后进入惠民路市政污水管网最终进入鄠邑区第三污水处理厂。</w:t>
            </w:r>
          </w:p>
          <w:p w14:paraId="48AEDF0A">
            <w:pPr>
              <w:adjustRightInd w:val="0"/>
              <w:snapToGrid w:val="0"/>
              <w:spacing w:line="360" w:lineRule="auto"/>
              <w:ind w:firstLine="480" w:firstLineChars="200"/>
              <w:textAlignment w:val="baseline"/>
              <w:rPr>
                <w:sz w:val="24"/>
              </w:rPr>
            </w:pPr>
            <w:r>
              <w:rPr>
                <w:sz w:val="24"/>
              </w:rPr>
              <w:t>依据典型生活污水水质类比，并结合本项目特点，确定本项目污染物产生浓度分别为：COD：350mg/L、BOD</w:t>
            </w:r>
            <w:r>
              <w:rPr>
                <w:sz w:val="24"/>
                <w:vertAlign w:val="subscript"/>
              </w:rPr>
              <w:t>5</w:t>
            </w:r>
            <w:r>
              <w:rPr>
                <w:sz w:val="24"/>
              </w:rPr>
              <w:t>：160mg/L、SS：220mg/L、氨氮：35mg/L</w:t>
            </w:r>
            <w:r>
              <w:rPr>
                <w:rFonts w:hint="eastAsia"/>
                <w:sz w:val="24"/>
              </w:rPr>
              <w:t>、TN：60</w:t>
            </w:r>
            <w:r>
              <w:rPr>
                <w:sz w:val="24"/>
              </w:rPr>
              <w:t>mg/L</w:t>
            </w:r>
            <w:r>
              <w:rPr>
                <w:rFonts w:hint="eastAsia"/>
                <w:sz w:val="24"/>
              </w:rPr>
              <w:t>、TP：4</w:t>
            </w:r>
            <w:r>
              <w:rPr>
                <w:sz w:val="24"/>
              </w:rPr>
              <w:t>mg/L</w:t>
            </w:r>
            <w:r>
              <w:rPr>
                <w:rFonts w:hint="eastAsia"/>
                <w:sz w:val="24"/>
              </w:rPr>
              <w:t>，</w:t>
            </w:r>
            <w:r>
              <w:rPr>
                <w:sz w:val="24"/>
              </w:rPr>
              <w:t>废水产生情况见表</w:t>
            </w:r>
            <w:r>
              <w:rPr>
                <w:rFonts w:hint="eastAsia"/>
                <w:sz w:val="24"/>
              </w:rPr>
              <w:t>24</w:t>
            </w:r>
            <w:r>
              <w:rPr>
                <w:sz w:val="24"/>
              </w:rPr>
              <w:t>。</w:t>
            </w:r>
          </w:p>
          <w:p w14:paraId="4B121AF8">
            <w:pPr>
              <w:pStyle w:val="52"/>
              <w:numPr>
                <w:ilvl w:val="0"/>
                <w:numId w:val="1"/>
              </w:numPr>
              <w:ind w:left="0" w:firstLine="0"/>
              <w:rPr>
                <w:color w:val="auto"/>
              </w:rPr>
            </w:pPr>
            <w:r>
              <w:rPr>
                <w:color w:val="auto"/>
              </w:rPr>
              <w:t xml:space="preserve">    废水产生情况表</w:t>
            </w:r>
          </w:p>
          <w:tbl>
            <w:tblPr>
              <w:tblStyle w:val="1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7"/>
              <w:gridCol w:w="2264"/>
              <w:gridCol w:w="939"/>
              <w:gridCol w:w="939"/>
              <w:gridCol w:w="939"/>
              <w:gridCol w:w="936"/>
              <w:gridCol w:w="936"/>
              <w:gridCol w:w="937"/>
            </w:tblGrid>
            <w:tr w14:paraId="4A830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04" w:hRule="atLeast"/>
                <w:jc w:val="center"/>
              </w:trPr>
              <w:tc>
                <w:tcPr>
                  <w:tcW w:w="1813" w:type="pct"/>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14:paraId="0CE41197">
                  <w:pPr>
                    <w:snapToGrid w:val="0"/>
                    <w:ind w:right="420"/>
                    <w:jc w:val="center"/>
                  </w:pPr>
                  <w:r>
                    <w:t xml:space="preserve">               污染因子</w:t>
                  </w:r>
                </w:p>
                <w:p w14:paraId="5A24454E">
                  <w:pPr>
                    <w:snapToGrid w:val="0"/>
                    <w:ind w:firstLine="525" w:firstLineChars="250"/>
                  </w:pPr>
                  <w:r>
                    <w:t>产、排情况</w:t>
                  </w:r>
                </w:p>
              </w:tc>
              <w:tc>
                <w:tcPr>
                  <w:tcW w:w="3187" w:type="pct"/>
                  <w:gridSpan w:val="6"/>
                  <w:tcBorders>
                    <w:top w:val="single" w:color="auto" w:sz="4" w:space="0"/>
                    <w:left w:val="single" w:color="auto" w:sz="4" w:space="0"/>
                    <w:bottom w:val="single" w:color="auto" w:sz="4" w:space="0"/>
                    <w:right w:val="single" w:color="auto" w:sz="4" w:space="0"/>
                  </w:tcBorders>
                  <w:vAlign w:val="center"/>
                </w:tcPr>
                <w:p w14:paraId="7AB26C86">
                  <w:pPr>
                    <w:snapToGrid w:val="0"/>
                    <w:jc w:val="center"/>
                  </w:pPr>
                  <w:r>
                    <w:t>生活污水</w:t>
                  </w:r>
                </w:p>
              </w:tc>
            </w:tr>
            <w:tr w14:paraId="1121F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1813" w:type="pct"/>
                  <w:gridSpan w:val="2"/>
                  <w:vMerge w:val="continue"/>
                  <w:tcBorders>
                    <w:top w:val="single" w:color="auto" w:sz="4" w:space="0"/>
                    <w:left w:val="single" w:color="auto" w:sz="4" w:space="0"/>
                    <w:bottom w:val="single" w:color="auto" w:sz="4" w:space="0"/>
                    <w:right w:val="single" w:color="auto" w:sz="4" w:space="0"/>
                  </w:tcBorders>
                  <w:vAlign w:val="center"/>
                </w:tcPr>
                <w:p w14:paraId="1F656B88">
                  <w:pPr>
                    <w:snapToGrid w:val="0"/>
                    <w:jc w:val="center"/>
                  </w:pPr>
                </w:p>
              </w:tc>
              <w:tc>
                <w:tcPr>
                  <w:tcW w:w="532" w:type="pct"/>
                  <w:tcBorders>
                    <w:top w:val="single" w:color="auto" w:sz="4" w:space="0"/>
                    <w:left w:val="single" w:color="auto" w:sz="4" w:space="0"/>
                    <w:bottom w:val="single" w:color="auto" w:sz="4" w:space="0"/>
                    <w:right w:val="single" w:color="auto" w:sz="4" w:space="0"/>
                  </w:tcBorders>
                  <w:vAlign w:val="center"/>
                </w:tcPr>
                <w:p w14:paraId="1E253EF1">
                  <w:pPr>
                    <w:snapToGrid w:val="0"/>
                    <w:jc w:val="center"/>
                  </w:pPr>
                  <w:r>
                    <w:t>COD</w:t>
                  </w:r>
                </w:p>
              </w:tc>
              <w:tc>
                <w:tcPr>
                  <w:tcW w:w="532" w:type="pct"/>
                  <w:tcBorders>
                    <w:top w:val="single" w:color="auto" w:sz="4" w:space="0"/>
                    <w:left w:val="single" w:color="auto" w:sz="4" w:space="0"/>
                    <w:bottom w:val="single" w:color="auto" w:sz="4" w:space="0"/>
                    <w:right w:val="single" w:color="auto" w:sz="4" w:space="0"/>
                  </w:tcBorders>
                  <w:vAlign w:val="center"/>
                </w:tcPr>
                <w:p w14:paraId="6DD26CC2">
                  <w:pPr>
                    <w:snapToGrid w:val="0"/>
                    <w:jc w:val="center"/>
                  </w:pPr>
                  <w:r>
                    <w:t>SS</w:t>
                  </w:r>
                </w:p>
              </w:tc>
              <w:tc>
                <w:tcPr>
                  <w:tcW w:w="532" w:type="pct"/>
                  <w:tcBorders>
                    <w:top w:val="single" w:color="auto" w:sz="4" w:space="0"/>
                    <w:left w:val="single" w:color="auto" w:sz="4" w:space="0"/>
                    <w:bottom w:val="single" w:color="auto" w:sz="4" w:space="0"/>
                    <w:right w:val="single" w:color="auto" w:sz="4" w:space="0"/>
                  </w:tcBorders>
                  <w:vAlign w:val="center"/>
                </w:tcPr>
                <w:p w14:paraId="6858DAB9">
                  <w:pPr>
                    <w:snapToGrid w:val="0"/>
                    <w:jc w:val="center"/>
                  </w:pPr>
                  <w:r>
                    <w:t>氨氮</w:t>
                  </w:r>
                </w:p>
              </w:tc>
              <w:tc>
                <w:tcPr>
                  <w:tcW w:w="530" w:type="pct"/>
                  <w:tcBorders>
                    <w:top w:val="single" w:color="auto" w:sz="4" w:space="0"/>
                    <w:left w:val="single" w:color="auto" w:sz="4" w:space="0"/>
                    <w:bottom w:val="single" w:color="auto" w:sz="4" w:space="0"/>
                    <w:right w:val="single" w:color="auto" w:sz="4" w:space="0"/>
                  </w:tcBorders>
                  <w:vAlign w:val="center"/>
                </w:tcPr>
                <w:p w14:paraId="4A01A779">
                  <w:pPr>
                    <w:snapToGrid w:val="0"/>
                    <w:jc w:val="center"/>
                  </w:pPr>
                  <w:r>
                    <w:t>BOD</w:t>
                  </w:r>
                  <w:r>
                    <w:rPr>
                      <w:vertAlign w:val="subscript"/>
                    </w:rPr>
                    <w:t>5</w:t>
                  </w:r>
                </w:p>
              </w:tc>
              <w:tc>
                <w:tcPr>
                  <w:tcW w:w="530" w:type="pct"/>
                  <w:tcBorders>
                    <w:top w:val="single" w:color="auto" w:sz="4" w:space="0"/>
                    <w:left w:val="single" w:color="auto" w:sz="4" w:space="0"/>
                    <w:bottom w:val="single" w:color="auto" w:sz="4" w:space="0"/>
                    <w:right w:val="single" w:color="auto" w:sz="4" w:space="0"/>
                  </w:tcBorders>
                </w:tcPr>
                <w:p w14:paraId="77CE615B">
                  <w:pPr>
                    <w:snapToGrid w:val="0"/>
                    <w:jc w:val="center"/>
                  </w:pPr>
                  <w:r>
                    <w:rPr>
                      <w:rFonts w:hint="eastAsia"/>
                    </w:rPr>
                    <w:t>TN</w:t>
                  </w:r>
                </w:p>
              </w:tc>
              <w:tc>
                <w:tcPr>
                  <w:tcW w:w="531" w:type="pct"/>
                  <w:tcBorders>
                    <w:top w:val="single" w:color="auto" w:sz="4" w:space="0"/>
                    <w:left w:val="single" w:color="auto" w:sz="4" w:space="0"/>
                    <w:bottom w:val="single" w:color="auto" w:sz="4" w:space="0"/>
                    <w:right w:val="single" w:color="auto" w:sz="4" w:space="0"/>
                  </w:tcBorders>
                </w:tcPr>
                <w:p w14:paraId="0E09556F">
                  <w:pPr>
                    <w:snapToGrid w:val="0"/>
                    <w:jc w:val="center"/>
                  </w:pPr>
                  <w:r>
                    <w:rPr>
                      <w:rFonts w:hint="eastAsia"/>
                    </w:rPr>
                    <w:t>TP</w:t>
                  </w:r>
                </w:p>
              </w:tc>
            </w:tr>
            <w:tr w14:paraId="495C4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531" w:type="pct"/>
                  <w:vMerge w:val="restart"/>
                  <w:tcBorders>
                    <w:top w:val="single" w:color="auto" w:sz="4" w:space="0"/>
                    <w:left w:val="single" w:color="auto" w:sz="4" w:space="0"/>
                    <w:bottom w:val="single" w:color="auto" w:sz="4" w:space="0"/>
                    <w:right w:val="single" w:color="auto" w:sz="4" w:space="0"/>
                  </w:tcBorders>
                  <w:vAlign w:val="center"/>
                </w:tcPr>
                <w:p w14:paraId="32703552">
                  <w:pPr>
                    <w:snapToGrid w:val="0"/>
                    <w:jc w:val="center"/>
                  </w:pPr>
                  <w:r>
                    <w:t>产生情况</w:t>
                  </w:r>
                </w:p>
              </w:tc>
              <w:tc>
                <w:tcPr>
                  <w:tcW w:w="1282" w:type="pct"/>
                  <w:tcBorders>
                    <w:top w:val="single" w:color="auto" w:sz="4" w:space="0"/>
                    <w:left w:val="single" w:color="auto" w:sz="4" w:space="0"/>
                    <w:bottom w:val="single" w:color="auto" w:sz="4" w:space="0"/>
                    <w:right w:val="single" w:color="auto" w:sz="4" w:space="0"/>
                  </w:tcBorders>
                  <w:vAlign w:val="center"/>
                </w:tcPr>
                <w:p w14:paraId="24D9606B">
                  <w:pPr>
                    <w:snapToGrid w:val="0"/>
                    <w:jc w:val="center"/>
                  </w:pPr>
                  <w:r>
                    <w:t>产生浓度(mg/L)</w:t>
                  </w:r>
                </w:p>
              </w:tc>
              <w:tc>
                <w:tcPr>
                  <w:tcW w:w="532" w:type="pct"/>
                  <w:tcBorders>
                    <w:top w:val="single" w:color="auto" w:sz="4" w:space="0"/>
                    <w:left w:val="single" w:color="auto" w:sz="4" w:space="0"/>
                    <w:bottom w:val="single" w:color="auto" w:sz="4" w:space="0"/>
                    <w:right w:val="single" w:color="auto" w:sz="4" w:space="0"/>
                  </w:tcBorders>
                  <w:vAlign w:val="center"/>
                </w:tcPr>
                <w:p w14:paraId="27C0856E">
                  <w:pPr>
                    <w:snapToGrid w:val="0"/>
                    <w:jc w:val="center"/>
                  </w:pPr>
                  <w:r>
                    <w:t>350</w:t>
                  </w:r>
                </w:p>
              </w:tc>
              <w:tc>
                <w:tcPr>
                  <w:tcW w:w="532" w:type="pct"/>
                  <w:tcBorders>
                    <w:top w:val="single" w:color="auto" w:sz="4" w:space="0"/>
                    <w:left w:val="single" w:color="auto" w:sz="4" w:space="0"/>
                    <w:bottom w:val="single" w:color="auto" w:sz="4" w:space="0"/>
                    <w:right w:val="single" w:color="auto" w:sz="4" w:space="0"/>
                  </w:tcBorders>
                  <w:vAlign w:val="center"/>
                </w:tcPr>
                <w:p w14:paraId="206A74FD">
                  <w:pPr>
                    <w:snapToGrid w:val="0"/>
                    <w:jc w:val="center"/>
                  </w:pPr>
                  <w:r>
                    <w:t>220</w:t>
                  </w:r>
                </w:p>
              </w:tc>
              <w:tc>
                <w:tcPr>
                  <w:tcW w:w="532" w:type="pct"/>
                  <w:tcBorders>
                    <w:top w:val="single" w:color="auto" w:sz="4" w:space="0"/>
                    <w:left w:val="single" w:color="auto" w:sz="4" w:space="0"/>
                    <w:bottom w:val="single" w:color="auto" w:sz="4" w:space="0"/>
                    <w:right w:val="single" w:color="auto" w:sz="4" w:space="0"/>
                  </w:tcBorders>
                  <w:vAlign w:val="center"/>
                </w:tcPr>
                <w:p w14:paraId="557EAC6C">
                  <w:pPr>
                    <w:snapToGrid w:val="0"/>
                    <w:jc w:val="center"/>
                  </w:pPr>
                  <w:r>
                    <w:t>35</w:t>
                  </w:r>
                </w:p>
              </w:tc>
              <w:tc>
                <w:tcPr>
                  <w:tcW w:w="530" w:type="pct"/>
                  <w:tcBorders>
                    <w:top w:val="single" w:color="auto" w:sz="4" w:space="0"/>
                    <w:left w:val="single" w:color="auto" w:sz="4" w:space="0"/>
                    <w:bottom w:val="single" w:color="auto" w:sz="4" w:space="0"/>
                    <w:right w:val="single" w:color="auto" w:sz="4" w:space="0"/>
                  </w:tcBorders>
                  <w:vAlign w:val="center"/>
                </w:tcPr>
                <w:p w14:paraId="6CE94DC3">
                  <w:pPr>
                    <w:snapToGrid w:val="0"/>
                    <w:jc w:val="center"/>
                  </w:pPr>
                  <w:r>
                    <w:t>160</w:t>
                  </w:r>
                </w:p>
              </w:tc>
              <w:tc>
                <w:tcPr>
                  <w:tcW w:w="530" w:type="pct"/>
                  <w:tcBorders>
                    <w:top w:val="single" w:color="auto" w:sz="4" w:space="0"/>
                    <w:left w:val="single" w:color="auto" w:sz="4" w:space="0"/>
                    <w:bottom w:val="single" w:color="auto" w:sz="4" w:space="0"/>
                    <w:right w:val="single" w:color="auto" w:sz="4" w:space="0"/>
                  </w:tcBorders>
                  <w:vAlign w:val="center"/>
                </w:tcPr>
                <w:p w14:paraId="7275DEC4">
                  <w:pPr>
                    <w:snapToGrid w:val="0"/>
                    <w:jc w:val="center"/>
                  </w:pPr>
                  <w:r>
                    <w:rPr>
                      <w:rFonts w:hint="eastAsia"/>
                    </w:rPr>
                    <w:t>60</w:t>
                  </w:r>
                </w:p>
              </w:tc>
              <w:tc>
                <w:tcPr>
                  <w:tcW w:w="531" w:type="pct"/>
                  <w:tcBorders>
                    <w:top w:val="single" w:color="auto" w:sz="4" w:space="0"/>
                    <w:left w:val="single" w:color="auto" w:sz="4" w:space="0"/>
                    <w:bottom w:val="single" w:color="auto" w:sz="4" w:space="0"/>
                    <w:right w:val="single" w:color="auto" w:sz="4" w:space="0"/>
                  </w:tcBorders>
                  <w:vAlign w:val="center"/>
                </w:tcPr>
                <w:p w14:paraId="584A4812">
                  <w:pPr>
                    <w:snapToGrid w:val="0"/>
                    <w:jc w:val="center"/>
                  </w:pPr>
                  <w:r>
                    <w:rPr>
                      <w:rFonts w:hint="eastAsia"/>
                    </w:rPr>
                    <w:t>4</w:t>
                  </w:r>
                </w:p>
              </w:tc>
            </w:tr>
            <w:tr w14:paraId="15E80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531" w:type="pct"/>
                  <w:vMerge w:val="continue"/>
                  <w:tcBorders>
                    <w:top w:val="single" w:color="auto" w:sz="4" w:space="0"/>
                    <w:left w:val="single" w:color="auto" w:sz="4" w:space="0"/>
                    <w:bottom w:val="single" w:color="auto" w:sz="4" w:space="0"/>
                    <w:right w:val="single" w:color="auto" w:sz="4" w:space="0"/>
                  </w:tcBorders>
                  <w:vAlign w:val="center"/>
                </w:tcPr>
                <w:p w14:paraId="2A4E19C5">
                  <w:pPr>
                    <w:snapToGrid w:val="0"/>
                    <w:jc w:val="center"/>
                  </w:pPr>
                </w:p>
              </w:tc>
              <w:tc>
                <w:tcPr>
                  <w:tcW w:w="1282" w:type="pct"/>
                  <w:tcBorders>
                    <w:top w:val="single" w:color="auto" w:sz="4" w:space="0"/>
                    <w:left w:val="single" w:color="auto" w:sz="4" w:space="0"/>
                    <w:bottom w:val="single" w:color="auto" w:sz="4" w:space="0"/>
                    <w:right w:val="single" w:color="auto" w:sz="4" w:space="0"/>
                  </w:tcBorders>
                  <w:vAlign w:val="center"/>
                </w:tcPr>
                <w:p w14:paraId="220596A5">
                  <w:pPr>
                    <w:snapToGrid w:val="0"/>
                    <w:jc w:val="center"/>
                  </w:pPr>
                  <w:r>
                    <w:t>产生量（t/a）</w:t>
                  </w:r>
                </w:p>
              </w:tc>
              <w:tc>
                <w:tcPr>
                  <w:tcW w:w="532" w:type="pct"/>
                  <w:tcBorders>
                    <w:top w:val="single" w:color="auto" w:sz="4" w:space="0"/>
                    <w:left w:val="single" w:color="auto" w:sz="4" w:space="0"/>
                    <w:bottom w:val="single" w:color="auto" w:sz="4" w:space="0"/>
                    <w:right w:val="single" w:color="auto" w:sz="4" w:space="0"/>
                  </w:tcBorders>
                  <w:vAlign w:val="center"/>
                </w:tcPr>
                <w:p w14:paraId="7AA50C20">
                  <w:pPr>
                    <w:snapToGrid w:val="0"/>
                    <w:jc w:val="center"/>
                  </w:pPr>
                  <w:r>
                    <w:t>0.3</w:t>
                  </w:r>
                  <w:r>
                    <w:rPr>
                      <w:rFonts w:hint="eastAsia"/>
                    </w:rPr>
                    <w:t>785</w:t>
                  </w:r>
                </w:p>
              </w:tc>
              <w:tc>
                <w:tcPr>
                  <w:tcW w:w="532" w:type="pct"/>
                  <w:tcBorders>
                    <w:top w:val="single" w:color="auto" w:sz="4" w:space="0"/>
                    <w:left w:val="single" w:color="auto" w:sz="4" w:space="0"/>
                    <w:bottom w:val="single" w:color="auto" w:sz="4" w:space="0"/>
                    <w:right w:val="single" w:color="auto" w:sz="4" w:space="0"/>
                  </w:tcBorders>
                  <w:vAlign w:val="center"/>
                </w:tcPr>
                <w:p w14:paraId="38134258">
                  <w:pPr>
                    <w:snapToGrid w:val="0"/>
                    <w:jc w:val="center"/>
                  </w:pPr>
                  <w:r>
                    <w:t>0.2</w:t>
                  </w:r>
                  <w:r>
                    <w:rPr>
                      <w:rFonts w:hint="eastAsia"/>
                    </w:rPr>
                    <w:t>379</w:t>
                  </w:r>
                </w:p>
              </w:tc>
              <w:tc>
                <w:tcPr>
                  <w:tcW w:w="532" w:type="pct"/>
                  <w:tcBorders>
                    <w:top w:val="single" w:color="auto" w:sz="4" w:space="0"/>
                    <w:left w:val="single" w:color="auto" w:sz="4" w:space="0"/>
                    <w:bottom w:val="single" w:color="auto" w:sz="4" w:space="0"/>
                    <w:right w:val="single" w:color="auto" w:sz="4" w:space="0"/>
                  </w:tcBorders>
                  <w:vAlign w:val="center"/>
                </w:tcPr>
                <w:p w14:paraId="05779713">
                  <w:pPr>
                    <w:snapToGrid w:val="0"/>
                    <w:jc w:val="center"/>
                  </w:pPr>
                  <w:r>
                    <w:t>0.03</w:t>
                  </w:r>
                  <w:r>
                    <w:rPr>
                      <w:rFonts w:hint="eastAsia"/>
                    </w:rPr>
                    <w:t>78</w:t>
                  </w:r>
                </w:p>
              </w:tc>
              <w:tc>
                <w:tcPr>
                  <w:tcW w:w="530" w:type="pct"/>
                  <w:tcBorders>
                    <w:top w:val="single" w:color="auto" w:sz="4" w:space="0"/>
                    <w:left w:val="single" w:color="auto" w:sz="4" w:space="0"/>
                    <w:bottom w:val="single" w:color="auto" w:sz="4" w:space="0"/>
                    <w:right w:val="single" w:color="auto" w:sz="4" w:space="0"/>
                  </w:tcBorders>
                  <w:vAlign w:val="center"/>
                </w:tcPr>
                <w:p w14:paraId="4BC95C50">
                  <w:pPr>
                    <w:snapToGrid w:val="0"/>
                    <w:jc w:val="center"/>
                  </w:pPr>
                  <w:r>
                    <w:t>0.1</w:t>
                  </w:r>
                  <w:r>
                    <w:rPr>
                      <w:rFonts w:hint="eastAsia"/>
                    </w:rPr>
                    <w:t>730</w:t>
                  </w:r>
                </w:p>
              </w:tc>
              <w:tc>
                <w:tcPr>
                  <w:tcW w:w="530" w:type="pct"/>
                  <w:tcBorders>
                    <w:top w:val="single" w:color="auto" w:sz="4" w:space="0"/>
                    <w:left w:val="single" w:color="auto" w:sz="4" w:space="0"/>
                    <w:bottom w:val="single" w:color="auto" w:sz="4" w:space="0"/>
                    <w:right w:val="single" w:color="auto" w:sz="4" w:space="0"/>
                  </w:tcBorders>
                  <w:vAlign w:val="center"/>
                </w:tcPr>
                <w:p w14:paraId="478C4BBA">
                  <w:pPr>
                    <w:snapToGrid w:val="0"/>
                    <w:jc w:val="center"/>
                  </w:pPr>
                  <w:r>
                    <w:rPr>
                      <w:rFonts w:hint="eastAsia"/>
                    </w:rPr>
                    <w:t>0.0649</w:t>
                  </w:r>
                </w:p>
              </w:tc>
              <w:tc>
                <w:tcPr>
                  <w:tcW w:w="531" w:type="pct"/>
                  <w:tcBorders>
                    <w:top w:val="single" w:color="auto" w:sz="4" w:space="0"/>
                    <w:left w:val="single" w:color="auto" w:sz="4" w:space="0"/>
                    <w:bottom w:val="single" w:color="auto" w:sz="4" w:space="0"/>
                    <w:right w:val="single" w:color="auto" w:sz="4" w:space="0"/>
                  </w:tcBorders>
                  <w:vAlign w:val="center"/>
                </w:tcPr>
                <w:p w14:paraId="67025CB3">
                  <w:pPr>
                    <w:snapToGrid w:val="0"/>
                    <w:jc w:val="center"/>
                  </w:pPr>
                  <w:r>
                    <w:rPr>
                      <w:rFonts w:hint="eastAsia"/>
                    </w:rPr>
                    <w:t>0.0004</w:t>
                  </w:r>
                </w:p>
              </w:tc>
            </w:tr>
            <w:tr w14:paraId="791A1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1813" w:type="pct"/>
                  <w:gridSpan w:val="2"/>
                  <w:tcBorders>
                    <w:top w:val="single" w:color="auto" w:sz="4" w:space="0"/>
                    <w:left w:val="single" w:color="auto" w:sz="4" w:space="0"/>
                    <w:bottom w:val="single" w:color="auto" w:sz="4" w:space="0"/>
                    <w:right w:val="single" w:color="auto" w:sz="4" w:space="0"/>
                  </w:tcBorders>
                  <w:vAlign w:val="center"/>
                </w:tcPr>
                <w:p w14:paraId="043D9458">
                  <w:pPr>
                    <w:snapToGrid w:val="0"/>
                    <w:jc w:val="center"/>
                  </w:pPr>
                  <w:r>
                    <w:t>污水产生量（t/a）</w:t>
                  </w:r>
                </w:p>
              </w:tc>
              <w:tc>
                <w:tcPr>
                  <w:tcW w:w="3187" w:type="pct"/>
                  <w:gridSpan w:val="6"/>
                  <w:tcBorders>
                    <w:top w:val="single" w:color="auto" w:sz="4" w:space="0"/>
                    <w:left w:val="single" w:color="auto" w:sz="4" w:space="0"/>
                    <w:bottom w:val="single" w:color="auto" w:sz="4" w:space="0"/>
                    <w:right w:val="single" w:color="auto" w:sz="4" w:space="0"/>
                  </w:tcBorders>
                  <w:vAlign w:val="center"/>
                </w:tcPr>
                <w:p w14:paraId="289AB8DD">
                  <w:pPr>
                    <w:snapToGrid w:val="0"/>
                    <w:jc w:val="center"/>
                  </w:pPr>
                  <w:r>
                    <w:rPr>
                      <w:rFonts w:hint="eastAsia"/>
                    </w:rPr>
                    <w:t>1081.28</w:t>
                  </w:r>
                </w:p>
              </w:tc>
            </w:tr>
            <w:tr w14:paraId="3696C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1813" w:type="pct"/>
                  <w:gridSpan w:val="2"/>
                  <w:tcBorders>
                    <w:top w:val="single" w:color="auto" w:sz="4" w:space="0"/>
                    <w:left w:val="single" w:color="auto" w:sz="4" w:space="0"/>
                    <w:bottom w:val="single" w:color="auto" w:sz="4" w:space="0"/>
                    <w:right w:val="single" w:color="auto" w:sz="4" w:space="0"/>
                  </w:tcBorders>
                  <w:vAlign w:val="center"/>
                </w:tcPr>
                <w:p w14:paraId="03249AD0">
                  <w:pPr>
                    <w:snapToGrid w:val="0"/>
                    <w:jc w:val="center"/>
                  </w:pPr>
                  <w:r>
                    <w:t>化粪池对污染物的去除率（%）</w:t>
                  </w:r>
                </w:p>
              </w:tc>
              <w:tc>
                <w:tcPr>
                  <w:tcW w:w="532" w:type="pct"/>
                  <w:tcBorders>
                    <w:top w:val="single" w:color="auto" w:sz="4" w:space="0"/>
                    <w:left w:val="single" w:color="auto" w:sz="4" w:space="0"/>
                    <w:bottom w:val="single" w:color="auto" w:sz="4" w:space="0"/>
                    <w:right w:val="single" w:color="auto" w:sz="4" w:space="0"/>
                  </w:tcBorders>
                  <w:vAlign w:val="center"/>
                </w:tcPr>
                <w:p w14:paraId="54FB1F42">
                  <w:pPr>
                    <w:snapToGrid w:val="0"/>
                    <w:jc w:val="center"/>
                  </w:pPr>
                  <w:r>
                    <w:t>20</w:t>
                  </w:r>
                </w:p>
              </w:tc>
              <w:tc>
                <w:tcPr>
                  <w:tcW w:w="532" w:type="pct"/>
                  <w:tcBorders>
                    <w:top w:val="single" w:color="auto" w:sz="4" w:space="0"/>
                    <w:left w:val="single" w:color="auto" w:sz="4" w:space="0"/>
                    <w:bottom w:val="single" w:color="auto" w:sz="4" w:space="0"/>
                    <w:right w:val="single" w:color="auto" w:sz="4" w:space="0"/>
                  </w:tcBorders>
                  <w:vAlign w:val="center"/>
                </w:tcPr>
                <w:p w14:paraId="52771934">
                  <w:pPr>
                    <w:snapToGrid w:val="0"/>
                    <w:jc w:val="center"/>
                  </w:pPr>
                  <w:r>
                    <w:t>30</w:t>
                  </w:r>
                </w:p>
              </w:tc>
              <w:tc>
                <w:tcPr>
                  <w:tcW w:w="532" w:type="pct"/>
                  <w:tcBorders>
                    <w:top w:val="single" w:color="auto" w:sz="4" w:space="0"/>
                    <w:left w:val="single" w:color="auto" w:sz="4" w:space="0"/>
                    <w:bottom w:val="single" w:color="auto" w:sz="4" w:space="0"/>
                    <w:right w:val="single" w:color="auto" w:sz="4" w:space="0"/>
                  </w:tcBorders>
                  <w:vAlign w:val="center"/>
                </w:tcPr>
                <w:p w14:paraId="670918DB">
                  <w:pPr>
                    <w:snapToGrid w:val="0"/>
                    <w:jc w:val="center"/>
                  </w:pPr>
                  <w:r>
                    <w:t>0</w:t>
                  </w:r>
                </w:p>
              </w:tc>
              <w:tc>
                <w:tcPr>
                  <w:tcW w:w="530" w:type="pct"/>
                  <w:tcBorders>
                    <w:top w:val="single" w:color="auto" w:sz="4" w:space="0"/>
                    <w:left w:val="single" w:color="auto" w:sz="4" w:space="0"/>
                    <w:bottom w:val="single" w:color="auto" w:sz="4" w:space="0"/>
                    <w:right w:val="single" w:color="auto" w:sz="4" w:space="0"/>
                  </w:tcBorders>
                  <w:vAlign w:val="center"/>
                </w:tcPr>
                <w:p w14:paraId="6A546E3F">
                  <w:pPr>
                    <w:snapToGrid w:val="0"/>
                    <w:jc w:val="center"/>
                  </w:pPr>
                  <w:r>
                    <w:t>10</w:t>
                  </w:r>
                </w:p>
              </w:tc>
              <w:tc>
                <w:tcPr>
                  <w:tcW w:w="530" w:type="pct"/>
                  <w:tcBorders>
                    <w:top w:val="single" w:color="auto" w:sz="4" w:space="0"/>
                    <w:left w:val="single" w:color="auto" w:sz="4" w:space="0"/>
                    <w:bottom w:val="single" w:color="auto" w:sz="4" w:space="0"/>
                    <w:right w:val="single" w:color="auto" w:sz="4" w:space="0"/>
                  </w:tcBorders>
                  <w:vAlign w:val="center"/>
                </w:tcPr>
                <w:p w14:paraId="46DD616B">
                  <w:pPr>
                    <w:snapToGrid w:val="0"/>
                    <w:jc w:val="center"/>
                  </w:pPr>
                  <w:r>
                    <w:rPr>
                      <w:rFonts w:hint="eastAsia"/>
                    </w:rPr>
                    <w:t>0</w:t>
                  </w:r>
                </w:p>
              </w:tc>
              <w:tc>
                <w:tcPr>
                  <w:tcW w:w="531" w:type="pct"/>
                  <w:tcBorders>
                    <w:top w:val="single" w:color="auto" w:sz="4" w:space="0"/>
                    <w:left w:val="single" w:color="auto" w:sz="4" w:space="0"/>
                    <w:bottom w:val="single" w:color="auto" w:sz="4" w:space="0"/>
                    <w:right w:val="single" w:color="auto" w:sz="4" w:space="0"/>
                  </w:tcBorders>
                  <w:vAlign w:val="center"/>
                </w:tcPr>
                <w:p w14:paraId="7F2A9307">
                  <w:pPr>
                    <w:snapToGrid w:val="0"/>
                    <w:jc w:val="center"/>
                  </w:pPr>
                  <w:r>
                    <w:rPr>
                      <w:rFonts w:hint="eastAsia"/>
                    </w:rPr>
                    <w:t>0</w:t>
                  </w:r>
                </w:p>
              </w:tc>
            </w:tr>
            <w:tr w14:paraId="232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531" w:type="pct"/>
                  <w:vMerge w:val="restart"/>
                  <w:tcBorders>
                    <w:top w:val="single" w:color="auto" w:sz="4" w:space="0"/>
                    <w:left w:val="single" w:color="auto" w:sz="4" w:space="0"/>
                    <w:bottom w:val="single" w:color="auto" w:sz="4" w:space="0"/>
                    <w:right w:val="single" w:color="auto" w:sz="4" w:space="0"/>
                  </w:tcBorders>
                  <w:vAlign w:val="center"/>
                </w:tcPr>
                <w:p w14:paraId="76B890BF">
                  <w:pPr>
                    <w:snapToGrid w:val="0"/>
                    <w:jc w:val="center"/>
                  </w:pPr>
                  <w:r>
                    <w:t>排放情况</w:t>
                  </w:r>
                </w:p>
              </w:tc>
              <w:tc>
                <w:tcPr>
                  <w:tcW w:w="1282" w:type="pct"/>
                  <w:tcBorders>
                    <w:top w:val="single" w:color="auto" w:sz="4" w:space="0"/>
                    <w:left w:val="single" w:color="auto" w:sz="4" w:space="0"/>
                    <w:bottom w:val="single" w:color="auto" w:sz="4" w:space="0"/>
                    <w:right w:val="single" w:color="auto" w:sz="4" w:space="0"/>
                  </w:tcBorders>
                  <w:vAlign w:val="center"/>
                </w:tcPr>
                <w:p w14:paraId="5F6E500F">
                  <w:pPr>
                    <w:snapToGrid w:val="0"/>
                    <w:jc w:val="center"/>
                  </w:pPr>
                  <w:r>
                    <w:t>排放浓度(mg/L)</w:t>
                  </w:r>
                </w:p>
              </w:tc>
              <w:tc>
                <w:tcPr>
                  <w:tcW w:w="532" w:type="pct"/>
                  <w:tcBorders>
                    <w:top w:val="single" w:color="auto" w:sz="4" w:space="0"/>
                    <w:left w:val="single" w:color="auto" w:sz="4" w:space="0"/>
                    <w:bottom w:val="single" w:color="auto" w:sz="4" w:space="0"/>
                    <w:right w:val="single" w:color="auto" w:sz="4" w:space="0"/>
                  </w:tcBorders>
                  <w:vAlign w:val="center"/>
                </w:tcPr>
                <w:p w14:paraId="188F8EAE">
                  <w:pPr>
                    <w:snapToGrid w:val="0"/>
                    <w:jc w:val="center"/>
                  </w:pPr>
                  <w:r>
                    <w:t>280</w:t>
                  </w:r>
                </w:p>
              </w:tc>
              <w:tc>
                <w:tcPr>
                  <w:tcW w:w="532" w:type="pct"/>
                  <w:tcBorders>
                    <w:top w:val="single" w:color="auto" w:sz="4" w:space="0"/>
                    <w:left w:val="single" w:color="auto" w:sz="4" w:space="0"/>
                    <w:bottom w:val="single" w:color="auto" w:sz="4" w:space="0"/>
                    <w:right w:val="single" w:color="auto" w:sz="4" w:space="0"/>
                  </w:tcBorders>
                  <w:vAlign w:val="center"/>
                </w:tcPr>
                <w:p w14:paraId="26497F66">
                  <w:pPr>
                    <w:snapToGrid w:val="0"/>
                    <w:jc w:val="center"/>
                  </w:pPr>
                  <w:r>
                    <w:t>154</w:t>
                  </w:r>
                </w:p>
              </w:tc>
              <w:tc>
                <w:tcPr>
                  <w:tcW w:w="532" w:type="pct"/>
                  <w:tcBorders>
                    <w:top w:val="single" w:color="auto" w:sz="4" w:space="0"/>
                    <w:left w:val="single" w:color="auto" w:sz="4" w:space="0"/>
                    <w:bottom w:val="single" w:color="auto" w:sz="4" w:space="0"/>
                    <w:right w:val="single" w:color="auto" w:sz="4" w:space="0"/>
                  </w:tcBorders>
                  <w:vAlign w:val="center"/>
                </w:tcPr>
                <w:p w14:paraId="213FFE81">
                  <w:pPr>
                    <w:snapToGrid w:val="0"/>
                    <w:jc w:val="center"/>
                  </w:pPr>
                  <w:r>
                    <w:t>35</w:t>
                  </w:r>
                </w:p>
              </w:tc>
              <w:tc>
                <w:tcPr>
                  <w:tcW w:w="530" w:type="pct"/>
                  <w:tcBorders>
                    <w:top w:val="single" w:color="auto" w:sz="4" w:space="0"/>
                    <w:left w:val="single" w:color="auto" w:sz="4" w:space="0"/>
                    <w:bottom w:val="single" w:color="auto" w:sz="4" w:space="0"/>
                    <w:right w:val="single" w:color="auto" w:sz="4" w:space="0"/>
                  </w:tcBorders>
                  <w:vAlign w:val="center"/>
                </w:tcPr>
                <w:p w14:paraId="719352D7">
                  <w:pPr>
                    <w:snapToGrid w:val="0"/>
                    <w:jc w:val="center"/>
                  </w:pPr>
                  <w:r>
                    <w:t>144</w:t>
                  </w:r>
                </w:p>
              </w:tc>
              <w:tc>
                <w:tcPr>
                  <w:tcW w:w="530" w:type="pct"/>
                  <w:tcBorders>
                    <w:top w:val="single" w:color="auto" w:sz="4" w:space="0"/>
                    <w:left w:val="single" w:color="auto" w:sz="4" w:space="0"/>
                    <w:bottom w:val="single" w:color="auto" w:sz="4" w:space="0"/>
                    <w:right w:val="single" w:color="auto" w:sz="4" w:space="0"/>
                  </w:tcBorders>
                  <w:vAlign w:val="center"/>
                </w:tcPr>
                <w:p w14:paraId="6016A993">
                  <w:pPr>
                    <w:snapToGrid w:val="0"/>
                    <w:jc w:val="center"/>
                  </w:pPr>
                  <w:r>
                    <w:rPr>
                      <w:rFonts w:hint="eastAsia"/>
                    </w:rPr>
                    <w:t>60</w:t>
                  </w:r>
                </w:p>
              </w:tc>
              <w:tc>
                <w:tcPr>
                  <w:tcW w:w="531" w:type="pct"/>
                  <w:tcBorders>
                    <w:top w:val="single" w:color="auto" w:sz="4" w:space="0"/>
                    <w:left w:val="single" w:color="auto" w:sz="4" w:space="0"/>
                    <w:bottom w:val="single" w:color="auto" w:sz="4" w:space="0"/>
                    <w:right w:val="single" w:color="auto" w:sz="4" w:space="0"/>
                  </w:tcBorders>
                  <w:vAlign w:val="center"/>
                </w:tcPr>
                <w:p w14:paraId="5A2A794A">
                  <w:pPr>
                    <w:snapToGrid w:val="0"/>
                    <w:jc w:val="center"/>
                  </w:pPr>
                  <w:r>
                    <w:rPr>
                      <w:rFonts w:hint="eastAsia"/>
                    </w:rPr>
                    <w:t>4</w:t>
                  </w:r>
                </w:p>
              </w:tc>
            </w:tr>
            <w:tr w14:paraId="2462C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531" w:type="pct"/>
                  <w:vMerge w:val="continue"/>
                  <w:tcBorders>
                    <w:top w:val="single" w:color="auto" w:sz="4" w:space="0"/>
                    <w:left w:val="single" w:color="auto" w:sz="4" w:space="0"/>
                    <w:bottom w:val="single" w:color="auto" w:sz="4" w:space="0"/>
                    <w:right w:val="single" w:color="auto" w:sz="4" w:space="0"/>
                  </w:tcBorders>
                  <w:vAlign w:val="center"/>
                </w:tcPr>
                <w:p w14:paraId="69716CCF">
                  <w:pPr>
                    <w:snapToGrid w:val="0"/>
                    <w:jc w:val="center"/>
                  </w:pPr>
                </w:p>
              </w:tc>
              <w:tc>
                <w:tcPr>
                  <w:tcW w:w="1282" w:type="pct"/>
                  <w:tcBorders>
                    <w:top w:val="single" w:color="auto" w:sz="4" w:space="0"/>
                    <w:left w:val="single" w:color="auto" w:sz="4" w:space="0"/>
                    <w:bottom w:val="single" w:color="auto" w:sz="4" w:space="0"/>
                    <w:right w:val="single" w:color="auto" w:sz="4" w:space="0"/>
                  </w:tcBorders>
                  <w:vAlign w:val="center"/>
                </w:tcPr>
                <w:p w14:paraId="6420C231">
                  <w:pPr>
                    <w:snapToGrid w:val="0"/>
                    <w:jc w:val="center"/>
                  </w:pPr>
                  <w:r>
                    <w:t>排放量（t/a）</w:t>
                  </w:r>
                </w:p>
              </w:tc>
              <w:tc>
                <w:tcPr>
                  <w:tcW w:w="532" w:type="pct"/>
                  <w:tcBorders>
                    <w:top w:val="single" w:color="auto" w:sz="4" w:space="0"/>
                    <w:left w:val="single" w:color="auto" w:sz="4" w:space="0"/>
                    <w:bottom w:val="single" w:color="auto" w:sz="4" w:space="0"/>
                    <w:right w:val="single" w:color="auto" w:sz="4" w:space="0"/>
                  </w:tcBorders>
                  <w:vAlign w:val="center"/>
                </w:tcPr>
                <w:p w14:paraId="050B21A8">
                  <w:pPr>
                    <w:snapToGrid w:val="0"/>
                    <w:jc w:val="center"/>
                  </w:pPr>
                  <w:r>
                    <w:rPr>
                      <w:rFonts w:hint="eastAsia"/>
                    </w:rPr>
                    <w:t>0.3028</w:t>
                  </w:r>
                </w:p>
              </w:tc>
              <w:tc>
                <w:tcPr>
                  <w:tcW w:w="532" w:type="pct"/>
                  <w:tcBorders>
                    <w:top w:val="single" w:color="auto" w:sz="4" w:space="0"/>
                    <w:left w:val="single" w:color="auto" w:sz="4" w:space="0"/>
                    <w:bottom w:val="single" w:color="auto" w:sz="4" w:space="0"/>
                    <w:right w:val="single" w:color="auto" w:sz="4" w:space="0"/>
                  </w:tcBorders>
                  <w:vAlign w:val="center"/>
                </w:tcPr>
                <w:p w14:paraId="5D229CF1">
                  <w:pPr>
                    <w:snapToGrid w:val="0"/>
                    <w:jc w:val="center"/>
                  </w:pPr>
                  <w:r>
                    <w:rPr>
                      <w:rFonts w:hint="eastAsia"/>
                    </w:rPr>
                    <w:t>0.1665</w:t>
                  </w:r>
                </w:p>
              </w:tc>
              <w:tc>
                <w:tcPr>
                  <w:tcW w:w="532" w:type="pct"/>
                  <w:tcBorders>
                    <w:top w:val="single" w:color="auto" w:sz="4" w:space="0"/>
                    <w:left w:val="single" w:color="auto" w:sz="4" w:space="0"/>
                    <w:bottom w:val="single" w:color="auto" w:sz="4" w:space="0"/>
                    <w:right w:val="single" w:color="auto" w:sz="4" w:space="0"/>
                  </w:tcBorders>
                  <w:vAlign w:val="center"/>
                </w:tcPr>
                <w:p w14:paraId="7DB2269E">
                  <w:pPr>
                    <w:snapToGrid w:val="0"/>
                    <w:jc w:val="center"/>
                  </w:pPr>
                  <w:r>
                    <w:t>0.03</w:t>
                  </w:r>
                  <w:r>
                    <w:rPr>
                      <w:rFonts w:hint="eastAsia"/>
                    </w:rPr>
                    <w:t>78</w:t>
                  </w:r>
                </w:p>
              </w:tc>
              <w:tc>
                <w:tcPr>
                  <w:tcW w:w="530" w:type="pct"/>
                  <w:tcBorders>
                    <w:top w:val="single" w:color="auto" w:sz="4" w:space="0"/>
                    <w:left w:val="single" w:color="auto" w:sz="4" w:space="0"/>
                    <w:bottom w:val="single" w:color="auto" w:sz="4" w:space="0"/>
                    <w:right w:val="single" w:color="auto" w:sz="4" w:space="0"/>
                  </w:tcBorders>
                  <w:vAlign w:val="center"/>
                </w:tcPr>
                <w:p w14:paraId="2AA6CA92">
                  <w:pPr>
                    <w:snapToGrid w:val="0"/>
                    <w:jc w:val="center"/>
                  </w:pPr>
                  <w:r>
                    <w:t>0.1</w:t>
                  </w:r>
                  <w:r>
                    <w:rPr>
                      <w:rFonts w:hint="eastAsia"/>
                    </w:rPr>
                    <w:t>557</w:t>
                  </w:r>
                </w:p>
              </w:tc>
              <w:tc>
                <w:tcPr>
                  <w:tcW w:w="530" w:type="pct"/>
                  <w:tcBorders>
                    <w:top w:val="single" w:color="auto" w:sz="4" w:space="0"/>
                    <w:left w:val="single" w:color="auto" w:sz="4" w:space="0"/>
                    <w:bottom w:val="single" w:color="auto" w:sz="4" w:space="0"/>
                    <w:right w:val="single" w:color="auto" w:sz="4" w:space="0"/>
                  </w:tcBorders>
                  <w:vAlign w:val="center"/>
                </w:tcPr>
                <w:p w14:paraId="28D95CD6">
                  <w:pPr>
                    <w:snapToGrid w:val="0"/>
                    <w:jc w:val="center"/>
                  </w:pPr>
                  <w:r>
                    <w:rPr>
                      <w:rFonts w:hint="eastAsia"/>
                    </w:rPr>
                    <w:t>0.0649</w:t>
                  </w:r>
                </w:p>
              </w:tc>
              <w:tc>
                <w:tcPr>
                  <w:tcW w:w="531" w:type="pct"/>
                  <w:tcBorders>
                    <w:top w:val="single" w:color="auto" w:sz="4" w:space="0"/>
                    <w:left w:val="single" w:color="auto" w:sz="4" w:space="0"/>
                    <w:bottom w:val="single" w:color="auto" w:sz="4" w:space="0"/>
                    <w:right w:val="single" w:color="auto" w:sz="4" w:space="0"/>
                  </w:tcBorders>
                  <w:vAlign w:val="center"/>
                </w:tcPr>
                <w:p w14:paraId="7386EDBC">
                  <w:pPr>
                    <w:snapToGrid w:val="0"/>
                    <w:jc w:val="center"/>
                  </w:pPr>
                  <w:r>
                    <w:rPr>
                      <w:rFonts w:hint="eastAsia"/>
                    </w:rPr>
                    <w:t>0.0004</w:t>
                  </w:r>
                </w:p>
              </w:tc>
            </w:tr>
            <w:tr w14:paraId="209A8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1813" w:type="pct"/>
                  <w:gridSpan w:val="2"/>
                  <w:tcBorders>
                    <w:top w:val="single" w:color="auto" w:sz="4" w:space="0"/>
                    <w:left w:val="single" w:color="auto" w:sz="4" w:space="0"/>
                    <w:bottom w:val="single" w:color="auto" w:sz="4" w:space="0"/>
                    <w:right w:val="single" w:color="auto" w:sz="4" w:space="0"/>
                  </w:tcBorders>
                  <w:vAlign w:val="center"/>
                </w:tcPr>
                <w:p w14:paraId="5D38AC69">
                  <w:pPr>
                    <w:snapToGrid w:val="0"/>
                    <w:jc w:val="center"/>
                  </w:pPr>
                  <w:r>
                    <w:t>污水排放量（t/a）</w:t>
                  </w:r>
                </w:p>
              </w:tc>
              <w:tc>
                <w:tcPr>
                  <w:tcW w:w="3187" w:type="pct"/>
                  <w:gridSpan w:val="6"/>
                  <w:tcBorders>
                    <w:top w:val="single" w:color="auto" w:sz="4" w:space="0"/>
                    <w:left w:val="single" w:color="auto" w:sz="4" w:space="0"/>
                    <w:bottom w:val="single" w:color="auto" w:sz="4" w:space="0"/>
                    <w:right w:val="single" w:color="auto" w:sz="4" w:space="0"/>
                  </w:tcBorders>
                  <w:vAlign w:val="center"/>
                </w:tcPr>
                <w:p w14:paraId="3A82A1D9">
                  <w:pPr>
                    <w:snapToGrid w:val="0"/>
                    <w:jc w:val="center"/>
                  </w:pPr>
                  <w:r>
                    <w:t>10</w:t>
                  </w:r>
                  <w:r>
                    <w:rPr>
                      <w:rFonts w:hint="eastAsia"/>
                    </w:rPr>
                    <w:t>81.28</w:t>
                  </w:r>
                </w:p>
              </w:tc>
            </w:tr>
          </w:tbl>
          <w:p w14:paraId="060FB977">
            <w:pPr>
              <w:spacing w:line="360" w:lineRule="auto"/>
              <w:ind w:firstLine="480" w:firstLineChars="200"/>
              <w:rPr>
                <w:sz w:val="24"/>
              </w:rPr>
            </w:pPr>
            <w:r>
              <w:rPr>
                <w:sz w:val="24"/>
              </w:rPr>
              <w:t>4.2.2废水治理设施可行性分析</w:t>
            </w:r>
          </w:p>
          <w:p w14:paraId="2FD8A9C6">
            <w:pPr>
              <w:spacing w:line="360" w:lineRule="auto"/>
              <w:ind w:firstLine="480" w:firstLineChars="200"/>
              <w:rPr>
                <w:sz w:val="24"/>
                <w:szCs w:val="32"/>
              </w:rPr>
            </w:pPr>
            <w:r>
              <w:rPr>
                <w:sz w:val="24"/>
              </w:rPr>
              <w:t>项目生活污水排入</w:t>
            </w:r>
            <w:r>
              <w:rPr>
                <w:sz w:val="24"/>
                <w:szCs w:val="32"/>
              </w:rPr>
              <w:t>陕西敏瑞建筑科技有限公司鄠邑区分公司厂区东北角化粪池（18m</w:t>
            </w:r>
            <w:r>
              <w:rPr>
                <w:sz w:val="24"/>
                <w:szCs w:val="32"/>
                <w:vertAlign w:val="superscript"/>
              </w:rPr>
              <w:t>3</w:t>
            </w:r>
            <w:r>
              <w:rPr>
                <w:sz w:val="24"/>
                <w:szCs w:val="32"/>
              </w:rPr>
              <w:t>）后进入惠民路市政污水管网最终进入鄠邑区第三污水处理厂。</w:t>
            </w:r>
          </w:p>
          <w:p w14:paraId="549D3DD4">
            <w:pPr>
              <w:adjustRightInd w:val="0"/>
              <w:snapToGrid w:val="0"/>
              <w:spacing w:line="360" w:lineRule="auto"/>
              <w:ind w:firstLine="480" w:firstLineChars="200"/>
              <w:rPr>
                <w:sz w:val="24"/>
              </w:rPr>
            </w:pPr>
            <w:r>
              <w:rPr>
                <w:bCs/>
                <w:sz w:val="24"/>
              </w:rPr>
              <w:t>陕西敏瑞建筑科技有限公司鄠邑区分公司化粪池目前已通过环境保护竣工验收</w:t>
            </w:r>
            <w:r>
              <w:rPr>
                <w:sz w:val="24"/>
              </w:rPr>
              <w:t>，</w:t>
            </w:r>
            <w:r>
              <w:rPr>
                <w:bCs/>
                <w:sz w:val="24"/>
              </w:rPr>
              <w:t>项目生活污水</w:t>
            </w:r>
            <w:r>
              <w:rPr>
                <w:sz w:val="24"/>
              </w:rPr>
              <w:t>最终鄠邑区第三污水处理厂处理。</w:t>
            </w:r>
          </w:p>
          <w:p w14:paraId="030ABB12">
            <w:pPr>
              <w:pStyle w:val="52"/>
              <w:numPr>
                <w:ilvl w:val="0"/>
                <w:numId w:val="1"/>
              </w:numPr>
              <w:ind w:left="0" w:firstLine="0"/>
              <w:rPr>
                <w:color w:val="auto"/>
              </w:rPr>
            </w:pPr>
            <w:r>
              <w:rPr>
                <w:color w:val="auto"/>
              </w:rPr>
              <w:t xml:space="preserve">    废水治理设施一览表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841"/>
              <w:gridCol w:w="1882"/>
              <w:gridCol w:w="1613"/>
              <w:gridCol w:w="2083"/>
            </w:tblGrid>
            <w:tr w14:paraId="09D4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01" w:type="pct"/>
                  <w:vMerge w:val="restart"/>
                  <w:tcMar>
                    <w:left w:w="57" w:type="dxa"/>
                    <w:right w:w="57" w:type="dxa"/>
                  </w:tcMar>
                  <w:vAlign w:val="center"/>
                </w:tcPr>
                <w:p w14:paraId="7F43DA40">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废水类别</w:t>
                  </w:r>
                </w:p>
              </w:tc>
              <w:tc>
                <w:tcPr>
                  <w:tcW w:w="1042" w:type="pct"/>
                  <w:vMerge w:val="restart"/>
                  <w:tcMar>
                    <w:left w:w="57" w:type="dxa"/>
                    <w:right w:w="57" w:type="dxa"/>
                  </w:tcMar>
                  <w:vAlign w:val="center"/>
                </w:tcPr>
                <w:p w14:paraId="06E55B78">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污染物种类</w:t>
                  </w:r>
                </w:p>
              </w:tc>
              <w:tc>
                <w:tcPr>
                  <w:tcW w:w="1977" w:type="pct"/>
                  <w:gridSpan w:val="2"/>
                  <w:tcMar>
                    <w:left w:w="57" w:type="dxa"/>
                    <w:right w:w="57" w:type="dxa"/>
                  </w:tcMar>
                  <w:vAlign w:val="center"/>
                </w:tcPr>
                <w:p w14:paraId="2C04BF70">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污染治理设施</w:t>
                  </w:r>
                </w:p>
              </w:tc>
              <w:tc>
                <w:tcPr>
                  <w:tcW w:w="1180" w:type="pct"/>
                  <w:vMerge w:val="restart"/>
                  <w:tcMar>
                    <w:left w:w="57" w:type="dxa"/>
                    <w:right w:w="57" w:type="dxa"/>
                  </w:tcMar>
                  <w:vAlign w:val="center"/>
                </w:tcPr>
                <w:p w14:paraId="6629CCDD">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排放去向</w:t>
                  </w:r>
                </w:p>
              </w:tc>
            </w:tr>
            <w:tr w14:paraId="5F30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01" w:type="pct"/>
                  <w:vMerge w:val="continue"/>
                  <w:tcMar>
                    <w:left w:w="57" w:type="dxa"/>
                    <w:right w:w="57" w:type="dxa"/>
                  </w:tcMar>
                  <w:vAlign w:val="center"/>
                </w:tcPr>
                <w:p w14:paraId="4CC9718A">
                  <w:pPr>
                    <w:pStyle w:val="17"/>
                    <w:widowControl w:val="0"/>
                    <w:adjustRightInd w:val="0"/>
                    <w:snapToGrid w:val="0"/>
                    <w:spacing w:before="0" w:beforeAutospacing="0" w:after="0" w:afterAutospacing="0"/>
                    <w:jc w:val="center"/>
                    <w:rPr>
                      <w:rFonts w:ascii="Times New Roman" w:hAnsi="Times New Roman"/>
                      <w:sz w:val="21"/>
                      <w:szCs w:val="21"/>
                    </w:rPr>
                  </w:pPr>
                </w:p>
              </w:tc>
              <w:tc>
                <w:tcPr>
                  <w:tcW w:w="1042" w:type="pct"/>
                  <w:vMerge w:val="continue"/>
                  <w:tcMar>
                    <w:left w:w="57" w:type="dxa"/>
                    <w:right w:w="57" w:type="dxa"/>
                  </w:tcMar>
                  <w:vAlign w:val="center"/>
                </w:tcPr>
                <w:p w14:paraId="4DD68031">
                  <w:pPr>
                    <w:pStyle w:val="17"/>
                    <w:widowControl w:val="0"/>
                    <w:adjustRightInd w:val="0"/>
                    <w:snapToGrid w:val="0"/>
                    <w:spacing w:before="0" w:beforeAutospacing="0" w:after="0" w:afterAutospacing="0"/>
                    <w:jc w:val="center"/>
                    <w:rPr>
                      <w:rFonts w:ascii="Times New Roman" w:hAnsi="Times New Roman"/>
                      <w:sz w:val="21"/>
                      <w:szCs w:val="21"/>
                    </w:rPr>
                  </w:pPr>
                </w:p>
              </w:tc>
              <w:tc>
                <w:tcPr>
                  <w:tcW w:w="1065" w:type="pct"/>
                  <w:tcMar>
                    <w:left w:w="57" w:type="dxa"/>
                    <w:right w:w="57" w:type="dxa"/>
                  </w:tcMar>
                  <w:vAlign w:val="center"/>
                </w:tcPr>
                <w:p w14:paraId="5B722909">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污染防治设施名称</w:t>
                  </w:r>
                </w:p>
              </w:tc>
              <w:tc>
                <w:tcPr>
                  <w:tcW w:w="913" w:type="pct"/>
                  <w:tcMar>
                    <w:left w:w="57" w:type="dxa"/>
                    <w:right w:w="57" w:type="dxa"/>
                  </w:tcMar>
                  <w:vAlign w:val="center"/>
                </w:tcPr>
                <w:p w14:paraId="503F2FA9">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是否可行技术</w:t>
                  </w:r>
                </w:p>
              </w:tc>
              <w:tc>
                <w:tcPr>
                  <w:tcW w:w="1180" w:type="pct"/>
                  <w:vMerge w:val="continue"/>
                  <w:tcMar>
                    <w:left w:w="57" w:type="dxa"/>
                    <w:right w:w="57" w:type="dxa"/>
                  </w:tcMar>
                  <w:vAlign w:val="center"/>
                </w:tcPr>
                <w:p w14:paraId="62100162">
                  <w:pPr>
                    <w:pStyle w:val="17"/>
                    <w:widowControl w:val="0"/>
                    <w:adjustRightInd w:val="0"/>
                    <w:snapToGrid w:val="0"/>
                    <w:spacing w:before="0" w:beforeAutospacing="0" w:after="0" w:afterAutospacing="0"/>
                    <w:jc w:val="center"/>
                    <w:rPr>
                      <w:rFonts w:ascii="Times New Roman" w:hAnsi="Times New Roman"/>
                      <w:sz w:val="21"/>
                      <w:szCs w:val="21"/>
                    </w:rPr>
                  </w:pPr>
                </w:p>
              </w:tc>
            </w:tr>
            <w:tr w14:paraId="7D68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01" w:type="pct"/>
                  <w:tcMar>
                    <w:left w:w="57" w:type="dxa"/>
                    <w:right w:w="57" w:type="dxa"/>
                  </w:tcMar>
                  <w:vAlign w:val="center"/>
                </w:tcPr>
                <w:p w14:paraId="3578F96D">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生活污水</w:t>
                  </w:r>
                </w:p>
              </w:tc>
              <w:tc>
                <w:tcPr>
                  <w:tcW w:w="1042" w:type="pct"/>
                  <w:tcMar>
                    <w:left w:w="57" w:type="dxa"/>
                    <w:right w:w="57" w:type="dxa"/>
                  </w:tcMar>
                  <w:vAlign w:val="center"/>
                </w:tcPr>
                <w:p w14:paraId="6FCA3A82">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COD、BOD5、氨氮、SS</w:t>
                  </w:r>
                  <w:r>
                    <w:rPr>
                      <w:rFonts w:hint="eastAsia" w:ascii="Times New Roman" w:hAnsi="Times New Roman"/>
                      <w:sz w:val="21"/>
                      <w:szCs w:val="21"/>
                    </w:rPr>
                    <w:t>、TN、TP</w:t>
                  </w:r>
                </w:p>
              </w:tc>
              <w:tc>
                <w:tcPr>
                  <w:tcW w:w="1065" w:type="pct"/>
                  <w:tcMar>
                    <w:left w:w="57" w:type="dxa"/>
                    <w:right w:w="57" w:type="dxa"/>
                  </w:tcMar>
                  <w:vAlign w:val="center"/>
                </w:tcPr>
                <w:p w14:paraId="0C9D9A33">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化粪池</w:t>
                  </w:r>
                </w:p>
              </w:tc>
              <w:tc>
                <w:tcPr>
                  <w:tcW w:w="913" w:type="pct"/>
                  <w:tcMar>
                    <w:left w:w="57" w:type="dxa"/>
                    <w:right w:w="57" w:type="dxa"/>
                  </w:tcMar>
                  <w:vAlign w:val="center"/>
                </w:tcPr>
                <w:p w14:paraId="6A19489B">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eastAsia="MS Mincho"/>
                      <w:sz w:val="21"/>
                      <w:szCs w:val="21"/>
                    </w:rPr>
                    <w:t>☑</w:t>
                  </w:r>
                  <w:r>
                    <w:rPr>
                      <w:rFonts w:ascii="Times New Roman" w:hAnsi="Times New Roman"/>
                      <w:sz w:val="21"/>
                      <w:szCs w:val="21"/>
                    </w:rPr>
                    <w:t>是</w:t>
                  </w:r>
                </w:p>
                <w:p w14:paraId="7D31E718">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□否</w:t>
                  </w:r>
                </w:p>
              </w:tc>
              <w:tc>
                <w:tcPr>
                  <w:tcW w:w="1180" w:type="pct"/>
                  <w:tcMar>
                    <w:left w:w="57" w:type="dxa"/>
                    <w:right w:w="57" w:type="dxa"/>
                  </w:tcMar>
                  <w:vAlign w:val="center"/>
                </w:tcPr>
                <w:p w14:paraId="4DFBBB56">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鄠邑区第三污水处理厂</w:t>
                  </w:r>
                </w:p>
              </w:tc>
            </w:tr>
          </w:tbl>
          <w:p w14:paraId="2DA8095A">
            <w:pPr>
              <w:spacing w:line="360" w:lineRule="auto"/>
              <w:ind w:firstLine="480" w:firstLineChars="200"/>
              <w:rPr>
                <w:sz w:val="24"/>
              </w:rPr>
            </w:pPr>
            <w:r>
              <w:rPr>
                <w:sz w:val="24"/>
              </w:rPr>
              <w:t>4.2.3废水排放口基本信息</w:t>
            </w:r>
          </w:p>
          <w:p w14:paraId="642EA227">
            <w:pPr>
              <w:spacing w:line="360" w:lineRule="auto"/>
              <w:ind w:firstLine="480" w:firstLineChars="200"/>
              <w:rPr>
                <w:sz w:val="24"/>
                <w:szCs w:val="32"/>
              </w:rPr>
            </w:pPr>
            <w:r>
              <w:rPr>
                <w:sz w:val="24"/>
              </w:rPr>
              <w:t>本项目废水主要为职工生活污水</w:t>
            </w:r>
            <w:r>
              <w:rPr>
                <w:rFonts w:hint="eastAsia"/>
                <w:sz w:val="24"/>
              </w:rPr>
              <w:t>，</w:t>
            </w:r>
            <w:r>
              <w:rPr>
                <w:sz w:val="24"/>
              </w:rPr>
              <w:t>项目生活污水排入</w:t>
            </w:r>
            <w:r>
              <w:rPr>
                <w:sz w:val="24"/>
                <w:szCs w:val="32"/>
              </w:rPr>
              <w:t>陕西敏瑞建筑科技有限公司鄠邑区分公司厂区东北角化粪池（18m</w:t>
            </w:r>
            <w:r>
              <w:rPr>
                <w:sz w:val="24"/>
                <w:szCs w:val="32"/>
                <w:vertAlign w:val="superscript"/>
              </w:rPr>
              <w:t>3</w:t>
            </w:r>
            <w:r>
              <w:rPr>
                <w:sz w:val="24"/>
                <w:szCs w:val="32"/>
              </w:rPr>
              <w:t>）后进入惠民路市政污水管网最终进入鄠邑区第三污水处理厂。</w:t>
            </w:r>
          </w:p>
          <w:p w14:paraId="2A05D810">
            <w:pPr>
              <w:pStyle w:val="52"/>
              <w:numPr>
                <w:ilvl w:val="0"/>
                <w:numId w:val="1"/>
              </w:numPr>
              <w:ind w:left="0" w:firstLine="0"/>
              <w:rPr>
                <w:color w:val="auto"/>
              </w:rPr>
            </w:pPr>
            <w:r>
              <w:rPr>
                <w:color w:val="auto"/>
              </w:rPr>
              <w:t xml:space="preserve">    废水间接排放口基本情况表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81"/>
              <w:gridCol w:w="672"/>
              <w:gridCol w:w="709"/>
              <w:gridCol w:w="992"/>
              <w:gridCol w:w="709"/>
              <w:gridCol w:w="850"/>
              <w:gridCol w:w="851"/>
              <w:gridCol w:w="807"/>
              <w:gridCol w:w="846"/>
              <w:gridCol w:w="1091"/>
            </w:tblGrid>
            <w:tr w14:paraId="5715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14:paraId="04405B4A">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序号</w:t>
                  </w:r>
                </w:p>
              </w:tc>
              <w:tc>
                <w:tcPr>
                  <w:tcW w:w="881" w:type="dxa"/>
                  <w:vMerge w:val="restart"/>
                  <w:vAlign w:val="center"/>
                </w:tcPr>
                <w:p w14:paraId="14551BCC">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排放口编号</w:t>
                  </w:r>
                </w:p>
              </w:tc>
              <w:tc>
                <w:tcPr>
                  <w:tcW w:w="1381" w:type="dxa"/>
                  <w:gridSpan w:val="2"/>
                  <w:vAlign w:val="center"/>
                </w:tcPr>
                <w:p w14:paraId="73D7A6DA">
                  <w:pPr>
                    <w:pStyle w:val="52"/>
                    <w:ind w:left="0" w:firstLine="0"/>
                    <w:rPr>
                      <w:b w:val="0"/>
                      <w:color w:val="auto"/>
                    </w:rPr>
                  </w:pPr>
                  <w:r>
                    <w:rPr>
                      <w:b w:val="0"/>
                      <w:color w:val="auto"/>
                    </w:rPr>
                    <w:t>排放口地理坐标</w:t>
                  </w:r>
                </w:p>
              </w:tc>
              <w:tc>
                <w:tcPr>
                  <w:tcW w:w="992" w:type="dxa"/>
                  <w:vMerge w:val="restart"/>
                  <w:vAlign w:val="center"/>
                </w:tcPr>
                <w:p w14:paraId="7ECBD431">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废水排</w:t>
                  </w:r>
                </w:p>
                <w:p w14:paraId="3ADFACF8">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放量/</w:t>
                  </w:r>
                </w:p>
                <w:p w14:paraId="46D24979">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万m</w:t>
                  </w:r>
                  <w:r>
                    <w:rPr>
                      <w:rFonts w:ascii="Times New Roman" w:hAnsi="Times New Roman"/>
                      <w:sz w:val="21"/>
                      <w:szCs w:val="21"/>
                      <w:vertAlign w:val="superscript"/>
                    </w:rPr>
                    <w:t>3</w:t>
                  </w:r>
                  <w:r>
                    <w:rPr>
                      <w:rFonts w:ascii="Times New Roman" w:hAnsi="Times New Roman"/>
                      <w:sz w:val="21"/>
                      <w:szCs w:val="21"/>
                    </w:rPr>
                    <w:t>/a</w:t>
                  </w:r>
                </w:p>
              </w:tc>
              <w:tc>
                <w:tcPr>
                  <w:tcW w:w="709" w:type="dxa"/>
                  <w:vMerge w:val="restart"/>
                  <w:vAlign w:val="center"/>
                </w:tcPr>
                <w:p w14:paraId="05FBB700">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排放去向</w:t>
                  </w:r>
                </w:p>
              </w:tc>
              <w:tc>
                <w:tcPr>
                  <w:tcW w:w="850" w:type="dxa"/>
                  <w:vMerge w:val="restart"/>
                  <w:vAlign w:val="center"/>
                </w:tcPr>
                <w:p w14:paraId="6682514E">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排放规律</w:t>
                  </w:r>
                </w:p>
              </w:tc>
              <w:tc>
                <w:tcPr>
                  <w:tcW w:w="851" w:type="dxa"/>
                  <w:vMerge w:val="restart"/>
                  <w:vAlign w:val="center"/>
                </w:tcPr>
                <w:p w14:paraId="72572533">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间歇排放时段</w:t>
                  </w:r>
                </w:p>
              </w:tc>
              <w:tc>
                <w:tcPr>
                  <w:tcW w:w="2744" w:type="dxa"/>
                  <w:gridSpan w:val="3"/>
                  <w:vAlign w:val="center"/>
                </w:tcPr>
                <w:p w14:paraId="5165A9FF">
                  <w:pPr>
                    <w:pStyle w:val="52"/>
                    <w:ind w:left="0" w:firstLine="0"/>
                    <w:rPr>
                      <w:b w:val="0"/>
                      <w:color w:val="auto"/>
                    </w:rPr>
                  </w:pPr>
                  <w:r>
                    <w:rPr>
                      <w:b w:val="0"/>
                      <w:color w:val="auto"/>
                    </w:rPr>
                    <w:t>受纳污水处理厂信息</w:t>
                  </w:r>
                </w:p>
              </w:tc>
            </w:tr>
            <w:tr w14:paraId="3923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6F831B88">
                  <w:pPr>
                    <w:pStyle w:val="17"/>
                    <w:widowControl w:val="0"/>
                    <w:adjustRightInd w:val="0"/>
                    <w:snapToGrid w:val="0"/>
                    <w:spacing w:before="0" w:beforeAutospacing="0" w:after="0" w:afterAutospacing="0"/>
                    <w:jc w:val="center"/>
                    <w:rPr>
                      <w:rFonts w:ascii="Times New Roman" w:hAnsi="Times New Roman"/>
                      <w:sz w:val="21"/>
                      <w:szCs w:val="21"/>
                    </w:rPr>
                  </w:pPr>
                </w:p>
              </w:tc>
              <w:tc>
                <w:tcPr>
                  <w:tcW w:w="881" w:type="dxa"/>
                  <w:vMerge w:val="continue"/>
                  <w:vAlign w:val="center"/>
                </w:tcPr>
                <w:p w14:paraId="55F0C73F">
                  <w:pPr>
                    <w:pStyle w:val="17"/>
                    <w:widowControl w:val="0"/>
                    <w:adjustRightInd w:val="0"/>
                    <w:snapToGrid w:val="0"/>
                    <w:spacing w:before="0" w:beforeAutospacing="0" w:after="0" w:afterAutospacing="0"/>
                    <w:jc w:val="center"/>
                    <w:rPr>
                      <w:rFonts w:ascii="Times New Roman" w:hAnsi="Times New Roman"/>
                      <w:sz w:val="21"/>
                      <w:szCs w:val="21"/>
                    </w:rPr>
                  </w:pPr>
                </w:p>
              </w:tc>
              <w:tc>
                <w:tcPr>
                  <w:tcW w:w="672" w:type="dxa"/>
                  <w:vAlign w:val="center"/>
                </w:tcPr>
                <w:p w14:paraId="34C42EA3">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经度</w:t>
                  </w:r>
                </w:p>
              </w:tc>
              <w:tc>
                <w:tcPr>
                  <w:tcW w:w="709" w:type="dxa"/>
                  <w:vAlign w:val="center"/>
                </w:tcPr>
                <w:p w14:paraId="4313B6CA">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纬度</w:t>
                  </w:r>
                </w:p>
              </w:tc>
              <w:tc>
                <w:tcPr>
                  <w:tcW w:w="992" w:type="dxa"/>
                  <w:vMerge w:val="continue"/>
                  <w:vAlign w:val="center"/>
                </w:tcPr>
                <w:p w14:paraId="1B542ED4">
                  <w:pPr>
                    <w:pStyle w:val="17"/>
                    <w:widowControl w:val="0"/>
                    <w:adjustRightInd w:val="0"/>
                    <w:snapToGrid w:val="0"/>
                    <w:spacing w:before="0" w:beforeAutospacing="0" w:after="0" w:afterAutospacing="0"/>
                    <w:jc w:val="center"/>
                    <w:rPr>
                      <w:rFonts w:ascii="Times New Roman" w:hAnsi="Times New Roman"/>
                      <w:sz w:val="21"/>
                      <w:szCs w:val="21"/>
                    </w:rPr>
                  </w:pPr>
                </w:p>
              </w:tc>
              <w:tc>
                <w:tcPr>
                  <w:tcW w:w="709" w:type="dxa"/>
                  <w:vMerge w:val="continue"/>
                  <w:vAlign w:val="center"/>
                </w:tcPr>
                <w:p w14:paraId="329039AB">
                  <w:pPr>
                    <w:pStyle w:val="17"/>
                    <w:widowControl w:val="0"/>
                    <w:adjustRightInd w:val="0"/>
                    <w:snapToGrid w:val="0"/>
                    <w:spacing w:before="0" w:beforeAutospacing="0" w:after="0" w:afterAutospacing="0"/>
                    <w:jc w:val="center"/>
                    <w:rPr>
                      <w:rFonts w:ascii="Times New Roman" w:hAnsi="Times New Roman"/>
                      <w:sz w:val="21"/>
                      <w:szCs w:val="21"/>
                    </w:rPr>
                  </w:pPr>
                </w:p>
              </w:tc>
              <w:tc>
                <w:tcPr>
                  <w:tcW w:w="850" w:type="dxa"/>
                  <w:vMerge w:val="continue"/>
                  <w:vAlign w:val="center"/>
                </w:tcPr>
                <w:p w14:paraId="13A51A59">
                  <w:pPr>
                    <w:pStyle w:val="17"/>
                    <w:widowControl w:val="0"/>
                    <w:adjustRightInd w:val="0"/>
                    <w:snapToGrid w:val="0"/>
                    <w:spacing w:before="0" w:beforeAutospacing="0" w:after="0" w:afterAutospacing="0"/>
                    <w:jc w:val="center"/>
                    <w:rPr>
                      <w:rFonts w:ascii="Times New Roman" w:hAnsi="Times New Roman"/>
                      <w:sz w:val="21"/>
                      <w:szCs w:val="21"/>
                    </w:rPr>
                  </w:pPr>
                </w:p>
              </w:tc>
              <w:tc>
                <w:tcPr>
                  <w:tcW w:w="851" w:type="dxa"/>
                  <w:vMerge w:val="continue"/>
                  <w:vAlign w:val="center"/>
                </w:tcPr>
                <w:p w14:paraId="1E5F1F84">
                  <w:pPr>
                    <w:pStyle w:val="52"/>
                    <w:ind w:left="0" w:firstLine="0"/>
                    <w:rPr>
                      <w:color w:val="auto"/>
                    </w:rPr>
                  </w:pPr>
                </w:p>
              </w:tc>
              <w:tc>
                <w:tcPr>
                  <w:tcW w:w="807" w:type="dxa"/>
                  <w:vAlign w:val="center"/>
                </w:tcPr>
                <w:p w14:paraId="5B4AE0E1">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名称</w:t>
                  </w:r>
                </w:p>
              </w:tc>
              <w:tc>
                <w:tcPr>
                  <w:tcW w:w="846" w:type="dxa"/>
                  <w:vAlign w:val="center"/>
                </w:tcPr>
                <w:p w14:paraId="04E1F9AF">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污染物</w:t>
                  </w:r>
                </w:p>
                <w:p w14:paraId="30982D74">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种类</w:t>
                  </w:r>
                </w:p>
              </w:tc>
              <w:tc>
                <w:tcPr>
                  <w:tcW w:w="1091" w:type="dxa"/>
                  <w:vAlign w:val="center"/>
                </w:tcPr>
                <w:p w14:paraId="4E614AF3">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污染物排放标准浓度限值/（mg/L）</w:t>
                  </w:r>
                </w:p>
              </w:tc>
            </w:tr>
            <w:tr w14:paraId="780A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27" w:type="dxa"/>
                  <w:vMerge w:val="restart"/>
                  <w:vAlign w:val="center"/>
                </w:tcPr>
                <w:p w14:paraId="6D6F5BBB">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1</w:t>
                  </w:r>
                </w:p>
              </w:tc>
              <w:tc>
                <w:tcPr>
                  <w:tcW w:w="881" w:type="dxa"/>
                  <w:vMerge w:val="restart"/>
                  <w:vAlign w:val="center"/>
                </w:tcPr>
                <w:p w14:paraId="3435C277">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DW001</w:t>
                  </w:r>
                </w:p>
              </w:tc>
              <w:tc>
                <w:tcPr>
                  <w:tcW w:w="672" w:type="dxa"/>
                  <w:vMerge w:val="restart"/>
                  <w:vAlign w:val="center"/>
                </w:tcPr>
                <w:p w14:paraId="4A14597E">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E108.623154</w:t>
                  </w:r>
                  <w:r>
                    <w:rPr>
                      <w:rFonts w:hint="eastAsia" w:ascii="Times New Roman" w:hAnsi="Times New Roman"/>
                      <w:sz w:val="21"/>
                      <w:szCs w:val="21"/>
                    </w:rPr>
                    <w:t>°</w:t>
                  </w:r>
                </w:p>
              </w:tc>
              <w:tc>
                <w:tcPr>
                  <w:tcW w:w="709" w:type="dxa"/>
                  <w:vMerge w:val="restart"/>
                  <w:vAlign w:val="center"/>
                </w:tcPr>
                <w:p w14:paraId="07E7F3DE">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N34.073024</w:t>
                  </w:r>
                  <w:r>
                    <w:rPr>
                      <w:rFonts w:hint="eastAsia" w:ascii="Times New Roman" w:hAnsi="Times New Roman"/>
                      <w:sz w:val="21"/>
                      <w:szCs w:val="21"/>
                    </w:rPr>
                    <w:t>°</w:t>
                  </w:r>
                </w:p>
              </w:tc>
              <w:tc>
                <w:tcPr>
                  <w:tcW w:w="992" w:type="dxa"/>
                  <w:vMerge w:val="restart"/>
                  <w:vAlign w:val="center"/>
                </w:tcPr>
                <w:p w14:paraId="18AD4D0D">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0.</w:t>
                  </w:r>
                  <w:r>
                    <w:rPr>
                      <w:rFonts w:hint="eastAsia" w:ascii="Times New Roman" w:hAnsi="Times New Roman"/>
                      <w:sz w:val="21"/>
                      <w:szCs w:val="21"/>
                    </w:rPr>
                    <w:t>108128</w:t>
                  </w:r>
                </w:p>
              </w:tc>
              <w:tc>
                <w:tcPr>
                  <w:tcW w:w="709" w:type="dxa"/>
                  <w:vMerge w:val="restart"/>
                  <w:vAlign w:val="center"/>
                </w:tcPr>
                <w:p w14:paraId="3E7D5AA9">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鄠邑区第三污水处理厂</w:t>
                  </w:r>
                </w:p>
              </w:tc>
              <w:tc>
                <w:tcPr>
                  <w:tcW w:w="850" w:type="dxa"/>
                  <w:vMerge w:val="restart"/>
                  <w:vAlign w:val="center"/>
                </w:tcPr>
                <w:p w14:paraId="1361B0AE">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连续排放，流量不稳定，但有周期性规律</w:t>
                  </w:r>
                </w:p>
              </w:tc>
              <w:tc>
                <w:tcPr>
                  <w:tcW w:w="851" w:type="dxa"/>
                  <w:vMerge w:val="restart"/>
                  <w:vAlign w:val="center"/>
                </w:tcPr>
                <w:p w14:paraId="5EA29D1B">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日间</w:t>
                  </w:r>
                </w:p>
              </w:tc>
              <w:tc>
                <w:tcPr>
                  <w:tcW w:w="807" w:type="dxa"/>
                  <w:vMerge w:val="restart"/>
                  <w:vAlign w:val="center"/>
                </w:tcPr>
                <w:p w14:paraId="16CE02AC">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鄠邑区第三污水处理厂</w:t>
                  </w:r>
                </w:p>
              </w:tc>
              <w:tc>
                <w:tcPr>
                  <w:tcW w:w="846" w:type="dxa"/>
                  <w:vAlign w:val="center"/>
                </w:tcPr>
                <w:p w14:paraId="2C901A77">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COD</w:t>
                  </w:r>
                </w:p>
              </w:tc>
              <w:tc>
                <w:tcPr>
                  <w:tcW w:w="1091" w:type="dxa"/>
                  <w:vAlign w:val="center"/>
                </w:tcPr>
                <w:p w14:paraId="6AD49444">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50</w:t>
                  </w:r>
                </w:p>
              </w:tc>
            </w:tr>
            <w:tr w14:paraId="287E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27" w:type="dxa"/>
                  <w:vMerge w:val="continue"/>
                  <w:vAlign w:val="center"/>
                </w:tcPr>
                <w:p w14:paraId="481E02D4">
                  <w:pPr>
                    <w:pStyle w:val="17"/>
                    <w:widowControl w:val="0"/>
                    <w:adjustRightInd w:val="0"/>
                    <w:snapToGrid w:val="0"/>
                    <w:spacing w:before="0" w:beforeAutospacing="0" w:after="0" w:afterAutospacing="0"/>
                    <w:jc w:val="center"/>
                    <w:rPr>
                      <w:rFonts w:ascii="Times New Roman" w:hAnsi="Times New Roman"/>
                      <w:sz w:val="21"/>
                      <w:szCs w:val="21"/>
                    </w:rPr>
                  </w:pPr>
                </w:p>
              </w:tc>
              <w:tc>
                <w:tcPr>
                  <w:tcW w:w="881" w:type="dxa"/>
                  <w:vMerge w:val="continue"/>
                  <w:vAlign w:val="center"/>
                </w:tcPr>
                <w:p w14:paraId="4B9852E1">
                  <w:pPr>
                    <w:pStyle w:val="17"/>
                    <w:widowControl w:val="0"/>
                    <w:adjustRightInd w:val="0"/>
                    <w:snapToGrid w:val="0"/>
                    <w:spacing w:before="0" w:beforeAutospacing="0" w:after="0" w:afterAutospacing="0"/>
                    <w:jc w:val="center"/>
                    <w:rPr>
                      <w:rFonts w:ascii="Times New Roman" w:hAnsi="Times New Roman"/>
                      <w:sz w:val="21"/>
                      <w:szCs w:val="21"/>
                    </w:rPr>
                  </w:pPr>
                </w:p>
              </w:tc>
              <w:tc>
                <w:tcPr>
                  <w:tcW w:w="672" w:type="dxa"/>
                  <w:vMerge w:val="continue"/>
                  <w:vAlign w:val="center"/>
                </w:tcPr>
                <w:p w14:paraId="3B0A8329">
                  <w:pPr>
                    <w:pStyle w:val="17"/>
                    <w:widowControl w:val="0"/>
                    <w:adjustRightInd w:val="0"/>
                    <w:snapToGrid w:val="0"/>
                    <w:spacing w:before="0" w:beforeAutospacing="0" w:after="0" w:afterAutospacing="0"/>
                    <w:jc w:val="center"/>
                    <w:rPr>
                      <w:rFonts w:ascii="Times New Roman" w:hAnsi="Times New Roman"/>
                      <w:sz w:val="21"/>
                      <w:szCs w:val="21"/>
                    </w:rPr>
                  </w:pPr>
                </w:p>
              </w:tc>
              <w:tc>
                <w:tcPr>
                  <w:tcW w:w="709" w:type="dxa"/>
                  <w:vMerge w:val="continue"/>
                  <w:vAlign w:val="center"/>
                </w:tcPr>
                <w:p w14:paraId="5145F790">
                  <w:pPr>
                    <w:pStyle w:val="17"/>
                    <w:widowControl w:val="0"/>
                    <w:adjustRightInd w:val="0"/>
                    <w:snapToGrid w:val="0"/>
                    <w:spacing w:before="0" w:beforeAutospacing="0" w:after="0" w:afterAutospacing="0"/>
                    <w:jc w:val="center"/>
                    <w:rPr>
                      <w:rFonts w:ascii="Times New Roman" w:hAnsi="Times New Roman"/>
                      <w:sz w:val="21"/>
                      <w:szCs w:val="21"/>
                    </w:rPr>
                  </w:pPr>
                </w:p>
              </w:tc>
              <w:tc>
                <w:tcPr>
                  <w:tcW w:w="992" w:type="dxa"/>
                  <w:vMerge w:val="continue"/>
                  <w:vAlign w:val="center"/>
                </w:tcPr>
                <w:p w14:paraId="1BE81B97">
                  <w:pPr>
                    <w:pStyle w:val="17"/>
                    <w:widowControl w:val="0"/>
                    <w:adjustRightInd w:val="0"/>
                    <w:snapToGrid w:val="0"/>
                    <w:spacing w:before="0" w:beforeAutospacing="0" w:after="0" w:afterAutospacing="0"/>
                    <w:jc w:val="center"/>
                    <w:rPr>
                      <w:rFonts w:ascii="Times New Roman" w:hAnsi="Times New Roman"/>
                      <w:sz w:val="21"/>
                      <w:szCs w:val="21"/>
                    </w:rPr>
                  </w:pPr>
                </w:p>
              </w:tc>
              <w:tc>
                <w:tcPr>
                  <w:tcW w:w="709" w:type="dxa"/>
                  <w:vMerge w:val="continue"/>
                  <w:vAlign w:val="center"/>
                </w:tcPr>
                <w:p w14:paraId="496D058A">
                  <w:pPr>
                    <w:pStyle w:val="17"/>
                    <w:widowControl w:val="0"/>
                    <w:adjustRightInd w:val="0"/>
                    <w:snapToGrid w:val="0"/>
                    <w:spacing w:before="0" w:beforeAutospacing="0" w:after="0" w:afterAutospacing="0"/>
                    <w:jc w:val="center"/>
                    <w:rPr>
                      <w:rFonts w:ascii="Times New Roman" w:hAnsi="Times New Roman"/>
                      <w:sz w:val="21"/>
                      <w:szCs w:val="21"/>
                    </w:rPr>
                  </w:pPr>
                </w:p>
              </w:tc>
              <w:tc>
                <w:tcPr>
                  <w:tcW w:w="850" w:type="dxa"/>
                  <w:vMerge w:val="continue"/>
                  <w:vAlign w:val="center"/>
                </w:tcPr>
                <w:p w14:paraId="1D65958B">
                  <w:pPr>
                    <w:pStyle w:val="17"/>
                    <w:widowControl w:val="0"/>
                    <w:adjustRightInd w:val="0"/>
                    <w:snapToGrid w:val="0"/>
                    <w:spacing w:before="0" w:beforeAutospacing="0" w:after="0" w:afterAutospacing="0"/>
                    <w:jc w:val="center"/>
                    <w:rPr>
                      <w:rFonts w:ascii="Times New Roman" w:hAnsi="Times New Roman"/>
                      <w:sz w:val="21"/>
                      <w:szCs w:val="21"/>
                    </w:rPr>
                  </w:pPr>
                </w:p>
              </w:tc>
              <w:tc>
                <w:tcPr>
                  <w:tcW w:w="851" w:type="dxa"/>
                  <w:vMerge w:val="continue"/>
                  <w:vAlign w:val="center"/>
                </w:tcPr>
                <w:p w14:paraId="7B1F9BDB">
                  <w:pPr>
                    <w:pStyle w:val="17"/>
                    <w:widowControl w:val="0"/>
                    <w:adjustRightInd w:val="0"/>
                    <w:snapToGrid w:val="0"/>
                    <w:spacing w:before="0" w:beforeAutospacing="0" w:after="0" w:afterAutospacing="0"/>
                    <w:jc w:val="center"/>
                    <w:rPr>
                      <w:rFonts w:ascii="Times New Roman" w:hAnsi="Times New Roman"/>
                      <w:sz w:val="21"/>
                      <w:szCs w:val="21"/>
                    </w:rPr>
                  </w:pPr>
                </w:p>
              </w:tc>
              <w:tc>
                <w:tcPr>
                  <w:tcW w:w="807" w:type="dxa"/>
                  <w:vMerge w:val="continue"/>
                  <w:vAlign w:val="center"/>
                </w:tcPr>
                <w:p w14:paraId="28F98188">
                  <w:pPr>
                    <w:pStyle w:val="17"/>
                    <w:widowControl w:val="0"/>
                    <w:adjustRightInd w:val="0"/>
                    <w:snapToGrid w:val="0"/>
                    <w:spacing w:before="0" w:beforeAutospacing="0" w:after="0" w:afterAutospacing="0"/>
                    <w:jc w:val="center"/>
                    <w:rPr>
                      <w:rFonts w:ascii="Times New Roman" w:hAnsi="Times New Roman"/>
                      <w:sz w:val="21"/>
                      <w:szCs w:val="21"/>
                    </w:rPr>
                  </w:pPr>
                </w:p>
              </w:tc>
              <w:tc>
                <w:tcPr>
                  <w:tcW w:w="846" w:type="dxa"/>
                  <w:vAlign w:val="center"/>
                </w:tcPr>
                <w:p w14:paraId="2ACA18A2">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lang w:val="de-DE"/>
                    </w:rPr>
                    <w:t>NH3-N</w:t>
                  </w:r>
                </w:p>
              </w:tc>
              <w:tc>
                <w:tcPr>
                  <w:tcW w:w="1091" w:type="dxa"/>
                  <w:vAlign w:val="center"/>
                </w:tcPr>
                <w:p w14:paraId="6AF7A04C">
                  <w:pPr>
                    <w:pStyle w:val="17"/>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5</w:t>
                  </w:r>
                </w:p>
              </w:tc>
            </w:tr>
          </w:tbl>
          <w:p w14:paraId="3A131E29">
            <w:pPr>
              <w:pStyle w:val="52"/>
              <w:numPr>
                <w:ilvl w:val="0"/>
                <w:numId w:val="1"/>
              </w:numPr>
              <w:ind w:left="0" w:firstLine="0"/>
              <w:rPr>
                <w:color w:val="auto"/>
              </w:rPr>
            </w:pPr>
            <w:r>
              <w:rPr>
                <w:color w:val="auto"/>
              </w:rPr>
              <w:t xml:space="preserve">    废水污染物排放执行标准表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29"/>
              <w:gridCol w:w="857"/>
              <w:gridCol w:w="4251"/>
              <w:gridCol w:w="2036"/>
            </w:tblGrid>
            <w:tr w14:paraId="6D80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18" w:type="pct"/>
                  <w:vMerge w:val="restart"/>
                  <w:tcMar>
                    <w:left w:w="57" w:type="dxa"/>
                    <w:right w:w="57" w:type="dxa"/>
                  </w:tcMar>
                  <w:vAlign w:val="center"/>
                </w:tcPr>
                <w:p w14:paraId="1ABD2C7F">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639" w:type="pct"/>
                  <w:vMerge w:val="restart"/>
                  <w:tcMar>
                    <w:left w:w="57" w:type="dxa"/>
                    <w:right w:w="57" w:type="dxa"/>
                  </w:tcMar>
                  <w:vAlign w:val="center"/>
                </w:tcPr>
                <w:p w14:paraId="2EBD0793">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排放口编号</w:t>
                  </w:r>
                </w:p>
              </w:tc>
              <w:tc>
                <w:tcPr>
                  <w:tcW w:w="485" w:type="pct"/>
                  <w:vMerge w:val="restart"/>
                  <w:tcMar>
                    <w:left w:w="57" w:type="dxa"/>
                    <w:right w:w="57" w:type="dxa"/>
                  </w:tcMar>
                  <w:vAlign w:val="center"/>
                </w:tcPr>
                <w:p w14:paraId="6DDCB063">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污染物种类</w:t>
                  </w:r>
                </w:p>
              </w:tc>
              <w:tc>
                <w:tcPr>
                  <w:tcW w:w="3558" w:type="pct"/>
                  <w:gridSpan w:val="2"/>
                  <w:tcMar>
                    <w:left w:w="57" w:type="dxa"/>
                    <w:right w:w="57" w:type="dxa"/>
                  </w:tcMar>
                  <w:vAlign w:val="center"/>
                </w:tcPr>
                <w:p w14:paraId="51B54350">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纳管标准</w:t>
                  </w:r>
                </w:p>
              </w:tc>
            </w:tr>
            <w:tr w14:paraId="277B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18" w:type="pct"/>
                  <w:vMerge w:val="continue"/>
                  <w:tcMar>
                    <w:left w:w="57" w:type="dxa"/>
                    <w:right w:w="57" w:type="dxa"/>
                  </w:tcMar>
                  <w:vAlign w:val="center"/>
                </w:tcPr>
                <w:p w14:paraId="0B66EAE2">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639" w:type="pct"/>
                  <w:vMerge w:val="continue"/>
                  <w:tcMar>
                    <w:left w:w="57" w:type="dxa"/>
                    <w:right w:w="57" w:type="dxa"/>
                  </w:tcMar>
                  <w:vAlign w:val="center"/>
                </w:tcPr>
                <w:p w14:paraId="7AC0F735">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485" w:type="pct"/>
                  <w:vMerge w:val="continue"/>
                  <w:tcMar>
                    <w:left w:w="57" w:type="dxa"/>
                    <w:right w:w="57" w:type="dxa"/>
                  </w:tcMar>
                  <w:vAlign w:val="center"/>
                </w:tcPr>
                <w:p w14:paraId="1472EC64">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2406" w:type="pct"/>
                  <w:tcMar>
                    <w:left w:w="57" w:type="dxa"/>
                    <w:right w:w="57" w:type="dxa"/>
                  </w:tcMar>
                  <w:vAlign w:val="center"/>
                </w:tcPr>
                <w:p w14:paraId="5AE4E8AE">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名称</w:t>
                  </w:r>
                </w:p>
              </w:tc>
              <w:tc>
                <w:tcPr>
                  <w:tcW w:w="1152" w:type="pct"/>
                  <w:tcMar>
                    <w:left w:w="57" w:type="dxa"/>
                    <w:right w:w="57" w:type="dxa"/>
                  </w:tcMar>
                  <w:vAlign w:val="center"/>
                </w:tcPr>
                <w:p w14:paraId="237A1989">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浓度限值/（mg/L）</w:t>
                  </w:r>
                </w:p>
              </w:tc>
            </w:tr>
            <w:tr w14:paraId="5184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18" w:type="pct"/>
                  <w:vMerge w:val="restart"/>
                  <w:tcMar>
                    <w:left w:w="57" w:type="dxa"/>
                    <w:right w:w="57" w:type="dxa"/>
                  </w:tcMar>
                  <w:vAlign w:val="center"/>
                </w:tcPr>
                <w:p w14:paraId="3CE5E544">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639" w:type="pct"/>
                  <w:vMerge w:val="restart"/>
                  <w:tcMar>
                    <w:left w:w="57" w:type="dxa"/>
                    <w:right w:w="57" w:type="dxa"/>
                  </w:tcMar>
                  <w:vAlign w:val="center"/>
                </w:tcPr>
                <w:p w14:paraId="4E68198E">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DW001</w:t>
                  </w:r>
                </w:p>
              </w:tc>
              <w:tc>
                <w:tcPr>
                  <w:tcW w:w="485" w:type="pct"/>
                  <w:tcMar>
                    <w:left w:w="57" w:type="dxa"/>
                    <w:right w:w="57" w:type="dxa"/>
                  </w:tcMar>
                  <w:vAlign w:val="center"/>
                </w:tcPr>
                <w:p w14:paraId="22B88A30">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COD</w:t>
                  </w:r>
                </w:p>
              </w:tc>
              <w:tc>
                <w:tcPr>
                  <w:tcW w:w="2406" w:type="pct"/>
                  <w:tcMar>
                    <w:left w:w="57" w:type="dxa"/>
                    <w:right w:w="57" w:type="dxa"/>
                  </w:tcMar>
                  <w:vAlign w:val="center"/>
                </w:tcPr>
                <w:p w14:paraId="60482635">
                  <w:pPr>
                    <w:pStyle w:val="17"/>
                    <w:widowControl w:val="0"/>
                    <w:adjustRightInd w:val="0"/>
                    <w:snapToGrid w:val="0"/>
                    <w:jc w:val="center"/>
                    <w:rPr>
                      <w:rFonts w:ascii="Times New Roman" w:hAnsi="Times New Roman"/>
                      <w:sz w:val="21"/>
                      <w:szCs w:val="21"/>
                    </w:rPr>
                  </w:pPr>
                  <w:r>
                    <w:rPr>
                      <w:rFonts w:ascii="Times New Roman" w:hAnsi="Times New Roman"/>
                      <w:sz w:val="21"/>
                      <w:szCs w:val="21"/>
                    </w:rPr>
                    <w:t>《污水综合排放标准》(GB8978-1996)中的三级标准</w:t>
                  </w:r>
                </w:p>
              </w:tc>
              <w:tc>
                <w:tcPr>
                  <w:tcW w:w="1152" w:type="pct"/>
                  <w:tcMar>
                    <w:left w:w="57" w:type="dxa"/>
                    <w:right w:w="57" w:type="dxa"/>
                  </w:tcMar>
                  <w:vAlign w:val="center"/>
                </w:tcPr>
                <w:p w14:paraId="0C97A47A">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500</w:t>
                  </w:r>
                </w:p>
              </w:tc>
            </w:tr>
            <w:tr w14:paraId="3A9F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18" w:type="pct"/>
                  <w:vMerge w:val="continue"/>
                  <w:tcMar>
                    <w:left w:w="57" w:type="dxa"/>
                    <w:right w:w="57" w:type="dxa"/>
                  </w:tcMar>
                  <w:vAlign w:val="center"/>
                </w:tcPr>
                <w:p w14:paraId="1A048384">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639" w:type="pct"/>
                  <w:vMerge w:val="continue"/>
                  <w:tcMar>
                    <w:left w:w="57" w:type="dxa"/>
                    <w:right w:w="57" w:type="dxa"/>
                  </w:tcMar>
                  <w:vAlign w:val="center"/>
                </w:tcPr>
                <w:p w14:paraId="7103CC16">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485" w:type="pct"/>
                  <w:tcMar>
                    <w:left w:w="57" w:type="dxa"/>
                    <w:right w:w="57" w:type="dxa"/>
                  </w:tcMar>
                  <w:vAlign w:val="center"/>
                </w:tcPr>
                <w:p w14:paraId="2AC10D2C">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lang w:val="de-DE"/>
                    </w:rPr>
                    <w:t>NH</w:t>
                  </w:r>
                  <w:r>
                    <w:rPr>
                      <w:rFonts w:ascii="Times New Roman" w:hAnsi="Times New Roman"/>
                      <w:sz w:val="21"/>
                      <w:szCs w:val="21"/>
                      <w:vertAlign w:val="subscript"/>
                      <w:lang w:val="de-DE"/>
                    </w:rPr>
                    <w:t>3</w:t>
                  </w:r>
                  <w:r>
                    <w:rPr>
                      <w:rFonts w:ascii="Times New Roman" w:hAnsi="Times New Roman"/>
                      <w:sz w:val="21"/>
                      <w:szCs w:val="21"/>
                      <w:lang w:val="de-DE"/>
                    </w:rPr>
                    <w:t>-N</w:t>
                  </w:r>
                </w:p>
              </w:tc>
              <w:tc>
                <w:tcPr>
                  <w:tcW w:w="2406" w:type="pct"/>
                  <w:tcMar>
                    <w:left w:w="57" w:type="dxa"/>
                    <w:right w:w="57" w:type="dxa"/>
                  </w:tcMar>
                  <w:vAlign w:val="center"/>
                </w:tcPr>
                <w:p w14:paraId="1A5B61F1">
                  <w:pPr>
                    <w:pStyle w:val="17"/>
                    <w:widowControl w:val="0"/>
                    <w:adjustRightInd w:val="0"/>
                    <w:snapToGrid w:val="0"/>
                    <w:jc w:val="center"/>
                    <w:rPr>
                      <w:rFonts w:ascii="Times New Roman" w:hAnsi="Times New Roman"/>
                      <w:sz w:val="21"/>
                      <w:szCs w:val="21"/>
                    </w:rPr>
                  </w:pPr>
                  <w:r>
                    <w:rPr>
                      <w:rFonts w:ascii="Times New Roman" w:hAnsi="Times New Roman"/>
                      <w:sz w:val="21"/>
                      <w:szCs w:val="21"/>
                    </w:rPr>
                    <w:t>《污水排入城镇下水道水质标准》（GB/T31962-2015）B级标准</w:t>
                  </w:r>
                </w:p>
              </w:tc>
              <w:tc>
                <w:tcPr>
                  <w:tcW w:w="1152" w:type="pct"/>
                  <w:tcMar>
                    <w:left w:w="57" w:type="dxa"/>
                    <w:right w:w="57" w:type="dxa"/>
                  </w:tcMar>
                  <w:vAlign w:val="center"/>
                </w:tcPr>
                <w:p w14:paraId="65F58097">
                  <w:pPr>
                    <w:pStyle w:val="17"/>
                    <w:widowControl w:val="0"/>
                    <w:adjustRightInd w:val="0"/>
                    <w:snapToGrid w:val="0"/>
                    <w:spacing w:before="0" w:beforeAutospacing="0" w:after="0" w:afterAutospacing="0"/>
                    <w:ind w:left="-105" w:leftChars="-50" w:right="-105" w:rightChars="-50"/>
                    <w:jc w:val="center"/>
                    <w:rPr>
                      <w:rFonts w:ascii="Times New Roman" w:hAnsi="Times New Roman"/>
                      <w:sz w:val="21"/>
                      <w:szCs w:val="21"/>
                    </w:rPr>
                  </w:pPr>
                  <w:r>
                    <w:rPr>
                      <w:rFonts w:ascii="Times New Roman" w:hAnsi="Times New Roman"/>
                      <w:sz w:val="21"/>
                      <w:szCs w:val="21"/>
                    </w:rPr>
                    <w:t>45</w:t>
                  </w:r>
                </w:p>
              </w:tc>
            </w:tr>
          </w:tbl>
          <w:p w14:paraId="5B51DC29">
            <w:pPr>
              <w:spacing w:line="360" w:lineRule="auto"/>
              <w:ind w:firstLine="480" w:firstLineChars="200"/>
              <w:rPr>
                <w:sz w:val="24"/>
              </w:rPr>
            </w:pPr>
            <w:r>
              <w:rPr>
                <w:sz w:val="24"/>
              </w:rPr>
              <w:t>4.2.4废水监测要求</w:t>
            </w:r>
          </w:p>
          <w:p w14:paraId="0A9A1728">
            <w:pPr>
              <w:adjustRightInd w:val="0"/>
              <w:snapToGrid w:val="0"/>
              <w:spacing w:line="360" w:lineRule="auto"/>
              <w:ind w:firstLine="480" w:firstLineChars="200"/>
            </w:pPr>
            <w:r>
              <w:rPr>
                <w:sz w:val="24"/>
              </w:rPr>
              <w:t>本项目废水外排，项目生活污水排入</w:t>
            </w:r>
            <w:r>
              <w:rPr>
                <w:sz w:val="24"/>
                <w:szCs w:val="32"/>
              </w:rPr>
              <w:t>陕西敏瑞建筑科技有限公司鄠邑区分公司厂区东北角化粪池（18m</w:t>
            </w:r>
            <w:r>
              <w:rPr>
                <w:sz w:val="24"/>
                <w:szCs w:val="32"/>
                <w:vertAlign w:val="superscript"/>
              </w:rPr>
              <w:t>3</w:t>
            </w:r>
            <w:r>
              <w:rPr>
                <w:sz w:val="24"/>
                <w:szCs w:val="32"/>
              </w:rPr>
              <w:t>）后进入惠民路市政污水管网最终进入鄠邑区第三污水处理厂。</w:t>
            </w:r>
            <w:r>
              <w:rPr>
                <w:sz w:val="24"/>
              </w:rPr>
              <w:t>依据《排污单位自行监测技术指南 总则》</w:t>
            </w:r>
            <w:r>
              <w:rPr>
                <w:rFonts w:hint="eastAsia"/>
                <w:sz w:val="24"/>
              </w:rPr>
              <w:t>（</w:t>
            </w:r>
            <w:r>
              <w:rPr>
                <w:sz w:val="24"/>
              </w:rPr>
              <w:t>HJ819-2017</w:t>
            </w:r>
            <w:r>
              <w:rPr>
                <w:rFonts w:hint="eastAsia"/>
                <w:sz w:val="24"/>
              </w:rPr>
              <w:t>）</w:t>
            </w:r>
            <w:r>
              <w:rPr>
                <w:sz w:val="24"/>
              </w:rPr>
              <w:t>和本项目废水排放情况，对本项目废水的日常监测要求见下表：</w:t>
            </w:r>
          </w:p>
          <w:p w14:paraId="3A89AB34">
            <w:pPr>
              <w:pStyle w:val="52"/>
              <w:numPr>
                <w:ilvl w:val="0"/>
                <w:numId w:val="1"/>
              </w:numPr>
              <w:ind w:left="0" w:firstLine="0"/>
              <w:rPr>
                <w:color w:val="auto"/>
              </w:rPr>
            </w:pPr>
            <w:r>
              <w:rPr>
                <w:color w:val="auto"/>
              </w:rPr>
              <w:t xml:space="preserve">    建设项目废水监测要求</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76"/>
              <w:gridCol w:w="1417"/>
              <w:gridCol w:w="4589"/>
            </w:tblGrid>
            <w:tr w14:paraId="15E0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822" w:type="pct"/>
                  <w:vAlign w:val="center"/>
                </w:tcPr>
                <w:p w14:paraId="5486FB04">
                  <w:pPr>
                    <w:jc w:val="center"/>
                    <w:rPr>
                      <w:szCs w:val="21"/>
                    </w:rPr>
                  </w:pPr>
                  <w:r>
                    <w:rPr>
                      <w:szCs w:val="21"/>
                    </w:rPr>
                    <w:t>监测点位</w:t>
                  </w:r>
                </w:p>
              </w:tc>
              <w:tc>
                <w:tcPr>
                  <w:tcW w:w="779" w:type="pct"/>
                  <w:vAlign w:val="center"/>
                </w:tcPr>
                <w:p w14:paraId="4401E9D7">
                  <w:pPr>
                    <w:jc w:val="center"/>
                    <w:rPr>
                      <w:szCs w:val="21"/>
                    </w:rPr>
                  </w:pPr>
                  <w:r>
                    <w:rPr>
                      <w:szCs w:val="21"/>
                    </w:rPr>
                    <w:t>监测因子</w:t>
                  </w:r>
                </w:p>
              </w:tc>
              <w:tc>
                <w:tcPr>
                  <w:tcW w:w="802" w:type="pct"/>
                  <w:vAlign w:val="center"/>
                </w:tcPr>
                <w:p w14:paraId="3E2CCAC9">
                  <w:pPr>
                    <w:jc w:val="center"/>
                    <w:rPr>
                      <w:szCs w:val="21"/>
                    </w:rPr>
                  </w:pPr>
                  <w:r>
                    <w:rPr>
                      <w:szCs w:val="21"/>
                    </w:rPr>
                    <w:t>监测频次</w:t>
                  </w:r>
                </w:p>
              </w:tc>
              <w:tc>
                <w:tcPr>
                  <w:tcW w:w="2596" w:type="pct"/>
                </w:tcPr>
                <w:p w14:paraId="61995F26">
                  <w:pPr>
                    <w:jc w:val="center"/>
                    <w:rPr>
                      <w:szCs w:val="21"/>
                    </w:rPr>
                  </w:pPr>
                  <w:r>
                    <w:rPr>
                      <w:szCs w:val="21"/>
                    </w:rPr>
                    <w:t>控制标准</w:t>
                  </w:r>
                </w:p>
              </w:tc>
            </w:tr>
            <w:tr w14:paraId="2616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822" w:type="pct"/>
                  <w:vAlign w:val="center"/>
                </w:tcPr>
                <w:p w14:paraId="7EB8D5AC">
                  <w:pPr>
                    <w:wordWrap w:val="0"/>
                    <w:jc w:val="center"/>
                    <w:rPr>
                      <w:szCs w:val="21"/>
                    </w:rPr>
                  </w:pPr>
                  <w:r>
                    <w:rPr>
                      <w:szCs w:val="21"/>
                    </w:rPr>
                    <w:t>化粪池出口</w:t>
                  </w:r>
                </w:p>
              </w:tc>
              <w:tc>
                <w:tcPr>
                  <w:tcW w:w="779" w:type="pct"/>
                  <w:vAlign w:val="center"/>
                </w:tcPr>
                <w:p w14:paraId="1E9214EA">
                  <w:pPr>
                    <w:wordWrap w:val="0"/>
                    <w:jc w:val="center"/>
                    <w:rPr>
                      <w:szCs w:val="21"/>
                    </w:rPr>
                  </w:pPr>
                  <w:r>
                    <w:rPr>
                      <w:szCs w:val="21"/>
                    </w:rPr>
                    <w:t>COD、BOD</w:t>
                  </w:r>
                  <w:r>
                    <w:rPr>
                      <w:szCs w:val="21"/>
                      <w:vertAlign w:val="subscript"/>
                    </w:rPr>
                    <w:t>5</w:t>
                  </w:r>
                  <w:r>
                    <w:rPr>
                      <w:szCs w:val="21"/>
                    </w:rPr>
                    <w:t>、NH</w:t>
                  </w:r>
                  <w:r>
                    <w:rPr>
                      <w:szCs w:val="21"/>
                      <w:vertAlign w:val="subscript"/>
                    </w:rPr>
                    <w:t>3</w:t>
                  </w:r>
                  <w:r>
                    <w:rPr>
                      <w:szCs w:val="21"/>
                    </w:rPr>
                    <w:t>-N、SS</w:t>
                  </w:r>
                  <w:r>
                    <w:rPr>
                      <w:rFonts w:hint="eastAsia"/>
                      <w:szCs w:val="21"/>
                    </w:rPr>
                    <w:t>、TN、TP</w:t>
                  </w:r>
                </w:p>
              </w:tc>
              <w:tc>
                <w:tcPr>
                  <w:tcW w:w="802" w:type="pct"/>
                  <w:vAlign w:val="center"/>
                </w:tcPr>
                <w:p w14:paraId="126FCD12">
                  <w:pPr>
                    <w:wordWrap w:val="0"/>
                    <w:jc w:val="center"/>
                    <w:rPr>
                      <w:szCs w:val="21"/>
                    </w:rPr>
                  </w:pPr>
                  <w:r>
                    <w:rPr>
                      <w:szCs w:val="21"/>
                    </w:rPr>
                    <w:t>1次/年</w:t>
                  </w:r>
                </w:p>
              </w:tc>
              <w:tc>
                <w:tcPr>
                  <w:tcW w:w="2596" w:type="pct"/>
                </w:tcPr>
                <w:p w14:paraId="6D866219">
                  <w:pPr>
                    <w:wordWrap w:val="0"/>
                    <w:jc w:val="center"/>
                    <w:rPr>
                      <w:szCs w:val="21"/>
                    </w:rPr>
                  </w:pPr>
                  <w:r>
                    <w:rPr>
                      <w:szCs w:val="21"/>
                    </w:rPr>
                    <w:t>《污水综合排放标准》(GB8978-1996)中的三级标准，以上标准未做规定的执行《污水排入城镇下水道水质标准》（GB/T31962-2015）B级标准</w:t>
                  </w:r>
                </w:p>
              </w:tc>
            </w:tr>
          </w:tbl>
          <w:p w14:paraId="0A090349">
            <w:pPr>
              <w:spacing w:line="360" w:lineRule="auto"/>
              <w:ind w:firstLine="480" w:firstLineChars="200"/>
              <w:rPr>
                <w:sz w:val="24"/>
              </w:rPr>
            </w:pPr>
            <w:r>
              <w:rPr>
                <w:sz w:val="24"/>
              </w:rPr>
              <w:t>4.2.5废水达标性及可行性分析</w:t>
            </w:r>
          </w:p>
          <w:p w14:paraId="06375489">
            <w:pPr>
              <w:autoSpaceDE w:val="0"/>
              <w:autoSpaceDN w:val="0"/>
              <w:adjustRightInd w:val="0"/>
              <w:spacing w:line="360" w:lineRule="auto"/>
              <w:ind w:firstLine="480" w:firstLineChars="200"/>
              <w:jc w:val="left"/>
              <w:rPr>
                <w:sz w:val="24"/>
              </w:rPr>
            </w:pPr>
            <w:r>
              <w:rPr>
                <w:sz w:val="24"/>
              </w:rPr>
              <w:t>（1）废水达标性分析</w:t>
            </w:r>
          </w:p>
          <w:p w14:paraId="714E277C">
            <w:pPr>
              <w:spacing w:line="360" w:lineRule="auto"/>
              <w:ind w:firstLine="480" w:firstLineChars="200"/>
              <w:rPr>
                <w:sz w:val="24"/>
                <w:szCs w:val="32"/>
              </w:rPr>
            </w:pPr>
            <w:r>
              <w:rPr>
                <w:sz w:val="24"/>
              </w:rPr>
              <w:t>根据项目工程分析的计算结果，项目废水主要为职工生活污水，则生活污水产生量3</w:t>
            </w:r>
            <w:r>
              <w:rPr>
                <w:rFonts w:hint="eastAsia"/>
                <w:sz w:val="24"/>
              </w:rPr>
              <w:t>.488</w:t>
            </w:r>
            <w:r>
              <w:rPr>
                <w:sz w:val="24"/>
              </w:rPr>
              <w:t>m</w:t>
            </w:r>
            <w:r>
              <w:rPr>
                <w:sz w:val="24"/>
                <w:vertAlign w:val="superscript"/>
              </w:rPr>
              <w:t>3</w:t>
            </w:r>
            <w:r>
              <w:rPr>
                <w:sz w:val="24"/>
              </w:rPr>
              <w:t>/d，</w:t>
            </w:r>
            <w:r>
              <w:rPr>
                <w:rFonts w:hint="eastAsia"/>
                <w:sz w:val="24"/>
              </w:rPr>
              <w:t>1081.28</w:t>
            </w:r>
            <w:r>
              <w:rPr>
                <w:sz w:val="24"/>
              </w:rPr>
              <w:t>m</w:t>
            </w:r>
            <w:r>
              <w:rPr>
                <w:sz w:val="24"/>
                <w:vertAlign w:val="superscript"/>
              </w:rPr>
              <w:t>3</w:t>
            </w:r>
            <w:r>
              <w:rPr>
                <w:sz w:val="24"/>
              </w:rPr>
              <w:t>/a</w:t>
            </w:r>
            <w:r>
              <w:rPr>
                <w:rFonts w:hint="eastAsia"/>
                <w:sz w:val="24"/>
              </w:rPr>
              <w:t>；主要污染物为COD、BOD</w:t>
            </w:r>
            <w:r>
              <w:rPr>
                <w:rFonts w:hint="eastAsia"/>
                <w:sz w:val="24"/>
                <w:vertAlign w:val="subscript"/>
              </w:rPr>
              <w:t>5</w:t>
            </w:r>
            <w:r>
              <w:rPr>
                <w:rFonts w:hint="eastAsia"/>
                <w:sz w:val="24"/>
              </w:rPr>
              <w:t>、NH</w:t>
            </w:r>
            <w:r>
              <w:rPr>
                <w:rFonts w:hint="eastAsia"/>
                <w:sz w:val="24"/>
                <w:vertAlign w:val="subscript"/>
              </w:rPr>
              <w:t>3</w:t>
            </w:r>
            <w:r>
              <w:rPr>
                <w:rFonts w:hint="eastAsia"/>
                <w:sz w:val="24"/>
              </w:rPr>
              <w:t>-N、SS、TN、TP等；</w:t>
            </w:r>
            <w:r>
              <w:rPr>
                <w:sz w:val="24"/>
              </w:rPr>
              <w:t>项目生活污水排入</w:t>
            </w:r>
            <w:r>
              <w:rPr>
                <w:sz w:val="24"/>
                <w:szCs w:val="32"/>
              </w:rPr>
              <w:t>陕西敏瑞建筑科技有限公司鄠邑区分公司厂区东北角化粪池（18m</w:t>
            </w:r>
            <w:r>
              <w:rPr>
                <w:sz w:val="24"/>
                <w:szCs w:val="32"/>
                <w:vertAlign w:val="superscript"/>
              </w:rPr>
              <w:t>3</w:t>
            </w:r>
            <w:r>
              <w:rPr>
                <w:sz w:val="24"/>
                <w:szCs w:val="32"/>
              </w:rPr>
              <w:t>）后进入惠民路市政污水管网最终进入鄠邑区第三污水处理厂。</w:t>
            </w:r>
          </w:p>
          <w:p w14:paraId="2D99C2EB">
            <w:pPr>
              <w:autoSpaceDE w:val="0"/>
              <w:autoSpaceDN w:val="0"/>
              <w:adjustRightInd w:val="0"/>
              <w:spacing w:line="360" w:lineRule="auto"/>
              <w:ind w:firstLine="480" w:firstLineChars="200"/>
              <w:jc w:val="left"/>
              <w:rPr>
                <w:sz w:val="24"/>
              </w:rPr>
            </w:pPr>
            <w:r>
              <w:rPr>
                <w:sz w:val="24"/>
              </w:rPr>
              <w:t>综上所述，本项目废水经上述处理后，不会对环境产生不利影响。</w:t>
            </w:r>
          </w:p>
          <w:p w14:paraId="2F8474A3">
            <w:pPr>
              <w:pStyle w:val="5"/>
              <w:ind w:firstLine="480" w:firstLineChars="200"/>
              <w:rPr>
                <w:sz w:val="24"/>
              </w:rPr>
            </w:pPr>
            <w:r>
              <w:rPr>
                <w:sz w:val="24"/>
              </w:rPr>
              <w:t>（2）化粪池依托可行性分析</w:t>
            </w:r>
          </w:p>
          <w:p w14:paraId="531DF8EA">
            <w:pPr>
              <w:spacing w:line="360" w:lineRule="auto"/>
              <w:ind w:firstLine="480" w:firstLineChars="200"/>
              <w:rPr>
                <w:sz w:val="24"/>
              </w:rPr>
            </w:pPr>
            <w:r>
              <w:rPr>
                <w:sz w:val="24"/>
              </w:rPr>
              <w:t>本项目污水排放量为3.</w:t>
            </w:r>
            <w:r>
              <w:rPr>
                <w:rFonts w:hint="eastAsia"/>
                <w:sz w:val="24"/>
              </w:rPr>
              <w:t>488</w:t>
            </w:r>
            <w:r>
              <w:rPr>
                <w:sz w:val="24"/>
              </w:rPr>
              <w:t>m</w:t>
            </w:r>
            <w:r>
              <w:rPr>
                <w:sz w:val="24"/>
                <w:vertAlign w:val="superscript"/>
              </w:rPr>
              <w:t>3</w:t>
            </w:r>
            <w:r>
              <w:rPr>
                <w:sz w:val="24"/>
              </w:rPr>
              <w:t>/d，</w:t>
            </w:r>
            <w:r>
              <w:rPr>
                <w:sz w:val="24"/>
                <w:szCs w:val="32"/>
              </w:rPr>
              <w:t>陕西敏瑞建筑科技有限公司鄠邑区分公司</w:t>
            </w:r>
            <w:r>
              <w:rPr>
                <w:sz w:val="24"/>
              </w:rPr>
              <w:t>厂区现有一座18m</w:t>
            </w:r>
            <w:r>
              <w:rPr>
                <w:sz w:val="24"/>
                <w:vertAlign w:val="superscript"/>
              </w:rPr>
              <w:t>3</w:t>
            </w:r>
            <w:r>
              <w:rPr>
                <w:sz w:val="24"/>
              </w:rPr>
              <w:t>化粪池，</w:t>
            </w:r>
            <w:r>
              <w:rPr>
                <w:sz w:val="24"/>
                <w:szCs w:val="32"/>
              </w:rPr>
              <w:t>陕西敏瑞建筑科技有限公司</w:t>
            </w:r>
            <w:r>
              <w:rPr>
                <w:sz w:val="24"/>
              </w:rPr>
              <w:t>项目排水量为0.7m</w:t>
            </w:r>
            <w:r>
              <w:rPr>
                <w:sz w:val="24"/>
                <w:vertAlign w:val="superscript"/>
              </w:rPr>
              <w:t>3</w:t>
            </w:r>
            <w:r>
              <w:rPr>
                <w:sz w:val="24"/>
              </w:rPr>
              <w:t>/d，有余量容纳本项目生活污水，化粪池可依托。</w:t>
            </w:r>
          </w:p>
          <w:p w14:paraId="7247C823">
            <w:pPr>
              <w:pStyle w:val="5"/>
              <w:ind w:firstLine="480" w:firstLineChars="200"/>
              <w:rPr>
                <w:sz w:val="24"/>
              </w:rPr>
            </w:pPr>
            <w:r>
              <w:rPr>
                <w:sz w:val="24"/>
              </w:rPr>
              <w:t>（3）污水处理厂依托可行性分析</w:t>
            </w:r>
          </w:p>
          <w:p w14:paraId="0F505405">
            <w:pPr>
              <w:spacing w:line="360" w:lineRule="auto"/>
              <w:ind w:firstLine="480" w:firstLineChars="200"/>
              <w:rPr>
                <w:sz w:val="24"/>
              </w:rPr>
            </w:pPr>
            <w:r>
              <w:rPr>
                <w:sz w:val="24"/>
              </w:rPr>
              <w:t>生活污水排入市政污水管网后进入鄠邑区第三污水处理厂进一步处理，鄠邑区第三污水处理厂主要收水范围为余下街道及周边7个行政村污水，鄠邑区第三污水处理厂工程位于大唐陕西发电有限公司西安热电厂（原户县二电厂）西侧，新城路与电厂出灰路交叉口的东南角。设计污水处理总规模3万m</w:t>
            </w:r>
            <w:r>
              <w:rPr>
                <w:sz w:val="24"/>
                <w:vertAlign w:val="superscript"/>
              </w:rPr>
              <w:t>3</w:t>
            </w:r>
            <w:r>
              <w:rPr>
                <w:sz w:val="24"/>
              </w:rPr>
              <w:t>/d(近期建设2万m</w:t>
            </w:r>
            <w:r>
              <w:rPr>
                <w:sz w:val="24"/>
                <w:vertAlign w:val="superscript"/>
              </w:rPr>
              <w:t>3</w:t>
            </w:r>
            <w:r>
              <w:rPr>
                <w:sz w:val="24"/>
              </w:rPr>
              <w:t>/d)，污水处理标准为《西安市城镇污水处理厂再生水化提标改造和加盖除臭工程三年行动方案（2018-2020年）》中准Ⅳ类标准。</w:t>
            </w:r>
          </w:p>
          <w:p w14:paraId="6D16041A">
            <w:pPr>
              <w:pStyle w:val="52"/>
              <w:numPr>
                <w:ilvl w:val="0"/>
                <w:numId w:val="1"/>
              </w:numPr>
              <w:ind w:left="0" w:firstLine="0"/>
              <w:rPr>
                <w:color w:val="auto"/>
              </w:rPr>
            </w:pPr>
            <w:r>
              <w:rPr>
                <w:color w:val="auto"/>
              </w:rPr>
              <w:t xml:space="preserve">    </w:t>
            </w:r>
            <w:r>
              <w:rPr>
                <w:rFonts w:hint="eastAsia"/>
                <w:color w:val="auto"/>
              </w:rPr>
              <w:t>鄠邑区第三污水处理厂</w:t>
            </w:r>
            <w:r>
              <w:rPr>
                <w:color w:val="auto"/>
              </w:rPr>
              <w:t>设计进水水质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82"/>
              <w:gridCol w:w="982"/>
              <w:gridCol w:w="982"/>
              <w:gridCol w:w="981"/>
              <w:gridCol w:w="984"/>
              <w:gridCol w:w="981"/>
              <w:gridCol w:w="1327"/>
              <w:gridCol w:w="636"/>
            </w:tblGrid>
            <w:tr w14:paraId="4DC0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14:paraId="2C360CD6">
                  <w:pPr>
                    <w:jc w:val="center"/>
                  </w:pPr>
                  <w:r>
                    <w:t>指标</w:t>
                  </w:r>
                </w:p>
              </w:tc>
              <w:tc>
                <w:tcPr>
                  <w:tcW w:w="556" w:type="pct"/>
                  <w:vAlign w:val="center"/>
                </w:tcPr>
                <w:p w14:paraId="5C9EC85A">
                  <w:pPr>
                    <w:jc w:val="center"/>
                  </w:pPr>
                  <w:r>
                    <w:t>COD</w:t>
                  </w:r>
                </w:p>
              </w:tc>
              <w:tc>
                <w:tcPr>
                  <w:tcW w:w="556" w:type="pct"/>
                  <w:vAlign w:val="center"/>
                </w:tcPr>
                <w:p w14:paraId="25250F21">
                  <w:pPr>
                    <w:jc w:val="center"/>
                  </w:pPr>
                  <w:r>
                    <w:t>BOD</w:t>
                  </w:r>
                  <w:r>
                    <w:rPr>
                      <w:vertAlign w:val="subscript"/>
                    </w:rPr>
                    <w:t>5</w:t>
                  </w:r>
                </w:p>
              </w:tc>
              <w:tc>
                <w:tcPr>
                  <w:tcW w:w="556" w:type="pct"/>
                  <w:vAlign w:val="center"/>
                </w:tcPr>
                <w:p w14:paraId="6ACF45F5">
                  <w:pPr>
                    <w:jc w:val="center"/>
                  </w:pPr>
                  <w:r>
                    <w:t>SS</w:t>
                  </w:r>
                </w:p>
              </w:tc>
              <w:tc>
                <w:tcPr>
                  <w:tcW w:w="555" w:type="pct"/>
                  <w:vAlign w:val="center"/>
                </w:tcPr>
                <w:p w14:paraId="51995203">
                  <w:pPr>
                    <w:jc w:val="center"/>
                  </w:pPr>
                  <w:r>
                    <w:t>TN</w:t>
                  </w:r>
                </w:p>
              </w:tc>
              <w:tc>
                <w:tcPr>
                  <w:tcW w:w="557" w:type="pct"/>
                  <w:vAlign w:val="center"/>
                </w:tcPr>
                <w:p w14:paraId="45A7A224">
                  <w:pPr>
                    <w:jc w:val="center"/>
                  </w:pPr>
                  <w:r>
                    <w:t>NH</w:t>
                  </w:r>
                  <w:r>
                    <w:rPr>
                      <w:vertAlign w:val="subscript"/>
                    </w:rPr>
                    <w:t>3</w:t>
                  </w:r>
                  <w:r>
                    <w:t>-N</w:t>
                  </w:r>
                </w:p>
              </w:tc>
              <w:tc>
                <w:tcPr>
                  <w:tcW w:w="555" w:type="pct"/>
                  <w:vAlign w:val="center"/>
                </w:tcPr>
                <w:p w14:paraId="4036E8D7">
                  <w:pPr>
                    <w:jc w:val="center"/>
                  </w:pPr>
                  <w:r>
                    <w:t>TP</w:t>
                  </w:r>
                </w:p>
              </w:tc>
              <w:tc>
                <w:tcPr>
                  <w:tcW w:w="751" w:type="pct"/>
                  <w:vAlign w:val="center"/>
                </w:tcPr>
                <w:p w14:paraId="5F4EA367">
                  <w:pPr>
                    <w:jc w:val="center"/>
                  </w:pPr>
                  <w:r>
                    <w:t>粪大肠菌群</w:t>
                  </w:r>
                </w:p>
              </w:tc>
              <w:tc>
                <w:tcPr>
                  <w:tcW w:w="360" w:type="pct"/>
                  <w:vAlign w:val="center"/>
                </w:tcPr>
                <w:p w14:paraId="7F59FFBD">
                  <w:pPr>
                    <w:jc w:val="center"/>
                  </w:pPr>
                  <w:r>
                    <w:t>pH</w:t>
                  </w:r>
                </w:p>
              </w:tc>
            </w:tr>
            <w:tr w14:paraId="0210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14:paraId="2A466C53">
                  <w:pPr>
                    <w:jc w:val="center"/>
                  </w:pPr>
                  <w:r>
                    <w:t>单位</w:t>
                  </w:r>
                </w:p>
              </w:tc>
              <w:tc>
                <w:tcPr>
                  <w:tcW w:w="556" w:type="pct"/>
                  <w:vAlign w:val="center"/>
                </w:tcPr>
                <w:p w14:paraId="7A554982">
                  <w:pPr>
                    <w:jc w:val="center"/>
                  </w:pPr>
                  <w:r>
                    <w:t>mg/L</w:t>
                  </w:r>
                </w:p>
              </w:tc>
              <w:tc>
                <w:tcPr>
                  <w:tcW w:w="556" w:type="pct"/>
                  <w:vAlign w:val="center"/>
                </w:tcPr>
                <w:p w14:paraId="3536DBA8">
                  <w:pPr>
                    <w:jc w:val="center"/>
                  </w:pPr>
                  <w:r>
                    <w:t>mg/L</w:t>
                  </w:r>
                </w:p>
              </w:tc>
              <w:tc>
                <w:tcPr>
                  <w:tcW w:w="556" w:type="pct"/>
                  <w:vAlign w:val="center"/>
                </w:tcPr>
                <w:p w14:paraId="3CEB0173">
                  <w:pPr>
                    <w:jc w:val="center"/>
                  </w:pPr>
                  <w:r>
                    <w:t>mg/L</w:t>
                  </w:r>
                </w:p>
              </w:tc>
              <w:tc>
                <w:tcPr>
                  <w:tcW w:w="555" w:type="pct"/>
                  <w:vAlign w:val="center"/>
                </w:tcPr>
                <w:p w14:paraId="379F520E">
                  <w:pPr>
                    <w:jc w:val="center"/>
                  </w:pPr>
                  <w:r>
                    <w:t>mg/L</w:t>
                  </w:r>
                </w:p>
              </w:tc>
              <w:tc>
                <w:tcPr>
                  <w:tcW w:w="557" w:type="pct"/>
                  <w:vAlign w:val="center"/>
                </w:tcPr>
                <w:p w14:paraId="46780A52">
                  <w:pPr>
                    <w:jc w:val="center"/>
                  </w:pPr>
                  <w:r>
                    <w:t>mg/L</w:t>
                  </w:r>
                </w:p>
              </w:tc>
              <w:tc>
                <w:tcPr>
                  <w:tcW w:w="555" w:type="pct"/>
                  <w:vAlign w:val="center"/>
                </w:tcPr>
                <w:p w14:paraId="072D94B3">
                  <w:pPr>
                    <w:jc w:val="center"/>
                  </w:pPr>
                  <w:r>
                    <w:t>mg/L</w:t>
                  </w:r>
                </w:p>
              </w:tc>
              <w:tc>
                <w:tcPr>
                  <w:tcW w:w="751" w:type="pct"/>
                  <w:vAlign w:val="center"/>
                </w:tcPr>
                <w:p w14:paraId="1E63B1C1">
                  <w:pPr>
                    <w:jc w:val="center"/>
                  </w:pPr>
                  <w:r>
                    <w:t>个/L</w:t>
                  </w:r>
                </w:p>
              </w:tc>
              <w:tc>
                <w:tcPr>
                  <w:tcW w:w="360" w:type="pct"/>
                  <w:vAlign w:val="center"/>
                </w:tcPr>
                <w:p w14:paraId="4E36BC06">
                  <w:pPr>
                    <w:jc w:val="center"/>
                  </w:pPr>
                  <w:r>
                    <w:t>/</w:t>
                  </w:r>
                </w:p>
              </w:tc>
            </w:tr>
            <w:tr w14:paraId="7935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14:paraId="3C78382D">
                  <w:pPr>
                    <w:jc w:val="center"/>
                  </w:pPr>
                  <w:r>
                    <w:t>设计值</w:t>
                  </w:r>
                </w:p>
              </w:tc>
              <w:tc>
                <w:tcPr>
                  <w:tcW w:w="556" w:type="pct"/>
                  <w:vAlign w:val="center"/>
                </w:tcPr>
                <w:p w14:paraId="66754A79">
                  <w:pPr>
                    <w:jc w:val="center"/>
                  </w:pPr>
                  <w:r>
                    <w:t>560</w:t>
                  </w:r>
                </w:p>
              </w:tc>
              <w:tc>
                <w:tcPr>
                  <w:tcW w:w="556" w:type="pct"/>
                  <w:vAlign w:val="center"/>
                </w:tcPr>
                <w:p w14:paraId="3B07221D">
                  <w:pPr>
                    <w:jc w:val="center"/>
                  </w:pPr>
                  <w:r>
                    <w:t>260</w:t>
                  </w:r>
                </w:p>
              </w:tc>
              <w:tc>
                <w:tcPr>
                  <w:tcW w:w="556" w:type="pct"/>
                  <w:vAlign w:val="center"/>
                </w:tcPr>
                <w:p w14:paraId="6AF124B3">
                  <w:pPr>
                    <w:jc w:val="center"/>
                  </w:pPr>
                  <w:r>
                    <w:t>400</w:t>
                  </w:r>
                </w:p>
              </w:tc>
              <w:tc>
                <w:tcPr>
                  <w:tcW w:w="555" w:type="pct"/>
                  <w:vAlign w:val="center"/>
                </w:tcPr>
                <w:p w14:paraId="296D40E9">
                  <w:pPr>
                    <w:jc w:val="center"/>
                  </w:pPr>
                  <w:r>
                    <w:t>55</w:t>
                  </w:r>
                </w:p>
              </w:tc>
              <w:tc>
                <w:tcPr>
                  <w:tcW w:w="557" w:type="pct"/>
                  <w:vAlign w:val="center"/>
                </w:tcPr>
                <w:p w14:paraId="1A5EE07A">
                  <w:pPr>
                    <w:jc w:val="center"/>
                  </w:pPr>
                  <w:r>
                    <w:t>40</w:t>
                  </w:r>
                </w:p>
              </w:tc>
              <w:tc>
                <w:tcPr>
                  <w:tcW w:w="555" w:type="pct"/>
                  <w:vAlign w:val="center"/>
                </w:tcPr>
                <w:p w14:paraId="0CF1D272">
                  <w:pPr>
                    <w:jc w:val="center"/>
                  </w:pPr>
                  <w:r>
                    <w:t>6</w:t>
                  </w:r>
                </w:p>
              </w:tc>
              <w:tc>
                <w:tcPr>
                  <w:tcW w:w="751" w:type="pct"/>
                  <w:vAlign w:val="center"/>
                </w:tcPr>
                <w:p w14:paraId="0C828F93">
                  <w:pPr>
                    <w:jc w:val="center"/>
                  </w:pPr>
                  <w:r>
                    <w:t>100000</w:t>
                  </w:r>
                </w:p>
              </w:tc>
              <w:tc>
                <w:tcPr>
                  <w:tcW w:w="360" w:type="pct"/>
                  <w:vAlign w:val="center"/>
                </w:tcPr>
                <w:p w14:paraId="04678654">
                  <w:pPr>
                    <w:jc w:val="center"/>
                  </w:pPr>
                  <w:r>
                    <w:t>6-9</w:t>
                  </w:r>
                </w:p>
              </w:tc>
            </w:tr>
          </w:tbl>
          <w:p w14:paraId="2608AE73">
            <w:pPr>
              <w:spacing w:line="360" w:lineRule="auto"/>
              <w:ind w:firstLine="480" w:firstLineChars="200"/>
              <w:rPr>
                <w:sz w:val="24"/>
              </w:rPr>
            </w:pPr>
            <w:r>
              <w:rPr>
                <w:sz w:val="24"/>
              </w:rPr>
              <w:t>项目污水排放量为</w:t>
            </w:r>
            <w:r>
              <w:rPr>
                <w:rFonts w:hint="eastAsia"/>
                <w:sz w:val="24"/>
              </w:rPr>
              <w:t>3.488</w:t>
            </w:r>
            <w:r>
              <w:rPr>
                <w:sz w:val="24"/>
              </w:rPr>
              <w:t>m</w:t>
            </w:r>
            <w:r>
              <w:rPr>
                <w:sz w:val="24"/>
                <w:vertAlign w:val="superscript"/>
              </w:rPr>
              <w:t>3</w:t>
            </w:r>
            <w:r>
              <w:rPr>
                <w:sz w:val="24"/>
              </w:rPr>
              <w:t>/d，经化粪池处理后可满足鄠邑区第三污水处理厂水质要求，占用污水处理厂负荷很小，因此，本项目废水经后期建设的污水管网排入</w:t>
            </w:r>
            <w:r>
              <w:rPr>
                <w:rFonts w:hint="eastAsia"/>
                <w:sz w:val="24"/>
              </w:rPr>
              <w:t>鄠邑区第三</w:t>
            </w:r>
            <w:r>
              <w:rPr>
                <w:sz w:val="24"/>
              </w:rPr>
              <w:t>污水处理厂是可行的。</w:t>
            </w:r>
          </w:p>
          <w:p w14:paraId="6DF55674">
            <w:pPr>
              <w:spacing w:line="360" w:lineRule="auto"/>
              <w:rPr>
                <w:b/>
                <w:sz w:val="24"/>
              </w:rPr>
            </w:pPr>
            <w:r>
              <w:rPr>
                <w:b/>
                <w:sz w:val="24"/>
              </w:rPr>
              <w:t>4.3噪声</w:t>
            </w:r>
          </w:p>
          <w:p w14:paraId="58D68253">
            <w:pPr>
              <w:autoSpaceDE w:val="0"/>
              <w:autoSpaceDN w:val="0"/>
              <w:adjustRightInd w:val="0"/>
              <w:spacing w:line="360" w:lineRule="auto"/>
              <w:ind w:firstLine="480" w:firstLineChars="200"/>
              <w:jc w:val="left"/>
              <w:rPr>
                <w:sz w:val="24"/>
              </w:rPr>
            </w:pPr>
            <w:r>
              <w:rPr>
                <w:sz w:val="24"/>
              </w:rPr>
              <w:t>4.3.1噪声源强及降噪措施</w:t>
            </w:r>
          </w:p>
          <w:p w14:paraId="048BDF21">
            <w:pPr>
              <w:adjustRightInd w:val="0"/>
              <w:snapToGrid w:val="0"/>
              <w:spacing w:line="360" w:lineRule="auto"/>
              <w:ind w:firstLine="480" w:firstLineChars="200"/>
              <w:rPr>
                <w:sz w:val="24"/>
              </w:rPr>
            </w:pPr>
            <w:r>
              <w:rPr>
                <w:sz w:val="24"/>
              </w:rPr>
              <w:t>本项目运营期间产生的噪声主要为</w:t>
            </w:r>
            <w:r>
              <w:rPr>
                <w:rFonts w:hint="eastAsia"/>
                <w:sz w:val="24"/>
              </w:rPr>
              <w:t>自动喷涂/喷漆/流水线、箱式喷漆房、箱式抛丸机</w:t>
            </w:r>
            <w:r>
              <w:rPr>
                <w:sz w:val="24"/>
              </w:rPr>
              <w:t>等</w:t>
            </w:r>
            <w:r>
              <w:rPr>
                <w:rFonts w:hint="eastAsia"/>
                <w:sz w:val="24"/>
              </w:rPr>
              <w:t>生产</w:t>
            </w:r>
            <w:r>
              <w:rPr>
                <w:sz w:val="24"/>
              </w:rPr>
              <w:t>设备噪声，噪声源强在75~</w:t>
            </w:r>
            <w:r>
              <w:rPr>
                <w:rFonts w:hint="eastAsia"/>
                <w:sz w:val="24"/>
              </w:rPr>
              <w:t>90</w:t>
            </w:r>
            <w:r>
              <w:rPr>
                <w:sz w:val="24"/>
              </w:rPr>
              <w:t>dB(A)之间。通过类比调查结果分析，本项目主要噪声源强见表</w:t>
            </w:r>
            <w:r>
              <w:rPr>
                <w:rFonts w:hint="eastAsia"/>
                <w:sz w:val="24"/>
              </w:rPr>
              <w:t>30。</w:t>
            </w:r>
          </w:p>
        </w:tc>
      </w:tr>
    </w:tbl>
    <w:p w14:paraId="18247AB8">
      <w:pPr>
        <w:spacing w:line="360" w:lineRule="auto"/>
        <w:ind w:firstLine="480" w:firstLineChars="200"/>
        <w:rPr>
          <w:sz w:val="24"/>
        </w:rPr>
        <w:sectPr>
          <w:pgSz w:w="11907" w:h="16840"/>
          <w:pgMar w:top="1701" w:right="1531" w:bottom="2126" w:left="1531" w:header="851" w:footer="851" w:gutter="0"/>
          <w:cols w:space="0" w:num="1"/>
          <w:docGrid w:linePitch="312" w:charSpace="0"/>
        </w:sect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9"/>
      </w:tblGrid>
      <w:tr w14:paraId="729E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B1DDED4">
            <w:pPr>
              <w:pStyle w:val="52"/>
              <w:numPr>
                <w:ilvl w:val="0"/>
                <w:numId w:val="1"/>
              </w:numPr>
              <w:rPr>
                <w:color w:val="auto"/>
              </w:rPr>
            </w:pPr>
            <w:r>
              <w:rPr>
                <w:color w:val="auto"/>
              </w:rPr>
              <w:t xml:space="preserve">    主要噪声源一览表dB(A)</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259"/>
              <w:gridCol w:w="410"/>
              <w:gridCol w:w="540"/>
              <w:gridCol w:w="543"/>
              <w:gridCol w:w="543"/>
              <w:gridCol w:w="541"/>
              <w:gridCol w:w="544"/>
              <w:gridCol w:w="544"/>
              <w:gridCol w:w="544"/>
              <w:gridCol w:w="544"/>
              <w:gridCol w:w="544"/>
              <w:gridCol w:w="541"/>
              <w:gridCol w:w="544"/>
              <w:gridCol w:w="541"/>
              <w:gridCol w:w="544"/>
              <w:gridCol w:w="544"/>
              <w:gridCol w:w="546"/>
              <w:gridCol w:w="546"/>
              <w:gridCol w:w="546"/>
              <w:gridCol w:w="541"/>
              <w:gridCol w:w="544"/>
              <w:gridCol w:w="497"/>
              <w:gridCol w:w="44"/>
              <w:gridCol w:w="541"/>
              <w:gridCol w:w="523"/>
            </w:tblGrid>
            <w:tr w14:paraId="4BAF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66A823E8">
                  <w:pPr>
                    <w:adjustRightInd w:val="0"/>
                    <w:snapToGrid w:val="0"/>
                    <w:jc w:val="center"/>
                    <w:rPr>
                      <w:szCs w:val="21"/>
                    </w:rPr>
                  </w:pPr>
                  <w:r>
                    <w:rPr>
                      <w:rFonts w:hint="eastAsia"/>
                      <w:szCs w:val="21"/>
                    </w:rPr>
                    <w:t>序号</w:t>
                  </w:r>
                </w:p>
              </w:tc>
              <w:tc>
                <w:tcPr>
                  <w:tcW w:w="4586" w:type="pct"/>
                  <w:gridSpan w:val="23"/>
                </w:tcPr>
                <w:p w14:paraId="471F9AF6">
                  <w:pPr>
                    <w:adjustRightInd w:val="0"/>
                    <w:snapToGrid w:val="0"/>
                    <w:jc w:val="center"/>
                    <w:rPr>
                      <w:szCs w:val="21"/>
                    </w:rPr>
                  </w:pPr>
                  <w:r>
                    <w:rPr>
                      <w:rFonts w:hint="eastAsia"/>
                      <w:szCs w:val="21"/>
                    </w:rPr>
                    <w:t>1</w:t>
                  </w:r>
                </w:p>
              </w:tc>
            </w:tr>
            <w:tr w14:paraId="1700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3DA79C43">
                  <w:pPr>
                    <w:adjustRightInd w:val="0"/>
                    <w:snapToGrid w:val="0"/>
                    <w:jc w:val="center"/>
                    <w:rPr>
                      <w:szCs w:val="21"/>
                    </w:rPr>
                  </w:pPr>
                  <w:r>
                    <w:rPr>
                      <w:rFonts w:hint="eastAsia"/>
                      <w:szCs w:val="21"/>
                    </w:rPr>
                    <w:t>建筑物名称</w:t>
                  </w:r>
                </w:p>
              </w:tc>
              <w:tc>
                <w:tcPr>
                  <w:tcW w:w="4586" w:type="pct"/>
                  <w:gridSpan w:val="23"/>
                </w:tcPr>
                <w:p w14:paraId="5EC7D902">
                  <w:pPr>
                    <w:adjustRightInd w:val="0"/>
                    <w:snapToGrid w:val="0"/>
                    <w:jc w:val="center"/>
                    <w:rPr>
                      <w:szCs w:val="21"/>
                    </w:rPr>
                  </w:pPr>
                  <w:r>
                    <w:rPr>
                      <w:rFonts w:hint="eastAsia"/>
                      <w:szCs w:val="21"/>
                    </w:rPr>
                    <w:t>生产车间</w:t>
                  </w:r>
                </w:p>
              </w:tc>
            </w:tr>
            <w:tr w14:paraId="5CF8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0A3EAA36">
                  <w:pPr>
                    <w:adjustRightInd w:val="0"/>
                    <w:snapToGrid w:val="0"/>
                    <w:jc w:val="center"/>
                    <w:rPr>
                      <w:szCs w:val="21"/>
                    </w:rPr>
                  </w:pPr>
                  <w:r>
                    <w:rPr>
                      <w:rFonts w:hint="eastAsia"/>
                      <w:szCs w:val="21"/>
                    </w:rPr>
                    <w:t>声源名称</w:t>
                  </w:r>
                </w:p>
              </w:tc>
              <w:tc>
                <w:tcPr>
                  <w:tcW w:w="208" w:type="pct"/>
                  <w:vAlign w:val="center"/>
                </w:tcPr>
                <w:p w14:paraId="3E3646A8">
                  <w:pPr>
                    <w:adjustRightInd w:val="0"/>
                    <w:snapToGrid w:val="0"/>
                    <w:jc w:val="center"/>
                    <w:rPr>
                      <w:szCs w:val="21"/>
                    </w:rPr>
                  </w:pPr>
                  <w:r>
                    <w:rPr>
                      <w:rFonts w:hint="eastAsia"/>
                      <w:szCs w:val="21"/>
                    </w:rPr>
                    <w:t>1#自动喷涂/喷漆/流水线</w:t>
                  </w:r>
                </w:p>
              </w:tc>
              <w:tc>
                <w:tcPr>
                  <w:tcW w:w="209" w:type="pct"/>
                  <w:vAlign w:val="center"/>
                </w:tcPr>
                <w:p w14:paraId="23AE5A92">
                  <w:pPr>
                    <w:adjustRightInd w:val="0"/>
                    <w:snapToGrid w:val="0"/>
                    <w:jc w:val="center"/>
                    <w:rPr>
                      <w:szCs w:val="21"/>
                    </w:rPr>
                  </w:pPr>
                  <w:r>
                    <w:rPr>
                      <w:rFonts w:hint="eastAsia"/>
                      <w:szCs w:val="21"/>
                    </w:rPr>
                    <w:t>2#箱式喷涂房</w:t>
                  </w:r>
                </w:p>
              </w:tc>
              <w:tc>
                <w:tcPr>
                  <w:tcW w:w="209" w:type="pct"/>
                  <w:vAlign w:val="center"/>
                </w:tcPr>
                <w:p w14:paraId="23E1FA8D">
                  <w:pPr>
                    <w:adjustRightInd w:val="0"/>
                    <w:snapToGrid w:val="0"/>
                    <w:jc w:val="center"/>
                    <w:rPr>
                      <w:szCs w:val="21"/>
                    </w:rPr>
                  </w:pPr>
                  <w:r>
                    <w:rPr>
                      <w:rFonts w:hint="eastAsia"/>
                      <w:szCs w:val="21"/>
                    </w:rPr>
                    <w:t>3#箱式抛丸机</w:t>
                  </w:r>
                </w:p>
              </w:tc>
              <w:tc>
                <w:tcPr>
                  <w:tcW w:w="208" w:type="pct"/>
                  <w:vAlign w:val="center"/>
                </w:tcPr>
                <w:p w14:paraId="6CFC8CE0">
                  <w:pPr>
                    <w:adjustRightInd w:val="0"/>
                    <w:snapToGrid w:val="0"/>
                    <w:jc w:val="center"/>
                    <w:rPr>
                      <w:szCs w:val="21"/>
                    </w:rPr>
                  </w:pPr>
                  <w:r>
                    <w:rPr>
                      <w:rFonts w:hint="eastAsia"/>
                      <w:szCs w:val="21"/>
                    </w:rPr>
                    <w:t>4#打磨房设施</w:t>
                  </w:r>
                </w:p>
              </w:tc>
              <w:tc>
                <w:tcPr>
                  <w:tcW w:w="209" w:type="pct"/>
                  <w:vAlign w:val="center"/>
                </w:tcPr>
                <w:p w14:paraId="2764B501">
                  <w:pPr>
                    <w:adjustRightInd w:val="0"/>
                    <w:snapToGrid w:val="0"/>
                    <w:jc w:val="center"/>
                    <w:rPr>
                      <w:szCs w:val="21"/>
                    </w:rPr>
                  </w:pPr>
                  <w:r>
                    <w:rPr>
                      <w:rFonts w:hint="eastAsia"/>
                      <w:szCs w:val="21"/>
                    </w:rPr>
                    <w:t>5#加工中心</w:t>
                  </w:r>
                </w:p>
              </w:tc>
              <w:tc>
                <w:tcPr>
                  <w:tcW w:w="209" w:type="pct"/>
                  <w:vAlign w:val="center"/>
                </w:tcPr>
                <w:p w14:paraId="2A331C45">
                  <w:pPr>
                    <w:adjustRightInd w:val="0"/>
                    <w:snapToGrid w:val="0"/>
                    <w:jc w:val="center"/>
                    <w:rPr>
                      <w:szCs w:val="21"/>
                    </w:rPr>
                  </w:pPr>
                  <w:r>
                    <w:rPr>
                      <w:rFonts w:hint="eastAsia"/>
                      <w:szCs w:val="21"/>
                    </w:rPr>
                    <w:t>6#车床</w:t>
                  </w:r>
                </w:p>
              </w:tc>
              <w:tc>
                <w:tcPr>
                  <w:tcW w:w="209" w:type="pct"/>
                  <w:vAlign w:val="center"/>
                </w:tcPr>
                <w:p w14:paraId="7E063E80">
                  <w:pPr>
                    <w:adjustRightInd w:val="0"/>
                    <w:snapToGrid w:val="0"/>
                    <w:jc w:val="center"/>
                    <w:rPr>
                      <w:szCs w:val="21"/>
                    </w:rPr>
                  </w:pPr>
                  <w:r>
                    <w:rPr>
                      <w:rFonts w:hint="eastAsia"/>
                      <w:szCs w:val="21"/>
                    </w:rPr>
                    <w:t>7#钻床</w:t>
                  </w:r>
                </w:p>
              </w:tc>
              <w:tc>
                <w:tcPr>
                  <w:tcW w:w="209" w:type="pct"/>
                  <w:vAlign w:val="center"/>
                </w:tcPr>
                <w:p w14:paraId="14F6465C">
                  <w:pPr>
                    <w:adjustRightInd w:val="0"/>
                    <w:snapToGrid w:val="0"/>
                    <w:jc w:val="center"/>
                    <w:rPr>
                      <w:szCs w:val="21"/>
                    </w:rPr>
                  </w:pPr>
                  <w:r>
                    <w:rPr>
                      <w:rFonts w:hint="eastAsia"/>
                      <w:szCs w:val="21"/>
                    </w:rPr>
                    <w:t>8#铣床</w:t>
                  </w:r>
                </w:p>
              </w:tc>
              <w:tc>
                <w:tcPr>
                  <w:tcW w:w="209" w:type="pct"/>
                  <w:vAlign w:val="center"/>
                </w:tcPr>
                <w:p w14:paraId="2885CBB9">
                  <w:pPr>
                    <w:adjustRightInd w:val="0"/>
                    <w:snapToGrid w:val="0"/>
                    <w:jc w:val="center"/>
                    <w:rPr>
                      <w:szCs w:val="21"/>
                    </w:rPr>
                  </w:pPr>
                  <w:r>
                    <w:rPr>
                      <w:rFonts w:hint="eastAsia"/>
                      <w:szCs w:val="21"/>
                    </w:rPr>
                    <w:t>9#激光切割设备</w:t>
                  </w:r>
                </w:p>
              </w:tc>
              <w:tc>
                <w:tcPr>
                  <w:tcW w:w="208" w:type="pct"/>
                  <w:vAlign w:val="center"/>
                </w:tcPr>
                <w:p w14:paraId="5C272BA5">
                  <w:pPr>
                    <w:adjustRightInd w:val="0"/>
                    <w:snapToGrid w:val="0"/>
                    <w:jc w:val="center"/>
                    <w:rPr>
                      <w:szCs w:val="21"/>
                    </w:rPr>
                  </w:pPr>
                  <w:r>
                    <w:rPr>
                      <w:rFonts w:hint="eastAsia"/>
                      <w:szCs w:val="21"/>
                    </w:rPr>
                    <w:t>10#数控剪板设备</w:t>
                  </w:r>
                </w:p>
              </w:tc>
              <w:tc>
                <w:tcPr>
                  <w:tcW w:w="209" w:type="pct"/>
                  <w:vAlign w:val="center"/>
                </w:tcPr>
                <w:p w14:paraId="0AC895EE">
                  <w:pPr>
                    <w:adjustRightInd w:val="0"/>
                    <w:snapToGrid w:val="0"/>
                    <w:jc w:val="center"/>
                    <w:rPr>
                      <w:szCs w:val="21"/>
                    </w:rPr>
                  </w:pPr>
                  <w:r>
                    <w:rPr>
                      <w:rFonts w:hint="eastAsia"/>
                      <w:szCs w:val="21"/>
                    </w:rPr>
                    <w:t>11#折弯机</w:t>
                  </w:r>
                </w:p>
              </w:tc>
              <w:tc>
                <w:tcPr>
                  <w:tcW w:w="208" w:type="pct"/>
                  <w:vAlign w:val="center"/>
                </w:tcPr>
                <w:p w14:paraId="253049D6">
                  <w:pPr>
                    <w:adjustRightInd w:val="0"/>
                    <w:snapToGrid w:val="0"/>
                    <w:jc w:val="center"/>
                    <w:rPr>
                      <w:szCs w:val="21"/>
                    </w:rPr>
                  </w:pPr>
                  <w:r>
                    <w:rPr>
                      <w:rFonts w:hint="eastAsia"/>
                      <w:szCs w:val="21"/>
                    </w:rPr>
                    <w:t>12#卷圆机</w:t>
                  </w:r>
                </w:p>
              </w:tc>
              <w:tc>
                <w:tcPr>
                  <w:tcW w:w="209" w:type="pct"/>
                  <w:vAlign w:val="center"/>
                </w:tcPr>
                <w:p w14:paraId="504572FE">
                  <w:pPr>
                    <w:adjustRightInd w:val="0"/>
                    <w:snapToGrid w:val="0"/>
                    <w:jc w:val="center"/>
                    <w:rPr>
                      <w:szCs w:val="21"/>
                    </w:rPr>
                  </w:pPr>
                  <w:r>
                    <w:rPr>
                      <w:rFonts w:hint="eastAsia"/>
                      <w:szCs w:val="21"/>
                    </w:rPr>
                    <w:t>13#压缩机</w:t>
                  </w:r>
                </w:p>
              </w:tc>
              <w:tc>
                <w:tcPr>
                  <w:tcW w:w="209" w:type="pct"/>
                  <w:vAlign w:val="center"/>
                </w:tcPr>
                <w:p w14:paraId="34709A39">
                  <w:pPr>
                    <w:adjustRightInd w:val="0"/>
                    <w:snapToGrid w:val="0"/>
                    <w:jc w:val="center"/>
                    <w:rPr>
                      <w:szCs w:val="21"/>
                    </w:rPr>
                  </w:pPr>
                  <w:r>
                    <w:rPr>
                      <w:rFonts w:hint="eastAsia"/>
                      <w:szCs w:val="21"/>
                    </w:rPr>
                    <w:t>14#冲床</w:t>
                  </w:r>
                </w:p>
              </w:tc>
              <w:tc>
                <w:tcPr>
                  <w:tcW w:w="210" w:type="pct"/>
                  <w:vAlign w:val="center"/>
                </w:tcPr>
                <w:p w14:paraId="3243288A">
                  <w:pPr>
                    <w:adjustRightInd w:val="0"/>
                    <w:snapToGrid w:val="0"/>
                    <w:jc w:val="center"/>
                    <w:rPr>
                      <w:szCs w:val="21"/>
                    </w:rPr>
                  </w:pPr>
                  <w:r>
                    <w:rPr>
                      <w:rFonts w:hint="eastAsia"/>
                      <w:szCs w:val="21"/>
                    </w:rPr>
                    <w:t>15#二保焊机</w:t>
                  </w:r>
                </w:p>
              </w:tc>
              <w:tc>
                <w:tcPr>
                  <w:tcW w:w="210" w:type="pct"/>
                  <w:vAlign w:val="center"/>
                </w:tcPr>
                <w:p w14:paraId="6045986D">
                  <w:pPr>
                    <w:adjustRightInd w:val="0"/>
                    <w:snapToGrid w:val="0"/>
                    <w:jc w:val="center"/>
                    <w:rPr>
                      <w:szCs w:val="21"/>
                    </w:rPr>
                  </w:pPr>
                  <w:r>
                    <w:rPr>
                      <w:rFonts w:hint="eastAsia"/>
                      <w:szCs w:val="21"/>
                    </w:rPr>
                    <w:t>16#抛丸工序风机</w:t>
                  </w:r>
                </w:p>
              </w:tc>
              <w:tc>
                <w:tcPr>
                  <w:tcW w:w="210" w:type="pct"/>
                  <w:vAlign w:val="center"/>
                </w:tcPr>
                <w:p w14:paraId="6905F96A">
                  <w:pPr>
                    <w:adjustRightInd w:val="0"/>
                    <w:snapToGrid w:val="0"/>
                    <w:jc w:val="center"/>
                    <w:rPr>
                      <w:szCs w:val="21"/>
                    </w:rPr>
                  </w:pPr>
                  <w:r>
                    <w:rPr>
                      <w:rFonts w:hint="eastAsia"/>
                      <w:szCs w:val="21"/>
                    </w:rPr>
                    <w:t>17#喷涂工序1风机</w:t>
                  </w:r>
                </w:p>
              </w:tc>
              <w:tc>
                <w:tcPr>
                  <w:tcW w:w="208" w:type="pct"/>
                  <w:vAlign w:val="center"/>
                </w:tcPr>
                <w:p w14:paraId="191A1465">
                  <w:pPr>
                    <w:adjustRightInd w:val="0"/>
                    <w:snapToGrid w:val="0"/>
                    <w:jc w:val="center"/>
                    <w:rPr>
                      <w:szCs w:val="21"/>
                    </w:rPr>
                  </w:pPr>
                  <w:r>
                    <w:rPr>
                      <w:rFonts w:hint="eastAsia"/>
                      <w:szCs w:val="21"/>
                    </w:rPr>
                    <w:t>18#喷涂工序2风机</w:t>
                  </w:r>
                </w:p>
              </w:tc>
              <w:tc>
                <w:tcPr>
                  <w:tcW w:w="209" w:type="pct"/>
                  <w:vAlign w:val="center"/>
                </w:tcPr>
                <w:p w14:paraId="246F23D6">
                  <w:pPr>
                    <w:adjustRightInd w:val="0"/>
                    <w:snapToGrid w:val="0"/>
                    <w:jc w:val="center"/>
                    <w:rPr>
                      <w:szCs w:val="21"/>
                    </w:rPr>
                  </w:pPr>
                  <w:r>
                    <w:rPr>
                      <w:rFonts w:hint="eastAsia"/>
                      <w:szCs w:val="21"/>
                    </w:rPr>
                    <w:t>19#烘干工序风机</w:t>
                  </w:r>
                </w:p>
              </w:tc>
              <w:tc>
                <w:tcPr>
                  <w:tcW w:w="208" w:type="pct"/>
                  <w:gridSpan w:val="2"/>
                  <w:vAlign w:val="center"/>
                </w:tcPr>
                <w:p w14:paraId="1D55CE65">
                  <w:pPr>
                    <w:adjustRightInd w:val="0"/>
                    <w:snapToGrid w:val="0"/>
                    <w:jc w:val="center"/>
                    <w:rPr>
                      <w:szCs w:val="21"/>
                    </w:rPr>
                  </w:pPr>
                  <w:r>
                    <w:rPr>
                      <w:rFonts w:hint="eastAsia"/>
                      <w:szCs w:val="21"/>
                    </w:rPr>
                    <w:t>20#燃料燃烧工序风机</w:t>
                  </w:r>
                </w:p>
              </w:tc>
              <w:tc>
                <w:tcPr>
                  <w:tcW w:w="208" w:type="pct"/>
                  <w:vAlign w:val="center"/>
                </w:tcPr>
                <w:p w14:paraId="04237808">
                  <w:pPr>
                    <w:adjustRightInd w:val="0"/>
                    <w:snapToGrid w:val="0"/>
                    <w:jc w:val="center"/>
                    <w:rPr>
                      <w:szCs w:val="21"/>
                    </w:rPr>
                  </w:pPr>
                  <w:r>
                    <w:rPr>
                      <w:rFonts w:hint="eastAsia"/>
                      <w:szCs w:val="21"/>
                    </w:rPr>
                    <w:t>21#喷涂工序3风机</w:t>
                  </w:r>
                </w:p>
              </w:tc>
              <w:tc>
                <w:tcPr>
                  <w:tcW w:w="200" w:type="pct"/>
                  <w:vAlign w:val="center"/>
                </w:tcPr>
                <w:p w14:paraId="086B4FCE">
                  <w:pPr>
                    <w:adjustRightInd w:val="0"/>
                    <w:snapToGrid w:val="0"/>
                    <w:jc w:val="center"/>
                    <w:rPr>
                      <w:szCs w:val="21"/>
                    </w:rPr>
                  </w:pPr>
                  <w:r>
                    <w:rPr>
                      <w:rFonts w:hint="eastAsia"/>
                      <w:szCs w:val="21"/>
                    </w:rPr>
                    <w:t>22#喷漆工序4风机</w:t>
                  </w:r>
                </w:p>
              </w:tc>
            </w:tr>
            <w:tr w14:paraId="7DF0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608D1365">
                  <w:pPr>
                    <w:adjustRightInd w:val="0"/>
                    <w:snapToGrid w:val="0"/>
                    <w:jc w:val="center"/>
                    <w:rPr>
                      <w:szCs w:val="21"/>
                    </w:rPr>
                  </w:pPr>
                  <w:r>
                    <w:rPr>
                      <w:rFonts w:hint="eastAsia"/>
                      <w:szCs w:val="21"/>
                    </w:rPr>
                    <w:t>型号</w:t>
                  </w:r>
                </w:p>
              </w:tc>
              <w:tc>
                <w:tcPr>
                  <w:tcW w:w="833" w:type="pct"/>
                  <w:gridSpan w:val="4"/>
                  <w:vAlign w:val="center"/>
                </w:tcPr>
                <w:p w14:paraId="1C44106F">
                  <w:pPr>
                    <w:jc w:val="center"/>
                    <w:rPr>
                      <w:szCs w:val="21"/>
                    </w:rPr>
                  </w:pPr>
                  <w:r>
                    <w:rPr>
                      <w:rFonts w:hint="eastAsia"/>
                      <w:szCs w:val="21"/>
                    </w:rPr>
                    <w:t>/</w:t>
                  </w:r>
                </w:p>
              </w:tc>
              <w:tc>
                <w:tcPr>
                  <w:tcW w:w="209" w:type="pct"/>
                  <w:vAlign w:val="center"/>
                </w:tcPr>
                <w:p w14:paraId="61DED9E3">
                  <w:pPr>
                    <w:adjustRightInd w:val="0"/>
                    <w:snapToGrid w:val="0"/>
                    <w:jc w:val="center"/>
                    <w:rPr>
                      <w:szCs w:val="21"/>
                    </w:rPr>
                  </w:pPr>
                  <w:r>
                    <w:rPr>
                      <w:rFonts w:hint="eastAsia"/>
                      <w:szCs w:val="21"/>
                    </w:rPr>
                    <w:t>V8L型</w:t>
                  </w:r>
                </w:p>
              </w:tc>
              <w:tc>
                <w:tcPr>
                  <w:tcW w:w="209" w:type="pct"/>
                  <w:vAlign w:val="center"/>
                </w:tcPr>
                <w:p w14:paraId="0315F860">
                  <w:pPr>
                    <w:adjustRightInd w:val="0"/>
                    <w:snapToGrid w:val="0"/>
                    <w:jc w:val="center"/>
                    <w:rPr>
                      <w:szCs w:val="21"/>
                    </w:rPr>
                  </w:pPr>
                  <w:r>
                    <w:rPr>
                      <w:rFonts w:hint="eastAsia"/>
                      <w:szCs w:val="21"/>
                    </w:rPr>
                    <w:t>百超</w:t>
                  </w:r>
                </w:p>
              </w:tc>
              <w:tc>
                <w:tcPr>
                  <w:tcW w:w="209" w:type="pct"/>
                  <w:vAlign w:val="center"/>
                </w:tcPr>
                <w:p w14:paraId="0C25D336">
                  <w:pPr>
                    <w:adjustRightInd w:val="0"/>
                    <w:snapToGrid w:val="0"/>
                    <w:jc w:val="center"/>
                    <w:rPr>
                      <w:szCs w:val="21"/>
                    </w:rPr>
                  </w:pPr>
                  <w:r>
                    <w:rPr>
                      <w:rFonts w:hint="eastAsia"/>
                      <w:szCs w:val="21"/>
                    </w:rPr>
                    <w:t>/</w:t>
                  </w:r>
                </w:p>
              </w:tc>
              <w:tc>
                <w:tcPr>
                  <w:tcW w:w="209" w:type="pct"/>
                  <w:vAlign w:val="center"/>
                </w:tcPr>
                <w:p w14:paraId="45625926">
                  <w:pPr>
                    <w:adjustRightInd w:val="0"/>
                    <w:snapToGrid w:val="0"/>
                    <w:jc w:val="center"/>
                    <w:rPr>
                      <w:szCs w:val="21"/>
                    </w:rPr>
                  </w:pPr>
                  <w:r>
                    <w:rPr>
                      <w:rFonts w:hint="eastAsia"/>
                      <w:szCs w:val="21"/>
                    </w:rPr>
                    <w:t>CS1140</w:t>
                  </w:r>
                </w:p>
              </w:tc>
              <w:tc>
                <w:tcPr>
                  <w:tcW w:w="209" w:type="pct"/>
                  <w:vAlign w:val="center"/>
                </w:tcPr>
                <w:p w14:paraId="7BE513D0">
                  <w:pPr>
                    <w:adjustRightInd w:val="0"/>
                    <w:snapToGrid w:val="0"/>
                    <w:jc w:val="center"/>
                    <w:rPr>
                      <w:szCs w:val="21"/>
                    </w:rPr>
                  </w:pPr>
                  <w:r>
                    <w:rPr>
                      <w:rFonts w:hint="eastAsia"/>
                      <w:szCs w:val="21"/>
                    </w:rPr>
                    <w:t>PBR-ZZ0/4100</w:t>
                  </w:r>
                </w:p>
              </w:tc>
              <w:tc>
                <w:tcPr>
                  <w:tcW w:w="208" w:type="pct"/>
                  <w:vAlign w:val="center"/>
                </w:tcPr>
                <w:p w14:paraId="6CEDD485">
                  <w:pPr>
                    <w:adjustRightInd w:val="0"/>
                    <w:snapToGrid w:val="0"/>
                    <w:jc w:val="center"/>
                    <w:rPr>
                      <w:szCs w:val="21"/>
                    </w:rPr>
                  </w:pPr>
                  <w:r>
                    <w:rPr>
                      <w:rFonts w:hint="eastAsia"/>
                      <w:szCs w:val="21"/>
                    </w:rPr>
                    <w:t>/</w:t>
                  </w:r>
                </w:p>
              </w:tc>
              <w:tc>
                <w:tcPr>
                  <w:tcW w:w="209" w:type="pct"/>
                  <w:vAlign w:val="center"/>
                </w:tcPr>
                <w:p w14:paraId="76E629D9">
                  <w:pPr>
                    <w:adjustRightInd w:val="0"/>
                    <w:snapToGrid w:val="0"/>
                    <w:jc w:val="center"/>
                    <w:rPr>
                      <w:szCs w:val="21"/>
                    </w:rPr>
                  </w:pPr>
                  <w:r>
                    <w:rPr>
                      <w:rFonts w:hint="eastAsia"/>
                      <w:szCs w:val="21"/>
                    </w:rPr>
                    <w:t>/</w:t>
                  </w:r>
                </w:p>
              </w:tc>
              <w:tc>
                <w:tcPr>
                  <w:tcW w:w="208" w:type="pct"/>
                  <w:vAlign w:val="center"/>
                </w:tcPr>
                <w:p w14:paraId="5292731A">
                  <w:pPr>
                    <w:adjustRightInd w:val="0"/>
                    <w:snapToGrid w:val="0"/>
                    <w:jc w:val="center"/>
                    <w:rPr>
                      <w:szCs w:val="21"/>
                    </w:rPr>
                  </w:pPr>
                  <w:r>
                    <w:rPr>
                      <w:rFonts w:hint="eastAsia"/>
                      <w:szCs w:val="21"/>
                    </w:rPr>
                    <w:t>/</w:t>
                  </w:r>
                </w:p>
              </w:tc>
              <w:tc>
                <w:tcPr>
                  <w:tcW w:w="209" w:type="pct"/>
                  <w:vAlign w:val="center"/>
                </w:tcPr>
                <w:p w14:paraId="77437EC5">
                  <w:pPr>
                    <w:adjustRightInd w:val="0"/>
                    <w:snapToGrid w:val="0"/>
                    <w:jc w:val="center"/>
                    <w:rPr>
                      <w:szCs w:val="21"/>
                    </w:rPr>
                  </w:pPr>
                  <w:r>
                    <w:rPr>
                      <w:rFonts w:hint="eastAsia"/>
                      <w:szCs w:val="21"/>
                    </w:rPr>
                    <w:t>/</w:t>
                  </w:r>
                </w:p>
              </w:tc>
              <w:tc>
                <w:tcPr>
                  <w:tcW w:w="209" w:type="pct"/>
                  <w:vAlign w:val="center"/>
                </w:tcPr>
                <w:p w14:paraId="71D1A483">
                  <w:pPr>
                    <w:adjustRightInd w:val="0"/>
                    <w:snapToGrid w:val="0"/>
                    <w:jc w:val="center"/>
                    <w:rPr>
                      <w:szCs w:val="21"/>
                    </w:rPr>
                  </w:pPr>
                  <w:r>
                    <w:rPr>
                      <w:rFonts w:hint="eastAsia"/>
                      <w:szCs w:val="21"/>
                    </w:rPr>
                    <w:t>/</w:t>
                  </w:r>
                </w:p>
              </w:tc>
              <w:tc>
                <w:tcPr>
                  <w:tcW w:w="210" w:type="pct"/>
                  <w:vAlign w:val="center"/>
                </w:tcPr>
                <w:p w14:paraId="0F575272">
                  <w:pPr>
                    <w:adjustRightInd w:val="0"/>
                    <w:snapToGrid w:val="0"/>
                    <w:jc w:val="center"/>
                    <w:rPr>
                      <w:szCs w:val="21"/>
                    </w:rPr>
                  </w:pPr>
                  <w:r>
                    <w:rPr>
                      <w:rFonts w:hint="eastAsia"/>
                      <w:szCs w:val="21"/>
                    </w:rPr>
                    <w:t>/</w:t>
                  </w:r>
                </w:p>
              </w:tc>
              <w:tc>
                <w:tcPr>
                  <w:tcW w:w="210" w:type="pct"/>
                  <w:vAlign w:val="center"/>
                </w:tcPr>
                <w:p w14:paraId="17D7B358">
                  <w:pPr>
                    <w:adjustRightInd w:val="0"/>
                    <w:snapToGrid w:val="0"/>
                    <w:jc w:val="center"/>
                    <w:rPr>
                      <w:szCs w:val="21"/>
                    </w:rPr>
                  </w:pPr>
                  <w:r>
                    <w:rPr>
                      <w:rFonts w:hint="eastAsia"/>
                      <w:szCs w:val="21"/>
                    </w:rPr>
                    <w:t>/</w:t>
                  </w:r>
                </w:p>
              </w:tc>
              <w:tc>
                <w:tcPr>
                  <w:tcW w:w="210" w:type="pct"/>
                  <w:vAlign w:val="center"/>
                </w:tcPr>
                <w:p w14:paraId="34993274">
                  <w:pPr>
                    <w:adjustRightInd w:val="0"/>
                    <w:snapToGrid w:val="0"/>
                    <w:jc w:val="center"/>
                    <w:rPr>
                      <w:color w:val="00B050"/>
                      <w:szCs w:val="21"/>
                    </w:rPr>
                  </w:pPr>
                  <w:r>
                    <w:rPr>
                      <w:rFonts w:hint="eastAsia"/>
                      <w:color w:val="00B050"/>
                      <w:szCs w:val="21"/>
                    </w:rPr>
                    <w:t>/</w:t>
                  </w:r>
                </w:p>
              </w:tc>
              <w:tc>
                <w:tcPr>
                  <w:tcW w:w="208" w:type="pct"/>
                  <w:vAlign w:val="center"/>
                </w:tcPr>
                <w:p w14:paraId="203F7EF3">
                  <w:pPr>
                    <w:adjustRightInd w:val="0"/>
                    <w:snapToGrid w:val="0"/>
                    <w:jc w:val="center"/>
                    <w:rPr>
                      <w:color w:val="00B050"/>
                      <w:szCs w:val="21"/>
                    </w:rPr>
                  </w:pPr>
                  <w:r>
                    <w:rPr>
                      <w:rFonts w:hint="eastAsia"/>
                      <w:color w:val="00B050"/>
                      <w:szCs w:val="21"/>
                    </w:rPr>
                    <w:t>/</w:t>
                  </w:r>
                </w:p>
              </w:tc>
              <w:tc>
                <w:tcPr>
                  <w:tcW w:w="209" w:type="pct"/>
                  <w:vAlign w:val="center"/>
                </w:tcPr>
                <w:p w14:paraId="474C9120">
                  <w:pPr>
                    <w:adjustRightInd w:val="0"/>
                    <w:snapToGrid w:val="0"/>
                    <w:jc w:val="center"/>
                    <w:rPr>
                      <w:color w:val="00B050"/>
                      <w:szCs w:val="21"/>
                    </w:rPr>
                  </w:pPr>
                  <w:r>
                    <w:rPr>
                      <w:rFonts w:hint="eastAsia"/>
                      <w:color w:val="00B050"/>
                      <w:szCs w:val="21"/>
                    </w:rPr>
                    <w:t>/</w:t>
                  </w:r>
                </w:p>
              </w:tc>
              <w:tc>
                <w:tcPr>
                  <w:tcW w:w="208" w:type="pct"/>
                  <w:gridSpan w:val="2"/>
                  <w:vAlign w:val="center"/>
                </w:tcPr>
                <w:p w14:paraId="39B521E1">
                  <w:pPr>
                    <w:adjustRightInd w:val="0"/>
                    <w:snapToGrid w:val="0"/>
                    <w:jc w:val="center"/>
                    <w:rPr>
                      <w:color w:val="00B050"/>
                      <w:szCs w:val="21"/>
                    </w:rPr>
                  </w:pPr>
                  <w:r>
                    <w:rPr>
                      <w:rFonts w:hint="eastAsia"/>
                      <w:color w:val="00B050"/>
                      <w:szCs w:val="21"/>
                    </w:rPr>
                    <w:t>/</w:t>
                  </w:r>
                </w:p>
              </w:tc>
              <w:tc>
                <w:tcPr>
                  <w:tcW w:w="208" w:type="pct"/>
                  <w:vAlign w:val="center"/>
                </w:tcPr>
                <w:p w14:paraId="134F0088">
                  <w:pPr>
                    <w:adjustRightInd w:val="0"/>
                    <w:snapToGrid w:val="0"/>
                    <w:jc w:val="center"/>
                    <w:rPr>
                      <w:color w:val="00B050"/>
                      <w:szCs w:val="21"/>
                    </w:rPr>
                  </w:pPr>
                  <w:r>
                    <w:rPr>
                      <w:rFonts w:hint="eastAsia"/>
                      <w:color w:val="00B050"/>
                      <w:szCs w:val="21"/>
                    </w:rPr>
                    <w:t>/</w:t>
                  </w:r>
                </w:p>
              </w:tc>
              <w:tc>
                <w:tcPr>
                  <w:tcW w:w="200" w:type="pct"/>
                  <w:vAlign w:val="center"/>
                </w:tcPr>
                <w:p w14:paraId="044D7C83">
                  <w:pPr>
                    <w:adjustRightInd w:val="0"/>
                    <w:snapToGrid w:val="0"/>
                    <w:jc w:val="center"/>
                    <w:rPr>
                      <w:color w:val="00B050"/>
                      <w:szCs w:val="21"/>
                    </w:rPr>
                  </w:pPr>
                  <w:r>
                    <w:rPr>
                      <w:rFonts w:hint="eastAsia"/>
                      <w:color w:val="00B050"/>
                      <w:szCs w:val="21"/>
                    </w:rPr>
                    <w:t>/</w:t>
                  </w:r>
                </w:p>
              </w:tc>
            </w:tr>
            <w:tr w14:paraId="0A0A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5A462E0A">
                  <w:pPr>
                    <w:adjustRightInd w:val="0"/>
                    <w:snapToGrid w:val="0"/>
                    <w:jc w:val="center"/>
                    <w:rPr>
                      <w:szCs w:val="21"/>
                    </w:rPr>
                  </w:pPr>
                  <w:r>
                    <w:rPr>
                      <w:rFonts w:hint="eastAsia"/>
                      <w:szCs w:val="21"/>
                    </w:rPr>
                    <w:t>声功率级/dB（A）</w:t>
                  </w:r>
                </w:p>
              </w:tc>
              <w:tc>
                <w:tcPr>
                  <w:tcW w:w="208" w:type="pct"/>
                  <w:vAlign w:val="center"/>
                </w:tcPr>
                <w:p w14:paraId="61C7F770">
                  <w:pPr>
                    <w:adjustRightInd w:val="0"/>
                    <w:snapToGrid w:val="0"/>
                    <w:jc w:val="center"/>
                    <w:rPr>
                      <w:szCs w:val="21"/>
                    </w:rPr>
                  </w:pPr>
                  <w:r>
                    <w:rPr>
                      <w:rFonts w:hint="eastAsia"/>
                      <w:szCs w:val="21"/>
                    </w:rPr>
                    <w:t>80</w:t>
                  </w:r>
                </w:p>
              </w:tc>
              <w:tc>
                <w:tcPr>
                  <w:tcW w:w="209" w:type="pct"/>
                  <w:vAlign w:val="center"/>
                </w:tcPr>
                <w:p w14:paraId="7DEC9012">
                  <w:pPr>
                    <w:adjustRightInd w:val="0"/>
                    <w:snapToGrid w:val="0"/>
                    <w:jc w:val="center"/>
                    <w:rPr>
                      <w:szCs w:val="21"/>
                    </w:rPr>
                  </w:pPr>
                  <w:r>
                    <w:rPr>
                      <w:rFonts w:hint="eastAsia"/>
                      <w:szCs w:val="21"/>
                    </w:rPr>
                    <w:t>80</w:t>
                  </w:r>
                </w:p>
              </w:tc>
              <w:tc>
                <w:tcPr>
                  <w:tcW w:w="209" w:type="pct"/>
                  <w:vAlign w:val="center"/>
                </w:tcPr>
                <w:p w14:paraId="3EDEA032">
                  <w:pPr>
                    <w:adjustRightInd w:val="0"/>
                    <w:snapToGrid w:val="0"/>
                    <w:jc w:val="center"/>
                    <w:rPr>
                      <w:szCs w:val="21"/>
                    </w:rPr>
                  </w:pPr>
                  <w:r>
                    <w:rPr>
                      <w:rFonts w:hint="eastAsia"/>
                      <w:szCs w:val="21"/>
                    </w:rPr>
                    <w:t>85</w:t>
                  </w:r>
                </w:p>
              </w:tc>
              <w:tc>
                <w:tcPr>
                  <w:tcW w:w="208" w:type="pct"/>
                  <w:vAlign w:val="center"/>
                </w:tcPr>
                <w:p w14:paraId="19009539">
                  <w:pPr>
                    <w:adjustRightInd w:val="0"/>
                    <w:snapToGrid w:val="0"/>
                    <w:jc w:val="center"/>
                    <w:rPr>
                      <w:szCs w:val="21"/>
                    </w:rPr>
                  </w:pPr>
                  <w:r>
                    <w:rPr>
                      <w:rFonts w:hint="eastAsia"/>
                      <w:szCs w:val="21"/>
                    </w:rPr>
                    <w:t>85</w:t>
                  </w:r>
                </w:p>
              </w:tc>
              <w:tc>
                <w:tcPr>
                  <w:tcW w:w="209" w:type="pct"/>
                  <w:vAlign w:val="center"/>
                </w:tcPr>
                <w:p w14:paraId="514C2DBA">
                  <w:pPr>
                    <w:adjustRightInd w:val="0"/>
                    <w:snapToGrid w:val="0"/>
                    <w:jc w:val="center"/>
                    <w:rPr>
                      <w:szCs w:val="21"/>
                    </w:rPr>
                  </w:pPr>
                  <w:r>
                    <w:rPr>
                      <w:rFonts w:hint="eastAsia"/>
                      <w:szCs w:val="21"/>
                    </w:rPr>
                    <w:t>80</w:t>
                  </w:r>
                </w:p>
              </w:tc>
              <w:tc>
                <w:tcPr>
                  <w:tcW w:w="209" w:type="pct"/>
                  <w:vAlign w:val="center"/>
                </w:tcPr>
                <w:p w14:paraId="6264C916">
                  <w:pPr>
                    <w:adjustRightInd w:val="0"/>
                    <w:snapToGrid w:val="0"/>
                    <w:jc w:val="center"/>
                    <w:rPr>
                      <w:szCs w:val="21"/>
                    </w:rPr>
                  </w:pPr>
                  <w:r>
                    <w:rPr>
                      <w:rFonts w:hint="eastAsia"/>
                      <w:szCs w:val="21"/>
                    </w:rPr>
                    <w:t>85</w:t>
                  </w:r>
                </w:p>
              </w:tc>
              <w:tc>
                <w:tcPr>
                  <w:tcW w:w="209" w:type="pct"/>
                  <w:vAlign w:val="center"/>
                </w:tcPr>
                <w:p w14:paraId="17A74225">
                  <w:pPr>
                    <w:adjustRightInd w:val="0"/>
                    <w:snapToGrid w:val="0"/>
                    <w:jc w:val="center"/>
                    <w:rPr>
                      <w:szCs w:val="21"/>
                    </w:rPr>
                  </w:pPr>
                  <w:r>
                    <w:rPr>
                      <w:rFonts w:hint="eastAsia"/>
                      <w:szCs w:val="21"/>
                    </w:rPr>
                    <w:t>85</w:t>
                  </w:r>
                </w:p>
              </w:tc>
              <w:tc>
                <w:tcPr>
                  <w:tcW w:w="209" w:type="pct"/>
                  <w:vAlign w:val="center"/>
                </w:tcPr>
                <w:p w14:paraId="697B8EED">
                  <w:pPr>
                    <w:adjustRightInd w:val="0"/>
                    <w:snapToGrid w:val="0"/>
                    <w:jc w:val="center"/>
                    <w:rPr>
                      <w:szCs w:val="21"/>
                    </w:rPr>
                  </w:pPr>
                  <w:r>
                    <w:rPr>
                      <w:rFonts w:hint="eastAsia"/>
                      <w:szCs w:val="21"/>
                    </w:rPr>
                    <w:t>85</w:t>
                  </w:r>
                </w:p>
              </w:tc>
              <w:tc>
                <w:tcPr>
                  <w:tcW w:w="209" w:type="pct"/>
                  <w:vAlign w:val="center"/>
                </w:tcPr>
                <w:p w14:paraId="69928CC2">
                  <w:pPr>
                    <w:adjustRightInd w:val="0"/>
                    <w:snapToGrid w:val="0"/>
                    <w:jc w:val="center"/>
                    <w:rPr>
                      <w:szCs w:val="21"/>
                    </w:rPr>
                  </w:pPr>
                  <w:r>
                    <w:rPr>
                      <w:rFonts w:hint="eastAsia"/>
                      <w:szCs w:val="21"/>
                    </w:rPr>
                    <w:t>85</w:t>
                  </w:r>
                </w:p>
              </w:tc>
              <w:tc>
                <w:tcPr>
                  <w:tcW w:w="208" w:type="pct"/>
                  <w:vAlign w:val="center"/>
                </w:tcPr>
                <w:p w14:paraId="5A7EED81">
                  <w:pPr>
                    <w:adjustRightInd w:val="0"/>
                    <w:snapToGrid w:val="0"/>
                    <w:jc w:val="center"/>
                    <w:rPr>
                      <w:szCs w:val="21"/>
                    </w:rPr>
                  </w:pPr>
                  <w:r>
                    <w:rPr>
                      <w:rFonts w:hint="eastAsia"/>
                      <w:szCs w:val="21"/>
                    </w:rPr>
                    <w:t>80</w:t>
                  </w:r>
                </w:p>
              </w:tc>
              <w:tc>
                <w:tcPr>
                  <w:tcW w:w="209" w:type="pct"/>
                  <w:vAlign w:val="center"/>
                </w:tcPr>
                <w:p w14:paraId="33EE9F6B">
                  <w:pPr>
                    <w:adjustRightInd w:val="0"/>
                    <w:snapToGrid w:val="0"/>
                    <w:jc w:val="center"/>
                    <w:rPr>
                      <w:szCs w:val="21"/>
                    </w:rPr>
                  </w:pPr>
                  <w:r>
                    <w:rPr>
                      <w:rFonts w:hint="eastAsia"/>
                      <w:szCs w:val="21"/>
                    </w:rPr>
                    <w:t>80</w:t>
                  </w:r>
                </w:p>
              </w:tc>
              <w:tc>
                <w:tcPr>
                  <w:tcW w:w="208" w:type="pct"/>
                  <w:vAlign w:val="center"/>
                </w:tcPr>
                <w:p w14:paraId="700E901B">
                  <w:pPr>
                    <w:adjustRightInd w:val="0"/>
                    <w:snapToGrid w:val="0"/>
                    <w:jc w:val="center"/>
                    <w:rPr>
                      <w:szCs w:val="21"/>
                    </w:rPr>
                  </w:pPr>
                  <w:r>
                    <w:rPr>
                      <w:rFonts w:hint="eastAsia"/>
                      <w:szCs w:val="21"/>
                    </w:rPr>
                    <w:t>85</w:t>
                  </w:r>
                </w:p>
              </w:tc>
              <w:tc>
                <w:tcPr>
                  <w:tcW w:w="209" w:type="pct"/>
                  <w:vAlign w:val="center"/>
                </w:tcPr>
                <w:p w14:paraId="6BC2FEFC">
                  <w:pPr>
                    <w:adjustRightInd w:val="0"/>
                    <w:snapToGrid w:val="0"/>
                    <w:jc w:val="center"/>
                    <w:rPr>
                      <w:szCs w:val="21"/>
                    </w:rPr>
                  </w:pPr>
                  <w:r>
                    <w:rPr>
                      <w:rFonts w:hint="eastAsia"/>
                      <w:szCs w:val="21"/>
                    </w:rPr>
                    <w:t>85</w:t>
                  </w:r>
                </w:p>
              </w:tc>
              <w:tc>
                <w:tcPr>
                  <w:tcW w:w="209" w:type="pct"/>
                  <w:vAlign w:val="center"/>
                </w:tcPr>
                <w:p w14:paraId="026DDC80">
                  <w:pPr>
                    <w:adjustRightInd w:val="0"/>
                    <w:snapToGrid w:val="0"/>
                    <w:jc w:val="center"/>
                    <w:rPr>
                      <w:szCs w:val="21"/>
                    </w:rPr>
                  </w:pPr>
                  <w:r>
                    <w:rPr>
                      <w:rFonts w:hint="eastAsia"/>
                      <w:szCs w:val="21"/>
                    </w:rPr>
                    <w:t>85</w:t>
                  </w:r>
                </w:p>
              </w:tc>
              <w:tc>
                <w:tcPr>
                  <w:tcW w:w="210" w:type="pct"/>
                  <w:vAlign w:val="center"/>
                </w:tcPr>
                <w:p w14:paraId="253802D9">
                  <w:pPr>
                    <w:adjustRightInd w:val="0"/>
                    <w:snapToGrid w:val="0"/>
                    <w:jc w:val="center"/>
                    <w:rPr>
                      <w:szCs w:val="21"/>
                    </w:rPr>
                  </w:pPr>
                  <w:r>
                    <w:rPr>
                      <w:rFonts w:hint="eastAsia"/>
                      <w:szCs w:val="21"/>
                    </w:rPr>
                    <w:t>85</w:t>
                  </w:r>
                </w:p>
              </w:tc>
              <w:tc>
                <w:tcPr>
                  <w:tcW w:w="210" w:type="pct"/>
                  <w:vAlign w:val="center"/>
                </w:tcPr>
                <w:p w14:paraId="3F4F42AD">
                  <w:pPr>
                    <w:adjustRightInd w:val="0"/>
                    <w:snapToGrid w:val="0"/>
                    <w:jc w:val="center"/>
                    <w:rPr>
                      <w:szCs w:val="21"/>
                    </w:rPr>
                  </w:pPr>
                  <w:r>
                    <w:rPr>
                      <w:rFonts w:hint="eastAsia"/>
                      <w:szCs w:val="21"/>
                    </w:rPr>
                    <w:t>90</w:t>
                  </w:r>
                </w:p>
              </w:tc>
              <w:tc>
                <w:tcPr>
                  <w:tcW w:w="210" w:type="pct"/>
                  <w:vAlign w:val="center"/>
                </w:tcPr>
                <w:p w14:paraId="1E4223A6">
                  <w:pPr>
                    <w:adjustRightInd w:val="0"/>
                    <w:snapToGrid w:val="0"/>
                    <w:jc w:val="center"/>
                    <w:rPr>
                      <w:szCs w:val="21"/>
                    </w:rPr>
                  </w:pPr>
                  <w:r>
                    <w:rPr>
                      <w:rFonts w:hint="eastAsia"/>
                      <w:szCs w:val="21"/>
                    </w:rPr>
                    <w:t>90</w:t>
                  </w:r>
                </w:p>
              </w:tc>
              <w:tc>
                <w:tcPr>
                  <w:tcW w:w="208" w:type="pct"/>
                  <w:vAlign w:val="center"/>
                </w:tcPr>
                <w:p w14:paraId="08481970">
                  <w:pPr>
                    <w:adjustRightInd w:val="0"/>
                    <w:snapToGrid w:val="0"/>
                    <w:jc w:val="center"/>
                    <w:rPr>
                      <w:szCs w:val="21"/>
                    </w:rPr>
                  </w:pPr>
                  <w:r>
                    <w:rPr>
                      <w:rFonts w:hint="eastAsia"/>
                      <w:szCs w:val="21"/>
                    </w:rPr>
                    <w:t>90</w:t>
                  </w:r>
                </w:p>
              </w:tc>
              <w:tc>
                <w:tcPr>
                  <w:tcW w:w="209" w:type="pct"/>
                  <w:vAlign w:val="center"/>
                </w:tcPr>
                <w:p w14:paraId="1BB3B8D4">
                  <w:pPr>
                    <w:adjustRightInd w:val="0"/>
                    <w:snapToGrid w:val="0"/>
                    <w:jc w:val="center"/>
                    <w:rPr>
                      <w:szCs w:val="21"/>
                    </w:rPr>
                  </w:pPr>
                  <w:r>
                    <w:rPr>
                      <w:rFonts w:hint="eastAsia"/>
                      <w:szCs w:val="21"/>
                    </w:rPr>
                    <w:t>90</w:t>
                  </w:r>
                </w:p>
              </w:tc>
              <w:tc>
                <w:tcPr>
                  <w:tcW w:w="208" w:type="pct"/>
                  <w:gridSpan w:val="2"/>
                  <w:vAlign w:val="center"/>
                </w:tcPr>
                <w:p w14:paraId="5CE6C81B">
                  <w:pPr>
                    <w:adjustRightInd w:val="0"/>
                    <w:snapToGrid w:val="0"/>
                    <w:jc w:val="center"/>
                    <w:rPr>
                      <w:szCs w:val="21"/>
                    </w:rPr>
                  </w:pPr>
                  <w:r>
                    <w:rPr>
                      <w:rFonts w:hint="eastAsia"/>
                      <w:szCs w:val="21"/>
                    </w:rPr>
                    <w:t>90</w:t>
                  </w:r>
                </w:p>
              </w:tc>
              <w:tc>
                <w:tcPr>
                  <w:tcW w:w="208" w:type="pct"/>
                  <w:vAlign w:val="center"/>
                </w:tcPr>
                <w:p w14:paraId="24F92021">
                  <w:pPr>
                    <w:adjustRightInd w:val="0"/>
                    <w:snapToGrid w:val="0"/>
                    <w:jc w:val="center"/>
                    <w:rPr>
                      <w:szCs w:val="21"/>
                    </w:rPr>
                  </w:pPr>
                  <w:r>
                    <w:rPr>
                      <w:rFonts w:hint="eastAsia"/>
                      <w:szCs w:val="21"/>
                    </w:rPr>
                    <w:t>90</w:t>
                  </w:r>
                </w:p>
              </w:tc>
              <w:tc>
                <w:tcPr>
                  <w:tcW w:w="200" w:type="pct"/>
                  <w:vAlign w:val="center"/>
                </w:tcPr>
                <w:p w14:paraId="45F97005">
                  <w:pPr>
                    <w:adjustRightInd w:val="0"/>
                    <w:snapToGrid w:val="0"/>
                    <w:jc w:val="center"/>
                    <w:rPr>
                      <w:szCs w:val="21"/>
                    </w:rPr>
                  </w:pPr>
                  <w:r>
                    <w:rPr>
                      <w:rFonts w:hint="eastAsia"/>
                      <w:szCs w:val="21"/>
                    </w:rPr>
                    <w:t>90</w:t>
                  </w:r>
                </w:p>
              </w:tc>
            </w:tr>
            <w:tr w14:paraId="05CA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03324E91">
                  <w:pPr>
                    <w:adjustRightInd w:val="0"/>
                    <w:snapToGrid w:val="0"/>
                    <w:jc w:val="center"/>
                    <w:rPr>
                      <w:szCs w:val="21"/>
                    </w:rPr>
                  </w:pPr>
                  <w:r>
                    <w:rPr>
                      <w:rFonts w:hint="eastAsia"/>
                      <w:szCs w:val="21"/>
                    </w:rPr>
                    <w:t>声源控制措施</w:t>
                  </w:r>
                </w:p>
              </w:tc>
              <w:tc>
                <w:tcPr>
                  <w:tcW w:w="208" w:type="pct"/>
                </w:tcPr>
                <w:p w14:paraId="732F9E66">
                  <w:pPr>
                    <w:autoSpaceDE w:val="0"/>
                    <w:autoSpaceDN w:val="0"/>
                    <w:adjustRightInd w:val="0"/>
                    <w:jc w:val="center"/>
                  </w:pPr>
                </w:p>
              </w:tc>
              <w:tc>
                <w:tcPr>
                  <w:tcW w:w="4378" w:type="pct"/>
                  <w:gridSpan w:val="22"/>
                  <w:vAlign w:val="center"/>
                </w:tcPr>
                <w:p w14:paraId="3A2AAE08">
                  <w:pPr>
                    <w:autoSpaceDE w:val="0"/>
                    <w:autoSpaceDN w:val="0"/>
                    <w:adjustRightInd w:val="0"/>
                    <w:jc w:val="center"/>
                  </w:pPr>
                  <w:r>
                    <w:t>选用低噪声设备、基础减</w:t>
                  </w:r>
                  <w:r>
                    <w:rPr>
                      <w:rFonts w:hint="eastAsia"/>
                    </w:rPr>
                    <w:t>震</w:t>
                  </w:r>
                  <w:r>
                    <w:t>、厂房隔声、距离衰减</w:t>
                  </w:r>
                </w:p>
              </w:tc>
            </w:tr>
            <w:tr w14:paraId="1FAD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gridSpan w:val="2"/>
                  <w:vMerge w:val="restart"/>
                  <w:vAlign w:val="center"/>
                </w:tcPr>
                <w:p w14:paraId="62F2E9D3">
                  <w:pPr>
                    <w:adjustRightInd w:val="0"/>
                    <w:snapToGrid w:val="0"/>
                    <w:jc w:val="center"/>
                    <w:rPr>
                      <w:szCs w:val="21"/>
                    </w:rPr>
                  </w:pPr>
                  <w:r>
                    <w:rPr>
                      <w:rFonts w:hint="eastAsia"/>
                      <w:szCs w:val="21"/>
                    </w:rPr>
                    <w:t>空间相对位置/m</w:t>
                  </w:r>
                </w:p>
              </w:tc>
              <w:tc>
                <w:tcPr>
                  <w:tcW w:w="158" w:type="pct"/>
                  <w:vAlign w:val="center"/>
                </w:tcPr>
                <w:p w14:paraId="79951767">
                  <w:pPr>
                    <w:adjustRightInd w:val="0"/>
                    <w:snapToGrid w:val="0"/>
                    <w:jc w:val="center"/>
                    <w:rPr>
                      <w:szCs w:val="21"/>
                    </w:rPr>
                  </w:pPr>
                  <w:r>
                    <w:rPr>
                      <w:rFonts w:hint="eastAsia"/>
                      <w:szCs w:val="21"/>
                    </w:rPr>
                    <w:t>X</w:t>
                  </w:r>
                </w:p>
              </w:tc>
              <w:tc>
                <w:tcPr>
                  <w:tcW w:w="208" w:type="pct"/>
                  <w:vAlign w:val="center"/>
                </w:tcPr>
                <w:p w14:paraId="5C609510">
                  <w:pPr>
                    <w:adjustRightInd w:val="0"/>
                    <w:snapToGrid w:val="0"/>
                    <w:jc w:val="center"/>
                    <w:rPr>
                      <w:szCs w:val="21"/>
                    </w:rPr>
                  </w:pPr>
                  <w:r>
                    <w:rPr>
                      <w:rFonts w:hint="eastAsia"/>
                      <w:szCs w:val="21"/>
                    </w:rPr>
                    <w:t>12</w:t>
                  </w:r>
                </w:p>
              </w:tc>
              <w:tc>
                <w:tcPr>
                  <w:tcW w:w="209" w:type="pct"/>
                  <w:vAlign w:val="center"/>
                </w:tcPr>
                <w:p w14:paraId="206BE1A0">
                  <w:pPr>
                    <w:adjustRightInd w:val="0"/>
                    <w:snapToGrid w:val="0"/>
                    <w:jc w:val="center"/>
                    <w:rPr>
                      <w:szCs w:val="21"/>
                    </w:rPr>
                  </w:pPr>
                  <w:r>
                    <w:rPr>
                      <w:rFonts w:hint="eastAsia"/>
                      <w:szCs w:val="21"/>
                    </w:rPr>
                    <w:t>21</w:t>
                  </w:r>
                </w:p>
              </w:tc>
              <w:tc>
                <w:tcPr>
                  <w:tcW w:w="209" w:type="pct"/>
                  <w:vAlign w:val="center"/>
                </w:tcPr>
                <w:p w14:paraId="1D8EDCC2">
                  <w:pPr>
                    <w:jc w:val="center"/>
                    <w:rPr>
                      <w:szCs w:val="21"/>
                    </w:rPr>
                  </w:pPr>
                  <w:r>
                    <w:rPr>
                      <w:rFonts w:hint="eastAsia"/>
                      <w:szCs w:val="21"/>
                    </w:rPr>
                    <w:t>24</w:t>
                  </w:r>
                </w:p>
              </w:tc>
              <w:tc>
                <w:tcPr>
                  <w:tcW w:w="208" w:type="pct"/>
                  <w:vAlign w:val="center"/>
                </w:tcPr>
                <w:p w14:paraId="6E5FCBC3">
                  <w:pPr>
                    <w:adjustRightInd w:val="0"/>
                    <w:snapToGrid w:val="0"/>
                    <w:jc w:val="center"/>
                    <w:rPr>
                      <w:szCs w:val="21"/>
                    </w:rPr>
                  </w:pPr>
                  <w:r>
                    <w:rPr>
                      <w:rFonts w:hint="eastAsia"/>
                      <w:szCs w:val="21"/>
                    </w:rPr>
                    <w:t>32</w:t>
                  </w:r>
                </w:p>
              </w:tc>
              <w:tc>
                <w:tcPr>
                  <w:tcW w:w="209" w:type="pct"/>
                  <w:vAlign w:val="center"/>
                </w:tcPr>
                <w:p w14:paraId="05F53D3D">
                  <w:pPr>
                    <w:adjustRightInd w:val="0"/>
                    <w:snapToGrid w:val="0"/>
                    <w:jc w:val="center"/>
                    <w:rPr>
                      <w:szCs w:val="21"/>
                    </w:rPr>
                  </w:pPr>
                  <w:r>
                    <w:rPr>
                      <w:rFonts w:hint="eastAsia"/>
                      <w:szCs w:val="21"/>
                    </w:rPr>
                    <w:t>25</w:t>
                  </w:r>
                </w:p>
              </w:tc>
              <w:tc>
                <w:tcPr>
                  <w:tcW w:w="209" w:type="pct"/>
                  <w:vAlign w:val="center"/>
                </w:tcPr>
                <w:p w14:paraId="5186418E">
                  <w:pPr>
                    <w:adjustRightInd w:val="0"/>
                    <w:snapToGrid w:val="0"/>
                    <w:jc w:val="center"/>
                    <w:rPr>
                      <w:szCs w:val="21"/>
                    </w:rPr>
                  </w:pPr>
                  <w:r>
                    <w:rPr>
                      <w:rFonts w:hint="eastAsia"/>
                      <w:szCs w:val="21"/>
                    </w:rPr>
                    <w:t>25</w:t>
                  </w:r>
                </w:p>
              </w:tc>
              <w:tc>
                <w:tcPr>
                  <w:tcW w:w="209" w:type="pct"/>
                  <w:vAlign w:val="center"/>
                </w:tcPr>
                <w:p w14:paraId="1E7C039E">
                  <w:pPr>
                    <w:adjustRightInd w:val="0"/>
                    <w:snapToGrid w:val="0"/>
                    <w:jc w:val="center"/>
                    <w:rPr>
                      <w:szCs w:val="21"/>
                    </w:rPr>
                  </w:pPr>
                  <w:r>
                    <w:rPr>
                      <w:rFonts w:hint="eastAsia"/>
                      <w:szCs w:val="21"/>
                    </w:rPr>
                    <w:t>23</w:t>
                  </w:r>
                </w:p>
              </w:tc>
              <w:tc>
                <w:tcPr>
                  <w:tcW w:w="209" w:type="pct"/>
                  <w:vAlign w:val="center"/>
                </w:tcPr>
                <w:p w14:paraId="4048F412">
                  <w:pPr>
                    <w:adjustRightInd w:val="0"/>
                    <w:snapToGrid w:val="0"/>
                    <w:jc w:val="center"/>
                    <w:rPr>
                      <w:szCs w:val="21"/>
                    </w:rPr>
                  </w:pPr>
                  <w:r>
                    <w:rPr>
                      <w:rFonts w:hint="eastAsia"/>
                      <w:szCs w:val="21"/>
                    </w:rPr>
                    <w:t>29</w:t>
                  </w:r>
                </w:p>
              </w:tc>
              <w:tc>
                <w:tcPr>
                  <w:tcW w:w="209" w:type="pct"/>
                  <w:vAlign w:val="center"/>
                </w:tcPr>
                <w:p w14:paraId="544AD324">
                  <w:pPr>
                    <w:adjustRightInd w:val="0"/>
                    <w:snapToGrid w:val="0"/>
                    <w:jc w:val="center"/>
                    <w:rPr>
                      <w:szCs w:val="21"/>
                    </w:rPr>
                  </w:pPr>
                  <w:r>
                    <w:rPr>
                      <w:rFonts w:hint="eastAsia"/>
                      <w:szCs w:val="21"/>
                    </w:rPr>
                    <w:t>26</w:t>
                  </w:r>
                </w:p>
              </w:tc>
              <w:tc>
                <w:tcPr>
                  <w:tcW w:w="208" w:type="pct"/>
                  <w:vAlign w:val="center"/>
                </w:tcPr>
                <w:p w14:paraId="623E69A3">
                  <w:pPr>
                    <w:adjustRightInd w:val="0"/>
                    <w:snapToGrid w:val="0"/>
                    <w:jc w:val="center"/>
                    <w:rPr>
                      <w:szCs w:val="21"/>
                    </w:rPr>
                  </w:pPr>
                  <w:r>
                    <w:rPr>
                      <w:rFonts w:hint="eastAsia"/>
                      <w:szCs w:val="21"/>
                    </w:rPr>
                    <w:t>25</w:t>
                  </w:r>
                </w:p>
              </w:tc>
              <w:tc>
                <w:tcPr>
                  <w:tcW w:w="209" w:type="pct"/>
                  <w:vAlign w:val="center"/>
                </w:tcPr>
                <w:p w14:paraId="4DDDB465">
                  <w:pPr>
                    <w:adjustRightInd w:val="0"/>
                    <w:snapToGrid w:val="0"/>
                    <w:jc w:val="center"/>
                    <w:rPr>
                      <w:szCs w:val="21"/>
                    </w:rPr>
                  </w:pPr>
                  <w:r>
                    <w:rPr>
                      <w:rFonts w:hint="eastAsia"/>
                      <w:szCs w:val="21"/>
                    </w:rPr>
                    <w:t>37</w:t>
                  </w:r>
                </w:p>
              </w:tc>
              <w:tc>
                <w:tcPr>
                  <w:tcW w:w="208" w:type="pct"/>
                  <w:vAlign w:val="center"/>
                </w:tcPr>
                <w:p w14:paraId="48AD790E">
                  <w:pPr>
                    <w:adjustRightInd w:val="0"/>
                    <w:snapToGrid w:val="0"/>
                    <w:jc w:val="center"/>
                    <w:rPr>
                      <w:szCs w:val="21"/>
                    </w:rPr>
                  </w:pPr>
                  <w:r>
                    <w:rPr>
                      <w:rFonts w:hint="eastAsia"/>
                      <w:szCs w:val="21"/>
                    </w:rPr>
                    <w:t>25</w:t>
                  </w:r>
                </w:p>
              </w:tc>
              <w:tc>
                <w:tcPr>
                  <w:tcW w:w="209" w:type="pct"/>
                  <w:vAlign w:val="center"/>
                </w:tcPr>
                <w:p w14:paraId="38E56355">
                  <w:pPr>
                    <w:adjustRightInd w:val="0"/>
                    <w:snapToGrid w:val="0"/>
                    <w:jc w:val="center"/>
                    <w:rPr>
                      <w:szCs w:val="21"/>
                    </w:rPr>
                  </w:pPr>
                  <w:r>
                    <w:rPr>
                      <w:rFonts w:hint="eastAsia"/>
                      <w:szCs w:val="21"/>
                    </w:rPr>
                    <w:t>13</w:t>
                  </w:r>
                </w:p>
              </w:tc>
              <w:tc>
                <w:tcPr>
                  <w:tcW w:w="209" w:type="pct"/>
                  <w:vAlign w:val="center"/>
                </w:tcPr>
                <w:p w14:paraId="75628893">
                  <w:pPr>
                    <w:adjustRightInd w:val="0"/>
                    <w:snapToGrid w:val="0"/>
                    <w:jc w:val="center"/>
                    <w:rPr>
                      <w:szCs w:val="21"/>
                    </w:rPr>
                  </w:pPr>
                  <w:r>
                    <w:rPr>
                      <w:rFonts w:hint="eastAsia"/>
                      <w:szCs w:val="21"/>
                    </w:rPr>
                    <w:t>26</w:t>
                  </w:r>
                </w:p>
              </w:tc>
              <w:tc>
                <w:tcPr>
                  <w:tcW w:w="210" w:type="pct"/>
                  <w:vAlign w:val="center"/>
                </w:tcPr>
                <w:p w14:paraId="700D24C6">
                  <w:pPr>
                    <w:adjustRightInd w:val="0"/>
                    <w:snapToGrid w:val="0"/>
                    <w:jc w:val="center"/>
                    <w:rPr>
                      <w:szCs w:val="21"/>
                    </w:rPr>
                  </w:pPr>
                  <w:r>
                    <w:rPr>
                      <w:rFonts w:hint="eastAsia"/>
                      <w:szCs w:val="21"/>
                    </w:rPr>
                    <w:t>36</w:t>
                  </w:r>
                </w:p>
              </w:tc>
              <w:tc>
                <w:tcPr>
                  <w:tcW w:w="210" w:type="pct"/>
                  <w:vAlign w:val="center"/>
                </w:tcPr>
                <w:p w14:paraId="7C9B494C">
                  <w:pPr>
                    <w:adjustRightInd w:val="0"/>
                    <w:snapToGrid w:val="0"/>
                    <w:jc w:val="center"/>
                    <w:rPr>
                      <w:szCs w:val="21"/>
                    </w:rPr>
                  </w:pPr>
                  <w:r>
                    <w:rPr>
                      <w:rFonts w:hint="eastAsia"/>
                      <w:szCs w:val="21"/>
                    </w:rPr>
                    <w:t>45</w:t>
                  </w:r>
                </w:p>
              </w:tc>
              <w:tc>
                <w:tcPr>
                  <w:tcW w:w="210" w:type="pct"/>
                  <w:vAlign w:val="center"/>
                </w:tcPr>
                <w:p w14:paraId="2F0B3933">
                  <w:pPr>
                    <w:adjustRightInd w:val="0"/>
                    <w:snapToGrid w:val="0"/>
                    <w:jc w:val="center"/>
                    <w:rPr>
                      <w:szCs w:val="21"/>
                    </w:rPr>
                  </w:pPr>
                  <w:r>
                    <w:rPr>
                      <w:rFonts w:hint="eastAsia"/>
                      <w:szCs w:val="21"/>
                    </w:rPr>
                    <w:t>19</w:t>
                  </w:r>
                </w:p>
              </w:tc>
              <w:tc>
                <w:tcPr>
                  <w:tcW w:w="208" w:type="pct"/>
                  <w:vAlign w:val="center"/>
                </w:tcPr>
                <w:p w14:paraId="1C0964DD">
                  <w:pPr>
                    <w:adjustRightInd w:val="0"/>
                    <w:snapToGrid w:val="0"/>
                    <w:jc w:val="center"/>
                    <w:rPr>
                      <w:szCs w:val="21"/>
                    </w:rPr>
                  </w:pPr>
                  <w:r>
                    <w:rPr>
                      <w:rFonts w:hint="eastAsia"/>
                      <w:szCs w:val="21"/>
                    </w:rPr>
                    <w:t>18</w:t>
                  </w:r>
                </w:p>
              </w:tc>
              <w:tc>
                <w:tcPr>
                  <w:tcW w:w="209" w:type="pct"/>
                  <w:vAlign w:val="center"/>
                </w:tcPr>
                <w:p w14:paraId="08A82081">
                  <w:pPr>
                    <w:adjustRightInd w:val="0"/>
                    <w:snapToGrid w:val="0"/>
                    <w:jc w:val="center"/>
                    <w:rPr>
                      <w:szCs w:val="21"/>
                    </w:rPr>
                  </w:pPr>
                  <w:r>
                    <w:rPr>
                      <w:rFonts w:hint="eastAsia"/>
                      <w:szCs w:val="21"/>
                    </w:rPr>
                    <w:t>11</w:t>
                  </w:r>
                </w:p>
              </w:tc>
              <w:tc>
                <w:tcPr>
                  <w:tcW w:w="208" w:type="pct"/>
                  <w:gridSpan w:val="2"/>
                  <w:vAlign w:val="center"/>
                </w:tcPr>
                <w:p w14:paraId="0CE9130D">
                  <w:pPr>
                    <w:adjustRightInd w:val="0"/>
                    <w:snapToGrid w:val="0"/>
                    <w:jc w:val="center"/>
                    <w:rPr>
                      <w:szCs w:val="21"/>
                    </w:rPr>
                  </w:pPr>
                  <w:r>
                    <w:rPr>
                      <w:rFonts w:hint="eastAsia"/>
                      <w:szCs w:val="21"/>
                    </w:rPr>
                    <w:t>11</w:t>
                  </w:r>
                </w:p>
              </w:tc>
              <w:tc>
                <w:tcPr>
                  <w:tcW w:w="208" w:type="pct"/>
                  <w:vAlign w:val="center"/>
                </w:tcPr>
                <w:p w14:paraId="36BE7A10">
                  <w:pPr>
                    <w:adjustRightInd w:val="0"/>
                    <w:snapToGrid w:val="0"/>
                    <w:jc w:val="center"/>
                    <w:rPr>
                      <w:szCs w:val="21"/>
                    </w:rPr>
                  </w:pPr>
                  <w:r>
                    <w:rPr>
                      <w:rFonts w:hint="eastAsia"/>
                      <w:szCs w:val="21"/>
                    </w:rPr>
                    <w:t>11</w:t>
                  </w:r>
                </w:p>
              </w:tc>
              <w:tc>
                <w:tcPr>
                  <w:tcW w:w="200" w:type="pct"/>
                  <w:vAlign w:val="center"/>
                </w:tcPr>
                <w:p w14:paraId="068F6052">
                  <w:pPr>
                    <w:adjustRightInd w:val="0"/>
                    <w:snapToGrid w:val="0"/>
                    <w:jc w:val="center"/>
                    <w:rPr>
                      <w:szCs w:val="21"/>
                    </w:rPr>
                  </w:pPr>
                  <w:r>
                    <w:rPr>
                      <w:rFonts w:hint="eastAsia"/>
                      <w:szCs w:val="21"/>
                    </w:rPr>
                    <w:t>44</w:t>
                  </w:r>
                </w:p>
              </w:tc>
            </w:tr>
            <w:tr w14:paraId="4A79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gridSpan w:val="2"/>
                  <w:vMerge w:val="continue"/>
                  <w:vAlign w:val="center"/>
                </w:tcPr>
                <w:p w14:paraId="6D9CD3DC">
                  <w:pPr>
                    <w:adjustRightInd w:val="0"/>
                    <w:snapToGrid w:val="0"/>
                    <w:jc w:val="center"/>
                    <w:rPr>
                      <w:szCs w:val="21"/>
                    </w:rPr>
                  </w:pPr>
                </w:p>
              </w:tc>
              <w:tc>
                <w:tcPr>
                  <w:tcW w:w="158" w:type="pct"/>
                  <w:vAlign w:val="center"/>
                </w:tcPr>
                <w:p w14:paraId="271AA988">
                  <w:pPr>
                    <w:adjustRightInd w:val="0"/>
                    <w:snapToGrid w:val="0"/>
                    <w:jc w:val="center"/>
                    <w:rPr>
                      <w:szCs w:val="21"/>
                    </w:rPr>
                  </w:pPr>
                  <w:r>
                    <w:rPr>
                      <w:rFonts w:hint="eastAsia"/>
                      <w:szCs w:val="21"/>
                    </w:rPr>
                    <w:t>Y</w:t>
                  </w:r>
                </w:p>
              </w:tc>
              <w:tc>
                <w:tcPr>
                  <w:tcW w:w="208" w:type="pct"/>
                  <w:vAlign w:val="center"/>
                </w:tcPr>
                <w:p w14:paraId="1CDAD3C9">
                  <w:pPr>
                    <w:adjustRightInd w:val="0"/>
                    <w:snapToGrid w:val="0"/>
                    <w:jc w:val="center"/>
                    <w:rPr>
                      <w:szCs w:val="21"/>
                    </w:rPr>
                  </w:pPr>
                  <w:r>
                    <w:rPr>
                      <w:rFonts w:hint="eastAsia"/>
                      <w:szCs w:val="21"/>
                    </w:rPr>
                    <w:t>64</w:t>
                  </w:r>
                </w:p>
              </w:tc>
              <w:tc>
                <w:tcPr>
                  <w:tcW w:w="209" w:type="pct"/>
                  <w:vAlign w:val="center"/>
                </w:tcPr>
                <w:p w14:paraId="1D896CA5">
                  <w:pPr>
                    <w:adjustRightInd w:val="0"/>
                    <w:snapToGrid w:val="0"/>
                    <w:jc w:val="center"/>
                    <w:rPr>
                      <w:szCs w:val="21"/>
                    </w:rPr>
                  </w:pPr>
                  <w:r>
                    <w:rPr>
                      <w:rFonts w:hint="eastAsia"/>
                      <w:szCs w:val="21"/>
                    </w:rPr>
                    <w:t>58</w:t>
                  </w:r>
                </w:p>
              </w:tc>
              <w:tc>
                <w:tcPr>
                  <w:tcW w:w="209" w:type="pct"/>
                  <w:vAlign w:val="center"/>
                </w:tcPr>
                <w:p w14:paraId="06E94619">
                  <w:pPr>
                    <w:jc w:val="center"/>
                    <w:rPr>
                      <w:szCs w:val="21"/>
                    </w:rPr>
                  </w:pPr>
                  <w:r>
                    <w:rPr>
                      <w:rFonts w:hint="eastAsia"/>
                      <w:szCs w:val="21"/>
                    </w:rPr>
                    <w:t>44</w:t>
                  </w:r>
                </w:p>
              </w:tc>
              <w:tc>
                <w:tcPr>
                  <w:tcW w:w="208" w:type="pct"/>
                  <w:vAlign w:val="center"/>
                </w:tcPr>
                <w:p w14:paraId="3FAAD0BB">
                  <w:pPr>
                    <w:adjustRightInd w:val="0"/>
                    <w:snapToGrid w:val="0"/>
                    <w:jc w:val="center"/>
                    <w:rPr>
                      <w:szCs w:val="21"/>
                    </w:rPr>
                  </w:pPr>
                  <w:r>
                    <w:rPr>
                      <w:rFonts w:hint="eastAsia"/>
                      <w:szCs w:val="21"/>
                    </w:rPr>
                    <w:t>43</w:t>
                  </w:r>
                </w:p>
              </w:tc>
              <w:tc>
                <w:tcPr>
                  <w:tcW w:w="209" w:type="pct"/>
                  <w:vAlign w:val="center"/>
                </w:tcPr>
                <w:p w14:paraId="276B681D">
                  <w:pPr>
                    <w:adjustRightInd w:val="0"/>
                    <w:snapToGrid w:val="0"/>
                    <w:jc w:val="center"/>
                    <w:rPr>
                      <w:szCs w:val="21"/>
                    </w:rPr>
                  </w:pPr>
                  <w:r>
                    <w:rPr>
                      <w:rFonts w:hint="eastAsia"/>
                      <w:szCs w:val="21"/>
                    </w:rPr>
                    <w:t>98</w:t>
                  </w:r>
                </w:p>
              </w:tc>
              <w:tc>
                <w:tcPr>
                  <w:tcW w:w="209" w:type="pct"/>
                  <w:vAlign w:val="center"/>
                </w:tcPr>
                <w:p w14:paraId="2FDCCD8A">
                  <w:pPr>
                    <w:adjustRightInd w:val="0"/>
                    <w:snapToGrid w:val="0"/>
                    <w:jc w:val="center"/>
                    <w:rPr>
                      <w:szCs w:val="21"/>
                    </w:rPr>
                  </w:pPr>
                  <w:r>
                    <w:rPr>
                      <w:rFonts w:hint="eastAsia"/>
                      <w:szCs w:val="21"/>
                    </w:rPr>
                    <w:t>92</w:t>
                  </w:r>
                </w:p>
              </w:tc>
              <w:tc>
                <w:tcPr>
                  <w:tcW w:w="209" w:type="pct"/>
                  <w:vAlign w:val="center"/>
                </w:tcPr>
                <w:p w14:paraId="2A6B8CDE">
                  <w:pPr>
                    <w:adjustRightInd w:val="0"/>
                    <w:snapToGrid w:val="0"/>
                    <w:jc w:val="center"/>
                    <w:rPr>
                      <w:szCs w:val="21"/>
                    </w:rPr>
                  </w:pPr>
                  <w:r>
                    <w:rPr>
                      <w:rFonts w:hint="eastAsia"/>
                      <w:szCs w:val="21"/>
                    </w:rPr>
                    <w:t>89</w:t>
                  </w:r>
                </w:p>
              </w:tc>
              <w:tc>
                <w:tcPr>
                  <w:tcW w:w="209" w:type="pct"/>
                  <w:vAlign w:val="center"/>
                </w:tcPr>
                <w:p w14:paraId="1D544A5B">
                  <w:pPr>
                    <w:adjustRightInd w:val="0"/>
                    <w:snapToGrid w:val="0"/>
                    <w:jc w:val="center"/>
                    <w:rPr>
                      <w:szCs w:val="21"/>
                    </w:rPr>
                  </w:pPr>
                  <w:r>
                    <w:rPr>
                      <w:rFonts w:hint="eastAsia"/>
                      <w:szCs w:val="21"/>
                    </w:rPr>
                    <w:t>90</w:t>
                  </w:r>
                </w:p>
              </w:tc>
              <w:tc>
                <w:tcPr>
                  <w:tcW w:w="209" w:type="pct"/>
                  <w:vAlign w:val="center"/>
                </w:tcPr>
                <w:p w14:paraId="7B620464">
                  <w:pPr>
                    <w:adjustRightInd w:val="0"/>
                    <w:snapToGrid w:val="0"/>
                    <w:jc w:val="center"/>
                    <w:rPr>
                      <w:szCs w:val="21"/>
                    </w:rPr>
                  </w:pPr>
                  <w:r>
                    <w:rPr>
                      <w:rFonts w:hint="eastAsia"/>
                      <w:szCs w:val="21"/>
                    </w:rPr>
                    <w:t>76</w:t>
                  </w:r>
                </w:p>
              </w:tc>
              <w:tc>
                <w:tcPr>
                  <w:tcW w:w="208" w:type="pct"/>
                  <w:vAlign w:val="center"/>
                </w:tcPr>
                <w:p w14:paraId="4E75E336">
                  <w:pPr>
                    <w:adjustRightInd w:val="0"/>
                    <w:snapToGrid w:val="0"/>
                    <w:jc w:val="center"/>
                    <w:rPr>
                      <w:szCs w:val="21"/>
                    </w:rPr>
                  </w:pPr>
                  <w:r>
                    <w:rPr>
                      <w:rFonts w:hint="eastAsia"/>
                      <w:szCs w:val="21"/>
                    </w:rPr>
                    <w:t>80</w:t>
                  </w:r>
                </w:p>
              </w:tc>
              <w:tc>
                <w:tcPr>
                  <w:tcW w:w="209" w:type="pct"/>
                  <w:vAlign w:val="center"/>
                </w:tcPr>
                <w:p w14:paraId="67308208">
                  <w:pPr>
                    <w:adjustRightInd w:val="0"/>
                    <w:snapToGrid w:val="0"/>
                    <w:jc w:val="center"/>
                    <w:rPr>
                      <w:szCs w:val="21"/>
                    </w:rPr>
                  </w:pPr>
                  <w:r>
                    <w:rPr>
                      <w:rFonts w:hint="eastAsia"/>
                      <w:szCs w:val="21"/>
                    </w:rPr>
                    <w:t>82</w:t>
                  </w:r>
                </w:p>
              </w:tc>
              <w:tc>
                <w:tcPr>
                  <w:tcW w:w="208" w:type="pct"/>
                  <w:vAlign w:val="center"/>
                </w:tcPr>
                <w:p w14:paraId="75D3368A">
                  <w:pPr>
                    <w:adjustRightInd w:val="0"/>
                    <w:snapToGrid w:val="0"/>
                    <w:jc w:val="center"/>
                    <w:rPr>
                      <w:szCs w:val="21"/>
                    </w:rPr>
                  </w:pPr>
                  <w:r>
                    <w:rPr>
                      <w:rFonts w:hint="eastAsia"/>
                      <w:szCs w:val="21"/>
                    </w:rPr>
                    <w:t>82</w:t>
                  </w:r>
                </w:p>
              </w:tc>
              <w:tc>
                <w:tcPr>
                  <w:tcW w:w="209" w:type="pct"/>
                  <w:vAlign w:val="center"/>
                </w:tcPr>
                <w:p w14:paraId="327A4577">
                  <w:pPr>
                    <w:adjustRightInd w:val="0"/>
                    <w:snapToGrid w:val="0"/>
                    <w:jc w:val="center"/>
                    <w:rPr>
                      <w:szCs w:val="21"/>
                    </w:rPr>
                  </w:pPr>
                  <w:r>
                    <w:rPr>
                      <w:rFonts w:hint="eastAsia"/>
                      <w:szCs w:val="21"/>
                    </w:rPr>
                    <w:t>14</w:t>
                  </w:r>
                </w:p>
              </w:tc>
              <w:tc>
                <w:tcPr>
                  <w:tcW w:w="209" w:type="pct"/>
                  <w:vAlign w:val="center"/>
                </w:tcPr>
                <w:p w14:paraId="0AAA6F48">
                  <w:pPr>
                    <w:adjustRightInd w:val="0"/>
                    <w:snapToGrid w:val="0"/>
                    <w:jc w:val="center"/>
                    <w:rPr>
                      <w:szCs w:val="21"/>
                    </w:rPr>
                  </w:pPr>
                  <w:r>
                    <w:rPr>
                      <w:rFonts w:hint="eastAsia"/>
                      <w:szCs w:val="21"/>
                    </w:rPr>
                    <w:t>80</w:t>
                  </w:r>
                </w:p>
              </w:tc>
              <w:tc>
                <w:tcPr>
                  <w:tcW w:w="210" w:type="pct"/>
                  <w:vAlign w:val="center"/>
                </w:tcPr>
                <w:p w14:paraId="52306E57">
                  <w:pPr>
                    <w:adjustRightInd w:val="0"/>
                    <w:snapToGrid w:val="0"/>
                    <w:jc w:val="center"/>
                    <w:rPr>
                      <w:szCs w:val="21"/>
                    </w:rPr>
                  </w:pPr>
                  <w:r>
                    <w:rPr>
                      <w:rFonts w:hint="eastAsia"/>
                      <w:szCs w:val="21"/>
                    </w:rPr>
                    <w:t>91</w:t>
                  </w:r>
                </w:p>
              </w:tc>
              <w:tc>
                <w:tcPr>
                  <w:tcW w:w="210" w:type="pct"/>
                  <w:vAlign w:val="center"/>
                </w:tcPr>
                <w:p w14:paraId="5F6C38B1">
                  <w:pPr>
                    <w:adjustRightInd w:val="0"/>
                    <w:snapToGrid w:val="0"/>
                    <w:jc w:val="center"/>
                    <w:rPr>
                      <w:szCs w:val="21"/>
                    </w:rPr>
                  </w:pPr>
                  <w:r>
                    <w:rPr>
                      <w:rFonts w:hint="eastAsia"/>
                      <w:szCs w:val="21"/>
                    </w:rPr>
                    <w:t>22</w:t>
                  </w:r>
                </w:p>
              </w:tc>
              <w:tc>
                <w:tcPr>
                  <w:tcW w:w="210" w:type="pct"/>
                  <w:vAlign w:val="center"/>
                </w:tcPr>
                <w:p w14:paraId="614E5823">
                  <w:pPr>
                    <w:adjustRightInd w:val="0"/>
                    <w:snapToGrid w:val="0"/>
                    <w:jc w:val="center"/>
                    <w:rPr>
                      <w:szCs w:val="21"/>
                    </w:rPr>
                  </w:pPr>
                  <w:r>
                    <w:rPr>
                      <w:rFonts w:hint="eastAsia"/>
                      <w:szCs w:val="21"/>
                    </w:rPr>
                    <w:t>67</w:t>
                  </w:r>
                </w:p>
              </w:tc>
              <w:tc>
                <w:tcPr>
                  <w:tcW w:w="208" w:type="pct"/>
                  <w:vAlign w:val="center"/>
                </w:tcPr>
                <w:p w14:paraId="380D7338">
                  <w:pPr>
                    <w:adjustRightInd w:val="0"/>
                    <w:snapToGrid w:val="0"/>
                    <w:jc w:val="center"/>
                    <w:rPr>
                      <w:szCs w:val="21"/>
                    </w:rPr>
                  </w:pPr>
                  <w:r>
                    <w:rPr>
                      <w:rFonts w:hint="eastAsia"/>
                      <w:szCs w:val="21"/>
                    </w:rPr>
                    <w:t>75</w:t>
                  </w:r>
                </w:p>
              </w:tc>
              <w:tc>
                <w:tcPr>
                  <w:tcW w:w="209" w:type="pct"/>
                  <w:vAlign w:val="center"/>
                </w:tcPr>
                <w:p w14:paraId="72DD419A">
                  <w:pPr>
                    <w:adjustRightInd w:val="0"/>
                    <w:snapToGrid w:val="0"/>
                    <w:jc w:val="center"/>
                    <w:rPr>
                      <w:szCs w:val="21"/>
                    </w:rPr>
                  </w:pPr>
                  <w:r>
                    <w:rPr>
                      <w:rFonts w:hint="eastAsia"/>
                      <w:szCs w:val="21"/>
                    </w:rPr>
                    <w:t>41</w:t>
                  </w:r>
                </w:p>
              </w:tc>
              <w:tc>
                <w:tcPr>
                  <w:tcW w:w="208" w:type="pct"/>
                  <w:gridSpan w:val="2"/>
                  <w:vAlign w:val="center"/>
                </w:tcPr>
                <w:p w14:paraId="5190FDE4">
                  <w:pPr>
                    <w:adjustRightInd w:val="0"/>
                    <w:snapToGrid w:val="0"/>
                    <w:jc w:val="center"/>
                    <w:rPr>
                      <w:szCs w:val="21"/>
                    </w:rPr>
                  </w:pPr>
                  <w:r>
                    <w:rPr>
                      <w:rFonts w:hint="eastAsia"/>
                      <w:szCs w:val="21"/>
                    </w:rPr>
                    <w:t>41</w:t>
                  </w:r>
                </w:p>
              </w:tc>
              <w:tc>
                <w:tcPr>
                  <w:tcW w:w="208" w:type="pct"/>
                  <w:vAlign w:val="center"/>
                </w:tcPr>
                <w:p w14:paraId="1C0FDB6B">
                  <w:pPr>
                    <w:adjustRightInd w:val="0"/>
                    <w:snapToGrid w:val="0"/>
                    <w:jc w:val="center"/>
                    <w:rPr>
                      <w:szCs w:val="21"/>
                    </w:rPr>
                  </w:pPr>
                  <w:r>
                    <w:rPr>
                      <w:rFonts w:hint="eastAsia"/>
                      <w:szCs w:val="21"/>
                    </w:rPr>
                    <w:t>11</w:t>
                  </w:r>
                </w:p>
              </w:tc>
              <w:tc>
                <w:tcPr>
                  <w:tcW w:w="200" w:type="pct"/>
                  <w:vAlign w:val="center"/>
                </w:tcPr>
                <w:p w14:paraId="6FB1AE1E">
                  <w:pPr>
                    <w:adjustRightInd w:val="0"/>
                    <w:snapToGrid w:val="0"/>
                    <w:jc w:val="center"/>
                    <w:rPr>
                      <w:szCs w:val="21"/>
                    </w:rPr>
                  </w:pPr>
                  <w:r>
                    <w:rPr>
                      <w:rFonts w:hint="eastAsia"/>
                      <w:szCs w:val="21"/>
                    </w:rPr>
                    <w:t>56</w:t>
                  </w:r>
                </w:p>
              </w:tc>
            </w:tr>
            <w:tr w14:paraId="61EA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gridSpan w:val="2"/>
                  <w:vMerge w:val="continue"/>
                  <w:vAlign w:val="center"/>
                </w:tcPr>
                <w:p w14:paraId="5B8F6C6E">
                  <w:pPr>
                    <w:adjustRightInd w:val="0"/>
                    <w:snapToGrid w:val="0"/>
                    <w:jc w:val="center"/>
                    <w:rPr>
                      <w:szCs w:val="21"/>
                    </w:rPr>
                  </w:pPr>
                </w:p>
              </w:tc>
              <w:tc>
                <w:tcPr>
                  <w:tcW w:w="158" w:type="pct"/>
                  <w:vAlign w:val="center"/>
                </w:tcPr>
                <w:p w14:paraId="45E69A2E">
                  <w:pPr>
                    <w:adjustRightInd w:val="0"/>
                    <w:snapToGrid w:val="0"/>
                    <w:jc w:val="center"/>
                    <w:rPr>
                      <w:szCs w:val="21"/>
                    </w:rPr>
                  </w:pPr>
                  <w:r>
                    <w:rPr>
                      <w:rFonts w:hint="eastAsia"/>
                      <w:szCs w:val="21"/>
                    </w:rPr>
                    <w:t>Z</w:t>
                  </w:r>
                </w:p>
              </w:tc>
              <w:tc>
                <w:tcPr>
                  <w:tcW w:w="208" w:type="pct"/>
                  <w:vAlign w:val="center"/>
                </w:tcPr>
                <w:p w14:paraId="3CA44E04">
                  <w:pPr>
                    <w:adjustRightInd w:val="0"/>
                    <w:snapToGrid w:val="0"/>
                    <w:jc w:val="center"/>
                    <w:rPr>
                      <w:szCs w:val="21"/>
                    </w:rPr>
                  </w:pPr>
                  <w:r>
                    <w:rPr>
                      <w:rFonts w:hint="eastAsia"/>
                      <w:szCs w:val="21"/>
                    </w:rPr>
                    <w:t>5</w:t>
                  </w:r>
                </w:p>
              </w:tc>
              <w:tc>
                <w:tcPr>
                  <w:tcW w:w="209" w:type="pct"/>
                  <w:vAlign w:val="center"/>
                </w:tcPr>
                <w:p w14:paraId="3D37BCBD">
                  <w:pPr>
                    <w:adjustRightInd w:val="0"/>
                    <w:snapToGrid w:val="0"/>
                    <w:jc w:val="center"/>
                    <w:rPr>
                      <w:szCs w:val="21"/>
                    </w:rPr>
                  </w:pPr>
                  <w:r>
                    <w:rPr>
                      <w:rFonts w:hint="eastAsia"/>
                      <w:szCs w:val="21"/>
                    </w:rPr>
                    <w:t>3</w:t>
                  </w:r>
                </w:p>
              </w:tc>
              <w:tc>
                <w:tcPr>
                  <w:tcW w:w="209" w:type="pct"/>
                  <w:vAlign w:val="center"/>
                </w:tcPr>
                <w:p w14:paraId="13AB4709">
                  <w:pPr>
                    <w:jc w:val="center"/>
                    <w:rPr>
                      <w:szCs w:val="21"/>
                    </w:rPr>
                  </w:pPr>
                  <w:r>
                    <w:rPr>
                      <w:rFonts w:hint="eastAsia"/>
                      <w:szCs w:val="21"/>
                    </w:rPr>
                    <w:t>3</w:t>
                  </w:r>
                </w:p>
              </w:tc>
              <w:tc>
                <w:tcPr>
                  <w:tcW w:w="208" w:type="pct"/>
                  <w:vAlign w:val="center"/>
                </w:tcPr>
                <w:p w14:paraId="22595797">
                  <w:pPr>
                    <w:adjustRightInd w:val="0"/>
                    <w:snapToGrid w:val="0"/>
                    <w:jc w:val="center"/>
                    <w:rPr>
                      <w:szCs w:val="21"/>
                    </w:rPr>
                  </w:pPr>
                  <w:r>
                    <w:rPr>
                      <w:rFonts w:hint="eastAsia"/>
                      <w:szCs w:val="21"/>
                    </w:rPr>
                    <w:t>3</w:t>
                  </w:r>
                </w:p>
              </w:tc>
              <w:tc>
                <w:tcPr>
                  <w:tcW w:w="209" w:type="pct"/>
                  <w:vAlign w:val="center"/>
                </w:tcPr>
                <w:p w14:paraId="1E72DB58">
                  <w:pPr>
                    <w:adjustRightInd w:val="0"/>
                    <w:snapToGrid w:val="0"/>
                    <w:jc w:val="center"/>
                    <w:rPr>
                      <w:szCs w:val="21"/>
                    </w:rPr>
                  </w:pPr>
                  <w:r>
                    <w:rPr>
                      <w:rFonts w:hint="eastAsia"/>
                      <w:szCs w:val="21"/>
                    </w:rPr>
                    <w:t>2</w:t>
                  </w:r>
                </w:p>
              </w:tc>
              <w:tc>
                <w:tcPr>
                  <w:tcW w:w="209" w:type="pct"/>
                  <w:vAlign w:val="center"/>
                </w:tcPr>
                <w:p w14:paraId="44B6B07D">
                  <w:pPr>
                    <w:adjustRightInd w:val="0"/>
                    <w:snapToGrid w:val="0"/>
                    <w:jc w:val="center"/>
                    <w:rPr>
                      <w:szCs w:val="21"/>
                    </w:rPr>
                  </w:pPr>
                  <w:r>
                    <w:rPr>
                      <w:rFonts w:hint="eastAsia"/>
                      <w:szCs w:val="21"/>
                    </w:rPr>
                    <w:t>2</w:t>
                  </w:r>
                </w:p>
              </w:tc>
              <w:tc>
                <w:tcPr>
                  <w:tcW w:w="209" w:type="pct"/>
                  <w:vAlign w:val="center"/>
                </w:tcPr>
                <w:p w14:paraId="4735804B">
                  <w:pPr>
                    <w:adjustRightInd w:val="0"/>
                    <w:snapToGrid w:val="0"/>
                    <w:jc w:val="center"/>
                    <w:rPr>
                      <w:szCs w:val="21"/>
                    </w:rPr>
                  </w:pPr>
                  <w:r>
                    <w:rPr>
                      <w:rFonts w:hint="eastAsia"/>
                      <w:szCs w:val="21"/>
                    </w:rPr>
                    <w:t>2</w:t>
                  </w:r>
                </w:p>
              </w:tc>
              <w:tc>
                <w:tcPr>
                  <w:tcW w:w="209" w:type="pct"/>
                  <w:vAlign w:val="center"/>
                </w:tcPr>
                <w:p w14:paraId="219EDA65">
                  <w:pPr>
                    <w:adjustRightInd w:val="0"/>
                    <w:snapToGrid w:val="0"/>
                    <w:jc w:val="center"/>
                    <w:rPr>
                      <w:szCs w:val="21"/>
                    </w:rPr>
                  </w:pPr>
                  <w:r>
                    <w:rPr>
                      <w:rFonts w:hint="eastAsia"/>
                      <w:szCs w:val="21"/>
                    </w:rPr>
                    <w:t>2</w:t>
                  </w:r>
                </w:p>
              </w:tc>
              <w:tc>
                <w:tcPr>
                  <w:tcW w:w="209" w:type="pct"/>
                  <w:vAlign w:val="center"/>
                </w:tcPr>
                <w:p w14:paraId="37327789">
                  <w:pPr>
                    <w:adjustRightInd w:val="0"/>
                    <w:snapToGrid w:val="0"/>
                    <w:jc w:val="center"/>
                    <w:rPr>
                      <w:szCs w:val="21"/>
                    </w:rPr>
                  </w:pPr>
                  <w:r>
                    <w:rPr>
                      <w:rFonts w:hint="eastAsia"/>
                      <w:szCs w:val="21"/>
                    </w:rPr>
                    <w:t>2</w:t>
                  </w:r>
                </w:p>
              </w:tc>
              <w:tc>
                <w:tcPr>
                  <w:tcW w:w="208" w:type="pct"/>
                  <w:vAlign w:val="center"/>
                </w:tcPr>
                <w:p w14:paraId="088D7B56">
                  <w:pPr>
                    <w:adjustRightInd w:val="0"/>
                    <w:snapToGrid w:val="0"/>
                    <w:jc w:val="center"/>
                    <w:rPr>
                      <w:szCs w:val="21"/>
                    </w:rPr>
                  </w:pPr>
                  <w:r>
                    <w:rPr>
                      <w:rFonts w:hint="eastAsia"/>
                      <w:szCs w:val="21"/>
                    </w:rPr>
                    <w:t>2</w:t>
                  </w:r>
                </w:p>
              </w:tc>
              <w:tc>
                <w:tcPr>
                  <w:tcW w:w="209" w:type="pct"/>
                  <w:vAlign w:val="center"/>
                </w:tcPr>
                <w:p w14:paraId="576409F1">
                  <w:pPr>
                    <w:adjustRightInd w:val="0"/>
                    <w:snapToGrid w:val="0"/>
                    <w:jc w:val="center"/>
                    <w:rPr>
                      <w:szCs w:val="21"/>
                    </w:rPr>
                  </w:pPr>
                  <w:r>
                    <w:rPr>
                      <w:rFonts w:hint="eastAsia"/>
                      <w:szCs w:val="21"/>
                    </w:rPr>
                    <w:t>2</w:t>
                  </w:r>
                </w:p>
              </w:tc>
              <w:tc>
                <w:tcPr>
                  <w:tcW w:w="208" w:type="pct"/>
                  <w:vAlign w:val="center"/>
                </w:tcPr>
                <w:p w14:paraId="6F57BE98">
                  <w:pPr>
                    <w:adjustRightInd w:val="0"/>
                    <w:snapToGrid w:val="0"/>
                    <w:jc w:val="center"/>
                    <w:rPr>
                      <w:szCs w:val="21"/>
                    </w:rPr>
                  </w:pPr>
                  <w:r>
                    <w:rPr>
                      <w:rFonts w:hint="eastAsia"/>
                      <w:szCs w:val="21"/>
                    </w:rPr>
                    <w:t>2</w:t>
                  </w:r>
                </w:p>
              </w:tc>
              <w:tc>
                <w:tcPr>
                  <w:tcW w:w="209" w:type="pct"/>
                  <w:vAlign w:val="center"/>
                </w:tcPr>
                <w:p w14:paraId="0AA3A96B">
                  <w:pPr>
                    <w:adjustRightInd w:val="0"/>
                    <w:snapToGrid w:val="0"/>
                    <w:jc w:val="center"/>
                    <w:rPr>
                      <w:szCs w:val="21"/>
                    </w:rPr>
                  </w:pPr>
                  <w:r>
                    <w:rPr>
                      <w:rFonts w:hint="eastAsia"/>
                      <w:szCs w:val="21"/>
                    </w:rPr>
                    <w:t>2</w:t>
                  </w:r>
                </w:p>
              </w:tc>
              <w:tc>
                <w:tcPr>
                  <w:tcW w:w="209" w:type="pct"/>
                  <w:vAlign w:val="center"/>
                </w:tcPr>
                <w:p w14:paraId="544F8F15">
                  <w:pPr>
                    <w:adjustRightInd w:val="0"/>
                    <w:snapToGrid w:val="0"/>
                    <w:jc w:val="center"/>
                    <w:rPr>
                      <w:szCs w:val="21"/>
                    </w:rPr>
                  </w:pPr>
                  <w:r>
                    <w:rPr>
                      <w:rFonts w:hint="eastAsia"/>
                      <w:szCs w:val="21"/>
                    </w:rPr>
                    <w:t>2</w:t>
                  </w:r>
                </w:p>
              </w:tc>
              <w:tc>
                <w:tcPr>
                  <w:tcW w:w="210" w:type="pct"/>
                  <w:vAlign w:val="center"/>
                </w:tcPr>
                <w:p w14:paraId="05F32F9D">
                  <w:pPr>
                    <w:adjustRightInd w:val="0"/>
                    <w:snapToGrid w:val="0"/>
                    <w:jc w:val="center"/>
                    <w:rPr>
                      <w:szCs w:val="21"/>
                    </w:rPr>
                  </w:pPr>
                  <w:r>
                    <w:rPr>
                      <w:rFonts w:hint="eastAsia"/>
                      <w:szCs w:val="21"/>
                    </w:rPr>
                    <w:t>0.5</w:t>
                  </w:r>
                </w:p>
              </w:tc>
              <w:tc>
                <w:tcPr>
                  <w:tcW w:w="210" w:type="pct"/>
                  <w:vAlign w:val="center"/>
                </w:tcPr>
                <w:p w14:paraId="7C434B33">
                  <w:pPr>
                    <w:adjustRightInd w:val="0"/>
                    <w:snapToGrid w:val="0"/>
                    <w:jc w:val="center"/>
                    <w:rPr>
                      <w:szCs w:val="21"/>
                    </w:rPr>
                  </w:pPr>
                  <w:r>
                    <w:rPr>
                      <w:rFonts w:hint="eastAsia"/>
                      <w:szCs w:val="21"/>
                    </w:rPr>
                    <w:t>0.3</w:t>
                  </w:r>
                </w:p>
              </w:tc>
              <w:tc>
                <w:tcPr>
                  <w:tcW w:w="210" w:type="pct"/>
                  <w:vAlign w:val="center"/>
                </w:tcPr>
                <w:p w14:paraId="27782154">
                  <w:pPr>
                    <w:adjustRightInd w:val="0"/>
                    <w:snapToGrid w:val="0"/>
                    <w:jc w:val="center"/>
                    <w:rPr>
                      <w:szCs w:val="21"/>
                    </w:rPr>
                  </w:pPr>
                  <w:r>
                    <w:rPr>
                      <w:rFonts w:hint="eastAsia"/>
                      <w:szCs w:val="21"/>
                    </w:rPr>
                    <w:t>0.3</w:t>
                  </w:r>
                </w:p>
              </w:tc>
              <w:tc>
                <w:tcPr>
                  <w:tcW w:w="208" w:type="pct"/>
                  <w:vAlign w:val="center"/>
                </w:tcPr>
                <w:p w14:paraId="74D9DC9B">
                  <w:pPr>
                    <w:adjustRightInd w:val="0"/>
                    <w:snapToGrid w:val="0"/>
                    <w:jc w:val="center"/>
                    <w:rPr>
                      <w:szCs w:val="21"/>
                    </w:rPr>
                  </w:pPr>
                  <w:r>
                    <w:rPr>
                      <w:rFonts w:hint="eastAsia"/>
                      <w:szCs w:val="21"/>
                    </w:rPr>
                    <w:t>0.3</w:t>
                  </w:r>
                </w:p>
              </w:tc>
              <w:tc>
                <w:tcPr>
                  <w:tcW w:w="209" w:type="pct"/>
                  <w:vAlign w:val="center"/>
                </w:tcPr>
                <w:p w14:paraId="61D5BD03">
                  <w:pPr>
                    <w:adjustRightInd w:val="0"/>
                    <w:snapToGrid w:val="0"/>
                    <w:jc w:val="center"/>
                    <w:rPr>
                      <w:szCs w:val="21"/>
                    </w:rPr>
                  </w:pPr>
                  <w:r>
                    <w:rPr>
                      <w:rFonts w:hint="eastAsia"/>
                      <w:szCs w:val="21"/>
                    </w:rPr>
                    <w:t>2</w:t>
                  </w:r>
                </w:p>
              </w:tc>
              <w:tc>
                <w:tcPr>
                  <w:tcW w:w="208" w:type="pct"/>
                  <w:gridSpan w:val="2"/>
                  <w:vAlign w:val="center"/>
                </w:tcPr>
                <w:p w14:paraId="220614F2">
                  <w:pPr>
                    <w:adjustRightInd w:val="0"/>
                    <w:snapToGrid w:val="0"/>
                    <w:jc w:val="center"/>
                    <w:rPr>
                      <w:szCs w:val="21"/>
                    </w:rPr>
                  </w:pPr>
                  <w:r>
                    <w:rPr>
                      <w:rFonts w:hint="eastAsia"/>
                      <w:szCs w:val="21"/>
                    </w:rPr>
                    <w:t>0.2</w:t>
                  </w:r>
                </w:p>
              </w:tc>
              <w:tc>
                <w:tcPr>
                  <w:tcW w:w="208" w:type="pct"/>
                  <w:vAlign w:val="center"/>
                </w:tcPr>
                <w:p w14:paraId="511CD7A8">
                  <w:pPr>
                    <w:adjustRightInd w:val="0"/>
                    <w:snapToGrid w:val="0"/>
                    <w:jc w:val="center"/>
                    <w:rPr>
                      <w:szCs w:val="21"/>
                    </w:rPr>
                  </w:pPr>
                  <w:r>
                    <w:rPr>
                      <w:rFonts w:hint="eastAsia"/>
                      <w:szCs w:val="21"/>
                    </w:rPr>
                    <w:t>0.2</w:t>
                  </w:r>
                </w:p>
              </w:tc>
              <w:tc>
                <w:tcPr>
                  <w:tcW w:w="200" w:type="pct"/>
                  <w:vAlign w:val="center"/>
                </w:tcPr>
                <w:p w14:paraId="663A25BC">
                  <w:pPr>
                    <w:adjustRightInd w:val="0"/>
                    <w:snapToGrid w:val="0"/>
                    <w:jc w:val="center"/>
                    <w:rPr>
                      <w:szCs w:val="21"/>
                    </w:rPr>
                  </w:pPr>
                  <w:r>
                    <w:rPr>
                      <w:rFonts w:hint="eastAsia"/>
                      <w:szCs w:val="21"/>
                    </w:rPr>
                    <w:t>0.2</w:t>
                  </w:r>
                </w:p>
              </w:tc>
            </w:tr>
            <w:tr w14:paraId="2DE4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1ACA565D">
                  <w:pPr>
                    <w:adjustRightInd w:val="0"/>
                    <w:snapToGrid w:val="0"/>
                    <w:jc w:val="center"/>
                    <w:rPr>
                      <w:szCs w:val="21"/>
                    </w:rPr>
                  </w:pPr>
                  <w:r>
                    <w:rPr>
                      <w:rFonts w:hint="eastAsia"/>
                      <w:szCs w:val="21"/>
                    </w:rPr>
                    <w:t>距室内边界距离/m</w:t>
                  </w:r>
                </w:p>
              </w:tc>
              <w:tc>
                <w:tcPr>
                  <w:tcW w:w="208" w:type="pct"/>
                  <w:vAlign w:val="center"/>
                </w:tcPr>
                <w:p w14:paraId="07777DBF">
                  <w:pPr>
                    <w:adjustRightInd w:val="0"/>
                    <w:snapToGrid w:val="0"/>
                    <w:jc w:val="center"/>
                    <w:rPr>
                      <w:szCs w:val="21"/>
                    </w:rPr>
                  </w:pPr>
                  <w:r>
                    <w:rPr>
                      <w:rFonts w:hint="eastAsia"/>
                      <w:szCs w:val="21"/>
                    </w:rPr>
                    <w:t>3.2</w:t>
                  </w:r>
                </w:p>
              </w:tc>
              <w:tc>
                <w:tcPr>
                  <w:tcW w:w="209" w:type="pct"/>
                  <w:vAlign w:val="center"/>
                </w:tcPr>
                <w:p w14:paraId="1D43A12D">
                  <w:pPr>
                    <w:adjustRightInd w:val="0"/>
                    <w:snapToGrid w:val="0"/>
                    <w:jc w:val="center"/>
                    <w:rPr>
                      <w:szCs w:val="21"/>
                    </w:rPr>
                  </w:pPr>
                  <w:r>
                    <w:rPr>
                      <w:rFonts w:hint="eastAsia"/>
                      <w:szCs w:val="21"/>
                    </w:rPr>
                    <w:t>11.5</w:t>
                  </w:r>
                </w:p>
              </w:tc>
              <w:tc>
                <w:tcPr>
                  <w:tcW w:w="209" w:type="pct"/>
                  <w:vAlign w:val="center"/>
                </w:tcPr>
                <w:p w14:paraId="016F4B84">
                  <w:pPr>
                    <w:adjustRightInd w:val="0"/>
                    <w:snapToGrid w:val="0"/>
                    <w:jc w:val="center"/>
                    <w:rPr>
                      <w:szCs w:val="21"/>
                    </w:rPr>
                  </w:pPr>
                  <w:r>
                    <w:rPr>
                      <w:rFonts w:hint="eastAsia"/>
                      <w:szCs w:val="21"/>
                    </w:rPr>
                    <w:t>3.6</w:t>
                  </w:r>
                </w:p>
              </w:tc>
              <w:tc>
                <w:tcPr>
                  <w:tcW w:w="208" w:type="pct"/>
                  <w:vAlign w:val="center"/>
                </w:tcPr>
                <w:p w14:paraId="65657DBC">
                  <w:pPr>
                    <w:adjustRightInd w:val="0"/>
                    <w:snapToGrid w:val="0"/>
                    <w:jc w:val="center"/>
                    <w:rPr>
                      <w:szCs w:val="21"/>
                    </w:rPr>
                  </w:pPr>
                  <w:r>
                    <w:rPr>
                      <w:rFonts w:hint="eastAsia"/>
                      <w:szCs w:val="21"/>
                    </w:rPr>
                    <w:t>4.6</w:t>
                  </w:r>
                </w:p>
              </w:tc>
              <w:tc>
                <w:tcPr>
                  <w:tcW w:w="209" w:type="pct"/>
                  <w:vAlign w:val="center"/>
                </w:tcPr>
                <w:p w14:paraId="2FB3059C">
                  <w:pPr>
                    <w:adjustRightInd w:val="0"/>
                    <w:snapToGrid w:val="0"/>
                    <w:jc w:val="center"/>
                    <w:rPr>
                      <w:szCs w:val="21"/>
                    </w:rPr>
                  </w:pPr>
                  <w:r>
                    <w:rPr>
                      <w:rFonts w:hint="eastAsia"/>
                      <w:szCs w:val="21"/>
                    </w:rPr>
                    <w:t>21.6</w:t>
                  </w:r>
                </w:p>
              </w:tc>
              <w:tc>
                <w:tcPr>
                  <w:tcW w:w="209" w:type="pct"/>
                  <w:vAlign w:val="center"/>
                </w:tcPr>
                <w:p w14:paraId="4A6559B6">
                  <w:pPr>
                    <w:adjustRightInd w:val="0"/>
                    <w:snapToGrid w:val="0"/>
                    <w:jc w:val="center"/>
                    <w:rPr>
                      <w:szCs w:val="21"/>
                    </w:rPr>
                  </w:pPr>
                  <w:r>
                    <w:rPr>
                      <w:rFonts w:hint="eastAsia"/>
                      <w:szCs w:val="21"/>
                    </w:rPr>
                    <w:t>22.1</w:t>
                  </w:r>
                </w:p>
              </w:tc>
              <w:tc>
                <w:tcPr>
                  <w:tcW w:w="209" w:type="pct"/>
                  <w:vAlign w:val="center"/>
                </w:tcPr>
                <w:p w14:paraId="2FA88D79">
                  <w:pPr>
                    <w:adjustRightInd w:val="0"/>
                    <w:snapToGrid w:val="0"/>
                    <w:jc w:val="center"/>
                    <w:rPr>
                      <w:szCs w:val="21"/>
                    </w:rPr>
                  </w:pPr>
                  <w:r>
                    <w:rPr>
                      <w:rFonts w:hint="eastAsia"/>
                      <w:szCs w:val="21"/>
                    </w:rPr>
                    <w:t>21.9</w:t>
                  </w:r>
                </w:p>
              </w:tc>
              <w:tc>
                <w:tcPr>
                  <w:tcW w:w="209" w:type="pct"/>
                  <w:vAlign w:val="center"/>
                </w:tcPr>
                <w:p w14:paraId="07001023">
                  <w:pPr>
                    <w:adjustRightInd w:val="0"/>
                    <w:snapToGrid w:val="0"/>
                    <w:jc w:val="center"/>
                    <w:rPr>
                      <w:szCs w:val="21"/>
                    </w:rPr>
                  </w:pPr>
                  <w:r>
                    <w:rPr>
                      <w:rFonts w:hint="eastAsia"/>
                      <w:szCs w:val="21"/>
                    </w:rPr>
                    <w:t>16.3</w:t>
                  </w:r>
                </w:p>
              </w:tc>
              <w:tc>
                <w:tcPr>
                  <w:tcW w:w="209" w:type="pct"/>
                  <w:vAlign w:val="center"/>
                </w:tcPr>
                <w:p w14:paraId="276CAD41">
                  <w:pPr>
                    <w:adjustRightInd w:val="0"/>
                    <w:snapToGrid w:val="0"/>
                    <w:jc w:val="center"/>
                    <w:rPr>
                      <w:szCs w:val="21"/>
                    </w:rPr>
                  </w:pPr>
                  <w:r>
                    <w:rPr>
                      <w:rFonts w:hint="eastAsia"/>
                      <w:szCs w:val="21"/>
                    </w:rPr>
                    <w:t>21.7</w:t>
                  </w:r>
                </w:p>
              </w:tc>
              <w:tc>
                <w:tcPr>
                  <w:tcW w:w="208" w:type="pct"/>
                  <w:vAlign w:val="center"/>
                </w:tcPr>
                <w:p w14:paraId="3D327BFC">
                  <w:pPr>
                    <w:adjustRightInd w:val="0"/>
                    <w:snapToGrid w:val="0"/>
                    <w:jc w:val="center"/>
                    <w:rPr>
                      <w:szCs w:val="21"/>
                    </w:rPr>
                  </w:pPr>
                  <w:r>
                    <w:rPr>
                      <w:rFonts w:hint="eastAsia"/>
                      <w:szCs w:val="21"/>
                    </w:rPr>
                    <w:t>21.7</w:t>
                  </w:r>
                </w:p>
              </w:tc>
              <w:tc>
                <w:tcPr>
                  <w:tcW w:w="209" w:type="pct"/>
                  <w:vAlign w:val="center"/>
                </w:tcPr>
                <w:p w14:paraId="015E5864">
                  <w:pPr>
                    <w:adjustRightInd w:val="0"/>
                    <w:snapToGrid w:val="0"/>
                    <w:jc w:val="center"/>
                    <w:rPr>
                      <w:szCs w:val="21"/>
                    </w:rPr>
                  </w:pPr>
                  <w:r>
                    <w:rPr>
                      <w:rFonts w:hint="eastAsia"/>
                      <w:szCs w:val="21"/>
                    </w:rPr>
                    <w:t>21.7</w:t>
                  </w:r>
                </w:p>
              </w:tc>
              <w:tc>
                <w:tcPr>
                  <w:tcW w:w="208" w:type="pct"/>
                  <w:vAlign w:val="center"/>
                </w:tcPr>
                <w:p w14:paraId="7487EEA4">
                  <w:pPr>
                    <w:adjustRightInd w:val="0"/>
                    <w:snapToGrid w:val="0"/>
                    <w:jc w:val="center"/>
                    <w:rPr>
                      <w:szCs w:val="21"/>
                    </w:rPr>
                  </w:pPr>
                  <w:r>
                    <w:rPr>
                      <w:rFonts w:hint="eastAsia"/>
                      <w:szCs w:val="21"/>
                    </w:rPr>
                    <w:t>15.0</w:t>
                  </w:r>
                </w:p>
              </w:tc>
              <w:tc>
                <w:tcPr>
                  <w:tcW w:w="209" w:type="pct"/>
                  <w:vAlign w:val="center"/>
                </w:tcPr>
                <w:p w14:paraId="1AB38912">
                  <w:pPr>
                    <w:adjustRightInd w:val="0"/>
                    <w:snapToGrid w:val="0"/>
                    <w:jc w:val="center"/>
                    <w:rPr>
                      <w:szCs w:val="21"/>
                    </w:rPr>
                  </w:pPr>
                  <w:r>
                    <w:rPr>
                      <w:rFonts w:hint="eastAsia"/>
                      <w:szCs w:val="21"/>
                    </w:rPr>
                    <w:t>11.3</w:t>
                  </w:r>
                </w:p>
              </w:tc>
              <w:tc>
                <w:tcPr>
                  <w:tcW w:w="209" w:type="pct"/>
                  <w:vAlign w:val="center"/>
                </w:tcPr>
                <w:p w14:paraId="6403EAAE">
                  <w:pPr>
                    <w:adjustRightInd w:val="0"/>
                    <w:snapToGrid w:val="0"/>
                    <w:jc w:val="center"/>
                    <w:rPr>
                      <w:szCs w:val="21"/>
                    </w:rPr>
                  </w:pPr>
                  <w:r>
                    <w:rPr>
                      <w:rFonts w:hint="eastAsia"/>
                      <w:szCs w:val="21"/>
                    </w:rPr>
                    <w:t>11.0</w:t>
                  </w:r>
                </w:p>
              </w:tc>
              <w:tc>
                <w:tcPr>
                  <w:tcW w:w="210" w:type="pct"/>
                  <w:vAlign w:val="center"/>
                </w:tcPr>
                <w:p w14:paraId="3F6CFB7F">
                  <w:pPr>
                    <w:adjustRightInd w:val="0"/>
                    <w:snapToGrid w:val="0"/>
                    <w:jc w:val="center"/>
                    <w:rPr>
                      <w:szCs w:val="21"/>
                    </w:rPr>
                  </w:pPr>
                  <w:r>
                    <w:rPr>
                      <w:rFonts w:hint="eastAsia"/>
                      <w:szCs w:val="21"/>
                    </w:rPr>
                    <w:t>11.3</w:t>
                  </w:r>
                </w:p>
              </w:tc>
              <w:tc>
                <w:tcPr>
                  <w:tcW w:w="210" w:type="pct"/>
                  <w:vAlign w:val="center"/>
                </w:tcPr>
                <w:p w14:paraId="6F860355">
                  <w:pPr>
                    <w:adjustRightInd w:val="0"/>
                    <w:snapToGrid w:val="0"/>
                    <w:jc w:val="center"/>
                    <w:rPr>
                      <w:szCs w:val="21"/>
                    </w:rPr>
                  </w:pPr>
                  <w:r>
                    <w:rPr>
                      <w:rFonts w:hint="eastAsia"/>
                      <w:szCs w:val="21"/>
                    </w:rPr>
                    <w:t>2.2</w:t>
                  </w:r>
                </w:p>
              </w:tc>
              <w:tc>
                <w:tcPr>
                  <w:tcW w:w="210" w:type="pct"/>
                  <w:vAlign w:val="center"/>
                </w:tcPr>
                <w:p w14:paraId="02C27617">
                  <w:pPr>
                    <w:adjustRightInd w:val="0"/>
                    <w:snapToGrid w:val="0"/>
                    <w:jc w:val="center"/>
                    <w:rPr>
                      <w:szCs w:val="21"/>
                    </w:rPr>
                  </w:pPr>
                  <w:r>
                    <w:rPr>
                      <w:rFonts w:hint="eastAsia"/>
                      <w:szCs w:val="21"/>
                    </w:rPr>
                    <w:t>8.1</w:t>
                  </w:r>
                </w:p>
              </w:tc>
              <w:tc>
                <w:tcPr>
                  <w:tcW w:w="208" w:type="pct"/>
                  <w:vAlign w:val="center"/>
                </w:tcPr>
                <w:p w14:paraId="4A95B3FD">
                  <w:pPr>
                    <w:adjustRightInd w:val="0"/>
                    <w:snapToGrid w:val="0"/>
                    <w:jc w:val="center"/>
                    <w:rPr>
                      <w:szCs w:val="21"/>
                    </w:rPr>
                  </w:pPr>
                  <w:r>
                    <w:rPr>
                      <w:rFonts w:hint="eastAsia"/>
                      <w:szCs w:val="21"/>
                    </w:rPr>
                    <w:t>7.5</w:t>
                  </w:r>
                </w:p>
              </w:tc>
              <w:tc>
                <w:tcPr>
                  <w:tcW w:w="209" w:type="pct"/>
                  <w:vAlign w:val="center"/>
                </w:tcPr>
                <w:p w14:paraId="03FD54B3">
                  <w:pPr>
                    <w:adjustRightInd w:val="0"/>
                    <w:snapToGrid w:val="0"/>
                    <w:jc w:val="center"/>
                    <w:rPr>
                      <w:szCs w:val="21"/>
                    </w:rPr>
                  </w:pPr>
                  <w:r>
                    <w:rPr>
                      <w:rFonts w:hint="eastAsia"/>
                      <w:szCs w:val="21"/>
                    </w:rPr>
                    <w:t>3.6</w:t>
                  </w:r>
                </w:p>
              </w:tc>
              <w:tc>
                <w:tcPr>
                  <w:tcW w:w="208" w:type="pct"/>
                  <w:gridSpan w:val="2"/>
                  <w:vAlign w:val="center"/>
                </w:tcPr>
                <w:p w14:paraId="600F3914">
                  <w:pPr>
                    <w:adjustRightInd w:val="0"/>
                    <w:snapToGrid w:val="0"/>
                    <w:jc w:val="center"/>
                    <w:rPr>
                      <w:szCs w:val="21"/>
                    </w:rPr>
                  </w:pPr>
                  <w:r>
                    <w:rPr>
                      <w:rFonts w:hint="eastAsia"/>
                      <w:szCs w:val="21"/>
                    </w:rPr>
                    <w:t>3.5</w:t>
                  </w:r>
                </w:p>
              </w:tc>
              <w:tc>
                <w:tcPr>
                  <w:tcW w:w="208" w:type="pct"/>
                  <w:vAlign w:val="center"/>
                </w:tcPr>
                <w:p w14:paraId="5F93D9D1">
                  <w:pPr>
                    <w:adjustRightInd w:val="0"/>
                    <w:snapToGrid w:val="0"/>
                    <w:jc w:val="center"/>
                    <w:rPr>
                      <w:szCs w:val="21"/>
                    </w:rPr>
                  </w:pPr>
                  <w:r>
                    <w:rPr>
                      <w:rFonts w:hint="eastAsia"/>
                      <w:szCs w:val="21"/>
                    </w:rPr>
                    <w:t>1.9</w:t>
                  </w:r>
                </w:p>
              </w:tc>
              <w:tc>
                <w:tcPr>
                  <w:tcW w:w="200" w:type="pct"/>
                  <w:vAlign w:val="center"/>
                </w:tcPr>
                <w:p w14:paraId="1B64231D">
                  <w:pPr>
                    <w:adjustRightInd w:val="0"/>
                    <w:snapToGrid w:val="0"/>
                    <w:jc w:val="center"/>
                    <w:rPr>
                      <w:szCs w:val="21"/>
                    </w:rPr>
                  </w:pPr>
                  <w:r>
                    <w:rPr>
                      <w:rFonts w:hint="eastAsia"/>
                      <w:szCs w:val="21"/>
                    </w:rPr>
                    <w:t>3.7</w:t>
                  </w:r>
                </w:p>
              </w:tc>
            </w:tr>
            <w:tr w14:paraId="44B4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4C65C12D">
                  <w:pPr>
                    <w:pStyle w:val="16"/>
                    <w:ind w:left="0" w:leftChars="0"/>
                    <w:jc w:val="center"/>
                    <w:rPr>
                      <w:szCs w:val="21"/>
                    </w:rPr>
                  </w:pPr>
                  <w:r>
                    <w:rPr>
                      <w:rFonts w:hint="eastAsia"/>
                      <w:szCs w:val="21"/>
                    </w:rPr>
                    <w:t>室内边界声级/</w:t>
                  </w:r>
                  <w:r>
                    <w:rPr>
                      <w:rFonts w:hint="eastAsia"/>
                      <w:smallCaps w:val="0"/>
                      <w:szCs w:val="21"/>
                    </w:rPr>
                    <w:t>d</w:t>
                  </w:r>
                  <w:r>
                    <w:rPr>
                      <w:rFonts w:hint="eastAsia"/>
                      <w:szCs w:val="21"/>
                    </w:rPr>
                    <w:t>B（A）</w:t>
                  </w:r>
                </w:p>
              </w:tc>
              <w:tc>
                <w:tcPr>
                  <w:tcW w:w="208" w:type="pct"/>
                  <w:vAlign w:val="center"/>
                </w:tcPr>
                <w:p w14:paraId="7B498835">
                  <w:pPr>
                    <w:adjustRightInd w:val="0"/>
                    <w:snapToGrid w:val="0"/>
                    <w:jc w:val="center"/>
                    <w:rPr>
                      <w:szCs w:val="21"/>
                    </w:rPr>
                  </w:pPr>
                  <w:r>
                    <w:rPr>
                      <w:rFonts w:hint="eastAsia"/>
                      <w:szCs w:val="21"/>
                    </w:rPr>
                    <w:t>60</w:t>
                  </w:r>
                </w:p>
              </w:tc>
              <w:tc>
                <w:tcPr>
                  <w:tcW w:w="209" w:type="pct"/>
                  <w:vAlign w:val="center"/>
                </w:tcPr>
                <w:p w14:paraId="5A5C6AD3">
                  <w:pPr>
                    <w:adjustRightInd w:val="0"/>
                    <w:snapToGrid w:val="0"/>
                    <w:jc w:val="center"/>
                    <w:rPr>
                      <w:szCs w:val="21"/>
                    </w:rPr>
                  </w:pPr>
                  <w:r>
                    <w:rPr>
                      <w:rFonts w:hint="eastAsia"/>
                      <w:szCs w:val="21"/>
                    </w:rPr>
                    <w:t>60</w:t>
                  </w:r>
                </w:p>
              </w:tc>
              <w:tc>
                <w:tcPr>
                  <w:tcW w:w="209" w:type="pct"/>
                  <w:vAlign w:val="center"/>
                </w:tcPr>
                <w:p w14:paraId="44CDE30F">
                  <w:pPr>
                    <w:adjustRightInd w:val="0"/>
                    <w:snapToGrid w:val="0"/>
                    <w:jc w:val="center"/>
                    <w:rPr>
                      <w:szCs w:val="21"/>
                    </w:rPr>
                  </w:pPr>
                  <w:r>
                    <w:rPr>
                      <w:rFonts w:hint="eastAsia"/>
                      <w:szCs w:val="21"/>
                    </w:rPr>
                    <w:t>65</w:t>
                  </w:r>
                </w:p>
              </w:tc>
              <w:tc>
                <w:tcPr>
                  <w:tcW w:w="208" w:type="pct"/>
                  <w:vAlign w:val="center"/>
                </w:tcPr>
                <w:p w14:paraId="7762601D">
                  <w:pPr>
                    <w:adjustRightInd w:val="0"/>
                    <w:snapToGrid w:val="0"/>
                    <w:jc w:val="center"/>
                    <w:rPr>
                      <w:szCs w:val="21"/>
                    </w:rPr>
                  </w:pPr>
                  <w:r>
                    <w:rPr>
                      <w:rFonts w:hint="eastAsia"/>
                      <w:szCs w:val="21"/>
                    </w:rPr>
                    <w:t>65</w:t>
                  </w:r>
                </w:p>
              </w:tc>
              <w:tc>
                <w:tcPr>
                  <w:tcW w:w="209" w:type="pct"/>
                  <w:vAlign w:val="center"/>
                </w:tcPr>
                <w:p w14:paraId="52124621">
                  <w:pPr>
                    <w:adjustRightInd w:val="0"/>
                    <w:snapToGrid w:val="0"/>
                    <w:jc w:val="center"/>
                    <w:rPr>
                      <w:szCs w:val="21"/>
                    </w:rPr>
                  </w:pPr>
                  <w:r>
                    <w:rPr>
                      <w:rFonts w:hint="eastAsia"/>
                      <w:szCs w:val="21"/>
                    </w:rPr>
                    <w:t>60</w:t>
                  </w:r>
                </w:p>
              </w:tc>
              <w:tc>
                <w:tcPr>
                  <w:tcW w:w="209" w:type="pct"/>
                  <w:vAlign w:val="center"/>
                </w:tcPr>
                <w:p w14:paraId="3569ACDB">
                  <w:pPr>
                    <w:adjustRightInd w:val="0"/>
                    <w:snapToGrid w:val="0"/>
                    <w:jc w:val="center"/>
                    <w:rPr>
                      <w:szCs w:val="21"/>
                    </w:rPr>
                  </w:pPr>
                  <w:r>
                    <w:rPr>
                      <w:rFonts w:hint="eastAsia"/>
                      <w:szCs w:val="21"/>
                    </w:rPr>
                    <w:t>65</w:t>
                  </w:r>
                </w:p>
              </w:tc>
              <w:tc>
                <w:tcPr>
                  <w:tcW w:w="209" w:type="pct"/>
                  <w:vAlign w:val="center"/>
                </w:tcPr>
                <w:p w14:paraId="7937A4EB">
                  <w:pPr>
                    <w:adjustRightInd w:val="0"/>
                    <w:snapToGrid w:val="0"/>
                    <w:jc w:val="center"/>
                    <w:rPr>
                      <w:szCs w:val="21"/>
                    </w:rPr>
                  </w:pPr>
                  <w:r>
                    <w:rPr>
                      <w:rFonts w:hint="eastAsia"/>
                      <w:szCs w:val="21"/>
                    </w:rPr>
                    <w:t>65</w:t>
                  </w:r>
                </w:p>
              </w:tc>
              <w:tc>
                <w:tcPr>
                  <w:tcW w:w="209" w:type="pct"/>
                  <w:vAlign w:val="center"/>
                </w:tcPr>
                <w:p w14:paraId="15F83941">
                  <w:pPr>
                    <w:adjustRightInd w:val="0"/>
                    <w:snapToGrid w:val="0"/>
                    <w:jc w:val="center"/>
                    <w:rPr>
                      <w:szCs w:val="21"/>
                    </w:rPr>
                  </w:pPr>
                  <w:r>
                    <w:rPr>
                      <w:rFonts w:hint="eastAsia"/>
                      <w:szCs w:val="21"/>
                    </w:rPr>
                    <w:t>65</w:t>
                  </w:r>
                </w:p>
              </w:tc>
              <w:tc>
                <w:tcPr>
                  <w:tcW w:w="209" w:type="pct"/>
                  <w:vAlign w:val="center"/>
                </w:tcPr>
                <w:p w14:paraId="553C4060">
                  <w:pPr>
                    <w:adjustRightInd w:val="0"/>
                    <w:snapToGrid w:val="0"/>
                    <w:jc w:val="center"/>
                    <w:rPr>
                      <w:szCs w:val="21"/>
                    </w:rPr>
                  </w:pPr>
                  <w:r>
                    <w:rPr>
                      <w:rFonts w:hint="eastAsia"/>
                      <w:szCs w:val="21"/>
                    </w:rPr>
                    <w:t>65</w:t>
                  </w:r>
                </w:p>
              </w:tc>
              <w:tc>
                <w:tcPr>
                  <w:tcW w:w="208" w:type="pct"/>
                  <w:vAlign w:val="center"/>
                </w:tcPr>
                <w:p w14:paraId="71D8754B">
                  <w:pPr>
                    <w:adjustRightInd w:val="0"/>
                    <w:snapToGrid w:val="0"/>
                    <w:jc w:val="center"/>
                    <w:rPr>
                      <w:szCs w:val="21"/>
                    </w:rPr>
                  </w:pPr>
                  <w:r>
                    <w:rPr>
                      <w:rFonts w:hint="eastAsia"/>
                      <w:szCs w:val="21"/>
                    </w:rPr>
                    <w:t>60</w:t>
                  </w:r>
                </w:p>
              </w:tc>
              <w:tc>
                <w:tcPr>
                  <w:tcW w:w="209" w:type="pct"/>
                  <w:vAlign w:val="center"/>
                </w:tcPr>
                <w:p w14:paraId="01FF5A63">
                  <w:pPr>
                    <w:adjustRightInd w:val="0"/>
                    <w:snapToGrid w:val="0"/>
                    <w:jc w:val="center"/>
                    <w:rPr>
                      <w:szCs w:val="21"/>
                    </w:rPr>
                  </w:pPr>
                  <w:r>
                    <w:rPr>
                      <w:rFonts w:hint="eastAsia"/>
                      <w:szCs w:val="21"/>
                    </w:rPr>
                    <w:t>60</w:t>
                  </w:r>
                </w:p>
              </w:tc>
              <w:tc>
                <w:tcPr>
                  <w:tcW w:w="208" w:type="pct"/>
                  <w:vAlign w:val="center"/>
                </w:tcPr>
                <w:p w14:paraId="2E71F6C9">
                  <w:pPr>
                    <w:adjustRightInd w:val="0"/>
                    <w:snapToGrid w:val="0"/>
                    <w:jc w:val="center"/>
                    <w:rPr>
                      <w:szCs w:val="21"/>
                    </w:rPr>
                  </w:pPr>
                  <w:r>
                    <w:rPr>
                      <w:rFonts w:hint="eastAsia"/>
                      <w:szCs w:val="21"/>
                    </w:rPr>
                    <w:t>65</w:t>
                  </w:r>
                </w:p>
              </w:tc>
              <w:tc>
                <w:tcPr>
                  <w:tcW w:w="209" w:type="pct"/>
                  <w:vAlign w:val="center"/>
                </w:tcPr>
                <w:p w14:paraId="425A2C3A">
                  <w:pPr>
                    <w:adjustRightInd w:val="0"/>
                    <w:snapToGrid w:val="0"/>
                    <w:jc w:val="center"/>
                    <w:rPr>
                      <w:szCs w:val="21"/>
                    </w:rPr>
                  </w:pPr>
                  <w:r>
                    <w:rPr>
                      <w:rFonts w:hint="eastAsia"/>
                      <w:szCs w:val="21"/>
                    </w:rPr>
                    <w:t>65</w:t>
                  </w:r>
                </w:p>
              </w:tc>
              <w:tc>
                <w:tcPr>
                  <w:tcW w:w="209" w:type="pct"/>
                  <w:vAlign w:val="center"/>
                </w:tcPr>
                <w:p w14:paraId="45FEBA0E">
                  <w:pPr>
                    <w:adjustRightInd w:val="0"/>
                    <w:snapToGrid w:val="0"/>
                    <w:jc w:val="center"/>
                    <w:rPr>
                      <w:szCs w:val="21"/>
                    </w:rPr>
                  </w:pPr>
                  <w:r>
                    <w:rPr>
                      <w:rFonts w:hint="eastAsia"/>
                      <w:szCs w:val="21"/>
                    </w:rPr>
                    <w:t>65</w:t>
                  </w:r>
                </w:p>
              </w:tc>
              <w:tc>
                <w:tcPr>
                  <w:tcW w:w="210" w:type="pct"/>
                  <w:vAlign w:val="center"/>
                </w:tcPr>
                <w:p w14:paraId="575E4359">
                  <w:pPr>
                    <w:adjustRightInd w:val="0"/>
                    <w:snapToGrid w:val="0"/>
                    <w:jc w:val="center"/>
                    <w:rPr>
                      <w:szCs w:val="21"/>
                    </w:rPr>
                  </w:pPr>
                  <w:r>
                    <w:rPr>
                      <w:rFonts w:hint="eastAsia"/>
                      <w:szCs w:val="21"/>
                    </w:rPr>
                    <w:t>65</w:t>
                  </w:r>
                </w:p>
              </w:tc>
              <w:tc>
                <w:tcPr>
                  <w:tcW w:w="210" w:type="pct"/>
                  <w:vAlign w:val="center"/>
                </w:tcPr>
                <w:p w14:paraId="16BD8531">
                  <w:pPr>
                    <w:adjustRightInd w:val="0"/>
                    <w:snapToGrid w:val="0"/>
                    <w:jc w:val="center"/>
                    <w:rPr>
                      <w:szCs w:val="21"/>
                    </w:rPr>
                  </w:pPr>
                  <w:r>
                    <w:rPr>
                      <w:rFonts w:hint="eastAsia"/>
                      <w:szCs w:val="21"/>
                    </w:rPr>
                    <w:t>70</w:t>
                  </w:r>
                </w:p>
              </w:tc>
              <w:tc>
                <w:tcPr>
                  <w:tcW w:w="210" w:type="pct"/>
                  <w:vAlign w:val="center"/>
                </w:tcPr>
                <w:p w14:paraId="01235240">
                  <w:pPr>
                    <w:adjustRightInd w:val="0"/>
                    <w:snapToGrid w:val="0"/>
                    <w:jc w:val="center"/>
                    <w:rPr>
                      <w:szCs w:val="21"/>
                    </w:rPr>
                  </w:pPr>
                  <w:r>
                    <w:rPr>
                      <w:rFonts w:hint="eastAsia"/>
                      <w:szCs w:val="21"/>
                    </w:rPr>
                    <w:t>70</w:t>
                  </w:r>
                </w:p>
              </w:tc>
              <w:tc>
                <w:tcPr>
                  <w:tcW w:w="208" w:type="pct"/>
                  <w:vAlign w:val="center"/>
                </w:tcPr>
                <w:p w14:paraId="04492810">
                  <w:pPr>
                    <w:adjustRightInd w:val="0"/>
                    <w:snapToGrid w:val="0"/>
                    <w:jc w:val="center"/>
                    <w:rPr>
                      <w:szCs w:val="21"/>
                    </w:rPr>
                  </w:pPr>
                  <w:r>
                    <w:rPr>
                      <w:rFonts w:hint="eastAsia"/>
                      <w:szCs w:val="21"/>
                    </w:rPr>
                    <w:t>70</w:t>
                  </w:r>
                </w:p>
              </w:tc>
              <w:tc>
                <w:tcPr>
                  <w:tcW w:w="209" w:type="pct"/>
                  <w:vAlign w:val="center"/>
                </w:tcPr>
                <w:p w14:paraId="7995D550">
                  <w:pPr>
                    <w:adjustRightInd w:val="0"/>
                    <w:snapToGrid w:val="0"/>
                    <w:jc w:val="center"/>
                    <w:rPr>
                      <w:szCs w:val="21"/>
                    </w:rPr>
                  </w:pPr>
                  <w:r>
                    <w:rPr>
                      <w:rFonts w:hint="eastAsia"/>
                      <w:szCs w:val="21"/>
                    </w:rPr>
                    <w:t>70</w:t>
                  </w:r>
                </w:p>
              </w:tc>
              <w:tc>
                <w:tcPr>
                  <w:tcW w:w="208" w:type="pct"/>
                  <w:gridSpan w:val="2"/>
                  <w:vAlign w:val="center"/>
                </w:tcPr>
                <w:p w14:paraId="4969D9EF">
                  <w:pPr>
                    <w:adjustRightInd w:val="0"/>
                    <w:snapToGrid w:val="0"/>
                    <w:jc w:val="center"/>
                    <w:rPr>
                      <w:szCs w:val="21"/>
                    </w:rPr>
                  </w:pPr>
                  <w:r>
                    <w:rPr>
                      <w:rFonts w:hint="eastAsia"/>
                      <w:szCs w:val="21"/>
                    </w:rPr>
                    <w:t>70</w:t>
                  </w:r>
                </w:p>
              </w:tc>
              <w:tc>
                <w:tcPr>
                  <w:tcW w:w="208" w:type="pct"/>
                  <w:vAlign w:val="center"/>
                </w:tcPr>
                <w:p w14:paraId="3B943B73">
                  <w:pPr>
                    <w:adjustRightInd w:val="0"/>
                    <w:snapToGrid w:val="0"/>
                    <w:jc w:val="center"/>
                    <w:rPr>
                      <w:szCs w:val="21"/>
                    </w:rPr>
                  </w:pPr>
                  <w:r>
                    <w:rPr>
                      <w:rFonts w:hint="eastAsia"/>
                      <w:szCs w:val="21"/>
                    </w:rPr>
                    <w:t>70</w:t>
                  </w:r>
                </w:p>
              </w:tc>
              <w:tc>
                <w:tcPr>
                  <w:tcW w:w="200" w:type="pct"/>
                  <w:vAlign w:val="center"/>
                </w:tcPr>
                <w:p w14:paraId="333DFF2B">
                  <w:pPr>
                    <w:adjustRightInd w:val="0"/>
                    <w:snapToGrid w:val="0"/>
                    <w:jc w:val="center"/>
                    <w:rPr>
                      <w:szCs w:val="21"/>
                    </w:rPr>
                  </w:pPr>
                  <w:r>
                    <w:rPr>
                      <w:rFonts w:hint="eastAsia"/>
                      <w:szCs w:val="21"/>
                    </w:rPr>
                    <w:t>70</w:t>
                  </w:r>
                </w:p>
              </w:tc>
            </w:tr>
            <w:tr w14:paraId="3894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30209E1F">
                  <w:pPr>
                    <w:adjustRightInd w:val="0"/>
                    <w:snapToGrid w:val="0"/>
                    <w:jc w:val="center"/>
                    <w:rPr>
                      <w:szCs w:val="21"/>
                    </w:rPr>
                  </w:pPr>
                  <w:r>
                    <w:rPr>
                      <w:rFonts w:hint="eastAsia"/>
                      <w:szCs w:val="21"/>
                    </w:rPr>
                    <w:t>运行时段</w:t>
                  </w:r>
                </w:p>
              </w:tc>
              <w:tc>
                <w:tcPr>
                  <w:tcW w:w="208" w:type="pct"/>
                </w:tcPr>
                <w:p w14:paraId="6A3ECB6F">
                  <w:pPr>
                    <w:adjustRightInd w:val="0"/>
                    <w:snapToGrid w:val="0"/>
                    <w:jc w:val="center"/>
                    <w:rPr>
                      <w:szCs w:val="21"/>
                    </w:rPr>
                  </w:pPr>
                </w:p>
              </w:tc>
              <w:tc>
                <w:tcPr>
                  <w:tcW w:w="4378" w:type="pct"/>
                  <w:gridSpan w:val="22"/>
                  <w:vAlign w:val="center"/>
                </w:tcPr>
                <w:p w14:paraId="40920BFA">
                  <w:pPr>
                    <w:adjustRightInd w:val="0"/>
                    <w:snapToGrid w:val="0"/>
                    <w:jc w:val="center"/>
                    <w:rPr>
                      <w:szCs w:val="21"/>
                    </w:rPr>
                  </w:pPr>
                  <w:r>
                    <w:rPr>
                      <w:rFonts w:hint="eastAsia"/>
                      <w:szCs w:val="21"/>
                    </w:rPr>
                    <w:t>8:30-17:30</w:t>
                  </w:r>
                </w:p>
              </w:tc>
            </w:tr>
            <w:tr w14:paraId="1A83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gridSpan w:val="3"/>
                  <w:vAlign w:val="center"/>
                </w:tcPr>
                <w:p w14:paraId="261066AF">
                  <w:pPr>
                    <w:adjustRightInd w:val="0"/>
                    <w:snapToGrid w:val="0"/>
                    <w:jc w:val="center"/>
                    <w:rPr>
                      <w:szCs w:val="21"/>
                    </w:rPr>
                  </w:pPr>
                  <w:r>
                    <w:rPr>
                      <w:rFonts w:hint="eastAsia"/>
                      <w:szCs w:val="21"/>
                    </w:rPr>
                    <w:t>建筑物插入损失/d</w:t>
                  </w:r>
                  <w:r>
                    <w:rPr>
                      <w:rFonts w:hint="eastAsia"/>
                      <w:smallCaps/>
                      <w:szCs w:val="21"/>
                    </w:rPr>
                    <w:t>B</w:t>
                  </w:r>
                  <w:r>
                    <w:rPr>
                      <w:rFonts w:hint="eastAsia"/>
                      <w:szCs w:val="21"/>
                    </w:rPr>
                    <w:t>（A</w:t>
                  </w:r>
                </w:p>
              </w:tc>
              <w:tc>
                <w:tcPr>
                  <w:tcW w:w="208" w:type="pct"/>
                  <w:vAlign w:val="center"/>
                </w:tcPr>
                <w:p w14:paraId="4A08AC43">
                  <w:pPr>
                    <w:adjustRightInd w:val="0"/>
                    <w:snapToGrid w:val="0"/>
                    <w:jc w:val="center"/>
                    <w:rPr>
                      <w:szCs w:val="21"/>
                    </w:rPr>
                  </w:pPr>
                  <w:r>
                    <w:rPr>
                      <w:rFonts w:hint="eastAsia"/>
                      <w:szCs w:val="21"/>
                    </w:rPr>
                    <w:t>20</w:t>
                  </w:r>
                </w:p>
              </w:tc>
              <w:tc>
                <w:tcPr>
                  <w:tcW w:w="209" w:type="pct"/>
                  <w:vAlign w:val="center"/>
                </w:tcPr>
                <w:p w14:paraId="086D7769">
                  <w:pPr>
                    <w:adjustRightInd w:val="0"/>
                    <w:snapToGrid w:val="0"/>
                    <w:jc w:val="center"/>
                    <w:rPr>
                      <w:szCs w:val="21"/>
                    </w:rPr>
                  </w:pPr>
                  <w:r>
                    <w:rPr>
                      <w:rFonts w:hint="eastAsia"/>
                      <w:szCs w:val="21"/>
                    </w:rPr>
                    <w:t>20</w:t>
                  </w:r>
                </w:p>
              </w:tc>
              <w:tc>
                <w:tcPr>
                  <w:tcW w:w="209" w:type="pct"/>
                  <w:vAlign w:val="center"/>
                </w:tcPr>
                <w:p w14:paraId="04BED4DD">
                  <w:pPr>
                    <w:adjustRightInd w:val="0"/>
                    <w:snapToGrid w:val="0"/>
                    <w:jc w:val="center"/>
                    <w:rPr>
                      <w:szCs w:val="21"/>
                    </w:rPr>
                  </w:pPr>
                  <w:r>
                    <w:rPr>
                      <w:rFonts w:hint="eastAsia"/>
                      <w:szCs w:val="21"/>
                    </w:rPr>
                    <w:t>20</w:t>
                  </w:r>
                </w:p>
              </w:tc>
              <w:tc>
                <w:tcPr>
                  <w:tcW w:w="208" w:type="pct"/>
                  <w:vAlign w:val="center"/>
                </w:tcPr>
                <w:p w14:paraId="1DF20F27">
                  <w:pPr>
                    <w:adjustRightInd w:val="0"/>
                    <w:snapToGrid w:val="0"/>
                    <w:jc w:val="center"/>
                    <w:rPr>
                      <w:szCs w:val="21"/>
                    </w:rPr>
                  </w:pPr>
                  <w:r>
                    <w:rPr>
                      <w:rFonts w:hint="eastAsia"/>
                      <w:szCs w:val="21"/>
                    </w:rPr>
                    <w:t>20</w:t>
                  </w:r>
                </w:p>
              </w:tc>
              <w:tc>
                <w:tcPr>
                  <w:tcW w:w="209" w:type="pct"/>
                  <w:vAlign w:val="center"/>
                </w:tcPr>
                <w:p w14:paraId="28AAF724">
                  <w:pPr>
                    <w:adjustRightInd w:val="0"/>
                    <w:snapToGrid w:val="0"/>
                    <w:jc w:val="center"/>
                    <w:rPr>
                      <w:szCs w:val="21"/>
                    </w:rPr>
                  </w:pPr>
                  <w:r>
                    <w:rPr>
                      <w:rFonts w:hint="eastAsia"/>
                      <w:szCs w:val="21"/>
                    </w:rPr>
                    <w:t>20</w:t>
                  </w:r>
                </w:p>
              </w:tc>
              <w:tc>
                <w:tcPr>
                  <w:tcW w:w="209" w:type="pct"/>
                  <w:vAlign w:val="center"/>
                </w:tcPr>
                <w:p w14:paraId="7895130D">
                  <w:pPr>
                    <w:adjustRightInd w:val="0"/>
                    <w:snapToGrid w:val="0"/>
                    <w:jc w:val="center"/>
                    <w:rPr>
                      <w:szCs w:val="21"/>
                    </w:rPr>
                  </w:pPr>
                  <w:r>
                    <w:rPr>
                      <w:rFonts w:hint="eastAsia"/>
                      <w:szCs w:val="21"/>
                    </w:rPr>
                    <w:t>20</w:t>
                  </w:r>
                </w:p>
              </w:tc>
              <w:tc>
                <w:tcPr>
                  <w:tcW w:w="209" w:type="pct"/>
                  <w:vAlign w:val="center"/>
                </w:tcPr>
                <w:p w14:paraId="334B7759">
                  <w:pPr>
                    <w:adjustRightInd w:val="0"/>
                    <w:snapToGrid w:val="0"/>
                    <w:jc w:val="center"/>
                    <w:rPr>
                      <w:szCs w:val="21"/>
                    </w:rPr>
                  </w:pPr>
                  <w:r>
                    <w:rPr>
                      <w:rFonts w:hint="eastAsia"/>
                      <w:szCs w:val="21"/>
                    </w:rPr>
                    <w:t>20</w:t>
                  </w:r>
                </w:p>
              </w:tc>
              <w:tc>
                <w:tcPr>
                  <w:tcW w:w="209" w:type="pct"/>
                  <w:vAlign w:val="center"/>
                </w:tcPr>
                <w:p w14:paraId="10D4FAE9">
                  <w:pPr>
                    <w:adjustRightInd w:val="0"/>
                    <w:snapToGrid w:val="0"/>
                    <w:jc w:val="center"/>
                    <w:rPr>
                      <w:szCs w:val="21"/>
                    </w:rPr>
                  </w:pPr>
                  <w:r>
                    <w:rPr>
                      <w:rFonts w:hint="eastAsia"/>
                      <w:szCs w:val="21"/>
                    </w:rPr>
                    <w:t>20</w:t>
                  </w:r>
                </w:p>
              </w:tc>
              <w:tc>
                <w:tcPr>
                  <w:tcW w:w="209" w:type="pct"/>
                  <w:vAlign w:val="center"/>
                </w:tcPr>
                <w:p w14:paraId="6CFBF81C">
                  <w:pPr>
                    <w:adjustRightInd w:val="0"/>
                    <w:snapToGrid w:val="0"/>
                    <w:jc w:val="center"/>
                    <w:rPr>
                      <w:szCs w:val="21"/>
                    </w:rPr>
                  </w:pPr>
                  <w:r>
                    <w:rPr>
                      <w:rFonts w:hint="eastAsia"/>
                      <w:szCs w:val="21"/>
                    </w:rPr>
                    <w:t>20</w:t>
                  </w:r>
                </w:p>
              </w:tc>
              <w:tc>
                <w:tcPr>
                  <w:tcW w:w="208" w:type="pct"/>
                  <w:vAlign w:val="center"/>
                </w:tcPr>
                <w:p w14:paraId="54CC7DFD">
                  <w:pPr>
                    <w:adjustRightInd w:val="0"/>
                    <w:snapToGrid w:val="0"/>
                    <w:jc w:val="center"/>
                    <w:rPr>
                      <w:szCs w:val="21"/>
                    </w:rPr>
                  </w:pPr>
                  <w:r>
                    <w:rPr>
                      <w:rFonts w:hint="eastAsia"/>
                      <w:szCs w:val="21"/>
                    </w:rPr>
                    <w:t>20</w:t>
                  </w:r>
                </w:p>
              </w:tc>
              <w:tc>
                <w:tcPr>
                  <w:tcW w:w="209" w:type="pct"/>
                  <w:vAlign w:val="center"/>
                </w:tcPr>
                <w:p w14:paraId="5935AB24">
                  <w:pPr>
                    <w:adjustRightInd w:val="0"/>
                    <w:snapToGrid w:val="0"/>
                    <w:jc w:val="center"/>
                    <w:rPr>
                      <w:szCs w:val="21"/>
                    </w:rPr>
                  </w:pPr>
                  <w:r>
                    <w:rPr>
                      <w:rFonts w:hint="eastAsia"/>
                      <w:szCs w:val="21"/>
                    </w:rPr>
                    <w:t>20</w:t>
                  </w:r>
                </w:p>
              </w:tc>
              <w:tc>
                <w:tcPr>
                  <w:tcW w:w="208" w:type="pct"/>
                  <w:vAlign w:val="center"/>
                </w:tcPr>
                <w:p w14:paraId="07AA234D">
                  <w:pPr>
                    <w:adjustRightInd w:val="0"/>
                    <w:snapToGrid w:val="0"/>
                    <w:jc w:val="center"/>
                    <w:rPr>
                      <w:szCs w:val="21"/>
                    </w:rPr>
                  </w:pPr>
                  <w:r>
                    <w:rPr>
                      <w:rFonts w:hint="eastAsia"/>
                      <w:szCs w:val="21"/>
                    </w:rPr>
                    <w:t>20</w:t>
                  </w:r>
                </w:p>
              </w:tc>
              <w:tc>
                <w:tcPr>
                  <w:tcW w:w="209" w:type="pct"/>
                  <w:vAlign w:val="center"/>
                </w:tcPr>
                <w:p w14:paraId="27C41DC2">
                  <w:pPr>
                    <w:adjustRightInd w:val="0"/>
                    <w:snapToGrid w:val="0"/>
                    <w:jc w:val="center"/>
                    <w:rPr>
                      <w:szCs w:val="21"/>
                    </w:rPr>
                  </w:pPr>
                  <w:r>
                    <w:rPr>
                      <w:rFonts w:hint="eastAsia"/>
                      <w:szCs w:val="21"/>
                    </w:rPr>
                    <w:t>20</w:t>
                  </w:r>
                </w:p>
              </w:tc>
              <w:tc>
                <w:tcPr>
                  <w:tcW w:w="209" w:type="pct"/>
                  <w:vAlign w:val="center"/>
                </w:tcPr>
                <w:p w14:paraId="1C7AE1E8">
                  <w:pPr>
                    <w:adjustRightInd w:val="0"/>
                    <w:snapToGrid w:val="0"/>
                    <w:jc w:val="center"/>
                    <w:rPr>
                      <w:szCs w:val="21"/>
                    </w:rPr>
                  </w:pPr>
                  <w:r>
                    <w:rPr>
                      <w:rFonts w:hint="eastAsia"/>
                      <w:szCs w:val="21"/>
                    </w:rPr>
                    <w:t>20</w:t>
                  </w:r>
                </w:p>
              </w:tc>
              <w:tc>
                <w:tcPr>
                  <w:tcW w:w="210" w:type="pct"/>
                  <w:vAlign w:val="center"/>
                </w:tcPr>
                <w:p w14:paraId="3B544CDB">
                  <w:pPr>
                    <w:adjustRightInd w:val="0"/>
                    <w:snapToGrid w:val="0"/>
                    <w:jc w:val="center"/>
                    <w:rPr>
                      <w:szCs w:val="21"/>
                    </w:rPr>
                  </w:pPr>
                  <w:r>
                    <w:rPr>
                      <w:rFonts w:hint="eastAsia"/>
                      <w:szCs w:val="21"/>
                    </w:rPr>
                    <w:t>20</w:t>
                  </w:r>
                </w:p>
              </w:tc>
              <w:tc>
                <w:tcPr>
                  <w:tcW w:w="210" w:type="pct"/>
                  <w:vAlign w:val="center"/>
                </w:tcPr>
                <w:p w14:paraId="3B3F2348">
                  <w:pPr>
                    <w:adjustRightInd w:val="0"/>
                    <w:snapToGrid w:val="0"/>
                    <w:jc w:val="center"/>
                    <w:rPr>
                      <w:szCs w:val="21"/>
                    </w:rPr>
                  </w:pPr>
                  <w:r>
                    <w:rPr>
                      <w:rFonts w:hint="eastAsia"/>
                      <w:szCs w:val="21"/>
                    </w:rPr>
                    <w:t>20</w:t>
                  </w:r>
                </w:p>
              </w:tc>
              <w:tc>
                <w:tcPr>
                  <w:tcW w:w="210" w:type="pct"/>
                  <w:vAlign w:val="center"/>
                </w:tcPr>
                <w:p w14:paraId="286369F0">
                  <w:pPr>
                    <w:adjustRightInd w:val="0"/>
                    <w:snapToGrid w:val="0"/>
                    <w:jc w:val="center"/>
                    <w:rPr>
                      <w:szCs w:val="21"/>
                    </w:rPr>
                  </w:pPr>
                  <w:r>
                    <w:rPr>
                      <w:rFonts w:hint="eastAsia"/>
                      <w:szCs w:val="21"/>
                    </w:rPr>
                    <w:t>20</w:t>
                  </w:r>
                </w:p>
              </w:tc>
              <w:tc>
                <w:tcPr>
                  <w:tcW w:w="208" w:type="pct"/>
                  <w:vAlign w:val="center"/>
                </w:tcPr>
                <w:p w14:paraId="2C8669B1">
                  <w:pPr>
                    <w:adjustRightInd w:val="0"/>
                    <w:snapToGrid w:val="0"/>
                    <w:jc w:val="center"/>
                    <w:rPr>
                      <w:szCs w:val="21"/>
                    </w:rPr>
                  </w:pPr>
                  <w:r>
                    <w:rPr>
                      <w:rFonts w:hint="eastAsia"/>
                      <w:szCs w:val="21"/>
                    </w:rPr>
                    <w:t>20</w:t>
                  </w:r>
                </w:p>
              </w:tc>
              <w:tc>
                <w:tcPr>
                  <w:tcW w:w="209" w:type="pct"/>
                  <w:vAlign w:val="center"/>
                </w:tcPr>
                <w:p w14:paraId="02C53F05">
                  <w:pPr>
                    <w:adjustRightInd w:val="0"/>
                    <w:snapToGrid w:val="0"/>
                    <w:jc w:val="center"/>
                    <w:rPr>
                      <w:szCs w:val="21"/>
                    </w:rPr>
                  </w:pPr>
                  <w:r>
                    <w:rPr>
                      <w:rFonts w:hint="eastAsia"/>
                      <w:szCs w:val="21"/>
                    </w:rPr>
                    <w:t>20</w:t>
                  </w:r>
                </w:p>
              </w:tc>
              <w:tc>
                <w:tcPr>
                  <w:tcW w:w="191" w:type="pct"/>
                  <w:vAlign w:val="center"/>
                </w:tcPr>
                <w:p w14:paraId="5EF80961">
                  <w:pPr>
                    <w:adjustRightInd w:val="0"/>
                    <w:snapToGrid w:val="0"/>
                    <w:jc w:val="center"/>
                    <w:rPr>
                      <w:szCs w:val="21"/>
                    </w:rPr>
                  </w:pPr>
                  <w:r>
                    <w:rPr>
                      <w:rFonts w:hint="eastAsia"/>
                      <w:szCs w:val="21"/>
                    </w:rPr>
                    <w:t>20</w:t>
                  </w:r>
                </w:p>
              </w:tc>
              <w:tc>
                <w:tcPr>
                  <w:tcW w:w="225" w:type="pct"/>
                  <w:gridSpan w:val="2"/>
                  <w:vAlign w:val="center"/>
                </w:tcPr>
                <w:p w14:paraId="5FAA9F8C">
                  <w:pPr>
                    <w:adjustRightInd w:val="0"/>
                    <w:snapToGrid w:val="0"/>
                    <w:jc w:val="center"/>
                    <w:rPr>
                      <w:szCs w:val="21"/>
                    </w:rPr>
                  </w:pPr>
                  <w:r>
                    <w:rPr>
                      <w:rFonts w:hint="eastAsia"/>
                      <w:szCs w:val="21"/>
                    </w:rPr>
                    <w:t>20</w:t>
                  </w:r>
                </w:p>
              </w:tc>
              <w:tc>
                <w:tcPr>
                  <w:tcW w:w="200" w:type="pct"/>
                  <w:vAlign w:val="center"/>
                </w:tcPr>
                <w:p w14:paraId="2702C6E0">
                  <w:pPr>
                    <w:adjustRightInd w:val="0"/>
                    <w:snapToGrid w:val="0"/>
                    <w:jc w:val="center"/>
                    <w:rPr>
                      <w:szCs w:val="21"/>
                    </w:rPr>
                  </w:pPr>
                  <w:r>
                    <w:rPr>
                      <w:rFonts w:hint="eastAsia"/>
                      <w:szCs w:val="21"/>
                    </w:rPr>
                    <w:t>20</w:t>
                  </w:r>
                </w:p>
              </w:tc>
            </w:tr>
            <w:tr w14:paraId="2FD8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 w:type="pct"/>
                  <w:vMerge w:val="restart"/>
                  <w:vAlign w:val="center"/>
                </w:tcPr>
                <w:p w14:paraId="09B5C638">
                  <w:pPr>
                    <w:adjustRightInd w:val="0"/>
                    <w:snapToGrid w:val="0"/>
                    <w:jc w:val="center"/>
                    <w:rPr>
                      <w:szCs w:val="21"/>
                    </w:rPr>
                  </w:pPr>
                  <w:r>
                    <w:rPr>
                      <w:rFonts w:hint="eastAsia"/>
                      <w:szCs w:val="21"/>
                    </w:rPr>
                    <w:t>建筑物外噪声</w:t>
                  </w:r>
                </w:p>
              </w:tc>
              <w:tc>
                <w:tcPr>
                  <w:tcW w:w="258" w:type="pct"/>
                  <w:gridSpan w:val="2"/>
                  <w:vAlign w:val="center"/>
                </w:tcPr>
                <w:p w14:paraId="59A9D84D">
                  <w:pPr>
                    <w:adjustRightInd w:val="0"/>
                    <w:snapToGrid w:val="0"/>
                    <w:jc w:val="center"/>
                    <w:rPr>
                      <w:szCs w:val="21"/>
                    </w:rPr>
                  </w:pPr>
                  <w:r>
                    <w:rPr>
                      <w:rFonts w:hint="eastAsia"/>
                      <w:szCs w:val="21"/>
                    </w:rPr>
                    <w:t>声压级/d</w:t>
                  </w:r>
                  <w:r>
                    <w:rPr>
                      <w:rFonts w:hint="eastAsia"/>
                      <w:smallCaps/>
                      <w:szCs w:val="21"/>
                    </w:rPr>
                    <w:t>B</w:t>
                  </w:r>
                  <w:r>
                    <w:rPr>
                      <w:rFonts w:hint="eastAsia"/>
                      <w:szCs w:val="21"/>
                    </w:rPr>
                    <w:t>（A）</w:t>
                  </w:r>
                </w:p>
              </w:tc>
              <w:tc>
                <w:tcPr>
                  <w:tcW w:w="208" w:type="pct"/>
                  <w:vAlign w:val="center"/>
                </w:tcPr>
                <w:p w14:paraId="49D5F325">
                  <w:pPr>
                    <w:adjustRightInd w:val="0"/>
                    <w:snapToGrid w:val="0"/>
                    <w:jc w:val="center"/>
                    <w:rPr>
                      <w:szCs w:val="21"/>
                    </w:rPr>
                  </w:pPr>
                  <w:r>
                    <w:rPr>
                      <w:rFonts w:hint="eastAsia"/>
                      <w:szCs w:val="21"/>
                    </w:rPr>
                    <w:t>60</w:t>
                  </w:r>
                </w:p>
              </w:tc>
              <w:tc>
                <w:tcPr>
                  <w:tcW w:w="209" w:type="pct"/>
                  <w:vAlign w:val="center"/>
                </w:tcPr>
                <w:p w14:paraId="793D7F9F">
                  <w:pPr>
                    <w:adjustRightInd w:val="0"/>
                    <w:snapToGrid w:val="0"/>
                    <w:jc w:val="center"/>
                    <w:rPr>
                      <w:szCs w:val="21"/>
                    </w:rPr>
                  </w:pPr>
                  <w:r>
                    <w:rPr>
                      <w:rFonts w:hint="eastAsia"/>
                      <w:szCs w:val="21"/>
                    </w:rPr>
                    <w:t>60</w:t>
                  </w:r>
                </w:p>
              </w:tc>
              <w:tc>
                <w:tcPr>
                  <w:tcW w:w="209" w:type="pct"/>
                  <w:vAlign w:val="center"/>
                </w:tcPr>
                <w:p w14:paraId="0893F027">
                  <w:pPr>
                    <w:adjustRightInd w:val="0"/>
                    <w:snapToGrid w:val="0"/>
                    <w:jc w:val="center"/>
                    <w:rPr>
                      <w:szCs w:val="21"/>
                    </w:rPr>
                  </w:pPr>
                  <w:r>
                    <w:rPr>
                      <w:rFonts w:hint="eastAsia"/>
                      <w:szCs w:val="21"/>
                    </w:rPr>
                    <w:t>65</w:t>
                  </w:r>
                </w:p>
              </w:tc>
              <w:tc>
                <w:tcPr>
                  <w:tcW w:w="208" w:type="pct"/>
                  <w:vAlign w:val="center"/>
                </w:tcPr>
                <w:p w14:paraId="7B37B050">
                  <w:pPr>
                    <w:adjustRightInd w:val="0"/>
                    <w:snapToGrid w:val="0"/>
                    <w:jc w:val="center"/>
                    <w:rPr>
                      <w:szCs w:val="21"/>
                    </w:rPr>
                  </w:pPr>
                  <w:r>
                    <w:rPr>
                      <w:rFonts w:hint="eastAsia"/>
                      <w:szCs w:val="21"/>
                    </w:rPr>
                    <w:t>65</w:t>
                  </w:r>
                </w:p>
              </w:tc>
              <w:tc>
                <w:tcPr>
                  <w:tcW w:w="209" w:type="pct"/>
                  <w:vAlign w:val="center"/>
                </w:tcPr>
                <w:p w14:paraId="3C4938ED">
                  <w:pPr>
                    <w:adjustRightInd w:val="0"/>
                    <w:snapToGrid w:val="0"/>
                    <w:jc w:val="center"/>
                    <w:rPr>
                      <w:szCs w:val="21"/>
                    </w:rPr>
                  </w:pPr>
                  <w:r>
                    <w:rPr>
                      <w:rFonts w:hint="eastAsia"/>
                      <w:szCs w:val="21"/>
                    </w:rPr>
                    <w:t>60</w:t>
                  </w:r>
                </w:p>
              </w:tc>
              <w:tc>
                <w:tcPr>
                  <w:tcW w:w="209" w:type="pct"/>
                  <w:vAlign w:val="center"/>
                </w:tcPr>
                <w:p w14:paraId="5B34F183">
                  <w:pPr>
                    <w:adjustRightInd w:val="0"/>
                    <w:snapToGrid w:val="0"/>
                    <w:jc w:val="center"/>
                    <w:rPr>
                      <w:szCs w:val="21"/>
                    </w:rPr>
                  </w:pPr>
                  <w:r>
                    <w:rPr>
                      <w:rFonts w:hint="eastAsia"/>
                      <w:szCs w:val="21"/>
                    </w:rPr>
                    <w:t>65</w:t>
                  </w:r>
                </w:p>
              </w:tc>
              <w:tc>
                <w:tcPr>
                  <w:tcW w:w="209" w:type="pct"/>
                  <w:vAlign w:val="center"/>
                </w:tcPr>
                <w:p w14:paraId="17A4E66D">
                  <w:pPr>
                    <w:adjustRightInd w:val="0"/>
                    <w:snapToGrid w:val="0"/>
                    <w:jc w:val="center"/>
                    <w:rPr>
                      <w:szCs w:val="21"/>
                    </w:rPr>
                  </w:pPr>
                  <w:r>
                    <w:rPr>
                      <w:rFonts w:hint="eastAsia"/>
                      <w:szCs w:val="21"/>
                    </w:rPr>
                    <w:t>65</w:t>
                  </w:r>
                </w:p>
              </w:tc>
              <w:tc>
                <w:tcPr>
                  <w:tcW w:w="209" w:type="pct"/>
                  <w:vAlign w:val="center"/>
                </w:tcPr>
                <w:p w14:paraId="1AF47C19">
                  <w:pPr>
                    <w:adjustRightInd w:val="0"/>
                    <w:snapToGrid w:val="0"/>
                    <w:jc w:val="center"/>
                    <w:rPr>
                      <w:szCs w:val="21"/>
                    </w:rPr>
                  </w:pPr>
                  <w:r>
                    <w:rPr>
                      <w:rFonts w:hint="eastAsia"/>
                      <w:szCs w:val="21"/>
                    </w:rPr>
                    <w:t>65</w:t>
                  </w:r>
                </w:p>
              </w:tc>
              <w:tc>
                <w:tcPr>
                  <w:tcW w:w="209" w:type="pct"/>
                  <w:vAlign w:val="center"/>
                </w:tcPr>
                <w:p w14:paraId="20A817C1">
                  <w:pPr>
                    <w:adjustRightInd w:val="0"/>
                    <w:snapToGrid w:val="0"/>
                    <w:jc w:val="center"/>
                    <w:rPr>
                      <w:szCs w:val="21"/>
                    </w:rPr>
                  </w:pPr>
                  <w:r>
                    <w:rPr>
                      <w:rFonts w:hint="eastAsia"/>
                      <w:szCs w:val="21"/>
                    </w:rPr>
                    <w:t>65</w:t>
                  </w:r>
                </w:p>
              </w:tc>
              <w:tc>
                <w:tcPr>
                  <w:tcW w:w="208" w:type="pct"/>
                  <w:vAlign w:val="center"/>
                </w:tcPr>
                <w:p w14:paraId="62C11D85">
                  <w:pPr>
                    <w:adjustRightInd w:val="0"/>
                    <w:snapToGrid w:val="0"/>
                    <w:jc w:val="center"/>
                    <w:rPr>
                      <w:szCs w:val="21"/>
                    </w:rPr>
                  </w:pPr>
                  <w:r>
                    <w:rPr>
                      <w:rFonts w:hint="eastAsia"/>
                      <w:szCs w:val="21"/>
                    </w:rPr>
                    <w:t>60</w:t>
                  </w:r>
                </w:p>
              </w:tc>
              <w:tc>
                <w:tcPr>
                  <w:tcW w:w="209" w:type="pct"/>
                  <w:vAlign w:val="center"/>
                </w:tcPr>
                <w:p w14:paraId="3FE82347">
                  <w:pPr>
                    <w:adjustRightInd w:val="0"/>
                    <w:snapToGrid w:val="0"/>
                    <w:jc w:val="center"/>
                    <w:rPr>
                      <w:szCs w:val="21"/>
                    </w:rPr>
                  </w:pPr>
                  <w:r>
                    <w:rPr>
                      <w:rFonts w:hint="eastAsia"/>
                      <w:szCs w:val="21"/>
                    </w:rPr>
                    <w:t>60</w:t>
                  </w:r>
                </w:p>
              </w:tc>
              <w:tc>
                <w:tcPr>
                  <w:tcW w:w="208" w:type="pct"/>
                  <w:vAlign w:val="center"/>
                </w:tcPr>
                <w:p w14:paraId="7C25B383">
                  <w:pPr>
                    <w:adjustRightInd w:val="0"/>
                    <w:snapToGrid w:val="0"/>
                    <w:jc w:val="center"/>
                    <w:rPr>
                      <w:szCs w:val="21"/>
                    </w:rPr>
                  </w:pPr>
                  <w:r>
                    <w:rPr>
                      <w:rFonts w:hint="eastAsia"/>
                      <w:szCs w:val="21"/>
                    </w:rPr>
                    <w:t>65</w:t>
                  </w:r>
                </w:p>
              </w:tc>
              <w:tc>
                <w:tcPr>
                  <w:tcW w:w="209" w:type="pct"/>
                  <w:vAlign w:val="center"/>
                </w:tcPr>
                <w:p w14:paraId="1E2B988E">
                  <w:pPr>
                    <w:adjustRightInd w:val="0"/>
                    <w:snapToGrid w:val="0"/>
                    <w:jc w:val="center"/>
                    <w:rPr>
                      <w:szCs w:val="21"/>
                    </w:rPr>
                  </w:pPr>
                  <w:r>
                    <w:rPr>
                      <w:rFonts w:hint="eastAsia"/>
                      <w:szCs w:val="21"/>
                    </w:rPr>
                    <w:t>65</w:t>
                  </w:r>
                </w:p>
              </w:tc>
              <w:tc>
                <w:tcPr>
                  <w:tcW w:w="209" w:type="pct"/>
                  <w:vAlign w:val="center"/>
                </w:tcPr>
                <w:p w14:paraId="3F7878E5">
                  <w:pPr>
                    <w:adjustRightInd w:val="0"/>
                    <w:snapToGrid w:val="0"/>
                    <w:jc w:val="center"/>
                    <w:rPr>
                      <w:szCs w:val="21"/>
                    </w:rPr>
                  </w:pPr>
                  <w:r>
                    <w:rPr>
                      <w:rFonts w:hint="eastAsia"/>
                      <w:szCs w:val="21"/>
                    </w:rPr>
                    <w:t>65</w:t>
                  </w:r>
                </w:p>
              </w:tc>
              <w:tc>
                <w:tcPr>
                  <w:tcW w:w="210" w:type="pct"/>
                  <w:vAlign w:val="center"/>
                </w:tcPr>
                <w:p w14:paraId="6510BED8">
                  <w:pPr>
                    <w:adjustRightInd w:val="0"/>
                    <w:snapToGrid w:val="0"/>
                    <w:jc w:val="center"/>
                    <w:rPr>
                      <w:szCs w:val="21"/>
                    </w:rPr>
                  </w:pPr>
                  <w:r>
                    <w:rPr>
                      <w:rFonts w:hint="eastAsia"/>
                      <w:szCs w:val="21"/>
                    </w:rPr>
                    <w:t>65</w:t>
                  </w:r>
                </w:p>
              </w:tc>
              <w:tc>
                <w:tcPr>
                  <w:tcW w:w="210" w:type="pct"/>
                  <w:vAlign w:val="center"/>
                </w:tcPr>
                <w:p w14:paraId="0A83C4DA">
                  <w:pPr>
                    <w:adjustRightInd w:val="0"/>
                    <w:snapToGrid w:val="0"/>
                    <w:jc w:val="center"/>
                    <w:rPr>
                      <w:szCs w:val="21"/>
                    </w:rPr>
                  </w:pPr>
                  <w:r>
                    <w:rPr>
                      <w:rFonts w:hint="eastAsia"/>
                      <w:szCs w:val="21"/>
                    </w:rPr>
                    <w:t>70</w:t>
                  </w:r>
                </w:p>
              </w:tc>
              <w:tc>
                <w:tcPr>
                  <w:tcW w:w="210" w:type="pct"/>
                  <w:vAlign w:val="center"/>
                </w:tcPr>
                <w:p w14:paraId="19C52887">
                  <w:pPr>
                    <w:adjustRightInd w:val="0"/>
                    <w:snapToGrid w:val="0"/>
                    <w:jc w:val="center"/>
                    <w:rPr>
                      <w:szCs w:val="21"/>
                    </w:rPr>
                  </w:pPr>
                  <w:r>
                    <w:rPr>
                      <w:rFonts w:hint="eastAsia"/>
                      <w:szCs w:val="21"/>
                    </w:rPr>
                    <w:t>70</w:t>
                  </w:r>
                </w:p>
              </w:tc>
              <w:tc>
                <w:tcPr>
                  <w:tcW w:w="208" w:type="pct"/>
                  <w:vAlign w:val="center"/>
                </w:tcPr>
                <w:p w14:paraId="27F07005">
                  <w:pPr>
                    <w:adjustRightInd w:val="0"/>
                    <w:snapToGrid w:val="0"/>
                    <w:jc w:val="center"/>
                    <w:rPr>
                      <w:szCs w:val="21"/>
                    </w:rPr>
                  </w:pPr>
                  <w:r>
                    <w:rPr>
                      <w:rFonts w:hint="eastAsia"/>
                      <w:szCs w:val="21"/>
                    </w:rPr>
                    <w:t>70</w:t>
                  </w:r>
                </w:p>
              </w:tc>
              <w:tc>
                <w:tcPr>
                  <w:tcW w:w="209" w:type="pct"/>
                  <w:vAlign w:val="center"/>
                </w:tcPr>
                <w:p w14:paraId="02C10460">
                  <w:pPr>
                    <w:adjustRightInd w:val="0"/>
                    <w:snapToGrid w:val="0"/>
                    <w:jc w:val="center"/>
                    <w:rPr>
                      <w:szCs w:val="21"/>
                    </w:rPr>
                  </w:pPr>
                  <w:r>
                    <w:rPr>
                      <w:rFonts w:hint="eastAsia"/>
                      <w:szCs w:val="21"/>
                    </w:rPr>
                    <w:t>70</w:t>
                  </w:r>
                </w:p>
              </w:tc>
              <w:tc>
                <w:tcPr>
                  <w:tcW w:w="191" w:type="pct"/>
                  <w:vAlign w:val="center"/>
                </w:tcPr>
                <w:p w14:paraId="038DF408">
                  <w:pPr>
                    <w:adjustRightInd w:val="0"/>
                    <w:snapToGrid w:val="0"/>
                    <w:jc w:val="center"/>
                    <w:rPr>
                      <w:szCs w:val="21"/>
                    </w:rPr>
                  </w:pPr>
                  <w:r>
                    <w:rPr>
                      <w:rFonts w:hint="eastAsia"/>
                      <w:szCs w:val="21"/>
                    </w:rPr>
                    <w:t>70</w:t>
                  </w:r>
                </w:p>
              </w:tc>
              <w:tc>
                <w:tcPr>
                  <w:tcW w:w="225" w:type="pct"/>
                  <w:gridSpan w:val="2"/>
                  <w:vAlign w:val="center"/>
                </w:tcPr>
                <w:p w14:paraId="07BD4DF6">
                  <w:pPr>
                    <w:adjustRightInd w:val="0"/>
                    <w:snapToGrid w:val="0"/>
                    <w:jc w:val="center"/>
                    <w:rPr>
                      <w:szCs w:val="21"/>
                    </w:rPr>
                  </w:pPr>
                  <w:r>
                    <w:rPr>
                      <w:rFonts w:hint="eastAsia"/>
                      <w:szCs w:val="21"/>
                    </w:rPr>
                    <w:t>70</w:t>
                  </w:r>
                </w:p>
              </w:tc>
              <w:tc>
                <w:tcPr>
                  <w:tcW w:w="200" w:type="pct"/>
                  <w:vAlign w:val="center"/>
                </w:tcPr>
                <w:p w14:paraId="1D914DF0">
                  <w:pPr>
                    <w:adjustRightInd w:val="0"/>
                    <w:snapToGrid w:val="0"/>
                    <w:jc w:val="center"/>
                    <w:rPr>
                      <w:szCs w:val="21"/>
                    </w:rPr>
                  </w:pPr>
                  <w:r>
                    <w:rPr>
                      <w:rFonts w:hint="eastAsia"/>
                      <w:szCs w:val="21"/>
                    </w:rPr>
                    <w:t>70</w:t>
                  </w:r>
                </w:p>
              </w:tc>
            </w:tr>
            <w:tr w14:paraId="342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 w:type="pct"/>
                  <w:vMerge w:val="continue"/>
                  <w:vAlign w:val="center"/>
                </w:tcPr>
                <w:p w14:paraId="737B7ED2">
                  <w:pPr>
                    <w:adjustRightInd w:val="0"/>
                    <w:snapToGrid w:val="0"/>
                    <w:jc w:val="center"/>
                    <w:rPr>
                      <w:szCs w:val="21"/>
                    </w:rPr>
                  </w:pPr>
                </w:p>
              </w:tc>
              <w:tc>
                <w:tcPr>
                  <w:tcW w:w="258" w:type="pct"/>
                  <w:gridSpan w:val="2"/>
                  <w:vAlign w:val="center"/>
                </w:tcPr>
                <w:p w14:paraId="690383BD">
                  <w:pPr>
                    <w:adjustRightInd w:val="0"/>
                    <w:snapToGrid w:val="0"/>
                    <w:jc w:val="center"/>
                    <w:rPr>
                      <w:szCs w:val="21"/>
                    </w:rPr>
                  </w:pPr>
                  <w:r>
                    <w:rPr>
                      <w:rFonts w:hint="eastAsia"/>
                      <w:szCs w:val="21"/>
                    </w:rPr>
                    <w:t>建筑物外距离</w:t>
                  </w:r>
                </w:p>
              </w:tc>
              <w:tc>
                <w:tcPr>
                  <w:tcW w:w="208" w:type="pct"/>
                  <w:vAlign w:val="center"/>
                </w:tcPr>
                <w:p w14:paraId="7BCBC501">
                  <w:pPr>
                    <w:adjustRightInd w:val="0"/>
                    <w:snapToGrid w:val="0"/>
                    <w:jc w:val="center"/>
                    <w:rPr>
                      <w:szCs w:val="21"/>
                    </w:rPr>
                  </w:pPr>
                  <w:r>
                    <w:rPr>
                      <w:rFonts w:hint="eastAsia"/>
                      <w:szCs w:val="21"/>
                    </w:rPr>
                    <w:t>12.4</w:t>
                  </w:r>
                </w:p>
              </w:tc>
              <w:tc>
                <w:tcPr>
                  <w:tcW w:w="209" w:type="pct"/>
                  <w:vAlign w:val="center"/>
                </w:tcPr>
                <w:p w14:paraId="6073AC1B">
                  <w:pPr>
                    <w:adjustRightInd w:val="0"/>
                    <w:snapToGrid w:val="0"/>
                    <w:jc w:val="center"/>
                    <w:rPr>
                      <w:szCs w:val="21"/>
                    </w:rPr>
                  </w:pPr>
                  <w:r>
                    <w:rPr>
                      <w:rFonts w:hint="eastAsia"/>
                      <w:szCs w:val="21"/>
                    </w:rPr>
                    <w:t>21.1</w:t>
                  </w:r>
                </w:p>
              </w:tc>
              <w:tc>
                <w:tcPr>
                  <w:tcW w:w="209" w:type="pct"/>
                  <w:vAlign w:val="center"/>
                </w:tcPr>
                <w:p w14:paraId="2C49A9EA">
                  <w:pPr>
                    <w:adjustRightInd w:val="0"/>
                    <w:snapToGrid w:val="0"/>
                    <w:jc w:val="center"/>
                    <w:rPr>
                      <w:szCs w:val="21"/>
                    </w:rPr>
                  </w:pPr>
                  <w:r>
                    <w:rPr>
                      <w:rFonts w:hint="eastAsia"/>
                      <w:szCs w:val="21"/>
                    </w:rPr>
                    <w:t>3.6</w:t>
                  </w:r>
                </w:p>
              </w:tc>
              <w:tc>
                <w:tcPr>
                  <w:tcW w:w="208" w:type="pct"/>
                  <w:vAlign w:val="center"/>
                </w:tcPr>
                <w:p w14:paraId="2FD1EE94">
                  <w:pPr>
                    <w:adjustRightInd w:val="0"/>
                    <w:snapToGrid w:val="0"/>
                    <w:jc w:val="center"/>
                    <w:rPr>
                      <w:szCs w:val="21"/>
                    </w:rPr>
                  </w:pPr>
                  <w:r>
                    <w:rPr>
                      <w:rFonts w:hint="eastAsia"/>
                      <w:szCs w:val="21"/>
                    </w:rPr>
                    <w:t>4.6</w:t>
                  </w:r>
                </w:p>
              </w:tc>
              <w:tc>
                <w:tcPr>
                  <w:tcW w:w="209" w:type="pct"/>
                  <w:vAlign w:val="center"/>
                </w:tcPr>
                <w:p w14:paraId="440315B5">
                  <w:pPr>
                    <w:adjustRightInd w:val="0"/>
                    <w:snapToGrid w:val="0"/>
                    <w:jc w:val="center"/>
                    <w:rPr>
                      <w:szCs w:val="21"/>
                    </w:rPr>
                  </w:pPr>
                  <w:r>
                    <w:rPr>
                      <w:rFonts w:hint="eastAsia"/>
                      <w:szCs w:val="21"/>
                    </w:rPr>
                    <w:t>21.6</w:t>
                  </w:r>
                </w:p>
              </w:tc>
              <w:tc>
                <w:tcPr>
                  <w:tcW w:w="209" w:type="pct"/>
                  <w:vAlign w:val="center"/>
                </w:tcPr>
                <w:p w14:paraId="0F579274">
                  <w:pPr>
                    <w:adjustRightInd w:val="0"/>
                    <w:snapToGrid w:val="0"/>
                    <w:jc w:val="center"/>
                    <w:rPr>
                      <w:szCs w:val="21"/>
                    </w:rPr>
                  </w:pPr>
                  <w:r>
                    <w:rPr>
                      <w:rFonts w:hint="eastAsia"/>
                      <w:szCs w:val="21"/>
                    </w:rPr>
                    <w:t>22.1</w:t>
                  </w:r>
                </w:p>
              </w:tc>
              <w:tc>
                <w:tcPr>
                  <w:tcW w:w="209" w:type="pct"/>
                  <w:vAlign w:val="center"/>
                </w:tcPr>
                <w:p w14:paraId="53EEF673">
                  <w:pPr>
                    <w:adjustRightInd w:val="0"/>
                    <w:snapToGrid w:val="0"/>
                    <w:jc w:val="center"/>
                    <w:rPr>
                      <w:szCs w:val="21"/>
                    </w:rPr>
                  </w:pPr>
                  <w:r>
                    <w:rPr>
                      <w:rFonts w:hint="eastAsia"/>
                      <w:szCs w:val="21"/>
                    </w:rPr>
                    <w:t>21.9</w:t>
                  </w:r>
                </w:p>
              </w:tc>
              <w:tc>
                <w:tcPr>
                  <w:tcW w:w="209" w:type="pct"/>
                  <w:vAlign w:val="center"/>
                </w:tcPr>
                <w:p w14:paraId="578F9453">
                  <w:pPr>
                    <w:adjustRightInd w:val="0"/>
                    <w:snapToGrid w:val="0"/>
                    <w:jc w:val="center"/>
                    <w:rPr>
                      <w:szCs w:val="21"/>
                    </w:rPr>
                  </w:pPr>
                  <w:r>
                    <w:rPr>
                      <w:rFonts w:hint="eastAsia"/>
                      <w:szCs w:val="21"/>
                    </w:rPr>
                    <w:t>16.3</w:t>
                  </w:r>
                </w:p>
              </w:tc>
              <w:tc>
                <w:tcPr>
                  <w:tcW w:w="209" w:type="pct"/>
                  <w:vAlign w:val="center"/>
                </w:tcPr>
                <w:p w14:paraId="763B572F">
                  <w:pPr>
                    <w:adjustRightInd w:val="0"/>
                    <w:snapToGrid w:val="0"/>
                    <w:jc w:val="center"/>
                    <w:rPr>
                      <w:szCs w:val="21"/>
                    </w:rPr>
                  </w:pPr>
                  <w:r>
                    <w:rPr>
                      <w:rFonts w:hint="eastAsia"/>
                      <w:szCs w:val="21"/>
                    </w:rPr>
                    <w:t>21.7</w:t>
                  </w:r>
                </w:p>
              </w:tc>
              <w:tc>
                <w:tcPr>
                  <w:tcW w:w="208" w:type="pct"/>
                  <w:vAlign w:val="center"/>
                </w:tcPr>
                <w:p w14:paraId="7D680770">
                  <w:pPr>
                    <w:adjustRightInd w:val="0"/>
                    <w:snapToGrid w:val="0"/>
                    <w:jc w:val="center"/>
                    <w:rPr>
                      <w:szCs w:val="21"/>
                    </w:rPr>
                  </w:pPr>
                  <w:r>
                    <w:rPr>
                      <w:rFonts w:hint="eastAsia"/>
                      <w:szCs w:val="21"/>
                    </w:rPr>
                    <w:t>21.7</w:t>
                  </w:r>
                </w:p>
              </w:tc>
              <w:tc>
                <w:tcPr>
                  <w:tcW w:w="209" w:type="pct"/>
                  <w:vAlign w:val="center"/>
                </w:tcPr>
                <w:p w14:paraId="261259AA">
                  <w:pPr>
                    <w:adjustRightInd w:val="0"/>
                    <w:snapToGrid w:val="0"/>
                    <w:jc w:val="center"/>
                    <w:rPr>
                      <w:szCs w:val="21"/>
                    </w:rPr>
                  </w:pPr>
                  <w:r>
                    <w:rPr>
                      <w:rFonts w:hint="eastAsia"/>
                      <w:szCs w:val="21"/>
                    </w:rPr>
                    <w:t>11.3</w:t>
                  </w:r>
                </w:p>
              </w:tc>
              <w:tc>
                <w:tcPr>
                  <w:tcW w:w="208" w:type="pct"/>
                  <w:vAlign w:val="center"/>
                </w:tcPr>
                <w:p w14:paraId="13F3054A">
                  <w:pPr>
                    <w:adjustRightInd w:val="0"/>
                    <w:snapToGrid w:val="0"/>
                    <w:jc w:val="center"/>
                    <w:rPr>
                      <w:szCs w:val="21"/>
                    </w:rPr>
                  </w:pPr>
                  <w:r>
                    <w:rPr>
                      <w:rFonts w:hint="eastAsia"/>
                      <w:szCs w:val="21"/>
                    </w:rPr>
                    <w:t>22.6</w:t>
                  </w:r>
                </w:p>
              </w:tc>
              <w:tc>
                <w:tcPr>
                  <w:tcW w:w="209" w:type="pct"/>
                  <w:vAlign w:val="center"/>
                </w:tcPr>
                <w:p w14:paraId="15831061">
                  <w:pPr>
                    <w:adjustRightInd w:val="0"/>
                    <w:snapToGrid w:val="0"/>
                    <w:jc w:val="center"/>
                    <w:rPr>
                      <w:szCs w:val="21"/>
                    </w:rPr>
                  </w:pPr>
                  <w:r>
                    <w:rPr>
                      <w:rFonts w:hint="eastAsia"/>
                      <w:szCs w:val="21"/>
                    </w:rPr>
                    <w:t>15.2</w:t>
                  </w:r>
                </w:p>
              </w:tc>
              <w:tc>
                <w:tcPr>
                  <w:tcW w:w="209" w:type="pct"/>
                  <w:vAlign w:val="center"/>
                </w:tcPr>
                <w:p w14:paraId="7FCC7D49">
                  <w:pPr>
                    <w:adjustRightInd w:val="0"/>
                    <w:snapToGrid w:val="0"/>
                    <w:jc w:val="center"/>
                    <w:rPr>
                      <w:szCs w:val="21"/>
                    </w:rPr>
                  </w:pPr>
                  <w:r>
                    <w:rPr>
                      <w:rFonts w:hint="eastAsia"/>
                      <w:szCs w:val="21"/>
                    </w:rPr>
                    <w:t>11.0</w:t>
                  </w:r>
                </w:p>
              </w:tc>
              <w:tc>
                <w:tcPr>
                  <w:tcW w:w="210" w:type="pct"/>
                  <w:vAlign w:val="center"/>
                </w:tcPr>
                <w:p w14:paraId="178A5292">
                  <w:pPr>
                    <w:adjustRightInd w:val="0"/>
                    <w:snapToGrid w:val="0"/>
                    <w:jc w:val="center"/>
                    <w:rPr>
                      <w:szCs w:val="21"/>
                    </w:rPr>
                  </w:pPr>
                  <w:r>
                    <w:rPr>
                      <w:rFonts w:hint="eastAsia"/>
                      <w:szCs w:val="21"/>
                    </w:rPr>
                    <w:t>21.4</w:t>
                  </w:r>
                </w:p>
              </w:tc>
              <w:tc>
                <w:tcPr>
                  <w:tcW w:w="210" w:type="pct"/>
                  <w:vAlign w:val="center"/>
                </w:tcPr>
                <w:p w14:paraId="4A559D44">
                  <w:pPr>
                    <w:adjustRightInd w:val="0"/>
                    <w:snapToGrid w:val="0"/>
                    <w:jc w:val="center"/>
                    <w:rPr>
                      <w:szCs w:val="21"/>
                    </w:rPr>
                  </w:pPr>
                  <w:r>
                    <w:rPr>
                      <w:rFonts w:hint="eastAsia"/>
                      <w:szCs w:val="21"/>
                    </w:rPr>
                    <w:t>2.2</w:t>
                  </w:r>
                </w:p>
              </w:tc>
              <w:tc>
                <w:tcPr>
                  <w:tcW w:w="210" w:type="pct"/>
                  <w:vAlign w:val="center"/>
                </w:tcPr>
                <w:p w14:paraId="6A26D8C3">
                  <w:pPr>
                    <w:adjustRightInd w:val="0"/>
                    <w:snapToGrid w:val="0"/>
                    <w:jc w:val="center"/>
                    <w:rPr>
                      <w:szCs w:val="21"/>
                    </w:rPr>
                  </w:pPr>
                  <w:r>
                    <w:rPr>
                      <w:rFonts w:hint="eastAsia"/>
                      <w:szCs w:val="21"/>
                    </w:rPr>
                    <w:t>18.7</w:t>
                  </w:r>
                </w:p>
              </w:tc>
              <w:tc>
                <w:tcPr>
                  <w:tcW w:w="208" w:type="pct"/>
                  <w:vAlign w:val="center"/>
                </w:tcPr>
                <w:p w14:paraId="08D08FD5">
                  <w:pPr>
                    <w:adjustRightInd w:val="0"/>
                    <w:snapToGrid w:val="0"/>
                    <w:jc w:val="center"/>
                    <w:rPr>
                      <w:szCs w:val="21"/>
                    </w:rPr>
                  </w:pPr>
                  <w:r>
                    <w:rPr>
                      <w:rFonts w:hint="eastAsia"/>
                      <w:szCs w:val="21"/>
                    </w:rPr>
                    <w:t>17.2</w:t>
                  </w:r>
                </w:p>
              </w:tc>
              <w:tc>
                <w:tcPr>
                  <w:tcW w:w="209" w:type="pct"/>
                  <w:vAlign w:val="center"/>
                </w:tcPr>
                <w:p w14:paraId="366A89F0">
                  <w:pPr>
                    <w:adjustRightInd w:val="0"/>
                    <w:snapToGrid w:val="0"/>
                    <w:jc w:val="center"/>
                    <w:rPr>
                      <w:szCs w:val="21"/>
                    </w:rPr>
                  </w:pPr>
                  <w:r>
                    <w:rPr>
                      <w:rFonts w:hint="eastAsia"/>
                      <w:szCs w:val="21"/>
                    </w:rPr>
                    <w:t>12.4</w:t>
                  </w:r>
                </w:p>
              </w:tc>
              <w:tc>
                <w:tcPr>
                  <w:tcW w:w="191" w:type="pct"/>
                  <w:vAlign w:val="center"/>
                </w:tcPr>
                <w:p w14:paraId="1CF36D17">
                  <w:pPr>
                    <w:adjustRightInd w:val="0"/>
                    <w:snapToGrid w:val="0"/>
                    <w:jc w:val="center"/>
                    <w:rPr>
                      <w:szCs w:val="21"/>
                    </w:rPr>
                  </w:pPr>
                  <w:r>
                    <w:rPr>
                      <w:rFonts w:hint="eastAsia"/>
                      <w:szCs w:val="21"/>
                    </w:rPr>
                    <w:t>13.4</w:t>
                  </w:r>
                </w:p>
              </w:tc>
              <w:tc>
                <w:tcPr>
                  <w:tcW w:w="225" w:type="pct"/>
                  <w:gridSpan w:val="2"/>
                  <w:vAlign w:val="center"/>
                </w:tcPr>
                <w:p w14:paraId="5952213E">
                  <w:pPr>
                    <w:adjustRightInd w:val="0"/>
                    <w:snapToGrid w:val="0"/>
                    <w:jc w:val="center"/>
                    <w:rPr>
                      <w:szCs w:val="21"/>
                    </w:rPr>
                  </w:pPr>
                  <w:r>
                    <w:rPr>
                      <w:rFonts w:hint="eastAsia"/>
                      <w:szCs w:val="21"/>
                    </w:rPr>
                    <w:t>10.3</w:t>
                  </w:r>
                </w:p>
              </w:tc>
              <w:tc>
                <w:tcPr>
                  <w:tcW w:w="200" w:type="pct"/>
                  <w:vAlign w:val="center"/>
                </w:tcPr>
                <w:p w14:paraId="28E4CA98">
                  <w:pPr>
                    <w:adjustRightInd w:val="0"/>
                    <w:snapToGrid w:val="0"/>
                    <w:jc w:val="center"/>
                    <w:rPr>
                      <w:szCs w:val="21"/>
                    </w:rPr>
                  </w:pPr>
                  <w:r>
                    <w:rPr>
                      <w:rFonts w:hint="eastAsia"/>
                      <w:szCs w:val="21"/>
                    </w:rPr>
                    <w:t>5.2</w:t>
                  </w:r>
                </w:p>
              </w:tc>
            </w:tr>
          </w:tbl>
          <w:p w14:paraId="78F4B6D5">
            <w:pPr>
              <w:spacing w:line="360" w:lineRule="auto"/>
              <w:rPr>
                <w:sz w:val="24"/>
              </w:rPr>
            </w:pPr>
          </w:p>
        </w:tc>
      </w:tr>
    </w:tbl>
    <w:p w14:paraId="3E13611F">
      <w:pPr>
        <w:spacing w:line="360" w:lineRule="auto"/>
        <w:rPr>
          <w:sz w:val="24"/>
        </w:rPr>
      </w:pPr>
    </w:p>
    <w:p w14:paraId="61BBCA6B">
      <w:pPr>
        <w:pStyle w:val="2"/>
      </w:pPr>
      <w:r>
        <w:br w:type="page"/>
      </w:r>
    </w:p>
    <w:p w14:paraId="58C53854">
      <w:pPr>
        <w:spacing w:line="360" w:lineRule="auto"/>
        <w:rPr>
          <w:sz w:val="24"/>
        </w:rPr>
        <w:sectPr>
          <w:pgSz w:w="16840" w:h="11907" w:orient="landscape"/>
          <w:pgMar w:top="1531" w:right="1701" w:bottom="1531" w:left="2126" w:header="851" w:footer="851" w:gutter="0"/>
          <w:cols w:space="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69FE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trPr>
        <w:tc>
          <w:tcPr>
            <w:tcW w:w="9061" w:type="dxa"/>
          </w:tcPr>
          <w:p w14:paraId="566CE4D2">
            <w:pPr>
              <w:autoSpaceDE w:val="0"/>
              <w:autoSpaceDN w:val="0"/>
              <w:adjustRightInd w:val="0"/>
              <w:spacing w:line="360" w:lineRule="auto"/>
              <w:jc w:val="left"/>
            </w:pPr>
            <w:r>
              <w:t>4.3.2降噪措施及达标分析</w:t>
            </w:r>
          </w:p>
          <w:p w14:paraId="1ABB0431">
            <w:pPr>
              <w:widowControl/>
              <w:spacing w:line="360" w:lineRule="auto"/>
              <w:ind w:firstLine="420" w:firstLineChars="175"/>
              <w:jc w:val="left"/>
              <w:rPr>
                <w:sz w:val="24"/>
              </w:rPr>
            </w:pPr>
            <w:r>
              <w:rPr>
                <w:sz w:val="24"/>
              </w:rPr>
              <w:t>据工程分析，本项目主要噪声源降噪后声压级及与四至距离见表</w:t>
            </w:r>
            <w:r>
              <w:rPr>
                <w:rFonts w:hint="eastAsia"/>
                <w:sz w:val="24"/>
              </w:rPr>
              <w:t>31</w:t>
            </w:r>
            <w:r>
              <w:rPr>
                <w:sz w:val="24"/>
              </w:rPr>
              <w:t>。</w:t>
            </w:r>
          </w:p>
          <w:p w14:paraId="69C5EA6E">
            <w:pPr>
              <w:pStyle w:val="52"/>
              <w:numPr>
                <w:ilvl w:val="0"/>
                <w:numId w:val="1"/>
              </w:numPr>
              <w:rPr>
                <w:color w:val="auto"/>
              </w:rPr>
            </w:pPr>
            <w:r>
              <w:rPr>
                <w:color w:val="auto"/>
              </w:rPr>
              <w:t xml:space="preserve">    工程主要噪声源及敏感点声压级及与厂界最近距离单位：dB(A)</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2010"/>
              <w:gridCol w:w="1449"/>
              <w:gridCol w:w="1449"/>
              <w:gridCol w:w="1449"/>
              <w:gridCol w:w="1448"/>
            </w:tblGrid>
            <w:tr w14:paraId="43EB1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pct"/>
                  <w:vMerge w:val="restart"/>
                  <w:tcBorders>
                    <w:top w:val="single" w:color="auto" w:sz="4" w:space="0"/>
                    <w:left w:val="single" w:color="auto" w:sz="4" w:space="0"/>
                    <w:bottom w:val="single" w:color="auto" w:sz="4" w:space="0"/>
                  </w:tcBorders>
                  <w:vAlign w:val="center"/>
                </w:tcPr>
                <w:p w14:paraId="41B5A11C">
                  <w:pPr>
                    <w:widowControl/>
                    <w:jc w:val="center"/>
                  </w:pPr>
                  <w:r>
                    <w:t>序号</w:t>
                  </w:r>
                </w:p>
              </w:tc>
              <w:tc>
                <w:tcPr>
                  <w:tcW w:w="1140" w:type="pct"/>
                  <w:vMerge w:val="restart"/>
                  <w:tcBorders>
                    <w:top w:val="single" w:color="auto" w:sz="4" w:space="0"/>
                    <w:bottom w:val="single" w:color="auto" w:sz="4" w:space="0"/>
                  </w:tcBorders>
                  <w:vAlign w:val="center"/>
                </w:tcPr>
                <w:p w14:paraId="6014F5E3">
                  <w:pPr>
                    <w:widowControl/>
                    <w:jc w:val="center"/>
                  </w:pPr>
                  <w:r>
                    <w:t>噪声源名称</w:t>
                  </w:r>
                </w:p>
              </w:tc>
              <w:tc>
                <w:tcPr>
                  <w:tcW w:w="3287" w:type="pct"/>
                  <w:gridSpan w:val="4"/>
                  <w:tcBorders>
                    <w:top w:val="single" w:color="auto" w:sz="4" w:space="0"/>
                    <w:right w:val="single" w:color="auto" w:sz="4" w:space="0"/>
                  </w:tcBorders>
                  <w:vAlign w:val="center"/>
                </w:tcPr>
                <w:p w14:paraId="14617A63">
                  <w:pPr>
                    <w:widowControl/>
                    <w:jc w:val="center"/>
                  </w:pPr>
                  <w:r>
                    <w:t>距离厂界最近距离（m）</w:t>
                  </w:r>
                </w:p>
              </w:tc>
            </w:tr>
            <w:tr w14:paraId="01C12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73" w:type="pct"/>
                  <w:vMerge w:val="continue"/>
                  <w:tcBorders>
                    <w:top w:val="single" w:color="auto" w:sz="4" w:space="0"/>
                    <w:left w:val="single" w:color="auto" w:sz="4" w:space="0"/>
                    <w:bottom w:val="single" w:color="auto" w:sz="4" w:space="0"/>
                  </w:tcBorders>
                  <w:vAlign w:val="center"/>
                </w:tcPr>
                <w:p w14:paraId="53FE056B">
                  <w:pPr>
                    <w:widowControl/>
                    <w:ind w:firstLine="367" w:firstLineChars="175"/>
                    <w:jc w:val="center"/>
                  </w:pPr>
                </w:p>
              </w:tc>
              <w:tc>
                <w:tcPr>
                  <w:tcW w:w="1140" w:type="pct"/>
                  <w:vMerge w:val="continue"/>
                  <w:tcBorders>
                    <w:top w:val="single" w:color="auto" w:sz="4" w:space="0"/>
                    <w:bottom w:val="single" w:color="auto" w:sz="4" w:space="0"/>
                  </w:tcBorders>
                  <w:vAlign w:val="center"/>
                </w:tcPr>
                <w:p w14:paraId="0C691D18">
                  <w:pPr>
                    <w:widowControl/>
                    <w:ind w:firstLine="367" w:firstLineChars="175"/>
                    <w:jc w:val="center"/>
                  </w:pPr>
                </w:p>
              </w:tc>
              <w:tc>
                <w:tcPr>
                  <w:tcW w:w="822" w:type="pct"/>
                  <w:tcBorders>
                    <w:right w:val="single" w:color="auto" w:sz="4" w:space="0"/>
                  </w:tcBorders>
                  <w:vAlign w:val="center"/>
                </w:tcPr>
                <w:p w14:paraId="6D08FBA2">
                  <w:pPr>
                    <w:widowControl/>
                    <w:jc w:val="center"/>
                  </w:pPr>
                  <w:r>
                    <w:t>东厂界</w:t>
                  </w:r>
                </w:p>
              </w:tc>
              <w:tc>
                <w:tcPr>
                  <w:tcW w:w="822" w:type="pct"/>
                  <w:tcBorders>
                    <w:right w:val="single" w:color="auto" w:sz="4" w:space="0"/>
                  </w:tcBorders>
                  <w:vAlign w:val="center"/>
                </w:tcPr>
                <w:p w14:paraId="742C701D">
                  <w:pPr>
                    <w:widowControl/>
                    <w:jc w:val="center"/>
                  </w:pPr>
                  <w:r>
                    <w:t>南厂界</w:t>
                  </w:r>
                </w:p>
              </w:tc>
              <w:tc>
                <w:tcPr>
                  <w:tcW w:w="822" w:type="pct"/>
                  <w:tcBorders>
                    <w:right w:val="single" w:color="auto" w:sz="4" w:space="0"/>
                  </w:tcBorders>
                  <w:vAlign w:val="center"/>
                </w:tcPr>
                <w:p w14:paraId="569F2383">
                  <w:pPr>
                    <w:widowControl/>
                    <w:jc w:val="center"/>
                  </w:pPr>
                  <w:r>
                    <w:t>西厂界</w:t>
                  </w:r>
                </w:p>
              </w:tc>
              <w:tc>
                <w:tcPr>
                  <w:tcW w:w="822" w:type="pct"/>
                  <w:tcBorders>
                    <w:right w:val="single" w:color="auto" w:sz="4" w:space="0"/>
                  </w:tcBorders>
                  <w:vAlign w:val="center"/>
                </w:tcPr>
                <w:p w14:paraId="0C8BB656">
                  <w:pPr>
                    <w:widowControl/>
                    <w:jc w:val="center"/>
                  </w:pPr>
                  <w:r>
                    <w:t>北厂界</w:t>
                  </w:r>
                </w:p>
              </w:tc>
            </w:tr>
            <w:tr w14:paraId="03685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top w:val="single" w:color="auto" w:sz="4" w:space="0"/>
                    <w:left w:val="single" w:color="auto" w:sz="4" w:space="0"/>
                  </w:tcBorders>
                  <w:vAlign w:val="center"/>
                </w:tcPr>
                <w:p w14:paraId="0413C56B">
                  <w:pPr>
                    <w:jc w:val="center"/>
                  </w:pPr>
                  <w:r>
                    <w:t>1</w:t>
                  </w:r>
                </w:p>
              </w:tc>
              <w:tc>
                <w:tcPr>
                  <w:tcW w:w="1140" w:type="pct"/>
                  <w:tcBorders>
                    <w:top w:val="single" w:color="auto" w:sz="4" w:space="0"/>
                  </w:tcBorders>
                  <w:vAlign w:val="center"/>
                </w:tcPr>
                <w:p w14:paraId="479FDBCB">
                  <w:pPr>
                    <w:pStyle w:val="75"/>
                    <w:tabs>
                      <w:tab w:val="left" w:pos="324"/>
                    </w:tabs>
                    <w:rPr>
                      <w:rFonts w:eastAsiaTheme="minorEastAsia"/>
                      <w:color w:val="auto"/>
                      <w:szCs w:val="21"/>
                    </w:rPr>
                  </w:pPr>
                  <w:r>
                    <w:rPr>
                      <w:rStyle w:val="63"/>
                      <w:color w:val="auto"/>
                      <w:szCs w:val="21"/>
                    </w:rPr>
                    <w:t>自动喷涂/喷漆/流水线</w:t>
                  </w:r>
                </w:p>
              </w:tc>
              <w:tc>
                <w:tcPr>
                  <w:tcW w:w="822" w:type="pct"/>
                  <w:tcBorders>
                    <w:right w:val="single" w:color="auto" w:sz="4" w:space="0"/>
                  </w:tcBorders>
                  <w:vAlign w:val="center"/>
                </w:tcPr>
                <w:p w14:paraId="33C5D9B1">
                  <w:pPr>
                    <w:widowControl/>
                    <w:jc w:val="center"/>
                  </w:pPr>
                  <w:r>
                    <w:rPr>
                      <w:rFonts w:hint="eastAsia"/>
                    </w:rPr>
                    <w:t>35.2</w:t>
                  </w:r>
                </w:p>
              </w:tc>
              <w:tc>
                <w:tcPr>
                  <w:tcW w:w="822" w:type="pct"/>
                  <w:tcBorders>
                    <w:right w:val="single" w:color="auto" w:sz="4" w:space="0"/>
                  </w:tcBorders>
                  <w:vAlign w:val="center"/>
                </w:tcPr>
                <w:p w14:paraId="17C594BC">
                  <w:pPr>
                    <w:widowControl/>
                    <w:jc w:val="center"/>
                  </w:pPr>
                  <w:r>
                    <w:rPr>
                      <w:rFonts w:hint="eastAsia"/>
                    </w:rPr>
                    <w:t>68.8</w:t>
                  </w:r>
                </w:p>
              </w:tc>
              <w:tc>
                <w:tcPr>
                  <w:tcW w:w="822" w:type="pct"/>
                  <w:tcBorders>
                    <w:right w:val="single" w:color="auto" w:sz="4" w:space="0"/>
                  </w:tcBorders>
                  <w:vAlign w:val="center"/>
                </w:tcPr>
                <w:p w14:paraId="0183AFEB">
                  <w:pPr>
                    <w:widowControl/>
                    <w:jc w:val="center"/>
                  </w:pPr>
                  <w:r>
                    <w:rPr>
                      <w:rFonts w:hint="eastAsia"/>
                    </w:rPr>
                    <w:t>12.4</w:t>
                  </w:r>
                </w:p>
              </w:tc>
              <w:tc>
                <w:tcPr>
                  <w:tcW w:w="822" w:type="pct"/>
                  <w:tcBorders>
                    <w:right w:val="single" w:color="auto" w:sz="4" w:space="0"/>
                  </w:tcBorders>
                  <w:vAlign w:val="center"/>
                </w:tcPr>
                <w:p w14:paraId="4CAFEB50">
                  <w:pPr>
                    <w:widowControl/>
                    <w:jc w:val="center"/>
                  </w:pPr>
                  <w:r>
                    <w:rPr>
                      <w:rFonts w:hint="eastAsia"/>
                    </w:rPr>
                    <w:t>75.3</w:t>
                  </w:r>
                </w:p>
              </w:tc>
            </w:tr>
            <w:tr w14:paraId="62352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2BC15BB3">
                  <w:pPr>
                    <w:jc w:val="center"/>
                  </w:pPr>
                  <w:r>
                    <w:t>2</w:t>
                  </w:r>
                </w:p>
              </w:tc>
              <w:tc>
                <w:tcPr>
                  <w:tcW w:w="1140" w:type="pct"/>
                  <w:vAlign w:val="center"/>
                </w:tcPr>
                <w:p w14:paraId="63F5F952">
                  <w:pPr>
                    <w:pStyle w:val="75"/>
                    <w:rPr>
                      <w:rFonts w:eastAsiaTheme="minorEastAsia"/>
                      <w:color w:val="auto"/>
                      <w:szCs w:val="21"/>
                    </w:rPr>
                  </w:pPr>
                  <w:r>
                    <w:rPr>
                      <w:rStyle w:val="63"/>
                      <w:color w:val="auto"/>
                      <w:szCs w:val="21"/>
                    </w:rPr>
                    <w:t>箱式喷涂房</w:t>
                  </w:r>
                </w:p>
              </w:tc>
              <w:tc>
                <w:tcPr>
                  <w:tcW w:w="822" w:type="pct"/>
                  <w:tcBorders>
                    <w:right w:val="single" w:color="auto" w:sz="4" w:space="0"/>
                  </w:tcBorders>
                  <w:vAlign w:val="center"/>
                </w:tcPr>
                <w:p w14:paraId="7F2D83FC">
                  <w:pPr>
                    <w:widowControl/>
                    <w:jc w:val="center"/>
                  </w:pPr>
                  <w:r>
                    <w:rPr>
                      <w:rFonts w:hint="eastAsia"/>
                    </w:rPr>
                    <w:t>27.5</w:t>
                  </w:r>
                </w:p>
              </w:tc>
              <w:tc>
                <w:tcPr>
                  <w:tcW w:w="822" w:type="pct"/>
                  <w:tcBorders>
                    <w:right w:val="single" w:color="auto" w:sz="4" w:space="0"/>
                  </w:tcBorders>
                  <w:vAlign w:val="center"/>
                </w:tcPr>
                <w:p w14:paraId="6FD0AB33">
                  <w:pPr>
                    <w:widowControl/>
                    <w:jc w:val="center"/>
                  </w:pPr>
                  <w:r>
                    <w:rPr>
                      <w:rFonts w:hint="eastAsia"/>
                    </w:rPr>
                    <w:t>61.9</w:t>
                  </w:r>
                </w:p>
              </w:tc>
              <w:tc>
                <w:tcPr>
                  <w:tcW w:w="822" w:type="pct"/>
                  <w:tcBorders>
                    <w:right w:val="single" w:color="auto" w:sz="4" w:space="0"/>
                  </w:tcBorders>
                  <w:vAlign w:val="center"/>
                </w:tcPr>
                <w:p w14:paraId="0E8807D4">
                  <w:pPr>
                    <w:widowControl/>
                    <w:jc w:val="center"/>
                  </w:pPr>
                  <w:r>
                    <w:rPr>
                      <w:rFonts w:hint="eastAsia"/>
                    </w:rPr>
                    <w:t>20.1</w:t>
                  </w:r>
                </w:p>
              </w:tc>
              <w:tc>
                <w:tcPr>
                  <w:tcW w:w="822" w:type="pct"/>
                  <w:tcBorders>
                    <w:right w:val="single" w:color="auto" w:sz="4" w:space="0"/>
                  </w:tcBorders>
                  <w:vAlign w:val="center"/>
                </w:tcPr>
                <w:p w14:paraId="190D8CD6">
                  <w:pPr>
                    <w:widowControl/>
                    <w:jc w:val="center"/>
                  </w:pPr>
                  <w:r>
                    <w:rPr>
                      <w:rFonts w:hint="eastAsia"/>
                    </w:rPr>
                    <w:t>80.4</w:t>
                  </w:r>
                </w:p>
              </w:tc>
            </w:tr>
            <w:tr w14:paraId="494AE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716DC353">
                  <w:pPr>
                    <w:jc w:val="center"/>
                  </w:pPr>
                  <w:r>
                    <w:t>3</w:t>
                  </w:r>
                </w:p>
              </w:tc>
              <w:tc>
                <w:tcPr>
                  <w:tcW w:w="1140" w:type="pct"/>
                  <w:vAlign w:val="center"/>
                </w:tcPr>
                <w:p w14:paraId="6BBE9864">
                  <w:pPr>
                    <w:pStyle w:val="75"/>
                    <w:rPr>
                      <w:rFonts w:eastAsiaTheme="minorEastAsia"/>
                      <w:color w:val="auto"/>
                      <w:szCs w:val="21"/>
                    </w:rPr>
                  </w:pPr>
                  <w:r>
                    <w:rPr>
                      <w:rStyle w:val="63"/>
                      <w:color w:val="auto"/>
                      <w:szCs w:val="21"/>
                    </w:rPr>
                    <w:t>箱式抛丸机</w:t>
                  </w:r>
                </w:p>
              </w:tc>
              <w:tc>
                <w:tcPr>
                  <w:tcW w:w="822" w:type="pct"/>
                  <w:tcBorders>
                    <w:right w:val="single" w:color="auto" w:sz="4" w:space="0"/>
                  </w:tcBorders>
                  <w:vAlign w:val="center"/>
                </w:tcPr>
                <w:p w14:paraId="31C9BC76">
                  <w:pPr>
                    <w:widowControl/>
                    <w:jc w:val="center"/>
                  </w:pPr>
                  <w:r>
                    <w:rPr>
                      <w:rFonts w:hint="eastAsia"/>
                    </w:rPr>
                    <w:t>3.6</w:t>
                  </w:r>
                </w:p>
              </w:tc>
              <w:tc>
                <w:tcPr>
                  <w:tcW w:w="822" w:type="pct"/>
                  <w:tcBorders>
                    <w:right w:val="single" w:color="auto" w:sz="4" w:space="0"/>
                  </w:tcBorders>
                  <w:vAlign w:val="center"/>
                </w:tcPr>
                <w:p w14:paraId="269962C5">
                  <w:pPr>
                    <w:widowControl/>
                    <w:jc w:val="center"/>
                  </w:pPr>
                  <w:r>
                    <w:rPr>
                      <w:rFonts w:hint="eastAsia"/>
                    </w:rPr>
                    <w:t>25.0</w:t>
                  </w:r>
                </w:p>
              </w:tc>
              <w:tc>
                <w:tcPr>
                  <w:tcW w:w="822" w:type="pct"/>
                  <w:tcBorders>
                    <w:right w:val="single" w:color="auto" w:sz="4" w:space="0"/>
                  </w:tcBorders>
                  <w:vAlign w:val="center"/>
                </w:tcPr>
                <w:p w14:paraId="58C498E9">
                  <w:pPr>
                    <w:widowControl/>
                    <w:jc w:val="center"/>
                  </w:pPr>
                  <w:r>
                    <w:rPr>
                      <w:rFonts w:hint="eastAsia"/>
                    </w:rPr>
                    <w:t>44.0</w:t>
                  </w:r>
                </w:p>
              </w:tc>
              <w:tc>
                <w:tcPr>
                  <w:tcW w:w="822" w:type="pct"/>
                  <w:tcBorders>
                    <w:right w:val="single" w:color="auto" w:sz="4" w:space="0"/>
                  </w:tcBorders>
                  <w:vAlign w:val="center"/>
                </w:tcPr>
                <w:p w14:paraId="6808ECD4">
                  <w:pPr>
                    <w:widowControl/>
                    <w:jc w:val="center"/>
                  </w:pPr>
                  <w:r>
                    <w:rPr>
                      <w:rFonts w:hint="eastAsia"/>
                    </w:rPr>
                    <w:t>119.1</w:t>
                  </w:r>
                </w:p>
              </w:tc>
            </w:tr>
            <w:tr w14:paraId="6A77B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4AA76C1E">
                  <w:pPr>
                    <w:jc w:val="center"/>
                  </w:pPr>
                  <w:r>
                    <w:t>4</w:t>
                  </w:r>
                </w:p>
              </w:tc>
              <w:tc>
                <w:tcPr>
                  <w:tcW w:w="1140" w:type="pct"/>
                  <w:vAlign w:val="center"/>
                </w:tcPr>
                <w:p w14:paraId="321CB077">
                  <w:pPr>
                    <w:pStyle w:val="75"/>
                    <w:rPr>
                      <w:rFonts w:eastAsiaTheme="minorEastAsia"/>
                      <w:color w:val="auto"/>
                      <w:szCs w:val="21"/>
                    </w:rPr>
                  </w:pPr>
                  <w:r>
                    <w:rPr>
                      <w:rStyle w:val="63"/>
                      <w:color w:val="auto"/>
                      <w:szCs w:val="21"/>
                    </w:rPr>
                    <w:t>打磨房设施</w:t>
                  </w:r>
                </w:p>
              </w:tc>
              <w:tc>
                <w:tcPr>
                  <w:tcW w:w="822" w:type="pct"/>
                  <w:tcBorders>
                    <w:right w:val="single" w:color="auto" w:sz="4" w:space="0"/>
                  </w:tcBorders>
                  <w:vAlign w:val="center"/>
                </w:tcPr>
                <w:p w14:paraId="0EF40857">
                  <w:pPr>
                    <w:widowControl/>
                    <w:jc w:val="center"/>
                  </w:pPr>
                  <w:r>
                    <w:rPr>
                      <w:rFonts w:hint="eastAsia"/>
                    </w:rPr>
                    <w:t>4.6</w:t>
                  </w:r>
                </w:p>
              </w:tc>
              <w:tc>
                <w:tcPr>
                  <w:tcW w:w="822" w:type="pct"/>
                  <w:tcBorders>
                    <w:right w:val="single" w:color="auto" w:sz="4" w:space="0"/>
                  </w:tcBorders>
                  <w:vAlign w:val="center"/>
                </w:tcPr>
                <w:p w14:paraId="0D22B355">
                  <w:pPr>
                    <w:widowControl/>
                    <w:jc w:val="center"/>
                  </w:pPr>
                  <w:r>
                    <w:rPr>
                      <w:rFonts w:hint="eastAsia"/>
                    </w:rPr>
                    <w:t>36.0</w:t>
                  </w:r>
                </w:p>
              </w:tc>
              <w:tc>
                <w:tcPr>
                  <w:tcW w:w="822" w:type="pct"/>
                  <w:tcBorders>
                    <w:right w:val="single" w:color="auto" w:sz="4" w:space="0"/>
                  </w:tcBorders>
                  <w:vAlign w:val="center"/>
                </w:tcPr>
                <w:p w14:paraId="13DECC1C">
                  <w:pPr>
                    <w:widowControl/>
                    <w:jc w:val="center"/>
                  </w:pPr>
                  <w:r>
                    <w:rPr>
                      <w:rFonts w:hint="eastAsia"/>
                    </w:rPr>
                    <w:t>43.0</w:t>
                  </w:r>
                </w:p>
              </w:tc>
              <w:tc>
                <w:tcPr>
                  <w:tcW w:w="822" w:type="pct"/>
                  <w:tcBorders>
                    <w:right w:val="single" w:color="auto" w:sz="4" w:space="0"/>
                  </w:tcBorders>
                  <w:vAlign w:val="center"/>
                </w:tcPr>
                <w:p w14:paraId="1FB3C66B">
                  <w:pPr>
                    <w:widowControl/>
                    <w:jc w:val="center"/>
                  </w:pPr>
                  <w:r>
                    <w:rPr>
                      <w:rFonts w:hint="eastAsia"/>
                    </w:rPr>
                    <w:t>108.1</w:t>
                  </w:r>
                </w:p>
              </w:tc>
            </w:tr>
            <w:tr w14:paraId="2A2C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0A06BCE7">
                  <w:pPr>
                    <w:jc w:val="center"/>
                  </w:pPr>
                  <w:r>
                    <w:t>5</w:t>
                  </w:r>
                </w:p>
              </w:tc>
              <w:tc>
                <w:tcPr>
                  <w:tcW w:w="1140" w:type="pct"/>
                  <w:vAlign w:val="center"/>
                </w:tcPr>
                <w:p w14:paraId="66C6AF9D">
                  <w:pPr>
                    <w:pStyle w:val="75"/>
                    <w:rPr>
                      <w:rFonts w:eastAsiaTheme="minorEastAsia"/>
                      <w:color w:val="auto"/>
                      <w:szCs w:val="21"/>
                    </w:rPr>
                  </w:pPr>
                  <w:r>
                    <w:rPr>
                      <w:rFonts w:hint="eastAsia" w:eastAsiaTheme="minorEastAsia"/>
                      <w:color w:val="auto"/>
                      <w:szCs w:val="21"/>
                    </w:rPr>
                    <w:t>加工中心</w:t>
                  </w:r>
                </w:p>
              </w:tc>
              <w:tc>
                <w:tcPr>
                  <w:tcW w:w="822" w:type="pct"/>
                  <w:tcBorders>
                    <w:right w:val="single" w:color="auto" w:sz="4" w:space="0"/>
                  </w:tcBorders>
                  <w:vAlign w:val="center"/>
                </w:tcPr>
                <w:p w14:paraId="1DD6ED4A">
                  <w:pPr>
                    <w:widowControl/>
                    <w:jc w:val="center"/>
                  </w:pPr>
                  <w:r>
                    <w:rPr>
                      <w:rFonts w:hint="eastAsia"/>
                    </w:rPr>
                    <w:t>21.6</w:t>
                  </w:r>
                </w:p>
              </w:tc>
              <w:tc>
                <w:tcPr>
                  <w:tcW w:w="822" w:type="pct"/>
                  <w:tcBorders>
                    <w:right w:val="single" w:color="auto" w:sz="4" w:space="0"/>
                  </w:tcBorders>
                  <w:vAlign w:val="center"/>
                </w:tcPr>
                <w:p w14:paraId="3F633E4A">
                  <w:pPr>
                    <w:widowControl/>
                    <w:jc w:val="center"/>
                  </w:pPr>
                  <w:r>
                    <w:rPr>
                      <w:rFonts w:hint="eastAsia"/>
                    </w:rPr>
                    <w:t>100.9</w:t>
                  </w:r>
                </w:p>
              </w:tc>
              <w:tc>
                <w:tcPr>
                  <w:tcW w:w="822" w:type="pct"/>
                  <w:tcBorders>
                    <w:right w:val="single" w:color="auto" w:sz="4" w:space="0"/>
                  </w:tcBorders>
                  <w:vAlign w:val="center"/>
                </w:tcPr>
                <w:p w14:paraId="03F11CBE">
                  <w:pPr>
                    <w:widowControl/>
                    <w:jc w:val="center"/>
                  </w:pPr>
                  <w:r>
                    <w:rPr>
                      <w:rFonts w:hint="eastAsia"/>
                    </w:rPr>
                    <w:t>26.0</w:t>
                  </w:r>
                </w:p>
              </w:tc>
              <w:tc>
                <w:tcPr>
                  <w:tcW w:w="822" w:type="pct"/>
                  <w:tcBorders>
                    <w:right w:val="single" w:color="auto" w:sz="4" w:space="0"/>
                  </w:tcBorders>
                  <w:vAlign w:val="center"/>
                </w:tcPr>
                <w:p w14:paraId="5634C0A7">
                  <w:pPr>
                    <w:widowControl/>
                    <w:jc w:val="center"/>
                  </w:pPr>
                  <w:r>
                    <w:rPr>
                      <w:rFonts w:hint="eastAsia"/>
                    </w:rPr>
                    <w:t>43.2</w:t>
                  </w:r>
                </w:p>
              </w:tc>
            </w:tr>
            <w:tr w14:paraId="02B5F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3952C9AD">
                  <w:pPr>
                    <w:jc w:val="center"/>
                  </w:pPr>
                  <w:r>
                    <w:t>6</w:t>
                  </w:r>
                </w:p>
              </w:tc>
              <w:tc>
                <w:tcPr>
                  <w:tcW w:w="1140" w:type="pct"/>
                  <w:vAlign w:val="center"/>
                </w:tcPr>
                <w:p w14:paraId="54960D16">
                  <w:pPr>
                    <w:pStyle w:val="75"/>
                    <w:rPr>
                      <w:rFonts w:eastAsiaTheme="minorEastAsia"/>
                      <w:color w:val="auto"/>
                      <w:szCs w:val="21"/>
                    </w:rPr>
                  </w:pPr>
                  <w:r>
                    <w:rPr>
                      <w:rFonts w:hint="eastAsia" w:eastAsiaTheme="minorEastAsia"/>
                      <w:color w:val="auto"/>
                      <w:szCs w:val="21"/>
                    </w:rPr>
                    <w:t>车床</w:t>
                  </w:r>
                </w:p>
              </w:tc>
              <w:tc>
                <w:tcPr>
                  <w:tcW w:w="822" w:type="pct"/>
                  <w:tcBorders>
                    <w:right w:val="single" w:color="auto" w:sz="4" w:space="0"/>
                  </w:tcBorders>
                  <w:vAlign w:val="center"/>
                </w:tcPr>
                <w:p w14:paraId="48833004">
                  <w:pPr>
                    <w:widowControl/>
                    <w:jc w:val="center"/>
                  </w:pPr>
                  <w:r>
                    <w:rPr>
                      <w:rFonts w:hint="eastAsia"/>
                    </w:rPr>
                    <w:t>22.1</w:t>
                  </w:r>
                </w:p>
              </w:tc>
              <w:tc>
                <w:tcPr>
                  <w:tcW w:w="822" w:type="pct"/>
                  <w:tcBorders>
                    <w:right w:val="single" w:color="auto" w:sz="4" w:space="0"/>
                  </w:tcBorders>
                  <w:vAlign w:val="center"/>
                </w:tcPr>
                <w:p w14:paraId="41D56F2A">
                  <w:pPr>
                    <w:widowControl/>
                    <w:jc w:val="center"/>
                  </w:pPr>
                  <w:r>
                    <w:rPr>
                      <w:rFonts w:hint="eastAsia"/>
                    </w:rPr>
                    <w:t>94.3</w:t>
                  </w:r>
                </w:p>
              </w:tc>
              <w:tc>
                <w:tcPr>
                  <w:tcW w:w="822" w:type="pct"/>
                  <w:tcBorders>
                    <w:right w:val="single" w:color="auto" w:sz="4" w:space="0"/>
                  </w:tcBorders>
                  <w:vAlign w:val="center"/>
                </w:tcPr>
                <w:p w14:paraId="0C549192">
                  <w:pPr>
                    <w:widowControl/>
                    <w:jc w:val="center"/>
                  </w:pPr>
                  <w:r>
                    <w:rPr>
                      <w:rFonts w:hint="eastAsia"/>
                    </w:rPr>
                    <w:t>25.5</w:t>
                  </w:r>
                </w:p>
              </w:tc>
              <w:tc>
                <w:tcPr>
                  <w:tcW w:w="822" w:type="pct"/>
                  <w:tcBorders>
                    <w:right w:val="single" w:color="auto" w:sz="4" w:space="0"/>
                  </w:tcBorders>
                  <w:vAlign w:val="center"/>
                </w:tcPr>
                <w:p w14:paraId="327511A5">
                  <w:pPr>
                    <w:widowControl/>
                    <w:jc w:val="center"/>
                  </w:pPr>
                  <w:r>
                    <w:rPr>
                      <w:rFonts w:hint="eastAsia"/>
                    </w:rPr>
                    <w:t>49.8</w:t>
                  </w:r>
                </w:p>
              </w:tc>
            </w:tr>
            <w:tr w14:paraId="1DB2F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79B17D67">
                  <w:pPr>
                    <w:jc w:val="center"/>
                  </w:pPr>
                  <w:r>
                    <w:t>7</w:t>
                  </w:r>
                </w:p>
              </w:tc>
              <w:tc>
                <w:tcPr>
                  <w:tcW w:w="1140" w:type="pct"/>
                  <w:vAlign w:val="center"/>
                </w:tcPr>
                <w:p w14:paraId="238E0C37">
                  <w:pPr>
                    <w:pStyle w:val="75"/>
                    <w:rPr>
                      <w:rFonts w:eastAsiaTheme="minorEastAsia"/>
                      <w:color w:val="auto"/>
                      <w:szCs w:val="21"/>
                    </w:rPr>
                  </w:pPr>
                  <w:r>
                    <w:rPr>
                      <w:rFonts w:hint="eastAsia" w:eastAsiaTheme="minorEastAsia"/>
                      <w:color w:val="auto"/>
                      <w:szCs w:val="21"/>
                    </w:rPr>
                    <w:t>钻床</w:t>
                  </w:r>
                </w:p>
              </w:tc>
              <w:tc>
                <w:tcPr>
                  <w:tcW w:w="822" w:type="pct"/>
                  <w:tcBorders>
                    <w:right w:val="single" w:color="auto" w:sz="4" w:space="0"/>
                  </w:tcBorders>
                  <w:vAlign w:val="center"/>
                </w:tcPr>
                <w:p w14:paraId="512C28CC">
                  <w:pPr>
                    <w:widowControl/>
                    <w:jc w:val="center"/>
                  </w:pPr>
                  <w:r>
                    <w:rPr>
                      <w:rFonts w:hint="eastAsia"/>
                    </w:rPr>
                    <w:t>21.9</w:t>
                  </w:r>
                </w:p>
              </w:tc>
              <w:tc>
                <w:tcPr>
                  <w:tcW w:w="822" w:type="pct"/>
                  <w:tcBorders>
                    <w:right w:val="single" w:color="auto" w:sz="4" w:space="0"/>
                  </w:tcBorders>
                  <w:vAlign w:val="center"/>
                </w:tcPr>
                <w:p w14:paraId="17A147F3">
                  <w:pPr>
                    <w:widowControl/>
                    <w:jc w:val="center"/>
                  </w:pPr>
                  <w:r>
                    <w:rPr>
                      <w:rFonts w:hint="eastAsia"/>
                    </w:rPr>
                    <w:t>91.4</w:t>
                  </w:r>
                </w:p>
              </w:tc>
              <w:tc>
                <w:tcPr>
                  <w:tcW w:w="822" w:type="pct"/>
                  <w:tcBorders>
                    <w:right w:val="single" w:color="auto" w:sz="4" w:space="0"/>
                  </w:tcBorders>
                  <w:vAlign w:val="center"/>
                </w:tcPr>
                <w:p w14:paraId="482F8205">
                  <w:pPr>
                    <w:widowControl/>
                    <w:jc w:val="center"/>
                  </w:pPr>
                  <w:r>
                    <w:rPr>
                      <w:rFonts w:hint="eastAsia"/>
                    </w:rPr>
                    <w:t>25.7</w:t>
                  </w:r>
                </w:p>
              </w:tc>
              <w:tc>
                <w:tcPr>
                  <w:tcW w:w="822" w:type="pct"/>
                  <w:tcBorders>
                    <w:right w:val="single" w:color="auto" w:sz="4" w:space="0"/>
                  </w:tcBorders>
                  <w:vAlign w:val="center"/>
                </w:tcPr>
                <w:p w14:paraId="1EC29511">
                  <w:pPr>
                    <w:widowControl/>
                    <w:jc w:val="center"/>
                  </w:pPr>
                  <w:r>
                    <w:rPr>
                      <w:rFonts w:hint="eastAsia"/>
                    </w:rPr>
                    <w:t>52.7</w:t>
                  </w:r>
                </w:p>
              </w:tc>
            </w:tr>
            <w:tr w14:paraId="0F937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0ECA627E">
                  <w:pPr>
                    <w:jc w:val="center"/>
                  </w:pPr>
                  <w:r>
                    <w:t>8</w:t>
                  </w:r>
                </w:p>
              </w:tc>
              <w:tc>
                <w:tcPr>
                  <w:tcW w:w="1140" w:type="pct"/>
                  <w:vAlign w:val="center"/>
                </w:tcPr>
                <w:p w14:paraId="4477E114">
                  <w:pPr>
                    <w:pStyle w:val="75"/>
                    <w:rPr>
                      <w:rFonts w:eastAsiaTheme="minorEastAsia"/>
                      <w:color w:val="auto"/>
                      <w:szCs w:val="21"/>
                    </w:rPr>
                  </w:pPr>
                  <w:r>
                    <w:rPr>
                      <w:rFonts w:hint="eastAsia" w:eastAsiaTheme="minorEastAsia"/>
                      <w:color w:val="auto"/>
                      <w:szCs w:val="21"/>
                    </w:rPr>
                    <w:t>铣床</w:t>
                  </w:r>
                </w:p>
              </w:tc>
              <w:tc>
                <w:tcPr>
                  <w:tcW w:w="822" w:type="pct"/>
                  <w:tcBorders>
                    <w:right w:val="single" w:color="auto" w:sz="4" w:space="0"/>
                  </w:tcBorders>
                  <w:vAlign w:val="center"/>
                </w:tcPr>
                <w:p w14:paraId="2B3C200B">
                  <w:pPr>
                    <w:widowControl/>
                    <w:jc w:val="center"/>
                  </w:pPr>
                  <w:r>
                    <w:rPr>
                      <w:rFonts w:hint="eastAsia"/>
                    </w:rPr>
                    <w:t>16.3</w:t>
                  </w:r>
                </w:p>
              </w:tc>
              <w:tc>
                <w:tcPr>
                  <w:tcW w:w="822" w:type="pct"/>
                  <w:tcBorders>
                    <w:right w:val="single" w:color="auto" w:sz="4" w:space="0"/>
                  </w:tcBorders>
                  <w:vAlign w:val="center"/>
                </w:tcPr>
                <w:p w14:paraId="548FB861">
                  <w:pPr>
                    <w:widowControl/>
                    <w:jc w:val="center"/>
                  </w:pPr>
                  <w:r>
                    <w:rPr>
                      <w:rFonts w:hint="eastAsia"/>
                    </w:rPr>
                    <w:t>90.2</w:t>
                  </w:r>
                </w:p>
              </w:tc>
              <w:tc>
                <w:tcPr>
                  <w:tcW w:w="822" w:type="pct"/>
                  <w:tcBorders>
                    <w:right w:val="single" w:color="auto" w:sz="4" w:space="0"/>
                  </w:tcBorders>
                  <w:vAlign w:val="center"/>
                </w:tcPr>
                <w:p w14:paraId="7396979B">
                  <w:pPr>
                    <w:widowControl/>
                    <w:jc w:val="center"/>
                  </w:pPr>
                  <w:r>
                    <w:rPr>
                      <w:rFonts w:hint="eastAsia"/>
                    </w:rPr>
                    <w:t>31.3</w:t>
                  </w:r>
                </w:p>
              </w:tc>
              <w:tc>
                <w:tcPr>
                  <w:tcW w:w="822" w:type="pct"/>
                  <w:tcBorders>
                    <w:right w:val="single" w:color="auto" w:sz="4" w:space="0"/>
                  </w:tcBorders>
                  <w:vAlign w:val="center"/>
                </w:tcPr>
                <w:p w14:paraId="30EF5A83">
                  <w:pPr>
                    <w:widowControl/>
                    <w:jc w:val="center"/>
                  </w:pPr>
                  <w:r>
                    <w:rPr>
                      <w:rFonts w:hint="eastAsia"/>
                    </w:rPr>
                    <w:t>53.9</w:t>
                  </w:r>
                </w:p>
              </w:tc>
            </w:tr>
            <w:tr w14:paraId="14F69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6A8616B2">
                  <w:pPr>
                    <w:jc w:val="center"/>
                  </w:pPr>
                  <w:r>
                    <w:t>9</w:t>
                  </w:r>
                </w:p>
              </w:tc>
              <w:tc>
                <w:tcPr>
                  <w:tcW w:w="1140" w:type="pct"/>
                  <w:vAlign w:val="center"/>
                </w:tcPr>
                <w:p w14:paraId="2599DA8F">
                  <w:pPr>
                    <w:pStyle w:val="75"/>
                    <w:rPr>
                      <w:rFonts w:eastAsiaTheme="minorEastAsia"/>
                      <w:color w:val="auto"/>
                      <w:szCs w:val="21"/>
                    </w:rPr>
                  </w:pPr>
                  <w:r>
                    <w:rPr>
                      <w:rFonts w:hint="eastAsia" w:eastAsiaTheme="minorEastAsia"/>
                      <w:color w:val="auto"/>
                      <w:szCs w:val="21"/>
                    </w:rPr>
                    <w:t>激光切割设备</w:t>
                  </w:r>
                </w:p>
              </w:tc>
              <w:tc>
                <w:tcPr>
                  <w:tcW w:w="822" w:type="pct"/>
                  <w:tcBorders>
                    <w:right w:val="single" w:color="auto" w:sz="4" w:space="0"/>
                  </w:tcBorders>
                  <w:vAlign w:val="center"/>
                </w:tcPr>
                <w:p w14:paraId="55A267EA">
                  <w:pPr>
                    <w:widowControl/>
                    <w:jc w:val="center"/>
                  </w:pPr>
                  <w:r>
                    <w:rPr>
                      <w:rFonts w:hint="eastAsia"/>
                    </w:rPr>
                    <w:t>21.7</w:t>
                  </w:r>
                </w:p>
              </w:tc>
              <w:tc>
                <w:tcPr>
                  <w:tcW w:w="822" w:type="pct"/>
                  <w:tcBorders>
                    <w:right w:val="single" w:color="auto" w:sz="4" w:space="0"/>
                  </w:tcBorders>
                  <w:vAlign w:val="center"/>
                </w:tcPr>
                <w:p w14:paraId="07004FE1">
                  <w:pPr>
                    <w:widowControl/>
                    <w:jc w:val="center"/>
                  </w:pPr>
                  <w:r>
                    <w:rPr>
                      <w:rFonts w:hint="eastAsia"/>
                    </w:rPr>
                    <w:t>77.2</w:t>
                  </w:r>
                </w:p>
              </w:tc>
              <w:tc>
                <w:tcPr>
                  <w:tcW w:w="822" w:type="pct"/>
                  <w:tcBorders>
                    <w:right w:val="single" w:color="auto" w:sz="4" w:space="0"/>
                  </w:tcBorders>
                  <w:vAlign w:val="center"/>
                </w:tcPr>
                <w:p w14:paraId="5967BF84">
                  <w:pPr>
                    <w:widowControl/>
                    <w:jc w:val="center"/>
                  </w:pPr>
                  <w:r>
                    <w:rPr>
                      <w:rFonts w:hint="eastAsia"/>
                    </w:rPr>
                    <w:t>25.9</w:t>
                  </w:r>
                </w:p>
              </w:tc>
              <w:tc>
                <w:tcPr>
                  <w:tcW w:w="822" w:type="pct"/>
                  <w:tcBorders>
                    <w:right w:val="single" w:color="auto" w:sz="4" w:space="0"/>
                  </w:tcBorders>
                  <w:vAlign w:val="center"/>
                </w:tcPr>
                <w:p w14:paraId="4AB6C6AA">
                  <w:pPr>
                    <w:widowControl/>
                    <w:jc w:val="center"/>
                  </w:pPr>
                  <w:r>
                    <w:rPr>
                      <w:rFonts w:hint="eastAsia"/>
                    </w:rPr>
                    <w:t>66.9</w:t>
                  </w:r>
                </w:p>
              </w:tc>
            </w:tr>
            <w:tr w14:paraId="5E8C5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2FD7A0E5">
                  <w:pPr>
                    <w:jc w:val="center"/>
                  </w:pPr>
                  <w:r>
                    <w:t>10</w:t>
                  </w:r>
                </w:p>
              </w:tc>
              <w:tc>
                <w:tcPr>
                  <w:tcW w:w="1140" w:type="pct"/>
                  <w:vAlign w:val="center"/>
                </w:tcPr>
                <w:p w14:paraId="3B5DE446">
                  <w:pPr>
                    <w:pStyle w:val="75"/>
                    <w:rPr>
                      <w:rFonts w:eastAsiaTheme="minorEastAsia"/>
                      <w:color w:val="auto"/>
                      <w:szCs w:val="21"/>
                    </w:rPr>
                  </w:pPr>
                  <w:r>
                    <w:rPr>
                      <w:rFonts w:hint="eastAsia" w:eastAsiaTheme="minorEastAsia"/>
                      <w:color w:val="auto"/>
                      <w:szCs w:val="21"/>
                    </w:rPr>
                    <w:t>数控剪板设备</w:t>
                  </w:r>
                </w:p>
              </w:tc>
              <w:tc>
                <w:tcPr>
                  <w:tcW w:w="822" w:type="pct"/>
                  <w:tcBorders>
                    <w:right w:val="single" w:color="auto" w:sz="4" w:space="0"/>
                  </w:tcBorders>
                  <w:vAlign w:val="center"/>
                </w:tcPr>
                <w:p w14:paraId="39541CE5">
                  <w:pPr>
                    <w:widowControl/>
                    <w:jc w:val="center"/>
                  </w:pPr>
                  <w:r>
                    <w:rPr>
                      <w:rFonts w:hint="eastAsia"/>
                    </w:rPr>
                    <w:t>21.7</w:t>
                  </w:r>
                </w:p>
              </w:tc>
              <w:tc>
                <w:tcPr>
                  <w:tcW w:w="822" w:type="pct"/>
                  <w:tcBorders>
                    <w:right w:val="single" w:color="auto" w:sz="4" w:space="0"/>
                  </w:tcBorders>
                  <w:vAlign w:val="center"/>
                </w:tcPr>
                <w:p w14:paraId="2A88A408">
                  <w:pPr>
                    <w:widowControl/>
                    <w:jc w:val="center"/>
                  </w:pPr>
                  <w:r>
                    <w:rPr>
                      <w:rFonts w:hint="eastAsia"/>
                    </w:rPr>
                    <w:t>82.1</w:t>
                  </w:r>
                </w:p>
              </w:tc>
              <w:tc>
                <w:tcPr>
                  <w:tcW w:w="822" w:type="pct"/>
                  <w:tcBorders>
                    <w:right w:val="single" w:color="auto" w:sz="4" w:space="0"/>
                  </w:tcBorders>
                  <w:vAlign w:val="center"/>
                </w:tcPr>
                <w:p w14:paraId="425A2AB0">
                  <w:pPr>
                    <w:widowControl/>
                    <w:jc w:val="center"/>
                  </w:pPr>
                  <w:r>
                    <w:rPr>
                      <w:rFonts w:hint="eastAsia"/>
                    </w:rPr>
                    <w:t>25.9</w:t>
                  </w:r>
                </w:p>
              </w:tc>
              <w:tc>
                <w:tcPr>
                  <w:tcW w:w="822" w:type="pct"/>
                  <w:tcBorders>
                    <w:right w:val="single" w:color="auto" w:sz="4" w:space="0"/>
                  </w:tcBorders>
                  <w:vAlign w:val="center"/>
                </w:tcPr>
                <w:p w14:paraId="4B7CFE7F">
                  <w:pPr>
                    <w:widowControl/>
                    <w:jc w:val="center"/>
                  </w:pPr>
                  <w:r>
                    <w:rPr>
                      <w:rFonts w:hint="eastAsia"/>
                    </w:rPr>
                    <w:t>62</w:t>
                  </w:r>
                </w:p>
              </w:tc>
            </w:tr>
            <w:tr w14:paraId="2AA6D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5BD4382D">
                  <w:pPr>
                    <w:jc w:val="center"/>
                  </w:pPr>
                  <w:r>
                    <w:t>11</w:t>
                  </w:r>
                </w:p>
              </w:tc>
              <w:tc>
                <w:tcPr>
                  <w:tcW w:w="1140" w:type="pct"/>
                  <w:vAlign w:val="center"/>
                </w:tcPr>
                <w:p w14:paraId="11828AEB">
                  <w:pPr>
                    <w:pStyle w:val="75"/>
                    <w:rPr>
                      <w:rFonts w:eastAsiaTheme="minorEastAsia"/>
                      <w:color w:val="auto"/>
                      <w:szCs w:val="21"/>
                    </w:rPr>
                  </w:pPr>
                  <w:r>
                    <w:rPr>
                      <w:rFonts w:hint="eastAsia" w:eastAsiaTheme="minorEastAsia"/>
                      <w:color w:val="auto"/>
                      <w:szCs w:val="21"/>
                    </w:rPr>
                    <w:t>折弯机</w:t>
                  </w:r>
                </w:p>
              </w:tc>
              <w:tc>
                <w:tcPr>
                  <w:tcW w:w="822" w:type="pct"/>
                  <w:tcBorders>
                    <w:right w:val="single" w:color="auto" w:sz="4" w:space="0"/>
                  </w:tcBorders>
                  <w:vAlign w:val="center"/>
                </w:tcPr>
                <w:p w14:paraId="30A25654">
                  <w:pPr>
                    <w:widowControl/>
                    <w:jc w:val="center"/>
                  </w:pPr>
                  <w:r>
                    <w:rPr>
                      <w:rFonts w:hint="eastAsia"/>
                    </w:rPr>
                    <w:t>11.3</w:t>
                  </w:r>
                </w:p>
              </w:tc>
              <w:tc>
                <w:tcPr>
                  <w:tcW w:w="822" w:type="pct"/>
                  <w:tcBorders>
                    <w:right w:val="single" w:color="auto" w:sz="4" w:space="0"/>
                  </w:tcBorders>
                  <w:vAlign w:val="center"/>
                </w:tcPr>
                <w:p w14:paraId="26DC298C">
                  <w:pPr>
                    <w:widowControl/>
                    <w:jc w:val="center"/>
                  </w:pPr>
                  <w:r>
                    <w:rPr>
                      <w:rFonts w:hint="eastAsia"/>
                    </w:rPr>
                    <w:t>83.0</w:t>
                  </w:r>
                </w:p>
              </w:tc>
              <w:tc>
                <w:tcPr>
                  <w:tcW w:w="822" w:type="pct"/>
                  <w:tcBorders>
                    <w:right w:val="single" w:color="auto" w:sz="4" w:space="0"/>
                  </w:tcBorders>
                  <w:vAlign w:val="center"/>
                </w:tcPr>
                <w:p w14:paraId="61B38890">
                  <w:pPr>
                    <w:jc w:val="center"/>
                  </w:pPr>
                  <w:r>
                    <w:rPr>
                      <w:rFonts w:hint="eastAsia"/>
                    </w:rPr>
                    <w:t>36.3</w:t>
                  </w:r>
                </w:p>
              </w:tc>
              <w:tc>
                <w:tcPr>
                  <w:tcW w:w="822" w:type="pct"/>
                  <w:tcBorders>
                    <w:right w:val="single" w:color="auto" w:sz="4" w:space="0"/>
                  </w:tcBorders>
                  <w:vAlign w:val="center"/>
                </w:tcPr>
                <w:p w14:paraId="1FBE2189">
                  <w:pPr>
                    <w:jc w:val="center"/>
                  </w:pPr>
                  <w:r>
                    <w:rPr>
                      <w:rFonts w:hint="eastAsia"/>
                    </w:rPr>
                    <w:t>61.1</w:t>
                  </w:r>
                </w:p>
              </w:tc>
            </w:tr>
            <w:tr w14:paraId="77E7A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573" w:type="pct"/>
                  <w:tcBorders>
                    <w:left w:val="single" w:color="auto" w:sz="4" w:space="0"/>
                  </w:tcBorders>
                  <w:vAlign w:val="center"/>
                </w:tcPr>
                <w:p w14:paraId="5CA902DD">
                  <w:pPr>
                    <w:jc w:val="center"/>
                  </w:pPr>
                  <w:r>
                    <w:t>12</w:t>
                  </w:r>
                </w:p>
              </w:tc>
              <w:tc>
                <w:tcPr>
                  <w:tcW w:w="1140" w:type="pct"/>
                  <w:vAlign w:val="center"/>
                </w:tcPr>
                <w:p w14:paraId="7D857F9E">
                  <w:pPr>
                    <w:pStyle w:val="75"/>
                    <w:rPr>
                      <w:rFonts w:eastAsiaTheme="minorEastAsia"/>
                      <w:color w:val="auto"/>
                      <w:szCs w:val="21"/>
                    </w:rPr>
                  </w:pPr>
                  <w:r>
                    <w:rPr>
                      <w:rFonts w:hint="eastAsia" w:eastAsiaTheme="minorEastAsia"/>
                      <w:color w:val="auto"/>
                      <w:szCs w:val="21"/>
                    </w:rPr>
                    <w:t>卷圆机</w:t>
                  </w:r>
                </w:p>
              </w:tc>
              <w:tc>
                <w:tcPr>
                  <w:tcW w:w="822" w:type="pct"/>
                  <w:tcBorders>
                    <w:right w:val="single" w:color="auto" w:sz="4" w:space="0"/>
                  </w:tcBorders>
                  <w:vAlign w:val="center"/>
                </w:tcPr>
                <w:p w14:paraId="2347ECA7">
                  <w:pPr>
                    <w:widowControl/>
                    <w:jc w:val="center"/>
                  </w:pPr>
                  <w:r>
                    <w:rPr>
                      <w:rFonts w:hint="eastAsia"/>
                    </w:rPr>
                    <w:t>22.6</w:t>
                  </w:r>
                </w:p>
              </w:tc>
              <w:tc>
                <w:tcPr>
                  <w:tcW w:w="822" w:type="pct"/>
                  <w:tcBorders>
                    <w:right w:val="single" w:color="auto" w:sz="4" w:space="0"/>
                  </w:tcBorders>
                  <w:vAlign w:val="center"/>
                </w:tcPr>
                <w:p w14:paraId="4E545BC1">
                  <w:pPr>
                    <w:widowControl/>
                    <w:jc w:val="center"/>
                  </w:pPr>
                  <w:r>
                    <w:rPr>
                      <w:rFonts w:hint="eastAsia"/>
                    </w:rPr>
                    <w:t>80.6</w:t>
                  </w:r>
                </w:p>
              </w:tc>
              <w:tc>
                <w:tcPr>
                  <w:tcW w:w="822" w:type="pct"/>
                  <w:tcBorders>
                    <w:right w:val="single" w:color="auto" w:sz="4" w:space="0"/>
                  </w:tcBorders>
                  <w:vAlign w:val="center"/>
                </w:tcPr>
                <w:p w14:paraId="1BF3E602">
                  <w:pPr>
                    <w:jc w:val="center"/>
                  </w:pPr>
                  <w:r>
                    <w:rPr>
                      <w:rFonts w:hint="eastAsia"/>
                    </w:rPr>
                    <w:t>25.0</w:t>
                  </w:r>
                </w:p>
              </w:tc>
              <w:tc>
                <w:tcPr>
                  <w:tcW w:w="822" w:type="pct"/>
                  <w:tcBorders>
                    <w:right w:val="single" w:color="auto" w:sz="4" w:space="0"/>
                  </w:tcBorders>
                  <w:vAlign w:val="center"/>
                </w:tcPr>
                <w:p w14:paraId="1A5399BB">
                  <w:pPr>
                    <w:jc w:val="center"/>
                  </w:pPr>
                  <w:r>
                    <w:rPr>
                      <w:rFonts w:hint="eastAsia"/>
                    </w:rPr>
                    <w:t>63.5</w:t>
                  </w:r>
                </w:p>
              </w:tc>
            </w:tr>
            <w:tr w14:paraId="32A25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1AC27A94">
                  <w:pPr>
                    <w:jc w:val="center"/>
                  </w:pPr>
                  <w:r>
                    <w:t>13</w:t>
                  </w:r>
                </w:p>
              </w:tc>
              <w:tc>
                <w:tcPr>
                  <w:tcW w:w="1140" w:type="pct"/>
                  <w:vAlign w:val="center"/>
                </w:tcPr>
                <w:p w14:paraId="16939E73">
                  <w:pPr>
                    <w:pStyle w:val="75"/>
                    <w:rPr>
                      <w:rFonts w:eastAsiaTheme="minorEastAsia"/>
                      <w:color w:val="auto"/>
                      <w:szCs w:val="21"/>
                    </w:rPr>
                  </w:pPr>
                  <w:r>
                    <w:rPr>
                      <w:rFonts w:hint="eastAsia" w:eastAsiaTheme="minorEastAsia"/>
                      <w:color w:val="auto"/>
                      <w:szCs w:val="21"/>
                    </w:rPr>
                    <w:t>压缩机</w:t>
                  </w:r>
                </w:p>
              </w:tc>
              <w:tc>
                <w:tcPr>
                  <w:tcW w:w="822" w:type="pct"/>
                  <w:tcBorders>
                    <w:right w:val="single" w:color="auto" w:sz="4" w:space="0"/>
                  </w:tcBorders>
                  <w:vAlign w:val="center"/>
                </w:tcPr>
                <w:p w14:paraId="6DF17106">
                  <w:pPr>
                    <w:widowControl/>
                    <w:jc w:val="center"/>
                  </w:pPr>
                  <w:r>
                    <w:rPr>
                      <w:rFonts w:hint="eastAsia"/>
                    </w:rPr>
                    <w:t>26.4</w:t>
                  </w:r>
                </w:p>
              </w:tc>
              <w:tc>
                <w:tcPr>
                  <w:tcW w:w="822" w:type="pct"/>
                  <w:tcBorders>
                    <w:right w:val="single" w:color="auto" w:sz="4" w:space="0"/>
                  </w:tcBorders>
                  <w:vAlign w:val="center"/>
                </w:tcPr>
                <w:p w14:paraId="5BBE5532">
                  <w:pPr>
                    <w:widowControl/>
                    <w:jc w:val="center"/>
                  </w:pPr>
                  <w:r>
                    <w:rPr>
                      <w:rFonts w:hint="eastAsia"/>
                    </w:rPr>
                    <w:t>15.2</w:t>
                  </w:r>
                </w:p>
              </w:tc>
              <w:tc>
                <w:tcPr>
                  <w:tcW w:w="822" w:type="pct"/>
                  <w:tcBorders>
                    <w:right w:val="single" w:color="auto" w:sz="4" w:space="0"/>
                  </w:tcBorders>
                  <w:vAlign w:val="center"/>
                </w:tcPr>
                <w:p w14:paraId="44B9A40F">
                  <w:pPr>
                    <w:jc w:val="center"/>
                  </w:pPr>
                  <w:r>
                    <w:rPr>
                      <w:rFonts w:hint="eastAsia"/>
                    </w:rPr>
                    <w:t>21.2</w:t>
                  </w:r>
                </w:p>
              </w:tc>
              <w:tc>
                <w:tcPr>
                  <w:tcW w:w="822" w:type="pct"/>
                  <w:tcBorders>
                    <w:right w:val="single" w:color="auto" w:sz="4" w:space="0"/>
                  </w:tcBorders>
                  <w:vAlign w:val="center"/>
                </w:tcPr>
                <w:p w14:paraId="6714BE4F">
                  <w:pPr>
                    <w:jc w:val="center"/>
                  </w:pPr>
                  <w:r>
                    <w:rPr>
                      <w:rFonts w:hint="eastAsia"/>
                    </w:rPr>
                    <w:t>128.9</w:t>
                  </w:r>
                </w:p>
              </w:tc>
            </w:tr>
            <w:tr w14:paraId="016BC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35FDAED4">
                  <w:pPr>
                    <w:jc w:val="center"/>
                  </w:pPr>
                  <w:r>
                    <w:t>14</w:t>
                  </w:r>
                </w:p>
              </w:tc>
              <w:tc>
                <w:tcPr>
                  <w:tcW w:w="1140" w:type="pct"/>
                  <w:vAlign w:val="center"/>
                </w:tcPr>
                <w:p w14:paraId="4915BC71">
                  <w:pPr>
                    <w:pStyle w:val="75"/>
                    <w:rPr>
                      <w:rFonts w:eastAsiaTheme="minorEastAsia"/>
                      <w:color w:val="auto"/>
                      <w:szCs w:val="21"/>
                    </w:rPr>
                  </w:pPr>
                  <w:r>
                    <w:rPr>
                      <w:rFonts w:hint="eastAsia" w:eastAsiaTheme="minorEastAsia"/>
                      <w:color w:val="auto"/>
                      <w:szCs w:val="21"/>
                    </w:rPr>
                    <w:t>冲床</w:t>
                  </w:r>
                </w:p>
              </w:tc>
              <w:tc>
                <w:tcPr>
                  <w:tcW w:w="822" w:type="pct"/>
                  <w:tcBorders>
                    <w:right w:val="single" w:color="auto" w:sz="4" w:space="0"/>
                  </w:tcBorders>
                  <w:vAlign w:val="center"/>
                </w:tcPr>
                <w:p w14:paraId="04FE1B13">
                  <w:pPr>
                    <w:widowControl/>
                    <w:jc w:val="center"/>
                  </w:pPr>
                  <w:r>
                    <w:rPr>
                      <w:rFonts w:hint="eastAsia"/>
                    </w:rPr>
                    <w:t>11.0</w:t>
                  </w:r>
                </w:p>
              </w:tc>
              <w:tc>
                <w:tcPr>
                  <w:tcW w:w="822" w:type="pct"/>
                  <w:tcBorders>
                    <w:right w:val="single" w:color="auto" w:sz="4" w:space="0"/>
                  </w:tcBorders>
                  <w:vAlign w:val="center"/>
                </w:tcPr>
                <w:p w14:paraId="4F08AF0A">
                  <w:pPr>
                    <w:widowControl/>
                    <w:jc w:val="center"/>
                  </w:pPr>
                  <w:r>
                    <w:rPr>
                      <w:rFonts w:hint="eastAsia"/>
                    </w:rPr>
                    <w:t>91.4</w:t>
                  </w:r>
                </w:p>
              </w:tc>
              <w:tc>
                <w:tcPr>
                  <w:tcW w:w="822" w:type="pct"/>
                  <w:tcBorders>
                    <w:right w:val="single" w:color="auto" w:sz="4" w:space="0"/>
                  </w:tcBorders>
                  <w:vAlign w:val="center"/>
                </w:tcPr>
                <w:p w14:paraId="0557DA73">
                  <w:pPr>
                    <w:jc w:val="center"/>
                  </w:pPr>
                  <w:r>
                    <w:rPr>
                      <w:rFonts w:hint="eastAsia"/>
                    </w:rPr>
                    <w:t>36.6</w:t>
                  </w:r>
                </w:p>
              </w:tc>
              <w:tc>
                <w:tcPr>
                  <w:tcW w:w="822" w:type="pct"/>
                  <w:tcBorders>
                    <w:right w:val="single" w:color="auto" w:sz="4" w:space="0"/>
                  </w:tcBorders>
                  <w:vAlign w:val="center"/>
                </w:tcPr>
                <w:p w14:paraId="63C83C68">
                  <w:pPr>
                    <w:jc w:val="center"/>
                  </w:pPr>
                  <w:r>
                    <w:rPr>
                      <w:rFonts w:hint="eastAsia"/>
                    </w:rPr>
                    <w:t>52.7</w:t>
                  </w:r>
                </w:p>
              </w:tc>
            </w:tr>
            <w:tr w14:paraId="745C9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401AB377">
                  <w:pPr>
                    <w:jc w:val="center"/>
                  </w:pPr>
                  <w:r>
                    <w:t>15</w:t>
                  </w:r>
                </w:p>
              </w:tc>
              <w:tc>
                <w:tcPr>
                  <w:tcW w:w="1140" w:type="pct"/>
                  <w:vAlign w:val="center"/>
                </w:tcPr>
                <w:p w14:paraId="6D8B1375">
                  <w:pPr>
                    <w:pStyle w:val="75"/>
                    <w:rPr>
                      <w:rFonts w:eastAsiaTheme="minorEastAsia"/>
                      <w:color w:val="auto"/>
                      <w:szCs w:val="21"/>
                    </w:rPr>
                  </w:pPr>
                  <w:r>
                    <w:rPr>
                      <w:rFonts w:hint="eastAsia" w:eastAsiaTheme="minorEastAsia"/>
                      <w:color w:val="auto"/>
                      <w:szCs w:val="21"/>
                    </w:rPr>
                    <w:t>二保焊机</w:t>
                  </w:r>
                </w:p>
              </w:tc>
              <w:tc>
                <w:tcPr>
                  <w:tcW w:w="822" w:type="pct"/>
                  <w:tcBorders>
                    <w:right w:val="single" w:color="auto" w:sz="4" w:space="0"/>
                  </w:tcBorders>
                  <w:vAlign w:val="center"/>
                </w:tcPr>
                <w:p w14:paraId="06699830">
                  <w:pPr>
                    <w:widowControl/>
                    <w:jc w:val="center"/>
                  </w:pPr>
                  <w:r>
                    <w:rPr>
                      <w:rFonts w:hint="eastAsia"/>
                    </w:rPr>
                    <w:t>26.2</w:t>
                  </w:r>
                </w:p>
              </w:tc>
              <w:tc>
                <w:tcPr>
                  <w:tcW w:w="822" w:type="pct"/>
                  <w:tcBorders>
                    <w:right w:val="single" w:color="auto" w:sz="4" w:space="0"/>
                  </w:tcBorders>
                  <w:vAlign w:val="center"/>
                </w:tcPr>
                <w:p w14:paraId="4F2968D9">
                  <w:pPr>
                    <w:widowControl/>
                    <w:jc w:val="center"/>
                  </w:pPr>
                  <w:r>
                    <w:rPr>
                      <w:rFonts w:hint="eastAsia"/>
                    </w:rPr>
                    <w:t>84.7</w:t>
                  </w:r>
                </w:p>
              </w:tc>
              <w:tc>
                <w:tcPr>
                  <w:tcW w:w="822" w:type="pct"/>
                  <w:tcBorders>
                    <w:right w:val="single" w:color="auto" w:sz="4" w:space="0"/>
                  </w:tcBorders>
                  <w:vAlign w:val="center"/>
                </w:tcPr>
                <w:p w14:paraId="0110C87D">
                  <w:pPr>
                    <w:jc w:val="center"/>
                  </w:pPr>
                  <w:r>
                    <w:rPr>
                      <w:rFonts w:hint="eastAsia"/>
                    </w:rPr>
                    <w:t>21.4</w:t>
                  </w:r>
                </w:p>
              </w:tc>
              <w:tc>
                <w:tcPr>
                  <w:tcW w:w="822" w:type="pct"/>
                  <w:tcBorders>
                    <w:right w:val="single" w:color="auto" w:sz="4" w:space="0"/>
                  </w:tcBorders>
                  <w:vAlign w:val="center"/>
                </w:tcPr>
                <w:p w14:paraId="4708A377">
                  <w:pPr>
                    <w:jc w:val="center"/>
                  </w:pPr>
                  <w:r>
                    <w:rPr>
                      <w:rFonts w:hint="eastAsia"/>
                    </w:rPr>
                    <w:t>59.4</w:t>
                  </w:r>
                </w:p>
              </w:tc>
            </w:tr>
            <w:tr w14:paraId="7DA8E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1ACD1A68">
                  <w:pPr>
                    <w:jc w:val="center"/>
                  </w:pPr>
                  <w:r>
                    <w:t>16</w:t>
                  </w:r>
                </w:p>
              </w:tc>
              <w:tc>
                <w:tcPr>
                  <w:tcW w:w="1140" w:type="pct"/>
                  <w:vAlign w:val="center"/>
                </w:tcPr>
                <w:p w14:paraId="1DA3DA5A">
                  <w:pPr>
                    <w:pStyle w:val="75"/>
                    <w:rPr>
                      <w:rFonts w:eastAsiaTheme="minorEastAsia"/>
                      <w:color w:val="auto"/>
                      <w:szCs w:val="21"/>
                    </w:rPr>
                  </w:pPr>
                  <w:r>
                    <w:rPr>
                      <w:rFonts w:hint="eastAsia" w:eastAsiaTheme="minorEastAsia"/>
                      <w:color w:val="auto"/>
                      <w:szCs w:val="21"/>
                    </w:rPr>
                    <w:t>抛丸工序风机</w:t>
                  </w:r>
                </w:p>
              </w:tc>
              <w:tc>
                <w:tcPr>
                  <w:tcW w:w="822" w:type="pct"/>
                  <w:tcBorders>
                    <w:right w:val="single" w:color="auto" w:sz="4" w:space="0"/>
                  </w:tcBorders>
                  <w:vAlign w:val="center"/>
                </w:tcPr>
                <w:p w14:paraId="6830DE7B">
                  <w:pPr>
                    <w:widowControl/>
                    <w:jc w:val="center"/>
                  </w:pPr>
                  <w:r>
                    <w:rPr>
                      <w:rFonts w:hint="eastAsia"/>
                    </w:rPr>
                    <w:t>2.2</w:t>
                  </w:r>
                </w:p>
              </w:tc>
              <w:tc>
                <w:tcPr>
                  <w:tcW w:w="822" w:type="pct"/>
                  <w:tcBorders>
                    <w:right w:val="single" w:color="auto" w:sz="4" w:space="0"/>
                  </w:tcBorders>
                  <w:vAlign w:val="center"/>
                </w:tcPr>
                <w:p w14:paraId="146777A7">
                  <w:pPr>
                    <w:widowControl/>
                    <w:jc w:val="center"/>
                  </w:pPr>
                  <w:r>
                    <w:rPr>
                      <w:rFonts w:hint="eastAsia"/>
                    </w:rPr>
                    <w:t>24.1</w:t>
                  </w:r>
                </w:p>
              </w:tc>
              <w:tc>
                <w:tcPr>
                  <w:tcW w:w="822" w:type="pct"/>
                  <w:tcBorders>
                    <w:right w:val="single" w:color="auto" w:sz="4" w:space="0"/>
                  </w:tcBorders>
                  <w:vAlign w:val="center"/>
                </w:tcPr>
                <w:p w14:paraId="58183863">
                  <w:pPr>
                    <w:jc w:val="center"/>
                  </w:pPr>
                  <w:r>
                    <w:rPr>
                      <w:rFonts w:hint="eastAsia"/>
                    </w:rPr>
                    <w:t>45.4</w:t>
                  </w:r>
                </w:p>
              </w:tc>
              <w:tc>
                <w:tcPr>
                  <w:tcW w:w="822" w:type="pct"/>
                  <w:tcBorders>
                    <w:right w:val="single" w:color="auto" w:sz="4" w:space="0"/>
                  </w:tcBorders>
                  <w:vAlign w:val="center"/>
                </w:tcPr>
                <w:p w14:paraId="7E4E8D94">
                  <w:pPr>
                    <w:jc w:val="center"/>
                  </w:pPr>
                  <w:r>
                    <w:rPr>
                      <w:rFonts w:hint="eastAsia"/>
                    </w:rPr>
                    <w:t>120.0</w:t>
                  </w:r>
                </w:p>
              </w:tc>
            </w:tr>
            <w:tr w14:paraId="22BF5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028BE5DD">
                  <w:pPr>
                    <w:jc w:val="center"/>
                  </w:pPr>
                  <w:r>
                    <w:rPr>
                      <w:rFonts w:hint="eastAsia"/>
                    </w:rPr>
                    <w:t>17</w:t>
                  </w:r>
                </w:p>
              </w:tc>
              <w:tc>
                <w:tcPr>
                  <w:tcW w:w="1140" w:type="pct"/>
                  <w:vAlign w:val="center"/>
                </w:tcPr>
                <w:p w14:paraId="6D98031D">
                  <w:pPr>
                    <w:pStyle w:val="75"/>
                    <w:rPr>
                      <w:rFonts w:eastAsiaTheme="minorEastAsia"/>
                      <w:color w:val="auto"/>
                      <w:szCs w:val="21"/>
                    </w:rPr>
                  </w:pPr>
                  <w:r>
                    <w:rPr>
                      <w:rFonts w:hint="eastAsia" w:eastAsiaTheme="minorEastAsia"/>
                      <w:color w:val="auto"/>
                      <w:szCs w:val="21"/>
                    </w:rPr>
                    <w:t>喷涂工序1风机</w:t>
                  </w:r>
                </w:p>
              </w:tc>
              <w:tc>
                <w:tcPr>
                  <w:tcW w:w="822" w:type="pct"/>
                  <w:tcBorders>
                    <w:right w:val="single" w:color="auto" w:sz="4" w:space="0"/>
                  </w:tcBorders>
                  <w:vAlign w:val="center"/>
                </w:tcPr>
                <w:p w14:paraId="5B4D6C33">
                  <w:pPr>
                    <w:widowControl/>
                    <w:jc w:val="center"/>
                  </w:pPr>
                  <w:r>
                    <w:rPr>
                      <w:rFonts w:hint="eastAsia"/>
                    </w:rPr>
                    <w:t>29.2</w:t>
                  </w:r>
                </w:p>
              </w:tc>
              <w:tc>
                <w:tcPr>
                  <w:tcW w:w="822" w:type="pct"/>
                  <w:tcBorders>
                    <w:right w:val="single" w:color="auto" w:sz="4" w:space="0"/>
                  </w:tcBorders>
                  <w:vAlign w:val="center"/>
                </w:tcPr>
                <w:p w14:paraId="394732CC">
                  <w:pPr>
                    <w:widowControl/>
                    <w:jc w:val="center"/>
                  </w:pPr>
                  <w:r>
                    <w:rPr>
                      <w:rFonts w:hint="eastAsia"/>
                    </w:rPr>
                    <w:t>68.4</w:t>
                  </w:r>
                </w:p>
              </w:tc>
              <w:tc>
                <w:tcPr>
                  <w:tcW w:w="822" w:type="pct"/>
                  <w:tcBorders>
                    <w:right w:val="single" w:color="auto" w:sz="4" w:space="0"/>
                  </w:tcBorders>
                  <w:vAlign w:val="center"/>
                </w:tcPr>
                <w:p w14:paraId="4C1647C0">
                  <w:pPr>
                    <w:jc w:val="center"/>
                  </w:pPr>
                  <w:r>
                    <w:rPr>
                      <w:rFonts w:hint="eastAsia"/>
                    </w:rPr>
                    <w:t>18.4</w:t>
                  </w:r>
                </w:p>
              </w:tc>
              <w:tc>
                <w:tcPr>
                  <w:tcW w:w="822" w:type="pct"/>
                  <w:tcBorders>
                    <w:right w:val="single" w:color="auto" w:sz="4" w:space="0"/>
                  </w:tcBorders>
                  <w:vAlign w:val="center"/>
                </w:tcPr>
                <w:p w14:paraId="043B5C6E">
                  <w:pPr>
                    <w:jc w:val="center"/>
                  </w:pPr>
                  <w:r>
                    <w:rPr>
                      <w:rFonts w:hint="eastAsia"/>
                    </w:rPr>
                    <w:t>75.7</w:t>
                  </w:r>
                </w:p>
              </w:tc>
            </w:tr>
            <w:tr w14:paraId="0105C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425F6D0B">
                  <w:pPr>
                    <w:jc w:val="center"/>
                  </w:pPr>
                  <w:r>
                    <w:rPr>
                      <w:rFonts w:hint="eastAsia"/>
                    </w:rPr>
                    <w:t>18</w:t>
                  </w:r>
                </w:p>
              </w:tc>
              <w:tc>
                <w:tcPr>
                  <w:tcW w:w="1140" w:type="pct"/>
                  <w:vAlign w:val="center"/>
                </w:tcPr>
                <w:p w14:paraId="4AC16C76">
                  <w:pPr>
                    <w:pStyle w:val="75"/>
                    <w:rPr>
                      <w:rFonts w:eastAsiaTheme="minorEastAsia"/>
                      <w:color w:val="auto"/>
                      <w:szCs w:val="21"/>
                    </w:rPr>
                  </w:pPr>
                  <w:r>
                    <w:rPr>
                      <w:rFonts w:hint="eastAsia" w:eastAsiaTheme="minorEastAsia"/>
                      <w:color w:val="auto"/>
                      <w:szCs w:val="21"/>
                    </w:rPr>
                    <w:t>喷涂工序2风机</w:t>
                  </w:r>
                </w:p>
              </w:tc>
              <w:tc>
                <w:tcPr>
                  <w:tcW w:w="822" w:type="pct"/>
                  <w:tcBorders>
                    <w:right w:val="single" w:color="auto" w:sz="4" w:space="0"/>
                  </w:tcBorders>
                  <w:vAlign w:val="center"/>
                </w:tcPr>
                <w:p w14:paraId="0F66FFAD">
                  <w:pPr>
                    <w:widowControl/>
                    <w:jc w:val="center"/>
                  </w:pPr>
                  <w:r>
                    <w:rPr>
                      <w:rFonts w:hint="eastAsia"/>
                    </w:rPr>
                    <w:t>31.4</w:t>
                  </w:r>
                </w:p>
              </w:tc>
              <w:tc>
                <w:tcPr>
                  <w:tcW w:w="822" w:type="pct"/>
                  <w:tcBorders>
                    <w:right w:val="single" w:color="auto" w:sz="4" w:space="0"/>
                  </w:tcBorders>
                  <w:vAlign w:val="center"/>
                </w:tcPr>
                <w:p w14:paraId="2F69F6D6">
                  <w:pPr>
                    <w:widowControl/>
                    <w:jc w:val="center"/>
                  </w:pPr>
                  <w:r>
                    <w:rPr>
                      <w:rFonts w:hint="eastAsia"/>
                    </w:rPr>
                    <w:t>77.3</w:t>
                  </w:r>
                </w:p>
              </w:tc>
              <w:tc>
                <w:tcPr>
                  <w:tcW w:w="822" w:type="pct"/>
                  <w:tcBorders>
                    <w:right w:val="single" w:color="auto" w:sz="4" w:space="0"/>
                  </w:tcBorders>
                  <w:vAlign w:val="center"/>
                </w:tcPr>
                <w:p w14:paraId="5B4DB981">
                  <w:pPr>
                    <w:jc w:val="center"/>
                  </w:pPr>
                  <w:r>
                    <w:rPr>
                      <w:rFonts w:hint="eastAsia"/>
                    </w:rPr>
                    <w:t>17.2</w:t>
                  </w:r>
                </w:p>
              </w:tc>
              <w:tc>
                <w:tcPr>
                  <w:tcW w:w="822" w:type="pct"/>
                  <w:tcBorders>
                    <w:right w:val="single" w:color="auto" w:sz="4" w:space="0"/>
                  </w:tcBorders>
                  <w:vAlign w:val="center"/>
                </w:tcPr>
                <w:p w14:paraId="484B7593">
                  <w:pPr>
                    <w:jc w:val="center"/>
                  </w:pPr>
                  <w:r>
                    <w:rPr>
                      <w:rFonts w:hint="eastAsia"/>
                    </w:rPr>
                    <w:t>66.8</w:t>
                  </w:r>
                </w:p>
              </w:tc>
            </w:tr>
            <w:tr w14:paraId="159C7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319663BC">
                  <w:pPr>
                    <w:jc w:val="center"/>
                  </w:pPr>
                  <w:r>
                    <w:rPr>
                      <w:rFonts w:hint="eastAsia"/>
                    </w:rPr>
                    <w:t>19</w:t>
                  </w:r>
                </w:p>
              </w:tc>
              <w:tc>
                <w:tcPr>
                  <w:tcW w:w="1140" w:type="pct"/>
                  <w:vAlign w:val="center"/>
                </w:tcPr>
                <w:p w14:paraId="5E77A661">
                  <w:pPr>
                    <w:pStyle w:val="75"/>
                    <w:rPr>
                      <w:rFonts w:eastAsiaTheme="minorEastAsia"/>
                      <w:color w:val="auto"/>
                      <w:szCs w:val="21"/>
                    </w:rPr>
                  </w:pPr>
                  <w:r>
                    <w:rPr>
                      <w:rFonts w:hint="eastAsia" w:eastAsiaTheme="minorEastAsia"/>
                      <w:color w:val="auto"/>
                      <w:szCs w:val="21"/>
                    </w:rPr>
                    <w:t>烘干工序风机</w:t>
                  </w:r>
                </w:p>
              </w:tc>
              <w:tc>
                <w:tcPr>
                  <w:tcW w:w="822" w:type="pct"/>
                  <w:tcBorders>
                    <w:right w:val="single" w:color="auto" w:sz="4" w:space="0"/>
                  </w:tcBorders>
                  <w:vAlign w:val="center"/>
                </w:tcPr>
                <w:p w14:paraId="0931A2A9">
                  <w:pPr>
                    <w:widowControl/>
                    <w:jc w:val="center"/>
                  </w:pPr>
                  <w:r>
                    <w:rPr>
                      <w:rFonts w:hint="eastAsia"/>
                    </w:rPr>
                    <w:t>35.2</w:t>
                  </w:r>
                </w:p>
              </w:tc>
              <w:tc>
                <w:tcPr>
                  <w:tcW w:w="822" w:type="pct"/>
                  <w:tcBorders>
                    <w:right w:val="single" w:color="auto" w:sz="4" w:space="0"/>
                  </w:tcBorders>
                  <w:vAlign w:val="center"/>
                </w:tcPr>
                <w:p w14:paraId="55195232">
                  <w:pPr>
                    <w:widowControl/>
                    <w:jc w:val="center"/>
                  </w:pPr>
                  <w:r>
                    <w:rPr>
                      <w:rFonts w:hint="eastAsia"/>
                    </w:rPr>
                    <w:t>42.8</w:t>
                  </w:r>
                </w:p>
              </w:tc>
              <w:tc>
                <w:tcPr>
                  <w:tcW w:w="822" w:type="pct"/>
                  <w:tcBorders>
                    <w:right w:val="single" w:color="auto" w:sz="4" w:space="0"/>
                  </w:tcBorders>
                  <w:vAlign w:val="center"/>
                </w:tcPr>
                <w:p w14:paraId="3AB74F2D">
                  <w:pPr>
                    <w:jc w:val="center"/>
                  </w:pPr>
                  <w:r>
                    <w:rPr>
                      <w:rFonts w:hint="eastAsia"/>
                    </w:rPr>
                    <w:t>12.4</w:t>
                  </w:r>
                </w:p>
              </w:tc>
              <w:tc>
                <w:tcPr>
                  <w:tcW w:w="822" w:type="pct"/>
                  <w:tcBorders>
                    <w:right w:val="single" w:color="auto" w:sz="4" w:space="0"/>
                  </w:tcBorders>
                  <w:vAlign w:val="center"/>
                </w:tcPr>
                <w:p w14:paraId="4CFFEA31">
                  <w:pPr>
                    <w:jc w:val="center"/>
                  </w:pPr>
                  <w:r>
                    <w:rPr>
                      <w:rFonts w:hint="eastAsia"/>
                    </w:rPr>
                    <w:t>101.3</w:t>
                  </w:r>
                </w:p>
              </w:tc>
            </w:tr>
            <w:tr w14:paraId="17CCD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tcBorders>
                  <w:vAlign w:val="center"/>
                </w:tcPr>
                <w:p w14:paraId="40C548C3">
                  <w:pPr>
                    <w:jc w:val="center"/>
                  </w:pPr>
                  <w:r>
                    <w:rPr>
                      <w:rFonts w:hint="eastAsia"/>
                    </w:rPr>
                    <w:t>20</w:t>
                  </w:r>
                </w:p>
              </w:tc>
              <w:tc>
                <w:tcPr>
                  <w:tcW w:w="1140" w:type="pct"/>
                  <w:vAlign w:val="center"/>
                </w:tcPr>
                <w:p w14:paraId="5AED4C6E">
                  <w:pPr>
                    <w:pStyle w:val="75"/>
                    <w:rPr>
                      <w:rFonts w:eastAsiaTheme="minorEastAsia"/>
                      <w:color w:val="auto"/>
                      <w:szCs w:val="21"/>
                    </w:rPr>
                  </w:pPr>
                  <w:r>
                    <w:rPr>
                      <w:rFonts w:hint="eastAsia" w:eastAsiaTheme="minorEastAsia"/>
                      <w:color w:val="auto"/>
                      <w:szCs w:val="21"/>
                    </w:rPr>
                    <w:t>燃料燃烧工序风机</w:t>
                  </w:r>
                </w:p>
              </w:tc>
              <w:tc>
                <w:tcPr>
                  <w:tcW w:w="822" w:type="pct"/>
                  <w:tcBorders>
                    <w:right w:val="single" w:color="auto" w:sz="4" w:space="0"/>
                  </w:tcBorders>
                  <w:vAlign w:val="center"/>
                </w:tcPr>
                <w:p w14:paraId="1CADF7A0">
                  <w:pPr>
                    <w:widowControl/>
                    <w:jc w:val="center"/>
                  </w:pPr>
                  <w:r>
                    <w:rPr>
                      <w:rFonts w:hint="eastAsia"/>
                    </w:rPr>
                    <w:t>34.2</w:t>
                  </w:r>
                </w:p>
              </w:tc>
              <w:tc>
                <w:tcPr>
                  <w:tcW w:w="822" w:type="pct"/>
                  <w:tcBorders>
                    <w:right w:val="single" w:color="auto" w:sz="4" w:space="0"/>
                  </w:tcBorders>
                  <w:vAlign w:val="center"/>
                </w:tcPr>
                <w:p w14:paraId="12771DFC">
                  <w:pPr>
                    <w:widowControl/>
                    <w:jc w:val="center"/>
                  </w:pPr>
                  <w:r>
                    <w:rPr>
                      <w:rFonts w:hint="eastAsia"/>
                    </w:rPr>
                    <w:t>41.8</w:t>
                  </w:r>
                </w:p>
              </w:tc>
              <w:tc>
                <w:tcPr>
                  <w:tcW w:w="822" w:type="pct"/>
                  <w:tcBorders>
                    <w:right w:val="single" w:color="auto" w:sz="4" w:space="0"/>
                  </w:tcBorders>
                  <w:vAlign w:val="center"/>
                </w:tcPr>
                <w:p w14:paraId="111B1B45">
                  <w:pPr>
                    <w:jc w:val="center"/>
                  </w:pPr>
                  <w:r>
                    <w:rPr>
                      <w:rFonts w:hint="eastAsia"/>
                    </w:rPr>
                    <w:t>13.4</w:t>
                  </w:r>
                </w:p>
              </w:tc>
              <w:tc>
                <w:tcPr>
                  <w:tcW w:w="822" w:type="pct"/>
                  <w:tcBorders>
                    <w:right w:val="single" w:color="auto" w:sz="4" w:space="0"/>
                  </w:tcBorders>
                  <w:vAlign w:val="center"/>
                </w:tcPr>
                <w:p w14:paraId="1644E522">
                  <w:pPr>
                    <w:jc w:val="center"/>
                  </w:pPr>
                  <w:r>
                    <w:rPr>
                      <w:rFonts w:hint="eastAsia"/>
                    </w:rPr>
                    <w:t>102.3</w:t>
                  </w:r>
                </w:p>
              </w:tc>
            </w:tr>
            <w:tr w14:paraId="7B053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left w:val="single" w:color="auto" w:sz="4" w:space="0"/>
                    <w:bottom w:val="single" w:color="auto" w:sz="4" w:space="0"/>
                  </w:tcBorders>
                  <w:vAlign w:val="center"/>
                </w:tcPr>
                <w:p w14:paraId="3E526F9A">
                  <w:pPr>
                    <w:jc w:val="center"/>
                  </w:pPr>
                  <w:r>
                    <w:rPr>
                      <w:rFonts w:hint="eastAsia"/>
                    </w:rPr>
                    <w:t>21</w:t>
                  </w:r>
                </w:p>
              </w:tc>
              <w:tc>
                <w:tcPr>
                  <w:tcW w:w="1140" w:type="pct"/>
                  <w:tcBorders>
                    <w:bottom w:val="single" w:color="auto" w:sz="4" w:space="0"/>
                  </w:tcBorders>
                  <w:vAlign w:val="center"/>
                </w:tcPr>
                <w:p w14:paraId="02A8FF9C">
                  <w:pPr>
                    <w:pStyle w:val="75"/>
                    <w:rPr>
                      <w:rFonts w:eastAsiaTheme="minorEastAsia"/>
                      <w:color w:val="auto"/>
                      <w:szCs w:val="21"/>
                    </w:rPr>
                  </w:pPr>
                  <w:r>
                    <w:rPr>
                      <w:rFonts w:hint="eastAsia" w:eastAsiaTheme="minorEastAsia"/>
                      <w:color w:val="auto"/>
                      <w:szCs w:val="21"/>
                    </w:rPr>
                    <w:t>喷涂工序3风机</w:t>
                  </w:r>
                </w:p>
              </w:tc>
              <w:tc>
                <w:tcPr>
                  <w:tcW w:w="822" w:type="pct"/>
                  <w:tcBorders>
                    <w:bottom w:val="single" w:color="auto" w:sz="4" w:space="0"/>
                    <w:right w:val="single" w:color="auto" w:sz="4" w:space="0"/>
                  </w:tcBorders>
                  <w:vAlign w:val="center"/>
                </w:tcPr>
                <w:p w14:paraId="6CAB8C8E">
                  <w:pPr>
                    <w:widowControl/>
                    <w:jc w:val="center"/>
                  </w:pPr>
                  <w:r>
                    <w:rPr>
                      <w:rFonts w:hint="eastAsia"/>
                    </w:rPr>
                    <w:t>37.3</w:t>
                  </w:r>
                </w:p>
              </w:tc>
              <w:tc>
                <w:tcPr>
                  <w:tcW w:w="822" w:type="pct"/>
                  <w:tcBorders>
                    <w:bottom w:val="single" w:color="auto" w:sz="4" w:space="0"/>
                    <w:right w:val="single" w:color="auto" w:sz="4" w:space="0"/>
                  </w:tcBorders>
                  <w:vAlign w:val="center"/>
                </w:tcPr>
                <w:p w14:paraId="39D3C966">
                  <w:pPr>
                    <w:widowControl/>
                    <w:jc w:val="center"/>
                  </w:pPr>
                  <w:r>
                    <w:rPr>
                      <w:rFonts w:hint="eastAsia"/>
                    </w:rPr>
                    <w:t>13.6</w:t>
                  </w:r>
                </w:p>
              </w:tc>
              <w:tc>
                <w:tcPr>
                  <w:tcW w:w="822" w:type="pct"/>
                  <w:tcBorders>
                    <w:bottom w:val="single" w:color="auto" w:sz="4" w:space="0"/>
                    <w:right w:val="single" w:color="auto" w:sz="4" w:space="0"/>
                  </w:tcBorders>
                  <w:vAlign w:val="center"/>
                </w:tcPr>
                <w:p w14:paraId="1088BC20">
                  <w:pPr>
                    <w:jc w:val="center"/>
                  </w:pPr>
                  <w:r>
                    <w:rPr>
                      <w:rFonts w:hint="eastAsia"/>
                    </w:rPr>
                    <w:t>10.3</w:t>
                  </w:r>
                </w:p>
              </w:tc>
              <w:tc>
                <w:tcPr>
                  <w:tcW w:w="822" w:type="pct"/>
                  <w:tcBorders>
                    <w:bottom w:val="single" w:color="auto" w:sz="4" w:space="0"/>
                    <w:right w:val="single" w:color="auto" w:sz="4" w:space="0"/>
                  </w:tcBorders>
                  <w:vAlign w:val="center"/>
                </w:tcPr>
                <w:p w14:paraId="02163382">
                  <w:pPr>
                    <w:jc w:val="center"/>
                  </w:pPr>
                  <w:r>
                    <w:rPr>
                      <w:rFonts w:hint="eastAsia"/>
                    </w:rPr>
                    <w:t>130.5</w:t>
                  </w:r>
                </w:p>
              </w:tc>
            </w:tr>
            <w:tr w14:paraId="30594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top w:val="single" w:color="auto" w:sz="4" w:space="0"/>
                    <w:left w:val="single" w:color="auto" w:sz="4" w:space="0"/>
                    <w:bottom w:val="single" w:color="auto" w:sz="4" w:space="0"/>
                  </w:tcBorders>
                  <w:vAlign w:val="center"/>
                </w:tcPr>
                <w:p w14:paraId="1350425B">
                  <w:pPr>
                    <w:jc w:val="center"/>
                  </w:pPr>
                  <w:r>
                    <w:rPr>
                      <w:rFonts w:hint="eastAsia"/>
                    </w:rPr>
                    <w:t>22</w:t>
                  </w:r>
                </w:p>
              </w:tc>
              <w:tc>
                <w:tcPr>
                  <w:tcW w:w="1140" w:type="pct"/>
                  <w:tcBorders>
                    <w:top w:val="single" w:color="auto" w:sz="4" w:space="0"/>
                    <w:bottom w:val="single" w:color="auto" w:sz="4" w:space="0"/>
                  </w:tcBorders>
                  <w:vAlign w:val="center"/>
                </w:tcPr>
                <w:p w14:paraId="47854C97">
                  <w:pPr>
                    <w:pStyle w:val="75"/>
                    <w:rPr>
                      <w:rFonts w:eastAsiaTheme="minorEastAsia"/>
                      <w:color w:val="auto"/>
                      <w:szCs w:val="21"/>
                    </w:rPr>
                  </w:pPr>
                  <w:r>
                    <w:rPr>
                      <w:rFonts w:hint="eastAsia" w:eastAsiaTheme="minorEastAsia"/>
                      <w:color w:val="auto"/>
                      <w:szCs w:val="21"/>
                    </w:rPr>
                    <w:t>喷漆工序4风机</w:t>
                  </w:r>
                </w:p>
              </w:tc>
              <w:tc>
                <w:tcPr>
                  <w:tcW w:w="822" w:type="pct"/>
                  <w:tcBorders>
                    <w:top w:val="single" w:color="auto" w:sz="4" w:space="0"/>
                    <w:bottom w:val="single" w:color="auto" w:sz="4" w:space="0"/>
                    <w:right w:val="single" w:color="auto" w:sz="4" w:space="0"/>
                  </w:tcBorders>
                  <w:vAlign w:val="center"/>
                </w:tcPr>
                <w:p w14:paraId="492F728E">
                  <w:pPr>
                    <w:widowControl/>
                    <w:jc w:val="center"/>
                  </w:pPr>
                  <w:r>
                    <w:rPr>
                      <w:rFonts w:hint="eastAsia"/>
                    </w:rPr>
                    <w:t>5.2</w:t>
                  </w:r>
                </w:p>
              </w:tc>
              <w:tc>
                <w:tcPr>
                  <w:tcW w:w="822" w:type="pct"/>
                  <w:tcBorders>
                    <w:top w:val="single" w:color="auto" w:sz="4" w:space="0"/>
                    <w:bottom w:val="single" w:color="auto" w:sz="4" w:space="0"/>
                    <w:right w:val="single" w:color="auto" w:sz="4" w:space="0"/>
                  </w:tcBorders>
                  <w:vAlign w:val="center"/>
                </w:tcPr>
                <w:p w14:paraId="1147E85A">
                  <w:pPr>
                    <w:widowControl/>
                    <w:jc w:val="center"/>
                  </w:pPr>
                  <w:r>
                    <w:rPr>
                      <w:rFonts w:hint="eastAsia"/>
                    </w:rPr>
                    <w:t>59.5</w:t>
                  </w:r>
                </w:p>
              </w:tc>
              <w:tc>
                <w:tcPr>
                  <w:tcW w:w="822" w:type="pct"/>
                  <w:tcBorders>
                    <w:top w:val="single" w:color="auto" w:sz="4" w:space="0"/>
                    <w:bottom w:val="single" w:color="auto" w:sz="4" w:space="0"/>
                    <w:right w:val="single" w:color="auto" w:sz="4" w:space="0"/>
                  </w:tcBorders>
                  <w:vAlign w:val="center"/>
                </w:tcPr>
                <w:p w14:paraId="4B4AFE96">
                  <w:pPr>
                    <w:jc w:val="center"/>
                  </w:pPr>
                  <w:r>
                    <w:rPr>
                      <w:rFonts w:hint="eastAsia"/>
                    </w:rPr>
                    <w:t>42.4</w:t>
                  </w:r>
                </w:p>
              </w:tc>
              <w:tc>
                <w:tcPr>
                  <w:tcW w:w="822" w:type="pct"/>
                  <w:tcBorders>
                    <w:top w:val="single" w:color="auto" w:sz="4" w:space="0"/>
                    <w:bottom w:val="single" w:color="auto" w:sz="4" w:space="0"/>
                    <w:right w:val="single" w:color="auto" w:sz="4" w:space="0"/>
                  </w:tcBorders>
                  <w:vAlign w:val="center"/>
                </w:tcPr>
                <w:p w14:paraId="5D35E5F5">
                  <w:pPr>
                    <w:jc w:val="center"/>
                  </w:pPr>
                  <w:r>
                    <w:rPr>
                      <w:rFonts w:hint="eastAsia"/>
                    </w:rPr>
                    <w:t>84.6</w:t>
                  </w:r>
                </w:p>
              </w:tc>
            </w:tr>
          </w:tbl>
          <w:p w14:paraId="3E8379CD">
            <w:pPr>
              <w:adjustRightInd w:val="0"/>
              <w:snapToGrid w:val="0"/>
              <w:spacing w:line="360" w:lineRule="auto"/>
              <w:ind w:firstLine="480" w:firstLineChars="200"/>
              <w:rPr>
                <w:sz w:val="24"/>
              </w:rPr>
            </w:pPr>
            <w:r>
              <w:rPr>
                <w:sz w:val="24"/>
              </w:rPr>
              <w:t>本项目拟选用低噪声设备，采取基础减振和厂房隔声，经采取以上措施后，根据项目噪声设备源强、安装位置及治理措施，按噪声距离衰减预测模式和噪声叠加公式预测设备噪声影响，公式如下：</w:t>
            </w:r>
          </w:p>
          <w:p w14:paraId="17D21C6E">
            <w:pPr>
              <w:adjustRightInd w:val="0"/>
              <w:snapToGrid w:val="0"/>
              <w:spacing w:line="360" w:lineRule="auto"/>
              <w:ind w:firstLine="480" w:firstLineChars="200"/>
              <w:rPr>
                <w:sz w:val="24"/>
              </w:rPr>
            </w:pPr>
            <w:r>
              <w:rPr>
                <w:sz w:val="24"/>
              </w:rPr>
              <w:t>按噪声距离衰减预测模式和噪声叠加公式预测设备噪声影响，公式如下：</w:t>
            </w:r>
          </w:p>
          <w:p w14:paraId="1C064193">
            <w:pPr>
              <w:adjustRightInd w:val="0"/>
              <w:snapToGrid w:val="0"/>
              <w:spacing w:line="360" w:lineRule="auto"/>
              <w:ind w:firstLine="480" w:firstLineChars="200"/>
              <w:rPr>
                <w:sz w:val="24"/>
              </w:rPr>
            </w:pPr>
            <w:r>
              <w:rPr>
                <w:rFonts w:hint="eastAsia"/>
                <w:sz w:val="24"/>
              </w:rPr>
              <w:t>1）</w:t>
            </w:r>
            <w:r>
              <w:rPr>
                <w:sz w:val="24"/>
              </w:rPr>
              <w:t>室外声源在预测点的A声级</w:t>
            </w:r>
          </w:p>
          <w:p w14:paraId="7B6C1F0A">
            <w:pPr>
              <w:adjustRightInd w:val="0"/>
              <w:snapToGrid w:val="0"/>
              <w:spacing w:line="360" w:lineRule="auto"/>
              <w:ind w:firstLine="480" w:firstLineChars="200"/>
              <w:jc w:val="center"/>
              <w:rPr>
                <w:sz w:val="24"/>
              </w:rPr>
            </w:pPr>
            <w:r>
              <w:rPr>
                <w:position w:val="-14"/>
                <w:sz w:val="24"/>
              </w:rPr>
              <w:object>
                <v:shape id="_x0000_i1028" o:spt="75" type="#_x0000_t75" style="height:19.5pt;width:224.25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p>
          <w:p w14:paraId="3A3A5DD3">
            <w:pPr>
              <w:adjustRightInd w:val="0"/>
              <w:snapToGrid w:val="0"/>
              <w:spacing w:line="360" w:lineRule="auto"/>
              <w:ind w:firstLine="480" w:firstLineChars="200"/>
              <w:rPr>
                <w:sz w:val="24"/>
              </w:rPr>
            </w:pPr>
            <w:r>
              <w:rPr>
                <w:sz w:val="24"/>
              </w:rPr>
              <w:t>式中：</w:t>
            </w:r>
          </w:p>
          <w:p w14:paraId="76F6C0BB">
            <w:pPr>
              <w:adjustRightInd w:val="0"/>
              <w:snapToGrid w:val="0"/>
              <w:spacing w:line="360" w:lineRule="auto"/>
              <w:ind w:firstLine="480" w:firstLineChars="200"/>
              <w:rPr>
                <w:sz w:val="24"/>
              </w:rPr>
            </w:pPr>
            <w:r>
              <w:rPr>
                <w:sz w:val="24"/>
              </w:rPr>
              <w:t>Lp(r)——</w:t>
            </w:r>
            <w:r>
              <w:rPr>
                <w:rFonts w:hint="eastAsia"/>
                <w:sz w:val="24"/>
              </w:rPr>
              <w:t>预测点处声压级</w:t>
            </w:r>
            <w:r>
              <w:rPr>
                <w:sz w:val="24"/>
              </w:rPr>
              <w:t>，dB；</w:t>
            </w:r>
          </w:p>
          <w:p w14:paraId="545C4C97">
            <w:pPr>
              <w:adjustRightInd w:val="0"/>
              <w:snapToGrid w:val="0"/>
              <w:spacing w:line="360" w:lineRule="auto"/>
              <w:ind w:firstLine="480" w:firstLineChars="200"/>
              <w:rPr>
                <w:sz w:val="24"/>
              </w:rPr>
            </w:pPr>
            <w:r>
              <w:rPr>
                <w:sz w:val="24"/>
              </w:rPr>
              <w:t>L</w:t>
            </w:r>
            <w:r>
              <w:rPr>
                <w:rFonts w:hint="eastAsia"/>
                <w:sz w:val="24"/>
              </w:rPr>
              <w:t>w</w:t>
            </w:r>
            <w:r>
              <w:rPr>
                <w:sz w:val="24"/>
              </w:rPr>
              <w:t>——</w:t>
            </w:r>
            <w:r>
              <w:rPr>
                <w:rFonts w:hint="eastAsia"/>
                <w:sz w:val="24"/>
              </w:rPr>
              <w:t>由点声源产生的声功率级（A计权或倍频带）</w:t>
            </w:r>
            <w:r>
              <w:rPr>
                <w:sz w:val="24"/>
              </w:rPr>
              <w:t>，dB；</w:t>
            </w:r>
          </w:p>
          <w:p w14:paraId="38DEA87B">
            <w:pPr>
              <w:adjustRightInd w:val="0"/>
              <w:snapToGrid w:val="0"/>
              <w:spacing w:line="360" w:lineRule="auto"/>
              <w:ind w:firstLine="480" w:firstLineChars="200"/>
              <w:rPr>
                <w:sz w:val="24"/>
              </w:rPr>
            </w:pPr>
            <w:r>
              <w:rPr>
                <w:rFonts w:hint="eastAsia"/>
                <w:sz w:val="24"/>
              </w:rPr>
              <w:t>D</w:t>
            </w:r>
            <w:r>
              <w:rPr>
                <w:rFonts w:hint="eastAsia"/>
                <w:sz w:val="24"/>
                <w:vertAlign w:val="subscript"/>
              </w:rPr>
              <w:t>C</w:t>
            </w:r>
            <w:r>
              <w:rPr>
                <w:sz w:val="24"/>
              </w:rPr>
              <w:t>——</w:t>
            </w:r>
            <w:r>
              <w:rPr>
                <w:rFonts w:hint="eastAsia"/>
                <w:sz w:val="24"/>
              </w:rPr>
              <w:t>指向性校正，它描述点声源的等效连续声压级与产生声功率级Lw的全向点声源在规定方向的声级的偏差程度，</w:t>
            </w:r>
            <w:r>
              <w:rPr>
                <w:sz w:val="24"/>
              </w:rPr>
              <w:t>dB；</w:t>
            </w:r>
          </w:p>
          <w:p w14:paraId="64FEA3AE">
            <w:pPr>
              <w:adjustRightInd w:val="0"/>
              <w:snapToGrid w:val="0"/>
              <w:spacing w:line="360" w:lineRule="auto"/>
              <w:ind w:firstLine="480" w:firstLineChars="200"/>
              <w:rPr>
                <w:sz w:val="24"/>
              </w:rPr>
            </w:pPr>
            <w:r>
              <w:rPr>
                <w:sz w:val="24"/>
              </w:rPr>
              <w:t>A</w:t>
            </w:r>
            <w:r>
              <w:rPr>
                <w:sz w:val="24"/>
                <w:vertAlign w:val="subscript"/>
              </w:rPr>
              <w:t>div</w:t>
            </w:r>
            <w:r>
              <w:rPr>
                <w:sz w:val="24"/>
              </w:rPr>
              <w:t>——几何发散引起的衰减，dB；</w:t>
            </w:r>
          </w:p>
          <w:p w14:paraId="2ABDCF9C">
            <w:pPr>
              <w:adjustRightInd w:val="0"/>
              <w:snapToGrid w:val="0"/>
              <w:spacing w:line="360" w:lineRule="auto"/>
              <w:ind w:firstLine="480" w:firstLineChars="200"/>
              <w:rPr>
                <w:sz w:val="24"/>
              </w:rPr>
            </w:pPr>
            <w:r>
              <w:rPr>
                <w:sz w:val="24"/>
              </w:rPr>
              <w:t>A</w:t>
            </w:r>
            <w:r>
              <w:rPr>
                <w:sz w:val="24"/>
                <w:vertAlign w:val="subscript"/>
              </w:rPr>
              <w:t>bar</w:t>
            </w:r>
            <w:r>
              <w:rPr>
                <w:sz w:val="24"/>
              </w:rPr>
              <w:t>——</w:t>
            </w:r>
            <w:r>
              <w:rPr>
                <w:rFonts w:hint="eastAsia"/>
                <w:sz w:val="24"/>
              </w:rPr>
              <w:t>障碍物屏蔽</w:t>
            </w:r>
            <w:r>
              <w:rPr>
                <w:sz w:val="24"/>
              </w:rPr>
              <w:t>引起的衰减，dB；</w:t>
            </w:r>
          </w:p>
          <w:p w14:paraId="158FC9E6">
            <w:pPr>
              <w:adjustRightInd w:val="0"/>
              <w:snapToGrid w:val="0"/>
              <w:spacing w:line="360" w:lineRule="auto"/>
              <w:ind w:firstLine="480" w:firstLineChars="200"/>
              <w:rPr>
                <w:sz w:val="24"/>
              </w:rPr>
            </w:pPr>
            <w:r>
              <w:rPr>
                <w:sz w:val="24"/>
              </w:rPr>
              <w:t>A</w:t>
            </w:r>
            <w:r>
              <w:rPr>
                <w:sz w:val="24"/>
                <w:vertAlign w:val="subscript"/>
              </w:rPr>
              <w:t>atm</w:t>
            </w:r>
            <w:r>
              <w:rPr>
                <w:sz w:val="24"/>
              </w:rPr>
              <w:t>——</w:t>
            </w:r>
            <w:r>
              <w:rPr>
                <w:rFonts w:hint="eastAsia"/>
                <w:sz w:val="24"/>
              </w:rPr>
              <w:t>大气</w:t>
            </w:r>
            <w:r>
              <w:rPr>
                <w:sz w:val="24"/>
              </w:rPr>
              <w:t>吸收</w:t>
            </w:r>
            <w:r>
              <w:rPr>
                <w:rFonts w:hint="eastAsia"/>
                <w:sz w:val="24"/>
              </w:rPr>
              <w:t>引起的</w:t>
            </w:r>
            <w:r>
              <w:rPr>
                <w:sz w:val="24"/>
              </w:rPr>
              <w:t>衰减，dB；</w:t>
            </w:r>
          </w:p>
          <w:p w14:paraId="069BD23B">
            <w:pPr>
              <w:adjustRightInd w:val="0"/>
              <w:snapToGrid w:val="0"/>
              <w:spacing w:line="360" w:lineRule="auto"/>
              <w:ind w:firstLine="480" w:firstLineChars="200"/>
              <w:rPr>
                <w:sz w:val="24"/>
              </w:rPr>
            </w:pPr>
            <w:r>
              <w:rPr>
                <w:sz w:val="24"/>
              </w:rPr>
              <w:t>A</w:t>
            </w:r>
            <w:r>
              <w:rPr>
                <w:sz w:val="24"/>
                <w:vertAlign w:val="subscript"/>
              </w:rPr>
              <w:t>gr</w:t>
            </w:r>
            <w:r>
              <w:rPr>
                <w:sz w:val="24"/>
              </w:rPr>
              <w:t>——地面效应</w:t>
            </w:r>
            <w:r>
              <w:rPr>
                <w:rFonts w:hint="eastAsia"/>
                <w:sz w:val="24"/>
              </w:rPr>
              <w:t>引起的</w:t>
            </w:r>
            <w:r>
              <w:rPr>
                <w:sz w:val="24"/>
              </w:rPr>
              <w:t>衰减，dB；</w:t>
            </w:r>
          </w:p>
          <w:p w14:paraId="1ADEC435">
            <w:pPr>
              <w:adjustRightInd w:val="0"/>
              <w:snapToGrid w:val="0"/>
              <w:spacing w:line="360" w:lineRule="auto"/>
              <w:ind w:firstLine="480" w:firstLineChars="200"/>
              <w:rPr>
                <w:sz w:val="24"/>
              </w:rPr>
            </w:pPr>
            <w:r>
              <w:rPr>
                <w:sz w:val="24"/>
              </w:rPr>
              <w:t>A</w:t>
            </w:r>
            <w:r>
              <w:rPr>
                <w:sz w:val="24"/>
                <w:vertAlign w:val="subscript"/>
              </w:rPr>
              <w:t>misc</w:t>
            </w:r>
            <w:r>
              <w:rPr>
                <w:sz w:val="24"/>
              </w:rPr>
              <w:t>——其它</w:t>
            </w:r>
            <w:r>
              <w:rPr>
                <w:rFonts w:hint="eastAsia"/>
                <w:sz w:val="24"/>
              </w:rPr>
              <w:t>多</w:t>
            </w:r>
            <w:r>
              <w:rPr>
                <w:sz w:val="24"/>
              </w:rPr>
              <w:t>方面效应</w:t>
            </w:r>
            <w:r>
              <w:rPr>
                <w:rFonts w:hint="eastAsia"/>
                <w:sz w:val="24"/>
              </w:rPr>
              <w:t>引起的</w:t>
            </w:r>
            <w:r>
              <w:rPr>
                <w:sz w:val="24"/>
              </w:rPr>
              <w:t>衰减，dB。</w:t>
            </w:r>
          </w:p>
          <w:p w14:paraId="062C9D25">
            <w:pPr>
              <w:adjustRightInd w:val="0"/>
              <w:snapToGrid w:val="0"/>
              <w:spacing w:line="360" w:lineRule="auto"/>
              <w:ind w:firstLine="480" w:firstLineChars="200"/>
              <w:rPr>
                <w:sz w:val="24"/>
              </w:rPr>
            </w:pPr>
            <w:r>
              <w:rPr>
                <w:rFonts w:hint="eastAsia"/>
                <w:sz w:val="24"/>
              </w:rPr>
              <w:t>2）</w:t>
            </w:r>
            <w:r>
              <w:rPr>
                <w:sz w:val="24"/>
              </w:rPr>
              <w:t>室内声源在预测点的A声级计算</w:t>
            </w:r>
          </w:p>
          <w:p w14:paraId="2E017C1D">
            <w:pPr>
              <w:adjustRightInd w:val="0"/>
              <w:snapToGrid w:val="0"/>
              <w:spacing w:line="360" w:lineRule="auto"/>
              <w:ind w:firstLine="480" w:firstLineChars="200"/>
              <w:rPr>
                <w:sz w:val="24"/>
              </w:rPr>
            </w:pPr>
            <w:r>
              <w:rPr>
                <w:sz w:val="24"/>
              </w:rPr>
              <w:t>a.首先计算某</w:t>
            </w:r>
            <w:r>
              <w:rPr>
                <w:rFonts w:hint="eastAsia"/>
                <w:sz w:val="24"/>
              </w:rPr>
              <w:t>一</w:t>
            </w:r>
            <w:r>
              <w:rPr>
                <w:sz w:val="24"/>
              </w:rPr>
              <w:t>室内声源靠近围护结构处</w:t>
            </w:r>
            <w:r>
              <w:rPr>
                <w:rFonts w:hint="eastAsia"/>
                <w:sz w:val="24"/>
              </w:rPr>
              <w:t>产生</w:t>
            </w:r>
            <w:r>
              <w:rPr>
                <w:sz w:val="24"/>
              </w:rPr>
              <w:t>的</w:t>
            </w:r>
            <w:r>
              <w:rPr>
                <w:rFonts w:hint="eastAsia"/>
                <w:sz w:val="24"/>
              </w:rPr>
              <w:t>倍频带声压级</w:t>
            </w:r>
            <w:r>
              <w:rPr>
                <w:sz w:val="24"/>
              </w:rPr>
              <w:t>A声级</w:t>
            </w:r>
          </w:p>
          <w:p w14:paraId="627D1A41">
            <w:pPr>
              <w:adjustRightInd w:val="0"/>
              <w:snapToGrid w:val="0"/>
              <w:spacing w:line="360" w:lineRule="auto"/>
              <w:ind w:firstLine="480" w:firstLineChars="200"/>
              <w:jc w:val="center"/>
              <w:rPr>
                <w:sz w:val="24"/>
              </w:rPr>
            </w:pPr>
            <w:r>
              <w:rPr>
                <w:position w:val="-32"/>
                <w:sz w:val="24"/>
              </w:rPr>
              <w:object>
                <v:shape id="_x0000_i1029" o:spt="75" type="#_x0000_t75" style="height:32.25pt;width:120pt;" o:ole="t" filled="f" o:preferrelative="t" stroked="f" coordsize="21600,21600">
                  <v:path/>
                  <v:fill on="f" focussize="0,0"/>
                  <v:stroke on="f" joinstyle="miter"/>
                  <v:imagedata r:id="rId19" o:title=""/>
                  <o:lock v:ext="edit" aspectratio="t"/>
                  <w10:wrap type="none"/>
                  <w10:anchorlock/>
                </v:shape>
                <o:OLEObject Type="Embed" ProgID="Equation.3" ShapeID="_x0000_i1029" DrawAspect="Content" ObjectID="_1468075729" r:id="rId18">
                  <o:LockedField>false</o:LockedField>
                </o:OLEObject>
              </w:object>
            </w:r>
          </w:p>
          <w:p w14:paraId="7D061F29">
            <w:pPr>
              <w:adjustRightInd w:val="0"/>
              <w:snapToGrid w:val="0"/>
              <w:spacing w:line="360" w:lineRule="auto"/>
              <w:ind w:firstLine="480" w:firstLineChars="200"/>
              <w:rPr>
                <w:sz w:val="24"/>
              </w:rPr>
            </w:pPr>
            <w:r>
              <w:rPr>
                <w:sz w:val="24"/>
              </w:rPr>
              <w:t>式中：</w:t>
            </w:r>
          </w:p>
          <w:p w14:paraId="32CB9A3B">
            <w:pPr>
              <w:adjustRightInd w:val="0"/>
              <w:snapToGrid w:val="0"/>
              <w:spacing w:line="360" w:lineRule="auto"/>
              <w:ind w:firstLine="480" w:firstLineChars="200"/>
              <w:rPr>
                <w:sz w:val="24"/>
              </w:rPr>
            </w:pPr>
            <w:r>
              <w:rPr>
                <w:sz w:val="24"/>
              </w:rPr>
              <w:t>L</w:t>
            </w:r>
            <w:r>
              <w:rPr>
                <w:rFonts w:hint="eastAsia"/>
                <w:sz w:val="24"/>
                <w:vertAlign w:val="subscript"/>
              </w:rPr>
              <w:t>p1</w:t>
            </w:r>
            <w:r>
              <w:rPr>
                <w:sz w:val="24"/>
              </w:rPr>
              <w:t>——</w:t>
            </w:r>
            <w:r>
              <w:rPr>
                <w:rFonts w:hint="eastAsia"/>
                <w:sz w:val="24"/>
              </w:rPr>
              <w:t>靠近开口处（或窗户）室内某倍频带的声压级或</w:t>
            </w:r>
            <w:r>
              <w:rPr>
                <w:sz w:val="24"/>
              </w:rPr>
              <w:t>A声级，dB；</w:t>
            </w:r>
          </w:p>
          <w:p w14:paraId="4F913524">
            <w:pPr>
              <w:adjustRightInd w:val="0"/>
              <w:snapToGrid w:val="0"/>
              <w:spacing w:line="360" w:lineRule="auto"/>
              <w:ind w:firstLine="480" w:firstLineChars="200"/>
              <w:rPr>
                <w:sz w:val="24"/>
              </w:rPr>
            </w:pPr>
            <w:r>
              <w:rPr>
                <w:sz w:val="24"/>
              </w:rPr>
              <w:t>Lw——</w:t>
            </w:r>
            <w:r>
              <w:rPr>
                <w:rFonts w:hint="eastAsia"/>
                <w:sz w:val="24"/>
              </w:rPr>
              <w:t>点</w:t>
            </w:r>
            <w:r>
              <w:rPr>
                <w:sz w:val="24"/>
              </w:rPr>
              <w:t>声源声功率级</w:t>
            </w:r>
            <w:r>
              <w:rPr>
                <w:rFonts w:hint="eastAsia"/>
                <w:sz w:val="24"/>
              </w:rPr>
              <w:t>（A计权或倍频带）</w:t>
            </w:r>
            <w:r>
              <w:rPr>
                <w:sz w:val="24"/>
              </w:rPr>
              <w:t>，dB；</w:t>
            </w:r>
          </w:p>
          <w:p w14:paraId="2C5FCB47">
            <w:pPr>
              <w:adjustRightInd w:val="0"/>
              <w:snapToGrid w:val="0"/>
              <w:spacing w:line="360" w:lineRule="auto"/>
              <w:ind w:firstLine="480" w:firstLineChars="200"/>
              <w:rPr>
                <w:sz w:val="24"/>
              </w:rPr>
            </w:pPr>
            <w:r>
              <w:rPr>
                <w:sz w:val="24"/>
              </w:rPr>
              <w:t>r——声源</w:t>
            </w:r>
            <w:r>
              <w:rPr>
                <w:rFonts w:hint="eastAsia"/>
                <w:sz w:val="24"/>
              </w:rPr>
              <w:t>到</w:t>
            </w:r>
            <w:r>
              <w:rPr>
                <w:sz w:val="24"/>
              </w:rPr>
              <w:t>靠近围护结构</w:t>
            </w:r>
            <w:r>
              <w:rPr>
                <w:rFonts w:hint="eastAsia"/>
                <w:sz w:val="24"/>
              </w:rPr>
              <w:t>某点处</w:t>
            </w:r>
            <w:r>
              <w:rPr>
                <w:sz w:val="24"/>
              </w:rPr>
              <w:t>的距离，m；</w:t>
            </w:r>
          </w:p>
          <w:p w14:paraId="3191ECDC">
            <w:pPr>
              <w:adjustRightInd w:val="0"/>
              <w:snapToGrid w:val="0"/>
              <w:spacing w:line="360" w:lineRule="auto"/>
              <w:ind w:firstLine="480" w:firstLineChars="200"/>
              <w:rPr>
                <w:sz w:val="24"/>
              </w:rPr>
            </w:pPr>
            <w:r>
              <w:rPr>
                <w:sz w:val="24"/>
              </w:rPr>
              <w:t>R——房间常数（取R=10m</w:t>
            </w:r>
            <w:r>
              <w:rPr>
                <w:sz w:val="24"/>
                <w:vertAlign w:val="superscript"/>
              </w:rPr>
              <w:t>2</w:t>
            </w:r>
            <w:r>
              <w:rPr>
                <w:sz w:val="24"/>
              </w:rPr>
              <w:t>）；</w:t>
            </w:r>
          </w:p>
          <w:p w14:paraId="64F0643A">
            <w:pPr>
              <w:adjustRightInd w:val="0"/>
              <w:snapToGrid w:val="0"/>
              <w:spacing w:line="360" w:lineRule="auto"/>
              <w:ind w:firstLine="480" w:firstLineChars="200"/>
              <w:rPr>
                <w:sz w:val="24"/>
              </w:rPr>
            </w:pPr>
            <w:r>
              <w:rPr>
                <w:sz w:val="24"/>
              </w:rPr>
              <w:t>Q——</w:t>
            </w:r>
            <w:r>
              <w:rPr>
                <w:rFonts w:hint="eastAsia"/>
                <w:sz w:val="24"/>
              </w:rPr>
              <w:t>指向性因数</w:t>
            </w:r>
            <w:r>
              <w:rPr>
                <w:sz w:val="24"/>
              </w:rPr>
              <w:t>（取Q=1）。</w:t>
            </w:r>
          </w:p>
          <w:p w14:paraId="5546B734">
            <w:pPr>
              <w:adjustRightInd w:val="0"/>
              <w:snapToGrid w:val="0"/>
              <w:spacing w:line="360" w:lineRule="auto"/>
              <w:ind w:firstLine="480" w:firstLineChars="200"/>
              <w:rPr>
                <w:sz w:val="24"/>
              </w:rPr>
            </w:pPr>
            <w:r>
              <w:rPr>
                <w:sz w:val="24"/>
              </w:rPr>
              <w:t>b.计算所有室内声源在靠近围护结构处产生的</w:t>
            </w:r>
            <w:r>
              <w:rPr>
                <w:rFonts w:hint="eastAsia"/>
                <w:sz w:val="24"/>
              </w:rPr>
              <w:t>i倍频带叠加声压级</w:t>
            </w:r>
          </w:p>
          <w:p w14:paraId="2E8DBD7B">
            <w:pPr>
              <w:adjustRightInd w:val="0"/>
              <w:snapToGrid w:val="0"/>
              <w:spacing w:line="360" w:lineRule="auto"/>
              <w:ind w:firstLine="480" w:firstLineChars="200"/>
              <w:jc w:val="center"/>
              <w:rPr>
                <w:sz w:val="24"/>
              </w:rPr>
            </w:pPr>
            <w:r>
              <w:rPr>
                <w:position w:val="-30"/>
                <w:sz w:val="24"/>
              </w:rPr>
              <w:object>
                <v:shape id="_x0000_i1030" o:spt="75" type="#_x0000_t75" style="height:32.25pt;width:117pt;" o:ole="t" filled="f" o:preferrelative="t" stroked="f" coordsize="21600,21600">
                  <v:path/>
                  <v:fill on="f" focussize="0,0"/>
                  <v:stroke on="f" joinstyle="miter"/>
                  <v:imagedata r:id="rId21" o:title=""/>
                  <o:lock v:ext="edit" aspectratio="t"/>
                  <w10:wrap type="none"/>
                  <w10:anchorlock/>
                </v:shape>
                <o:OLEObject Type="Embed" ProgID="Equation.3" ShapeID="_x0000_i1030" DrawAspect="Content" ObjectID="_1468075730" r:id="rId20">
                  <o:LockedField>false</o:LockedField>
                </o:OLEObject>
              </w:object>
            </w:r>
          </w:p>
          <w:p w14:paraId="4D072341">
            <w:pPr>
              <w:adjustRightInd w:val="0"/>
              <w:snapToGrid w:val="0"/>
              <w:spacing w:line="360" w:lineRule="auto"/>
              <w:ind w:firstLine="480" w:firstLineChars="200"/>
              <w:rPr>
                <w:sz w:val="24"/>
              </w:rPr>
            </w:pPr>
            <w:r>
              <w:rPr>
                <w:sz w:val="24"/>
              </w:rPr>
              <w:t>式中：</w:t>
            </w:r>
          </w:p>
          <w:p w14:paraId="44616D37">
            <w:pPr>
              <w:adjustRightInd w:val="0"/>
              <w:snapToGrid w:val="0"/>
              <w:spacing w:line="360" w:lineRule="auto"/>
              <w:ind w:firstLine="480" w:firstLineChars="200"/>
              <w:rPr>
                <w:sz w:val="24"/>
              </w:rPr>
            </w:pPr>
            <w:r>
              <w:rPr>
                <w:sz w:val="24"/>
              </w:rPr>
              <w:t>L</w:t>
            </w:r>
            <w:r>
              <w:rPr>
                <w:rFonts w:hint="eastAsia"/>
                <w:sz w:val="24"/>
                <w:vertAlign w:val="subscript"/>
              </w:rPr>
              <w:t>pli</w:t>
            </w:r>
            <w:r>
              <w:rPr>
                <w:rFonts w:hint="eastAsia"/>
                <w:sz w:val="24"/>
              </w:rPr>
              <w:t>（T）</w:t>
            </w:r>
            <w:r>
              <w:rPr>
                <w:sz w:val="24"/>
              </w:rPr>
              <w:t>——</w:t>
            </w:r>
            <w:r>
              <w:rPr>
                <w:rFonts w:hint="eastAsia"/>
                <w:sz w:val="24"/>
              </w:rPr>
              <w:t>靠近围护结构处室内N个声源i倍频带的叠加声压级</w:t>
            </w:r>
            <w:r>
              <w:rPr>
                <w:sz w:val="24"/>
              </w:rPr>
              <w:t>，dB；</w:t>
            </w:r>
          </w:p>
          <w:p w14:paraId="24F5968C">
            <w:pPr>
              <w:adjustRightInd w:val="0"/>
              <w:snapToGrid w:val="0"/>
              <w:spacing w:line="360" w:lineRule="auto"/>
              <w:ind w:firstLine="480" w:firstLineChars="200"/>
              <w:rPr>
                <w:sz w:val="24"/>
              </w:rPr>
            </w:pPr>
            <w:r>
              <w:rPr>
                <w:sz w:val="24"/>
              </w:rPr>
              <w:t>L</w:t>
            </w:r>
            <w:r>
              <w:rPr>
                <w:rFonts w:hint="eastAsia"/>
                <w:sz w:val="24"/>
                <w:vertAlign w:val="subscript"/>
              </w:rPr>
              <w:t>plij</w:t>
            </w:r>
            <w:r>
              <w:rPr>
                <w:sz w:val="24"/>
              </w:rPr>
              <w:t>——</w:t>
            </w:r>
            <w:r>
              <w:rPr>
                <w:rFonts w:hint="eastAsia"/>
                <w:sz w:val="24"/>
              </w:rPr>
              <w:t>室内j声源i倍频带的声压级</w:t>
            </w:r>
            <w:r>
              <w:rPr>
                <w:sz w:val="24"/>
              </w:rPr>
              <w:t>，dB；</w:t>
            </w:r>
          </w:p>
          <w:p w14:paraId="46ACECE9">
            <w:pPr>
              <w:adjustRightInd w:val="0"/>
              <w:snapToGrid w:val="0"/>
              <w:spacing w:line="360" w:lineRule="auto"/>
              <w:ind w:firstLine="480" w:firstLineChars="200"/>
            </w:pPr>
            <w:r>
              <w:rPr>
                <w:rFonts w:hint="eastAsia"/>
                <w:sz w:val="24"/>
              </w:rPr>
              <w:t>N</w:t>
            </w:r>
            <w:r>
              <w:rPr>
                <w:sz w:val="24"/>
              </w:rPr>
              <w:t>——</w:t>
            </w:r>
            <w:r>
              <w:rPr>
                <w:rFonts w:hint="eastAsia"/>
                <w:sz w:val="24"/>
              </w:rPr>
              <w:t>室内声源总数。</w:t>
            </w:r>
          </w:p>
          <w:p w14:paraId="23E580A7">
            <w:pPr>
              <w:adjustRightInd w:val="0"/>
              <w:snapToGrid w:val="0"/>
              <w:spacing w:line="360" w:lineRule="auto"/>
              <w:ind w:firstLine="480" w:firstLineChars="200"/>
              <w:rPr>
                <w:sz w:val="24"/>
              </w:rPr>
            </w:pPr>
            <w:r>
              <w:rPr>
                <w:sz w:val="24"/>
              </w:rPr>
              <w:t>c.</w:t>
            </w:r>
            <w:r>
              <w:rPr>
                <w:rFonts w:hint="eastAsia"/>
                <w:sz w:val="24"/>
              </w:rPr>
              <w:t>在室内近似为扩散声场时，</w:t>
            </w:r>
            <w:r>
              <w:rPr>
                <w:sz w:val="24"/>
              </w:rPr>
              <w:t>计算</w:t>
            </w:r>
            <w:r>
              <w:rPr>
                <w:rFonts w:hint="eastAsia"/>
                <w:sz w:val="24"/>
              </w:rPr>
              <w:t>出靠近</w:t>
            </w:r>
            <w:r>
              <w:rPr>
                <w:sz w:val="24"/>
              </w:rPr>
              <w:t>室外围护结构处的</w:t>
            </w:r>
            <w:r>
              <w:rPr>
                <w:rFonts w:hint="eastAsia"/>
                <w:sz w:val="24"/>
              </w:rPr>
              <w:t>声压级</w:t>
            </w:r>
          </w:p>
          <w:p w14:paraId="6D3969FC">
            <w:pPr>
              <w:adjustRightInd w:val="0"/>
              <w:snapToGrid w:val="0"/>
              <w:spacing w:line="360" w:lineRule="auto"/>
              <w:ind w:firstLine="480" w:firstLineChars="200"/>
              <w:jc w:val="center"/>
              <w:rPr>
                <w:sz w:val="24"/>
              </w:rPr>
            </w:pPr>
            <w:r>
              <w:rPr>
                <w:position w:val="-14"/>
                <w:sz w:val="24"/>
              </w:rPr>
              <w:object>
                <v:shape id="_x0000_i1031" o:spt="75" type="#_x0000_t75" style="height:18pt;width:126.75pt;" o:ole="t" filled="f" o:preferrelative="t" stroked="f" coordsize="21600,21600">
                  <v:path/>
                  <v:fill on="f" focussize="0,0"/>
                  <v:stroke on="f" joinstyle="miter"/>
                  <v:imagedata r:id="rId23" o:title=""/>
                  <o:lock v:ext="edit" aspectratio="t"/>
                  <w10:wrap type="none"/>
                  <w10:anchorlock/>
                </v:shape>
                <o:OLEObject Type="Embed" ProgID="Equation.3" ShapeID="_x0000_i1031" DrawAspect="Content" ObjectID="_1468075731" r:id="rId22">
                  <o:LockedField>false</o:LockedField>
                </o:OLEObject>
              </w:object>
            </w:r>
          </w:p>
          <w:p w14:paraId="5A78B79B">
            <w:pPr>
              <w:adjustRightInd w:val="0"/>
              <w:snapToGrid w:val="0"/>
              <w:spacing w:line="360" w:lineRule="auto"/>
              <w:ind w:firstLine="480" w:firstLineChars="200"/>
              <w:rPr>
                <w:sz w:val="24"/>
              </w:rPr>
            </w:pPr>
            <w:r>
              <w:rPr>
                <w:sz w:val="24"/>
              </w:rPr>
              <w:t>式中：</w:t>
            </w:r>
          </w:p>
          <w:p w14:paraId="2DC990CE">
            <w:pPr>
              <w:adjustRightInd w:val="0"/>
              <w:snapToGrid w:val="0"/>
              <w:spacing w:line="360" w:lineRule="auto"/>
              <w:ind w:firstLine="480" w:firstLineChars="200"/>
              <w:rPr>
                <w:sz w:val="24"/>
              </w:rPr>
            </w:pPr>
            <w:r>
              <w:rPr>
                <w:sz w:val="24"/>
              </w:rPr>
              <w:t>L</w:t>
            </w:r>
            <w:r>
              <w:rPr>
                <w:rFonts w:hint="eastAsia"/>
                <w:sz w:val="24"/>
                <w:vertAlign w:val="subscript"/>
              </w:rPr>
              <w:t>p2i</w:t>
            </w:r>
            <w:r>
              <w:rPr>
                <w:rFonts w:hint="eastAsia"/>
                <w:sz w:val="24"/>
              </w:rPr>
              <w:t>（T）</w:t>
            </w:r>
            <w:r>
              <w:rPr>
                <w:sz w:val="24"/>
              </w:rPr>
              <w:t>——</w:t>
            </w:r>
            <w:r>
              <w:rPr>
                <w:rFonts w:hint="eastAsia"/>
                <w:sz w:val="24"/>
              </w:rPr>
              <w:t>靠近围护结构处室外N个声源i倍频带的叠加声压级</w:t>
            </w:r>
            <w:r>
              <w:rPr>
                <w:sz w:val="24"/>
              </w:rPr>
              <w:t>，dB；</w:t>
            </w:r>
          </w:p>
          <w:p w14:paraId="4DA0D6BF">
            <w:pPr>
              <w:adjustRightInd w:val="0"/>
              <w:snapToGrid w:val="0"/>
              <w:spacing w:line="360" w:lineRule="auto"/>
              <w:ind w:firstLine="480" w:firstLineChars="200"/>
              <w:rPr>
                <w:sz w:val="24"/>
              </w:rPr>
            </w:pPr>
            <w:r>
              <w:rPr>
                <w:sz w:val="24"/>
              </w:rPr>
              <w:t>L</w:t>
            </w:r>
            <w:r>
              <w:rPr>
                <w:rFonts w:hint="eastAsia"/>
                <w:sz w:val="24"/>
                <w:vertAlign w:val="subscript"/>
              </w:rPr>
              <w:t>pli</w:t>
            </w:r>
            <w:r>
              <w:rPr>
                <w:rFonts w:hint="eastAsia"/>
                <w:sz w:val="24"/>
              </w:rPr>
              <w:t>（T）</w:t>
            </w:r>
            <w:r>
              <w:rPr>
                <w:sz w:val="24"/>
              </w:rPr>
              <w:t>——</w:t>
            </w:r>
            <w:r>
              <w:rPr>
                <w:rFonts w:hint="eastAsia"/>
                <w:sz w:val="24"/>
              </w:rPr>
              <w:t>靠近围护结构处室内N个声源i倍频带的叠加声压级</w:t>
            </w:r>
            <w:r>
              <w:rPr>
                <w:sz w:val="24"/>
              </w:rPr>
              <w:t>，dB；</w:t>
            </w:r>
          </w:p>
          <w:p w14:paraId="0B61A8EB">
            <w:pPr>
              <w:adjustRightInd w:val="0"/>
              <w:snapToGrid w:val="0"/>
              <w:spacing w:line="360" w:lineRule="auto"/>
              <w:ind w:firstLine="480" w:firstLineChars="200"/>
              <w:rPr>
                <w:sz w:val="24"/>
              </w:rPr>
            </w:pPr>
            <w:r>
              <w:rPr>
                <w:sz w:val="24"/>
              </w:rPr>
              <w:t>TL</w:t>
            </w:r>
            <w:r>
              <w:rPr>
                <w:rFonts w:hint="eastAsia"/>
                <w:sz w:val="24"/>
                <w:vertAlign w:val="subscript"/>
              </w:rPr>
              <w:t>i</w:t>
            </w:r>
            <w:r>
              <w:rPr>
                <w:sz w:val="24"/>
              </w:rPr>
              <w:t>——</w:t>
            </w:r>
            <w:r>
              <w:rPr>
                <w:rFonts w:hint="eastAsia"/>
                <w:sz w:val="24"/>
              </w:rPr>
              <w:t>围护结构i倍频带的</w:t>
            </w:r>
            <w:r>
              <w:rPr>
                <w:sz w:val="24"/>
              </w:rPr>
              <w:t>隔声量，dB。</w:t>
            </w:r>
          </w:p>
          <w:p w14:paraId="213D3494">
            <w:pPr>
              <w:adjustRightInd w:val="0"/>
              <w:snapToGrid w:val="0"/>
              <w:spacing w:line="360" w:lineRule="auto"/>
              <w:ind w:firstLine="480" w:firstLineChars="200"/>
              <w:rPr>
                <w:sz w:val="24"/>
              </w:rPr>
            </w:pPr>
            <w:r>
              <w:rPr>
                <w:sz w:val="24"/>
              </w:rPr>
              <w:t>d.将室外声级L</w:t>
            </w:r>
            <w:r>
              <w:rPr>
                <w:sz w:val="24"/>
                <w:vertAlign w:val="subscript"/>
              </w:rPr>
              <w:t>2</w:t>
            </w:r>
            <w:r>
              <w:rPr>
                <w:sz w:val="24"/>
              </w:rPr>
              <w:t>(T)和透声面积换算成等效的室外声源，计算出等效声源的声功率级Lw：</w:t>
            </w:r>
          </w:p>
          <w:p w14:paraId="6B5BE032">
            <w:pPr>
              <w:adjustRightInd w:val="0"/>
              <w:snapToGrid w:val="0"/>
              <w:spacing w:line="360" w:lineRule="auto"/>
              <w:ind w:firstLine="480" w:firstLineChars="200"/>
              <w:jc w:val="center"/>
              <w:rPr>
                <w:sz w:val="24"/>
              </w:rPr>
            </w:pPr>
            <w:r>
              <w:rPr>
                <w:position w:val="-14"/>
                <w:sz w:val="24"/>
              </w:rPr>
              <w:object>
                <v:shape id="_x0000_i1032" o:spt="75" type="#_x0000_t75" style="height:19.5pt;width:99.75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32" r:id="rId24">
                  <o:LockedField>false</o:LockedField>
                </o:OLEObject>
              </w:object>
            </w:r>
          </w:p>
          <w:p w14:paraId="17ACE142">
            <w:pPr>
              <w:adjustRightInd w:val="0"/>
              <w:snapToGrid w:val="0"/>
              <w:spacing w:line="360" w:lineRule="auto"/>
              <w:ind w:firstLine="480" w:firstLineChars="200"/>
              <w:rPr>
                <w:sz w:val="24"/>
              </w:rPr>
            </w:pPr>
            <w:r>
              <w:rPr>
                <w:sz w:val="24"/>
              </w:rPr>
              <w:t>式中：</w:t>
            </w:r>
          </w:p>
          <w:p w14:paraId="50ECA8EE">
            <w:pPr>
              <w:adjustRightInd w:val="0"/>
              <w:snapToGrid w:val="0"/>
              <w:spacing w:line="360" w:lineRule="auto"/>
              <w:ind w:firstLine="480" w:firstLineChars="200"/>
              <w:rPr>
                <w:sz w:val="24"/>
              </w:rPr>
            </w:pPr>
            <w:r>
              <w:rPr>
                <w:sz w:val="24"/>
              </w:rPr>
              <w:t>S——透声面积，m</w:t>
            </w:r>
            <w:r>
              <w:rPr>
                <w:sz w:val="24"/>
                <w:vertAlign w:val="superscript"/>
              </w:rPr>
              <w:t>2</w:t>
            </w:r>
            <w:r>
              <w:rPr>
                <w:sz w:val="24"/>
              </w:rPr>
              <w:t>（取S =10 m</w:t>
            </w:r>
            <w:r>
              <w:rPr>
                <w:sz w:val="24"/>
                <w:vertAlign w:val="superscript"/>
              </w:rPr>
              <w:t>2</w:t>
            </w:r>
            <w:r>
              <w:rPr>
                <w:sz w:val="24"/>
              </w:rPr>
              <w:t>）。</w:t>
            </w:r>
          </w:p>
          <w:p w14:paraId="21E9BD08">
            <w:pPr>
              <w:adjustRightInd w:val="0"/>
              <w:snapToGrid w:val="0"/>
              <w:spacing w:line="360" w:lineRule="auto"/>
              <w:ind w:firstLine="480" w:firstLineChars="200"/>
              <w:rPr>
                <w:sz w:val="24"/>
              </w:rPr>
            </w:pPr>
            <w:r>
              <w:rPr>
                <w:sz w:val="24"/>
              </w:rPr>
              <w:t>e.等效室外声源的位置为围护结构的位置，其声功率级为Lw，由此计算等效声源在预测点产生的声级。</w:t>
            </w:r>
          </w:p>
          <w:p w14:paraId="76069C9A">
            <w:pPr>
              <w:adjustRightInd w:val="0"/>
              <w:snapToGrid w:val="0"/>
              <w:spacing w:line="360" w:lineRule="auto"/>
              <w:ind w:firstLine="480" w:firstLineChars="200"/>
              <w:rPr>
                <w:sz w:val="24"/>
              </w:rPr>
            </w:pPr>
            <w:r>
              <w:rPr>
                <w:rFonts w:hint="eastAsia"/>
                <w:sz w:val="24"/>
              </w:rPr>
              <w:t>3）</w:t>
            </w:r>
            <w:r>
              <w:rPr>
                <w:sz w:val="24"/>
              </w:rPr>
              <w:t>总声级的计算</w:t>
            </w:r>
          </w:p>
          <w:p w14:paraId="2FA54878">
            <w:pPr>
              <w:adjustRightInd w:val="0"/>
              <w:snapToGrid w:val="0"/>
              <w:spacing w:line="360" w:lineRule="auto"/>
              <w:ind w:firstLine="480" w:firstLineChars="200"/>
              <w:rPr>
                <w:sz w:val="24"/>
              </w:rPr>
            </w:pPr>
            <w:r>
              <w:rPr>
                <w:sz w:val="24"/>
              </w:rPr>
              <w:t>设第i个室外声源在预测点产生的A声级为L</w:t>
            </w:r>
            <w:r>
              <w:rPr>
                <w:sz w:val="24"/>
                <w:vertAlign w:val="subscript"/>
              </w:rPr>
              <w:t>Ai</w:t>
            </w:r>
            <w:r>
              <w:rPr>
                <w:sz w:val="24"/>
              </w:rPr>
              <w:t>，在T时间内该声源工作时间为t</w:t>
            </w:r>
            <w:r>
              <w:rPr>
                <w:sz w:val="24"/>
                <w:vertAlign w:val="subscript"/>
              </w:rPr>
              <w:t>i</w:t>
            </w:r>
            <w:r>
              <w:rPr>
                <w:sz w:val="24"/>
              </w:rPr>
              <w:t>；设第j个等效室外声源在预测点产生的A声级为L</w:t>
            </w:r>
            <w:r>
              <w:rPr>
                <w:sz w:val="24"/>
                <w:vertAlign w:val="subscript"/>
              </w:rPr>
              <w:t>Aj</w:t>
            </w:r>
            <w:r>
              <w:rPr>
                <w:sz w:val="24"/>
              </w:rPr>
              <w:t>，在T时间内该声源工作时间为t</w:t>
            </w:r>
            <w:r>
              <w:rPr>
                <w:sz w:val="24"/>
                <w:vertAlign w:val="subscript"/>
              </w:rPr>
              <w:t>j</w:t>
            </w:r>
            <w:r>
              <w:rPr>
                <w:sz w:val="24"/>
              </w:rPr>
              <w:t>，则</w:t>
            </w:r>
            <w:r>
              <w:rPr>
                <w:rFonts w:hint="eastAsia"/>
                <w:sz w:val="24"/>
              </w:rPr>
              <w:t>拟建工程声源对预测点产生的贡献值（L</w:t>
            </w:r>
            <w:r>
              <w:rPr>
                <w:rFonts w:hint="eastAsia"/>
                <w:sz w:val="24"/>
                <w:vertAlign w:val="subscript"/>
              </w:rPr>
              <w:t>eqg</w:t>
            </w:r>
            <w:r>
              <w:rPr>
                <w:rFonts w:hint="eastAsia"/>
                <w:sz w:val="24"/>
              </w:rPr>
              <w:t>）</w:t>
            </w:r>
            <w:r>
              <w:rPr>
                <w:sz w:val="24"/>
              </w:rPr>
              <w:t>为：</w:t>
            </w:r>
          </w:p>
          <w:p w14:paraId="0B6A0DFD">
            <w:pPr>
              <w:adjustRightInd w:val="0"/>
              <w:snapToGrid w:val="0"/>
              <w:spacing w:line="360" w:lineRule="auto"/>
              <w:ind w:firstLine="480" w:firstLineChars="200"/>
              <w:jc w:val="center"/>
              <w:rPr>
                <w:sz w:val="24"/>
              </w:rPr>
            </w:pPr>
            <w:r>
              <w:rPr>
                <w:position w:val="-30"/>
                <w:sz w:val="24"/>
              </w:rPr>
              <w:object>
                <v:shape id="_x0000_i1033" o:spt="75" type="#_x0000_t75" style="height:32.25pt;width:164.2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33" r:id="rId26">
                  <o:LockedField>false</o:LockedField>
                </o:OLEObject>
              </w:object>
            </w:r>
          </w:p>
          <w:p w14:paraId="7CE25F4E">
            <w:pPr>
              <w:adjustRightInd w:val="0"/>
              <w:snapToGrid w:val="0"/>
              <w:spacing w:line="360" w:lineRule="auto"/>
              <w:ind w:firstLine="480" w:firstLineChars="200"/>
              <w:rPr>
                <w:sz w:val="24"/>
              </w:rPr>
            </w:pPr>
            <w:r>
              <w:rPr>
                <w:sz w:val="24"/>
              </w:rPr>
              <w:t>式中：</w:t>
            </w:r>
          </w:p>
          <w:p w14:paraId="7DC3D38A">
            <w:pPr>
              <w:adjustRightInd w:val="0"/>
              <w:snapToGrid w:val="0"/>
              <w:spacing w:line="360" w:lineRule="auto"/>
              <w:ind w:firstLine="480" w:firstLineChars="200"/>
              <w:rPr>
                <w:sz w:val="24"/>
              </w:rPr>
            </w:pPr>
            <w:r>
              <w:rPr>
                <w:rFonts w:hint="eastAsia"/>
                <w:sz w:val="24"/>
              </w:rPr>
              <w:t>L</w:t>
            </w:r>
            <w:r>
              <w:rPr>
                <w:rFonts w:hint="eastAsia"/>
                <w:sz w:val="24"/>
                <w:vertAlign w:val="subscript"/>
              </w:rPr>
              <w:t>eqg</w:t>
            </w:r>
            <w:r>
              <w:rPr>
                <w:sz w:val="24"/>
              </w:rPr>
              <w:t>——</w:t>
            </w:r>
            <w:r>
              <w:rPr>
                <w:rFonts w:hint="eastAsia"/>
                <w:sz w:val="24"/>
              </w:rPr>
              <w:t>建设项目声源在预测点产生的噪声贡献值，dB</w:t>
            </w:r>
            <w:r>
              <w:rPr>
                <w:sz w:val="24"/>
              </w:rPr>
              <w:t>；</w:t>
            </w:r>
          </w:p>
          <w:p w14:paraId="22F68C37">
            <w:pPr>
              <w:adjustRightInd w:val="0"/>
              <w:snapToGrid w:val="0"/>
              <w:spacing w:line="360" w:lineRule="auto"/>
              <w:ind w:firstLine="480" w:firstLineChars="200"/>
              <w:rPr>
                <w:sz w:val="24"/>
              </w:rPr>
            </w:pPr>
            <w:r>
              <w:rPr>
                <w:sz w:val="24"/>
              </w:rPr>
              <w:t>T——</w:t>
            </w:r>
            <w:r>
              <w:rPr>
                <w:rFonts w:hint="eastAsia"/>
                <w:sz w:val="24"/>
              </w:rPr>
              <w:t>用于</w:t>
            </w:r>
            <w:r>
              <w:rPr>
                <w:sz w:val="24"/>
              </w:rPr>
              <w:t>计算等效声级的时间</w:t>
            </w:r>
            <w:r>
              <w:rPr>
                <w:rFonts w:hint="eastAsia"/>
                <w:sz w:val="24"/>
              </w:rPr>
              <w:t>，s</w:t>
            </w:r>
            <w:r>
              <w:rPr>
                <w:sz w:val="24"/>
              </w:rPr>
              <w:t>；</w:t>
            </w:r>
          </w:p>
          <w:p w14:paraId="233EE9E7">
            <w:pPr>
              <w:adjustRightInd w:val="0"/>
              <w:snapToGrid w:val="0"/>
              <w:spacing w:line="360" w:lineRule="auto"/>
              <w:ind w:firstLine="480" w:firstLineChars="200"/>
              <w:rPr>
                <w:sz w:val="24"/>
              </w:rPr>
            </w:pPr>
            <w:r>
              <w:rPr>
                <w:sz w:val="24"/>
              </w:rPr>
              <w:t>N——室外声源个数；</w:t>
            </w:r>
          </w:p>
          <w:p w14:paraId="774CC82E">
            <w:pPr>
              <w:adjustRightInd w:val="0"/>
              <w:snapToGrid w:val="0"/>
              <w:spacing w:line="360" w:lineRule="auto"/>
              <w:ind w:firstLine="480" w:firstLineChars="200"/>
              <w:rPr>
                <w:sz w:val="24"/>
              </w:rPr>
            </w:pPr>
            <w:r>
              <w:rPr>
                <w:rFonts w:hint="eastAsia"/>
                <w:sz w:val="24"/>
              </w:rPr>
              <w:t>t</w:t>
            </w:r>
            <w:r>
              <w:rPr>
                <w:rFonts w:hint="eastAsia"/>
                <w:sz w:val="24"/>
                <w:vertAlign w:val="subscript"/>
              </w:rPr>
              <w:t>i</w:t>
            </w:r>
            <w:r>
              <w:rPr>
                <w:sz w:val="24"/>
              </w:rPr>
              <w:t>——</w:t>
            </w:r>
            <w:r>
              <w:rPr>
                <w:rFonts w:hint="eastAsia"/>
                <w:sz w:val="24"/>
              </w:rPr>
              <w:t>在T时间内i声源工作时间，s</w:t>
            </w:r>
            <w:r>
              <w:rPr>
                <w:sz w:val="24"/>
              </w:rPr>
              <w:t>；</w:t>
            </w:r>
          </w:p>
          <w:p w14:paraId="48A7366D">
            <w:pPr>
              <w:adjustRightInd w:val="0"/>
              <w:snapToGrid w:val="0"/>
              <w:spacing w:line="360" w:lineRule="auto"/>
              <w:ind w:firstLine="480" w:firstLineChars="200"/>
              <w:rPr>
                <w:sz w:val="24"/>
              </w:rPr>
            </w:pPr>
            <w:r>
              <w:rPr>
                <w:sz w:val="24"/>
              </w:rPr>
              <w:t>M——等效室外声源个数</w:t>
            </w:r>
            <w:r>
              <w:rPr>
                <w:rFonts w:hint="eastAsia"/>
                <w:sz w:val="24"/>
              </w:rPr>
              <w:t>；</w:t>
            </w:r>
          </w:p>
          <w:p w14:paraId="10C3D1EA">
            <w:pPr>
              <w:adjustRightInd w:val="0"/>
              <w:snapToGrid w:val="0"/>
              <w:spacing w:line="360" w:lineRule="auto"/>
              <w:ind w:firstLine="480" w:firstLineChars="200"/>
              <w:rPr>
                <w:sz w:val="24"/>
              </w:rPr>
            </w:pPr>
            <w:r>
              <w:rPr>
                <w:rFonts w:hint="eastAsia"/>
                <w:sz w:val="24"/>
              </w:rPr>
              <w:t>t</w:t>
            </w:r>
            <w:r>
              <w:rPr>
                <w:rFonts w:hint="eastAsia"/>
                <w:sz w:val="24"/>
                <w:vertAlign w:val="subscript"/>
              </w:rPr>
              <w:t>j</w:t>
            </w:r>
            <w:r>
              <w:rPr>
                <w:sz w:val="24"/>
              </w:rPr>
              <w:t>——</w:t>
            </w:r>
            <w:r>
              <w:rPr>
                <w:rFonts w:hint="eastAsia"/>
                <w:sz w:val="24"/>
              </w:rPr>
              <w:t>在T时间内j声源工作时间，s</w:t>
            </w:r>
            <w:r>
              <w:rPr>
                <w:sz w:val="24"/>
              </w:rPr>
              <w:t>。</w:t>
            </w:r>
          </w:p>
          <w:p w14:paraId="47894DCE">
            <w:pPr>
              <w:pStyle w:val="2"/>
              <w:widowControl/>
              <w:adjustRightInd w:val="0"/>
              <w:snapToGrid w:val="0"/>
              <w:spacing w:after="0" w:line="360" w:lineRule="auto"/>
              <w:ind w:left="0" w:leftChars="0" w:firstLine="480"/>
              <w:rPr>
                <w:bCs/>
                <w:sz w:val="24"/>
              </w:rPr>
            </w:pPr>
            <w:r>
              <w:rPr>
                <w:rFonts w:hint="eastAsia"/>
                <w:bCs/>
                <w:sz w:val="24"/>
              </w:rPr>
              <w:t>4）预测值计算</w:t>
            </w:r>
          </w:p>
          <w:p w14:paraId="6A010A84">
            <w:pPr>
              <w:pStyle w:val="2"/>
              <w:widowControl/>
              <w:adjustRightInd w:val="0"/>
              <w:snapToGrid w:val="0"/>
              <w:spacing w:after="0" w:line="360" w:lineRule="auto"/>
              <w:ind w:left="0" w:leftChars="0"/>
              <w:jc w:val="center"/>
              <w:rPr>
                <w:bCs/>
              </w:rPr>
            </w:pPr>
            <w:r>
              <w:drawing>
                <wp:inline distT="0" distB="0" distL="0" distR="0">
                  <wp:extent cx="1979930" cy="445135"/>
                  <wp:effectExtent l="19050" t="0" r="1270" b="0"/>
                  <wp:docPr id="2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1"/>
                          <pic:cNvPicPr>
                            <a:picLocks noChangeAspect="1" noChangeArrowheads="1"/>
                          </pic:cNvPicPr>
                        </pic:nvPicPr>
                        <pic:blipFill>
                          <a:blip r:embed="rId28" cstate="print"/>
                          <a:srcRect/>
                          <a:stretch>
                            <a:fillRect/>
                          </a:stretch>
                        </pic:blipFill>
                        <pic:spPr>
                          <a:xfrm>
                            <a:off x="0" y="0"/>
                            <a:ext cx="1979930" cy="445135"/>
                          </a:xfrm>
                          <a:prstGeom prst="rect">
                            <a:avLst/>
                          </a:prstGeom>
                          <a:noFill/>
                          <a:ln w="9525" cmpd="sng">
                            <a:noFill/>
                            <a:miter lim="800000"/>
                            <a:headEnd/>
                            <a:tailEnd/>
                          </a:ln>
                          <a:effectLst/>
                        </pic:spPr>
                      </pic:pic>
                    </a:graphicData>
                  </a:graphic>
                </wp:inline>
              </w:drawing>
            </w:r>
          </w:p>
          <w:p w14:paraId="00570FD6">
            <w:pPr>
              <w:pStyle w:val="2"/>
              <w:widowControl/>
              <w:adjustRightInd w:val="0"/>
              <w:snapToGrid w:val="0"/>
              <w:spacing w:after="0" w:line="360" w:lineRule="auto"/>
              <w:ind w:left="0" w:leftChars="0"/>
              <w:rPr>
                <w:bCs/>
                <w:sz w:val="24"/>
              </w:rPr>
            </w:pPr>
            <w:r>
              <w:rPr>
                <w:rFonts w:hint="eastAsia"/>
                <w:bCs/>
              </w:rPr>
              <w:t>式中：Leq</w:t>
            </w:r>
            <w:r>
              <w:rPr>
                <w:bCs/>
                <w:sz w:val="24"/>
              </w:rPr>
              <w:t>——</w:t>
            </w:r>
            <w:r>
              <w:rPr>
                <w:rFonts w:hint="eastAsia"/>
                <w:bCs/>
                <w:sz w:val="24"/>
              </w:rPr>
              <w:t>预测点的噪声预测值，dB；</w:t>
            </w:r>
          </w:p>
          <w:p w14:paraId="6A298527">
            <w:pPr>
              <w:widowControl/>
              <w:adjustRightInd w:val="0"/>
              <w:snapToGrid w:val="0"/>
              <w:spacing w:line="360" w:lineRule="auto"/>
              <w:ind w:firstLine="480" w:firstLineChars="200"/>
              <w:rPr>
                <w:sz w:val="24"/>
              </w:rPr>
            </w:pPr>
            <w:r>
              <w:rPr>
                <w:rFonts w:hint="eastAsia"/>
                <w:bCs/>
                <w:sz w:val="24"/>
              </w:rPr>
              <w:t>L</w:t>
            </w:r>
            <w:r>
              <w:rPr>
                <w:rFonts w:hint="eastAsia"/>
                <w:bCs/>
                <w:sz w:val="24"/>
                <w:vertAlign w:val="subscript"/>
              </w:rPr>
              <w:t>eqg</w:t>
            </w:r>
            <w:r>
              <w:rPr>
                <w:bCs/>
                <w:sz w:val="24"/>
              </w:rPr>
              <w:t>——</w:t>
            </w:r>
            <w:r>
              <w:rPr>
                <w:rFonts w:hint="eastAsia"/>
                <w:bCs/>
                <w:sz w:val="24"/>
              </w:rPr>
              <w:t>建设</w:t>
            </w:r>
            <w:r>
              <w:rPr>
                <w:rFonts w:hint="eastAsia"/>
                <w:sz w:val="24"/>
              </w:rPr>
              <w:t>项目声源在预测点产生的噪声贡献值，dB</w:t>
            </w:r>
            <w:r>
              <w:rPr>
                <w:sz w:val="24"/>
              </w:rPr>
              <w:t>；</w:t>
            </w:r>
          </w:p>
          <w:p w14:paraId="743DDE3B">
            <w:pPr>
              <w:spacing w:line="360" w:lineRule="auto"/>
              <w:ind w:firstLine="480"/>
              <w:rPr>
                <w:sz w:val="24"/>
              </w:rPr>
            </w:pPr>
            <w:r>
              <w:rPr>
                <w:rFonts w:hint="eastAsia"/>
                <w:sz w:val="24"/>
              </w:rPr>
              <w:t>L</w:t>
            </w:r>
            <w:r>
              <w:rPr>
                <w:rFonts w:hint="eastAsia"/>
                <w:sz w:val="24"/>
                <w:vertAlign w:val="subscript"/>
              </w:rPr>
              <w:t>eqb</w:t>
            </w:r>
            <w:r>
              <w:rPr>
                <w:sz w:val="24"/>
              </w:rPr>
              <w:t>——</w:t>
            </w:r>
            <w:r>
              <w:rPr>
                <w:rFonts w:hint="eastAsia"/>
                <w:sz w:val="24"/>
              </w:rPr>
              <w:t>预测点的背景噪声值，dB</w:t>
            </w:r>
            <w:r>
              <w:rPr>
                <w:sz w:val="24"/>
              </w:rPr>
              <w:t>；</w:t>
            </w:r>
          </w:p>
          <w:p w14:paraId="32DF66AB">
            <w:pPr>
              <w:spacing w:line="360" w:lineRule="auto"/>
              <w:ind w:firstLine="480" w:firstLineChars="200"/>
              <w:rPr>
                <w:sz w:val="24"/>
              </w:rPr>
            </w:pPr>
            <w:r>
              <w:rPr>
                <w:sz w:val="24"/>
              </w:rPr>
              <w:t>根据以上公式预测，噪声预测结果见表</w:t>
            </w:r>
            <w:r>
              <w:rPr>
                <w:rFonts w:hint="eastAsia"/>
                <w:sz w:val="24"/>
              </w:rPr>
              <w:t>32</w:t>
            </w:r>
            <w:r>
              <w:rPr>
                <w:sz w:val="24"/>
              </w:rPr>
              <w:t>。</w:t>
            </w:r>
          </w:p>
          <w:p w14:paraId="44DDBC62">
            <w:pPr>
              <w:pStyle w:val="47"/>
              <w:rPr>
                <w:color w:val="auto"/>
              </w:rPr>
            </w:pPr>
            <w:r>
              <w:rPr>
                <w:color w:val="auto"/>
              </w:rPr>
              <w:t xml:space="preserve">    本项目对外环境噪声预测结果一览表单位：dB（A）</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624"/>
              <w:gridCol w:w="1530"/>
              <w:gridCol w:w="1668"/>
              <w:gridCol w:w="1668"/>
              <w:gridCol w:w="1663"/>
            </w:tblGrid>
            <w:tr w14:paraId="07CE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86" w:type="pct"/>
                  <w:vMerge w:val="restart"/>
                  <w:tcBorders>
                    <w:top w:val="single" w:color="auto" w:sz="4" w:space="0"/>
                    <w:left w:val="single" w:color="auto" w:sz="4" w:space="0"/>
                  </w:tcBorders>
                  <w:vAlign w:val="center"/>
                </w:tcPr>
                <w:p w14:paraId="45B72081">
                  <w:pPr>
                    <w:widowControl/>
                    <w:jc w:val="center"/>
                  </w:pPr>
                  <w:r>
                    <w:t>序号</w:t>
                  </w:r>
                </w:p>
              </w:tc>
              <w:tc>
                <w:tcPr>
                  <w:tcW w:w="919" w:type="pct"/>
                  <w:vMerge w:val="restart"/>
                  <w:tcBorders>
                    <w:top w:val="single" w:color="auto" w:sz="4" w:space="0"/>
                  </w:tcBorders>
                  <w:vAlign w:val="center"/>
                </w:tcPr>
                <w:p w14:paraId="3D0581E5">
                  <w:pPr>
                    <w:widowControl/>
                    <w:jc w:val="center"/>
                  </w:pPr>
                  <w:r>
                    <w:t>噪声源强</w:t>
                  </w:r>
                </w:p>
              </w:tc>
              <w:tc>
                <w:tcPr>
                  <w:tcW w:w="3695" w:type="pct"/>
                  <w:gridSpan w:val="4"/>
                  <w:tcBorders>
                    <w:top w:val="single" w:color="auto" w:sz="4" w:space="0"/>
                    <w:right w:val="single" w:color="auto" w:sz="4" w:space="0"/>
                  </w:tcBorders>
                  <w:vAlign w:val="center"/>
                </w:tcPr>
                <w:p w14:paraId="075A0BA3">
                  <w:pPr>
                    <w:widowControl/>
                    <w:jc w:val="center"/>
                  </w:pPr>
                  <w:r>
                    <w:t>源强在厂界噪声贡献值</w:t>
                  </w:r>
                </w:p>
              </w:tc>
            </w:tr>
            <w:tr w14:paraId="7057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386" w:type="pct"/>
                  <w:vMerge w:val="continue"/>
                  <w:tcBorders>
                    <w:left w:val="single" w:color="auto" w:sz="4" w:space="0"/>
                  </w:tcBorders>
                  <w:vAlign w:val="center"/>
                </w:tcPr>
                <w:p w14:paraId="5DD14F25">
                  <w:pPr>
                    <w:widowControl/>
                    <w:ind w:firstLine="367" w:firstLineChars="175"/>
                    <w:jc w:val="center"/>
                  </w:pPr>
                </w:p>
              </w:tc>
              <w:tc>
                <w:tcPr>
                  <w:tcW w:w="919" w:type="pct"/>
                  <w:vMerge w:val="continue"/>
                  <w:vAlign w:val="center"/>
                </w:tcPr>
                <w:p w14:paraId="51FE0B38">
                  <w:pPr>
                    <w:widowControl/>
                    <w:ind w:firstLine="367" w:firstLineChars="175"/>
                    <w:jc w:val="center"/>
                  </w:pPr>
                </w:p>
              </w:tc>
              <w:tc>
                <w:tcPr>
                  <w:tcW w:w="866" w:type="pct"/>
                  <w:vAlign w:val="center"/>
                </w:tcPr>
                <w:p w14:paraId="641744EE">
                  <w:pPr>
                    <w:widowControl/>
                    <w:jc w:val="center"/>
                  </w:pPr>
                  <w:r>
                    <w:t>东</w:t>
                  </w:r>
                </w:p>
              </w:tc>
              <w:tc>
                <w:tcPr>
                  <w:tcW w:w="944" w:type="pct"/>
                  <w:vAlign w:val="center"/>
                </w:tcPr>
                <w:p w14:paraId="0AE54113">
                  <w:pPr>
                    <w:widowControl/>
                    <w:jc w:val="center"/>
                  </w:pPr>
                  <w:r>
                    <w:t>南</w:t>
                  </w:r>
                </w:p>
              </w:tc>
              <w:tc>
                <w:tcPr>
                  <w:tcW w:w="944" w:type="pct"/>
                  <w:tcBorders>
                    <w:right w:val="single" w:color="auto" w:sz="4" w:space="0"/>
                  </w:tcBorders>
                  <w:vAlign w:val="center"/>
                </w:tcPr>
                <w:p w14:paraId="69BD5067">
                  <w:pPr>
                    <w:widowControl/>
                    <w:jc w:val="center"/>
                  </w:pPr>
                  <w:r>
                    <w:t>西</w:t>
                  </w:r>
                </w:p>
              </w:tc>
              <w:tc>
                <w:tcPr>
                  <w:tcW w:w="941" w:type="pct"/>
                  <w:tcBorders>
                    <w:right w:val="single" w:color="auto" w:sz="4" w:space="0"/>
                  </w:tcBorders>
                  <w:vAlign w:val="center"/>
                </w:tcPr>
                <w:p w14:paraId="2017EAEA">
                  <w:pPr>
                    <w:widowControl/>
                    <w:jc w:val="center"/>
                  </w:pPr>
                  <w:r>
                    <w:t>北</w:t>
                  </w:r>
                </w:p>
              </w:tc>
            </w:tr>
            <w:tr w14:paraId="19FD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305" w:type="pct"/>
                  <w:gridSpan w:val="2"/>
                  <w:tcBorders>
                    <w:left w:val="single" w:color="auto" w:sz="4" w:space="0"/>
                  </w:tcBorders>
                  <w:vAlign w:val="center"/>
                </w:tcPr>
                <w:p w14:paraId="7C616ED4">
                  <w:pPr>
                    <w:jc w:val="center"/>
                  </w:pPr>
                  <w:r>
                    <w:t>预测值</w:t>
                  </w:r>
                </w:p>
              </w:tc>
              <w:tc>
                <w:tcPr>
                  <w:tcW w:w="866" w:type="pct"/>
                  <w:vAlign w:val="center"/>
                </w:tcPr>
                <w:p w14:paraId="6B6277D2">
                  <w:pPr>
                    <w:widowControl/>
                    <w:jc w:val="center"/>
                  </w:pPr>
                  <w:r>
                    <w:rPr>
                      <w:rFonts w:hint="eastAsia"/>
                    </w:rPr>
                    <w:t>53.32</w:t>
                  </w:r>
                </w:p>
              </w:tc>
              <w:tc>
                <w:tcPr>
                  <w:tcW w:w="944" w:type="pct"/>
                  <w:vAlign w:val="center"/>
                </w:tcPr>
                <w:p w14:paraId="582B8A73">
                  <w:pPr>
                    <w:widowControl/>
                    <w:jc w:val="center"/>
                  </w:pPr>
                  <w:r>
                    <w:rPr>
                      <w:rFonts w:hint="eastAsia"/>
                    </w:rPr>
                    <w:t>41.15</w:t>
                  </w:r>
                </w:p>
              </w:tc>
              <w:tc>
                <w:tcPr>
                  <w:tcW w:w="944" w:type="pct"/>
                  <w:tcBorders>
                    <w:right w:val="single" w:color="auto" w:sz="4" w:space="0"/>
                  </w:tcBorders>
                  <w:vAlign w:val="center"/>
                </w:tcPr>
                <w:p w14:paraId="660B660B">
                  <w:pPr>
                    <w:jc w:val="center"/>
                  </w:pPr>
                  <w:r>
                    <w:rPr>
                      <w:rFonts w:hint="eastAsia"/>
                    </w:rPr>
                    <w:t>40.19</w:t>
                  </w:r>
                </w:p>
              </w:tc>
              <w:tc>
                <w:tcPr>
                  <w:tcW w:w="941" w:type="pct"/>
                  <w:tcBorders>
                    <w:right w:val="single" w:color="auto" w:sz="4" w:space="0"/>
                  </w:tcBorders>
                  <w:vAlign w:val="center"/>
                </w:tcPr>
                <w:p w14:paraId="2F202695">
                  <w:pPr>
                    <w:jc w:val="center"/>
                  </w:pPr>
                  <w:r>
                    <w:rPr>
                      <w:rFonts w:hint="eastAsia"/>
                    </w:rPr>
                    <w:t>29.24</w:t>
                  </w:r>
                </w:p>
              </w:tc>
            </w:tr>
            <w:tr w14:paraId="12EF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05" w:type="pct"/>
                  <w:gridSpan w:val="2"/>
                  <w:tcBorders>
                    <w:left w:val="single" w:color="auto" w:sz="4" w:space="0"/>
                    <w:bottom w:val="single" w:color="auto" w:sz="4" w:space="0"/>
                  </w:tcBorders>
                  <w:vAlign w:val="center"/>
                </w:tcPr>
                <w:p w14:paraId="03E40037">
                  <w:pPr>
                    <w:jc w:val="center"/>
                  </w:pPr>
                  <w:r>
                    <w:t>标准</w:t>
                  </w:r>
                </w:p>
              </w:tc>
              <w:tc>
                <w:tcPr>
                  <w:tcW w:w="3695" w:type="pct"/>
                  <w:gridSpan w:val="4"/>
                  <w:tcBorders>
                    <w:bottom w:val="single" w:color="auto" w:sz="4" w:space="0"/>
                    <w:right w:val="single" w:color="auto" w:sz="4" w:space="0"/>
                  </w:tcBorders>
                  <w:vAlign w:val="center"/>
                </w:tcPr>
                <w:p w14:paraId="6BD09175">
                  <w:pPr>
                    <w:jc w:val="center"/>
                  </w:pPr>
                  <w:r>
                    <w:t>昼间65dB（A）夜间55dB（A）</w:t>
                  </w:r>
                </w:p>
              </w:tc>
            </w:tr>
          </w:tbl>
          <w:p w14:paraId="266DCF9A">
            <w:pPr>
              <w:pStyle w:val="54"/>
              <w:wordWrap w:val="0"/>
              <w:jc w:val="left"/>
              <w:rPr>
                <w:color w:val="auto"/>
                <w:szCs w:val="24"/>
              </w:rPr>
            </w:pPr>
            <w:r>
              <w:rPr>
                <w:color w:val="auto"/>
              </w:rPr>
              <w:t>由表</w:t>
            </w:r>
            <w:r>
              <w:rPr>
                <w:rFonts w:hint="eastAsia"/>
                <w:color w:val="auto"/>
              </w:rPr>
              <w:t>32</w:t>
            </w:r>
            <w:r>
              <w:rPr>
                <w:color w:val="auto"/>
              </w:rPr>
              <w:t>预测结果，项目设备噪声经建设封闭车间隔噪后，经距离衰减，厂界四周环境噪声昼间符合《工业企业厂界环境噪声排放标准》（GB12348—2008）3</w:t>
            </w:r>
            <w:r>
              <w:rPr>
                <w:color w:val="auto"/>
                <w:szCs w:val="24"/>
              </w:rPr>
              <w:t>类相关标准。</w:t>
            </w:r>
          </w:p>
          <w:p w14:paraId="2BD19902">
            <w:pPr>
              <w:pStyle w:val="58"/>
              <w:snapToGrid/>
              <w:spacing w:line="360" w:lineRule="auto"/>
              <w:ind w:firstLine="480"/>
              <w:jc w:val="both"/>
              <w:rPr>
                <w:sz w:val="24"/>
                <w:szCs w:val="24"/>
              </w:rPr>
            </w:pPr>
            <w:r>
              <w:rPr>
                <w:sz w:val="24"/>
                <w:szCs w:val="24"/>
              </w:rPr>
              <w:t>为尽量减少项目噪声对周围环境的影响，本评价要求企业采取以下噪声防治措施：</w:t>
            </w:r>
          </w:p>
          <w:p w14:paraId="3BA2C460">
            <w:pPr>
              <w:pStyle w:val="58"/>
              <w:snapToGrid/>
              <w:spacing w:line="360" w:lineRule="auto"/>
              <w:ind w:firstLine="480"/>
              <w:jc w:val="both"/>
              <w:rPr>
                <w:sz w:val="24"/>
                <w:szCs w:val="24"/>
              </w:rPr>
            </w:pPr>
            <w:r>
              <w:rPr>
                <w:sz w:val="24"/>
                <w:szCs w:val="24"/>
              </w:rPr>
              <w:t>①对高噪设备应设置减震垫，定期在提升机滚轴处加润滑油，降低滚轴等的摩擦，引风机优选低噪设备，设置隔声罩；</w:t>
            </w:r>
          </w:p>
          <w:p w14:paraId="5FA3E676">
            <w:pPr>
              <w:pStyle w:val="58"/>
              <w:snapToGrid/>
              <w:spacing w:line="360" w:lineRule="auto"/>
              <w:ind w:firstLine="480"/>
              <w:jc w:val="both"/>
              <w:rPr>
                <w:sz w:val="24"/>
                <w:szCs w:val="24"/>
              </w:rPr>
            </w:pPr>
            <w:r>
              <w:rPr>
                <w:sz w:val="24"/>
                <w:szCs w:val="24"/>
              </w:rPr>
              <w:fldChar w:fldCharType="begin"/>
            </w:r>
            <w:r>
              <w:rPr>
                <w:sz w:val="24"/>
                <w:szCs w:val="24"/>
              </w:rPr>
              <w:instrText xml:space="preserve"> = 2 \* GB3 \* MERGEFORMAT </w:instrText>
            </w:r>
            <w:r>
              <w:rPr>
                <w:sz w:val="24"/>
                <w:szCs w:val="24"/>
              </w:rPr>
              <w:fldChar w:fldCharType="separate"/>
            </w:r>
            <w:r>
              <w:rPr>
                <w:rFonts w:ascii="宋体"/>
                <w:sz w:val="24"/>
                <w:szCs w:val="24"/>
              </w:rPr>
              <w:t>②</w:t>
            </w:r>
            <w:r>
              <w:rPr>
                <w:sz w:val="24"/>
                <w:szCs w:val="24"/>
              </w:rPr>
              <w:fldChar w:fldCharType="end"/>
            </w:r>
            <w:r>
              <w:rPr>
                <w:sz w:val="24"/>
                <w:szCs w:val="24"/>
              </w:rPr>
              <w:t>应维持设备处于良好的运转状态，定期对设备进行维护保养，避免因设备运转不正常产生的噪声增高现象；</w:t>
            </w:r>
          </w:p>
          <w:p w14:paraId="35B7930E">
            <w:pPr>
              <w:pStyle w:val="58"/>
              <w:snapToGrid/>
              <w:spacing w:line="360" w:lineRule="auto"/>
              <w:ind w:firstLine="480"/>
              <w:jc w:val="both"/>
              <w:rPr>
                <w:sz w:val="24"/>
                <w:szCs w:val="24"/>
              </w:rPr>
            </w:pPr>
            <w:r>
              <w:rPr>
                <w:sz w:val="24"/>
                <w:szCs w:val="24"/>
              </w:rPr>
              <w:fldChar w:fldCharType="begin"/>
            </w:r>
            <w:r>
              <w:rPr>
                <w:sz w:val="24"/>
                <w:szCs w:val="24"/>
              </w:rPr>
              <w:instrText xml:space="preserve"> = 3 \* GB3 \* MERGEFORMAT </w:instrText>
            </w:r>
            <w:r>
              <w:rPr>
                <w:sz w:val="24"/>
                <w:szCs w:val="24"/>
              </w:rPr>
              <w:fldChar w:fldCharType="separate"/>
            </w:r>
            <w:r>
              <w:rPr>
                <w:rFonts w:ascii="宋体"/>
                <w:sz w:val="24"/>
                <w:szCs w:val="24"/>
              </w:rPr>
              <w:t>③</w:t>
            </w:r>
            <w:r>
              <w:rPr>
                <w:sz w:val="24"/>
                <w:szCs w:val="24"/>
              </w:rPr>
              <w:fldChar w:fldCharType="end"/>
            </w:r>
            <w:r>
              <w:rPr>
                <w:sz w:val="24"/>
                <w:szCs w:val="24"/>
              </w:rPr>
              <w:t>加强管理，提高职工的环保意识教育，提倡文明生产，降低人为噪声；</w:t>
            </w:r>
          </w:p>
          <w:p w14:paraId="053A4CE1">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rPr>
                <w:rFonts w:ascii="宋体"/>
                <w:sz w:val="24"/>
              </w:rPr>
              <w:t>④</w:t>
            </w:r>
            <w:r>
              <w:rPr>
                <w:sz w:val="24"/>
              </w:rPr>
              <w:fldChar w:fldCharType="end"/>
            </w:r>
            <w:r>
              <w:rPr>
                <w:sz w:val="24"/>
              </w:rPr>
              <w:t>对于厂区的流动声源，应强化行车管理制度，严禁鸣笛，同时对运输车辆加强管理和维护，要求机动车驾驶人员经过噪声敏感区地段时限制车速。</w:t>
            </w:r>
          </w:p>
          <w:p w14:paraId="5A4B617D">
            <w:pPr>
              <w:pStyle w:val="54"/>
              <w:jc w:val="left"/>
              <w:rPr>
                <w:color w:val="auto"/>
              </w:rPr>
            </w:pPr>
            <w:r>
              <w:rPr>
                <w:color w:val="auto"/>
              </w:rPr>
              <w:t>4.3.3噪声监测要求</w:t>
            </w:r>
          </w:p>
          <w:p w14:paraId="337570DC">
            <w:pPr>
              <w:pStyle w:val="54"/>
              <w:jc w:val="left"/>
              <w:rPr>
                <w:color w:val="auto"/>
              </w:rPr>
            </w:pPr>
            <w:r>
              <w:rPr>
                <w:color w:val="auto"/>
              </w:rPr>
              <w:t>本项目噪声监测要求如表</w:t>
            </w:r>
            <w:r>
              <w:rPr>
                <w:rFonts w:hint="eastAsia"/>
                <w:color w:val="auto"/>
              </w:rPr>
              <w:t>33</w:t>
            </w:r>
            <w:r>
              <w:rPr>
                <w:color w:val="auto"/>
              </w:rPr>
              <w:t>所示。</w:t>
            </w:r>
          </w:p>
          <w:p w14:paraId="1599B4CE">
            <w:pPr>
              <w:pStyle w:val="52"/>
              <w:numPr>
                <w:ilvl w:val="0"/>
                <w:numId w:val="1"/>
              </w:numPr>
              <w:ind w:left="0" w:firstLine="0"/>
              <w:rPr>
                <w:color w:val="auto"/>
              </w:rPr>
            </w:pPr>
            <w:r>
              <w:rPr>
                <w:color w:val="auto"/>
              </w:rPr>
              <w:t xml:space="preserve">    建设项目噪声监测要求</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661"/>
              <w:gridCol w:w="1511"/>
              <w:gridCol w:w="4239"/>
            </w:tblGrid>
            <w:tr w14:paraId="07C5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806" w:type="pct"/>
                  <w:vAlign w:val="center"/>
                </w:tcPr>
                <w:p w14:paraId="606B8B6F">
                  <w:pPr>
                    <w:jc w:val="center"/>
                  </w:pPr>
                  <w:r>
                    <w:t>监测点位</w:t>
                  </w:r>
                </w:p>
              </w:tc>
              <w:tc>
                <w:tcPr>
                  <w:tcW w:w="940" w:type="pct"/>
                  <w:vAlign w:val="center"/>
                </w:tcPr>
                <w:p w14:paraId="447A54C1">
                  <w:pPr>
                    <w:jc w:val="center"/>
                  </w:pPr>
                  <w:r>
                    <w:t>监测因子</w:t>
                  </w:r>
                </w:p>
              </w:tc>
              <w:tc>
                <w:tcPr>
                  <w:tcW w:w="855" w:type="pct"/>
                  <w:vAlign w:val="center"/>
                </w:tcPr>
                <w:p w14:paraId="75483F23">
                  <w:pPr>
                    <w:jc w:val="center"/>
                  </w:pPr>
                  <w:r>
                    <w:t>监测频次</w:t>
                  </w:r>
                </w:p>
              </w:tc>
              <w:tc>
                <w:tcPr>
                  <w:tcW w:w="2399" w:type="pct"/>
                </w:tcPr>
                <w:p w14:paraId="794F1753">
                  <w:pPr>
                    <w:jc w:val="center"/>
                  </w:pPr>
                  <w:r>
                    <w:t>执行标准</w:t>
                  </w:r>
                </w:p>
              </w:tc>
            </w:tr>
            <w:tr w14:paraId="6EF9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06" w:type="pct"/>
                  <w:vAlign w:val="center"/>
                </w:tcPr>
                <w:p w14:paraId="19AAA61A">
                  <w:pPr>
                    <w:jc w:val="center"/>
                  </w:pPr>
                  <w:r>
                    <w:t>厂界四周</w:t>
                  </w:r>
                </w:p>
              </w:tc>
              <w:tc>
                <w:tcPr>
                  <w:tcW w:w="940" w:type="pct"/>
                  <w:vAlign w:val="center"/>
                </w:tcPr>
                <w:p w14:paraId="2FA2B216">
                  <w:pPr>
                    <w:jc w:val="center"/>
                  </w:pPr>
                  <w:r>
                    <w:t>Leq(A)</w:t>
                  </w:r>
                </w:p>
              </w:tc>
              <w:tc>
                <w:tcPr>
                  <w:tcW w:w="855" w:type="pct"/>
                  <w:vAlign w:val="center"/>
                </w:tcPr>
                <w:p w14:paraId="105C6362">
                  <w:pPr>
                    <w:jc w:val="center"/>
                  </w:pPr>
                  <w:r>
                    <w:t>1次/季度</w:t>
                  </w:r>
                </w:p>
              </w:tc>
              <w:tc>
                <w:tcPr>
                  <w:tcW w:w="2399" w:type="pct"/>
                </w:tcPr>
                <w:p w14:paraId="4D291FF9">
                  <w:pPr>
                    <w:jc w:val="center"/>
                  </w:pPr>
                  <w:r>
                    <w:t>《工业企业厂界环境噪声排放标准》（GB12348-2008）中3类标准</w:t>
                  </w:r>
                </w:p>
              </w:tc>
            </w:tr>
          </w:tbl>
          <w:p w14:paraId="1FE95ED9">
            <w:pPr>
              <w:pStyle w:val="54"/>
              <w:ind w:firstLine="0" w:firstLineChars="0"/>
              <w:jc w:val="left"/>
              <w:rPr>
                <w:b/>
                <w:color w:val="auto"/>
              </w:rPr>
            </w:pPr>
            <w:r>
              <w:rPr>
                <w:b/>
                <w:color w:val="auto"/>
              </w:rPr>
              <w:t>4.4固体废物</w:t>
            </w:r>
          </w:p>
          <w:p w14:paraId="0589E017">
            <w:pPr>
              <w:pStyle w:val="54"/>
              <w:jc w:val="left"/>
              <w:rPr>
                <w:color w:val="auto"/>
                <w:szCs w:val="24"/>
              </w:rPr>
            </w:pPr>
            <w:r>
              <w:rPr>
                <w:color w:val="auto"/>
                <w:szCs w:val="24"/>
              </w:rPr>
              <w:t>4.4.1固体废物产生及处置情况</w:t>
            </w:r>
          </w:p>
          <w:p w14:paraId="1C50C931">
            <w:pPr>
              <w:pStyle w:val="54"/>
              <w:jc w:val="left"/>
              <w:rPr>
                <w:color w:val="auto"/>
                <w:szCs w:val="24"/>
              </w:rPr>
            </w:pPr>
            <w:r>
              <w:rPr>
                <w:color w:val="auto"/>
                <w:szCs w:val="24"/>
              </w:rPr>
              <w:t>（1）建设项目固体废物产生情况</w:t>
            </w:r>
          </w:p>
          <w:p w14:paraId="4E4C671F">
            <w:pPr>
              <w:adjustRightInd w:val="0"/>
              <w:snapToGrid w:val="0"/>
              <w:spacing w:line="360" w:lineRule="auto"/>
              <w:ind w:firstLine="480" w:firstLineChars="200"/>
              <w:rPr>
                <w:sz w:val="24"/>
              </w:rPr>
            </w:pPr>
            <w:r>
              <w:rPr>
                <w:sz w:val="24"/>
              </w:rPr>
              <w:t>项目营运期产生的固体废物主要为：生活垃圾、一般工业固体废物和危险废物。</w:t>
            </w:r>
          </w:p>
          <w:p w14:paraId="394521FA">
            <w:pPr>
              <w:tabs>
                <w:tab w:val="left" w:pos="5175"/>
              </w:tabs>
              <w:adjustRightInd w:val="0"/>
              <w:snapToGrid w:val="0"/>
              <w:spacing w:line="360" w:lineRule="auto"/>
              <w:ind w:firstLine="480" w:firstLineChars="200"/>
              <w:rPr>
                <w:sz w:val="24"/>
              </w:rPr>
            </w:pPr>
            <w:r>
              <w:rPr>
                <w:sz w:val="24"/>
              </w:rPr>
              <w:t>A.生活垃圾</w:t>
            </w:r>
          </w:p>
          <w:p w14:paraId="179DF1FE">
            <w:pPr>
              <w:adjustRightInd w:val="0"/>
              <w:snapToGrid w:val="0"/>
              <w:spacing w:line="360" w:lineRule="auto"/>
              <w:ind w:firstLine="422" w:firstLineChars="176"/>
              <w:rPr>
                <w:sz w:val="24"/>
              </w:rPr>
            </w:pPr>
            <w:r>
              <w:rPr>
                <w:sz w:val="24"/>
              </w:rPr>
              <w:t>本项目生产区劳动定员50人，生活垃圾按每人每天产生0.5kg计算，产生量为25kg/d（7.75t/a），生活垃圾分类收集于垃圾桶，交由环卫部门统一清运。</w:t>
            </w:r>
          </w:p>
          <w:p w14:paraId="405ED794">
            <w:pPr>
              <w:adjustRightInd w:val="0"/>
              <w:snapToGrid w:val="0"/>
              <w:spacing w:line="360" w:lineRule="auto"/>
              <w:ind w:firstLine="480" w:firstLineChars="200"/>
              <w:rPr>
                <w:sz w:val="24"/>
              </w:rPr>
            </w:pPr>
            <w:r>
              <w:rPr>
                <w:sz w:val="24"/>
              </w:rPr>
              <w:t>B.一般工业固体废物</w:t>
            </w:r>
          </w:p>
          <w:p w14:paraId="6DE01FE2">
            <w:pPr>
              <w:adjustRightInd w:val="0"/>
              <w:snapToGrid w:val="0"/>
              <w:spacing w:line="360" w:lineRule="auto"/>
              <w:ind w:firstLine="480" w:firstLineChars="200"/>
              <w:rPr>
                <w:sz w:val="24"/>
              </w:rPr>
            </w:pPr>
            <w:r>
              <w:rPr>
                <w:sz w:val="24"/>
              </w:rPr>
              <w:t>①废金属边角料</w:t>
            </w:r>
          </w:p>
          <w:p w14:paraId="5672BE98">
            <w:pPr>
              <w:adjustRightInd w:val="0"/>
              <w:snapToGrid w:val="0"/>
              <w:spacing w:line="360" w:lineRule="auto"/>
              <w:ind w:firstLine="480" w:firstLineChars="200"/>
              <w:rPr>
                <w:sz w:val="24"/>
              </w:rPr>
            </w:pPr>
            <w:r>
              <w:rPr>
                <w:sz w:val="24"/>
              </w:rPr>
              <w:t>本项目在镀锌钢板、镀锌方钢方管</w:t>
            </w:r>
            <w:r>
              <w:rPr>
                <w:rFonts w:hint="eastAsia"/>
                <w:sz w:val="24"/>
              </w:rPr>
              <w:t>打磨、</w:t>
            </w:r>
            <w:r>
              <w:rPr>
                <w:sz w:val="24"/>
              </w:rPr>
              <w:t>抛丸、下料加工过程中会产生一定量的废金属边角料，金属边角料产生情况约为原材料用量的1%，本项目钢材总用量为1000t/a，产生量约为10t/a，属于一般固废331-001-09，废金属边角料统一收集后，外售给废品回收站进行处置。</w:t>
            </w:r>
          </w:p>
          <w:p w14:paraId="22283ED3">
            <w:pPr>
              <w:adjustRightInd w:val="0"/>
              <w:snapToGrid w:val="0"/>
              <w:spacing w:line="360" w:lineRule="auto"/>
              <w:ind w:firstLine="480" w:firstLineChars="200"/>
              <w:rPr>
                <w:sz w:val="24"/>
              </w:rPr>
            </w:pPr>
            <w:r>
              <w:rPr>
                <w:sz w:val="24"/>
              </w:rPr>
              <w:t>②喷塑过程收集的粉尘</w:t>
            </w:r>
          </w:p>
          <w:p w14:paraId="7DDD5B7D">
            <w:pPr>
              <w:adjustRightInd w:val="0"/>
              <w:snapToGrid w:val="0"/>
              <w:spacing w:line="360" w:lineRule="auto"/>
              <w:ind w:firstLine="480" w:firstLineChars="200"/>
              <w:rPr>
                <w:sz w:val="24"/>
              </w:rPr>
            </w:pPr>
            <w:r>
              <w:rPr>
                <w:sz w:val="24"/>
              </w:rPr>
              <w:t>根据建设单位提供的资料，项目喷粉收集的粉尘产生量为12.1125t/a，属于一般固废331-001-66，喷塑过程收集的粉回用于生产。</w:t>
            </w:r>
          </w:p>
          <w:p w14:paraId="6B066522">
            <w:pPr>
              <w:adjustRightInd w:val="0"/>
              <w:snapToGrid w:val="0"/>
              <w:spacing w:line="360" w:lineRule="auto"/>
              <w:ind w:firstLine="480" w:firstLineChars="200"/>
              <w:rPr>
                <w:sz w:val="24"/>
              </w:rPr>
            </w:pPr>
            <w:r>
              <w:rPr>
                <w:sz w:val="24"/>
              </w:rPr>
              <w:t>③废焊渣</w:t>
            </w:r>
          </w:p>
          <w:p w14:paraId="12E19982">
            <w:pPr>
              <w:adjustRightInd w:val="0"/>
              <w:snapToGrid w:val="0"/>
              <w:spacing w:line="360" w:lineRule="auto"/>
              <w:ind w:firstLine="480" w:firstLineChars="200"/>
              <w:rPr>
                <w:sz w:val="24"/>
              </w:rPr>
            </w:pPr>
            <w:r>
              <w:rPr>
                <w:sz w:val="24"/>
              </w:rPr>
              <w:t>焊渣是在焊接过程中，焊料夹持部分使用后和清理焊缝后产生的废弃物，根据《机加工行业环境影响评价常见污染物源强估算及污染治理》（湖北大学学报第32卷第3期），焊渣产生系数为焊条使用量*（1/11+4%）。则本项目废焊渣产生量约为0.071t/a，属于一般固废331-001-09，废焊渣统一收集后，外售给废品回收站进行处置。</w:t>
            </w:r>
          </w:p>
          <w:p w14:paraId="44919DC0">
            <w:pPr>
              <w:pStyle w:val="55"/>
              <w:rPr>
                <w:szCs w:val="24"/>
              </w:rPr>
            </w:pPr>
            <w:r>
              <w:rPr>
                <w:szCs w:val="24"/>
              </w:rPr>
              <w:t>④废包装材料</w:t>
            </w:r>
          </w:p>
          <w:p w14:paraId="10AC6D5B">
            <w:pPr>
              <w:pStyle w:val="55"/>
              <w:rPr>
                <w:szCs w:val="24"/>
              </w:rPr>
            </w:pPr>
            <w:r>
              <w:rPr>
                <w:szCs w:val="24"/>
              </w:rPr>
              <w:t>本项目塑粉等原料包装会产生一般包装材料，类比同类企业，一般包装材料产生量约为0.5t/a，属于一般固废</w:t>
            </w:r>
            <w:r>
              <w:t>属于一般固废331-001-07，废包装材料统一收集后，外售给废品回收站处置。</w:t>
            </w:r>
          </w:p>
          <w:p w14:paraId="1ED5F673">
            <w:pPr>
              <w:pStyle w:val="55"/>
              <w:rPr>
                <w:szCs w:val="24"/>
              </w:rPr>
            </w:pPr>
            <w:r>
              <w:rPr>
                <w:szCs w:val="24"/>
              </w:rPr>
              <w:t>⑤废</w:t>
            </w:r>
            <w:r>
              <w:rPr>
                <w:rFonts w:hint="eastAsia"/>
                <w:szCs w:val="24"/>
              </w:rPr>
              <w:t>水性漆</w:t>
            </w:r>
            <w:r>
              <w:rPr>
                <w:szCs w:val="24"/>
              </w:rPr>
              <w:t>漆桶、</w:t>
            </w:r>
            <w:r>
              <w:rPr>
                <w:rFonts w:hint="eastAsia"/>
                <w:szCs w:val="24"/>
              </w:rPr>
              <w:t>水性漆</w:t>
            </w:r>
            <w:r>
              <w:rPr>
                <w:szCs w:val="24"/>
              </w:rPr>
              <w:t>漆渣</w:t>
            </w:r>
          </w:p>
          <w:p w14:paraId="2E43B900">
            <w:pPr>
              <w:adjustRightInd w:val="0"/>
              <w:snapToGrid w:val="0"/>
              <w:spacing w:line="360" w:lineRule="auto"/>
              <w:ind w:firstLine="480" w:firstLineChars="200"/>
              <w:rPr>
                <w:kern w:val="0"/>
                <w:sz w:val="24"/>
              </w:rPr>
            </w:pPr>
            <w:r>
              <w:rPr>
                <w:kern w:val="0"/>
                <w:sz w:val="24"/>
              </w:rPr>
              <w:t>项目喷漆过程中使用水性漆会产生一定量的废</w:t>
            </w:r>
            <w:r>
              <w:rPr>
                <w:rFonts w:hint="eastAsia"/>
                <w:kern w:val="0"/>
                <w:sz w:val="24"/>
              </w:rPr>
              <w:t>水性漆</w:t>
            </w:r>
            <w:r>
              <w:rPr>
                <w:kern w:val="0"/>
                <w:sz w:val="24"/>
              </w:rPr>
              <w:t>漆桶，根据企业提供的资料，水性漆包装桶产生量约75只/a，每只空桶按2kg计算，折合成总量为0.15t/a。项目喷涂水性漆过程中会有附着在墙壁、地面的漆渣以及漆雾颗粒物</w:t>
            </w:r>
            <w:r>
              <w:rPr>
                <w:rFonts w:hint="eastAsia"/>
                <w:kern w:val="0"/>
                <w:sz w:val="24"/>
              </w:rPr>
              <w:t>，</w:t>
            </w:r>
            <w:r>
              <w:rPr>
                <w:kern w:val="0"/>
                <w:sz w:val="24"/>
              </w:rPr>
              <w:t>预计漆渣年产生量为0.123t/a，根据《国家危险废物名录（2021年版）》中“HW12染料、涂料废物900-252-12使用油漆（不包括水性漆）、有机溶剂进行喷漆、上漆过程中产生的废物”，故本项目废水性漆桶、漆渣不属于危险废物，收集后交由有一般固废处置能力的单位处置。</w:t>
            </w:r>
          </w:p>
          <w:p w14:paraId="213A2BEC">
            <w:pPr>
              <w:pStyle w:val="55"/>
              <w:rPr>
                <w:szCs w:val="24"/>
              </w:rPr>
            </w:pPr>
            <w:r>
              <w:rPr>
                <w:szCs w:val="24"/>
              </w:rPr>
              <w:t>C.危险废物</w:t>
            </w:r>
          </w:p>
          <w:p w14:paraId="1F63F3DE">
            <w:pPr>
              <w:pStyle w:val="55"/>
              <w:wordWrap w:val="0"/>
              <w:rPr>
                <w:szCs w:val="24"/>
              </w:rPr>
            </w:pPr>
            <w:r>
              <w:rPr>
                <w:rFonts w:ascii="宋体"/>
                <w:szCs w:val="24"/>
              </w:rPr>
              <w:t>①</w:t>
            </w:r>
            <w:r>
              <w:rPr>
                <w:szCs w:val="24"/>
              </w:rPr>
              <w:t>废机油</w:t>
            </w:r>
          </w:p>
          <w:p w14:paraId="22FB0D2F">
            <w:pPr>
              <w:pStyle w:val="55"/>
              <w:wordWrap w:val="0"/>
              <w:rPr>
                <w:szCs w:val="24"/>
              </w:rPr>
            </w:pPr>
            <w:r>
              <w:rPr>
                <w:szCs w:val="24"/>
              </w:rPr>
              <w:t>本项目在日常维修、检修过程中产生废机油，废机油产生量为0.</w:t>
            </w:r>
            <w:r>
              <w:rPr>
                <w:rFonts w:hint="eastAsia"/>
                <w:szCs w:val="24"/>
              </w:rPr>
              <w:t>2</w:t>
            </w:r>
            <w:r>
              <w:rPr>
                <w:szCs w:val="24"/>
              </w:rPr>
              <w:t>t/a，属于HW08废矿物油与含矿物油废物中非特定行业（900-214-08）车辆、机械维修和拆解过程中产生的废发动机油、制动器油、自动变速器油、齿轮油等废润滑油，分类收集后，暂存于危废暂存间，交由有资质的单位进行处置。</w:t>
            </w:r>
          </w:p>
          <w:p w14:paraId="4BA729CC">
            <w:pPr>
              <w:pStyle w:val="55"/>
              <w:rPr>
                <w:szCs w:val="24"/>
              </w:rPr>
            </w:pPr>
            <w:r>
              <w:rPr>
                <w:rFonts w:ascii="宋体"/>
                <w:szCs w:val="24"/>
              </w:rPr>
              <w:t>②</w:t>
            </w:r>
            <w:r>
              <w:rPr>
                <w:szCs w:val="24"/>
              </w:rPr>
              <w:t>含油手套、抹布</w:t>
            </w:r>
          </w:p>
          <w:p w14:paraId="46FC5F87">
            <w:pPr>
              <w:pStyle w:val="55"/>
              <w:wordWrap w:val="0"/>
              <w:rPr>
                <w:szCs w:val="24"/>
              </w:rPr>
            </w:pPr>
            <w:r>
              <w:rPr>
                <w:szCs w:val="24"/>
              </w:rPr>
              <w:t>本项目设备在检修过程中会产生废油手套、抹布，产生量为0.</w:t>
            </w:r>
            <w:r>
              <w:rPr>
                <w:rFonts w:hint="eastAsia"/>
                <w:szCs w:val="24"/>
              </w:rPr>
              <w:t>1</w:t>
            </w:r>
            <w:r>
              <w:rPr>
                <w:szCs w:val="24"/>
              </w:rPr>
              <w:t>t/a，属于HW49其他废物中非特定行业（900-041-49）含有或沾染毒性、感染性危险废物的废弃包装物、容器、过滤吸附介质，分类收集后，暂存于危废暂存间，交由有资质的单位进行处置。</w:t>
            </w:r>
          </w:p>
          <w:p w14:paraId="63389F30">
            <w:pPr>
              <w:pStyle w:val="55"/>
              <w:rPr>
                <w:rFonts w:ascii="宋体"/>
                <w:szCs w:val="24"/>
              </w:rPr>
            </w:pPr>
            <w:r>
              <w:rPr>
                <w:rFonts w:ascii="宋体"/>
                <w:szCs w:val="24"/>
              </w:rPr>
              <w:t>③</w:t>
            </w:r>
            <w:r>
              <w:rPr>
                <w:rFonts w:hint="eastAsia" w:ascii="宋体"/>
                <w:szCs w:val="24"/>
              </w:rPr>
              <w:t>废过滤棉、废油桶</w:t>
            </w:r>
          </w:p>
          <w:p w14:paraId="2DBF4FF6">
            <w:pPr>
              <w:pStyle w:val="55"/>
              <w:wordWrap w:val="0"/>
              <w:rPr>
                <w:szCs w:val="24"/>
              </w:rPr>
            </w:pPr>
            <w:r>
              <w:rPr>
                <w:rFonts w:hint="eastAsia"/>
                <w:kern w:val="0"/>
              </w:rPr>
              <w:t>本项目目前更换喷漆废气处理装置，不会产生喷淋废水。项目喷漆废气在处理过程中会定期更换玻璃纤维过滤棉，玻璃纤维过滤棉产生量为0.3t/a，本项目废过滤棉主要用于喷漆工序</w:t>
            </w:r>
            <w:r>
              <w:rPr>
                <w:kern w:val="0"/>
              </w:rPr>
              <w:t>，</w:t>
            </w:r>
            <w:r>
              <w:rPr>
                <w:rFonts w:hint="eastAsia"/>
                <w:kern w:val="0"/>
              </w:rPr>
              <w:t>考虑水性漆喷漆过程中会产生有机废气，废过滤棉会沾染少量有机废气，</w:t>
            </w:r>
            <w:r>
              <w:rPr>
                <w:rFonts w:hint="eastAsia"/>
                <w:szCs w:val="24"/>
              </w:rPr>
              <w:t>项目废机油使用过程中会产生废油桶，产生量为</w:t>
            </w:r>
            <w:r>
              <w:rPr>
                <w:rFonts w:hint="eastAsia"/>
                <w:kern w:val="0"/>
              </w:rPr>
              <w:t>0.08t/a，</w:t>
            </w:r>
            <w:r>
              <w:rPr>
                <w:kern w:val="0"/>
              </w:rPr>
              <w:t>故</w:t>
            </w:r>
            <w:r>
              <w:rPr>
                <w:szCs w:val="24"/>
              </w:rPr>
              <w:t>属于HW49其他废物中非特定行业（900-041-49）含有或沾染毒性、感染性危险废物的废弃包装物、容器、过滤吸附介质，分类收集后，暂存于危废暂存间，交由有资质的单位进行处置。</w:t>
            </w:r>
          </w:p>
          <w:p w14:paraId="1240D149">
            <w:pPr>
              <w:pStyle w:val="55"/>
              <w:rPr>
                <w:szCs w:val="24"/>
              </w:rPr>
            </w:pPr>
            <w:r>
              <w:rPr>
                <w:rFonts w:hint="eastAsia" w:ascii="宋体" w:hAnsi="宋体"/>
                <w:szCs w:val="24"/>
              </w:rPr>
              <w:t>④</w:t>
            </w:r>
            <w:r>
              <w:rPr>
                <w:szCs w:val="24"/>
              </w:rPr>
              <w:t>废活性炭</w:t>
            </w:r>
          </w:p>
          <w:p w14:paraId="70A55982">
            <w:pPr>
              <w:pStyle w:val="55"/>
              <w:rPr>
                <w:szCs w:val="24"/>
              </w:rPr>
            </w:pPr>
            <w:r>
              <w:rPr>
                <w:szCs w:val="24"/>
              </w:rPr>
              <w:t>本项目有机废气采用活性炭吸附装置，活性炭对有机废气的吸附量为0.1</w:t>
            </w:r>
            <w:r>
              <w:rPr>
                <w:rFonts w:hint="eastAsia"/>
                <w:szCs w:val="24"/>
              </w:rPr>
              <w:t>1424</w:t>
            </w:r>
            <w:r>
              <w:rPr>
                <w:szCs w:val="24"/>
              </w:rPr>
              <w:t>t/a，</w:t>
            </w:r>
            <w:r>
              <w:t>活性炭对有机废气的饱和吸附容量以：1kg活性炭吸附0.33kg有机废气计算，</w:t>
            </w:r>
            <w:r>
              <w:rPr>
                <w:szCs w:val="24"/>
              </w:rPr>
              <w:t>为保证处理效率，企业需要定期对活性炭过滤器进行更换，预计废活性炭产生量0.3</w:t>
            </w:r>
            <w:r>
              <w:rPr>
                <w:rFonts w:hint="eastAsia"/>
                <w:szCs w:val="24"/>
              </w:rPr>
              <w:t>46</w:t>
            </w:r>
            <w:r>
              <w:rPr>
                <w:szCs w:val="24"/>
              </w:rPr>
              <w:t>t/a，根据《</w:t>
            </w:r>
            <w:r>
              <w:rPr>
                <w:rFonts w:hint="eastAsia"/>
                <w:szCs w:val="24"/>
              </w:rPr>
              <w:t>2020年挥发性有机物治理攻坚方案</w:t>
            </w:r>
            <w:r>
              <w:rPr>
                <w:szCs w:val="24"/>
              </w:rPr>
              <w:t>》，</w:t>
            </w:r>
            <w:r>
              <w:rPr>
                <w:rFonts w:hint="eastAsia"/>
                <w:szCs w:val="24"/>
              </w:rPr>
              <w:t>采用活性炭吸附技术的，应选择碘值不低于800mg/g的活性炭，但是由于活性炭每次需要全部装箱，厂内所有活性炭吸附装置每次装箱的量约为0.8t，预估每年更换一次，故废活性炭产生量约为0.8t，</w:t>
            </w:r>
            <w:r>
              <w:rPr>
                <w:szCs w:val="24"/>
              </w:rPr>
              <w:t>属于HW49</w:t>
            </w:r>
            <w:r>
              <w:rPr>
                <w:rFonts w:hint="eastAsia"/>
                <w:szCs w:val="24"/>
              </w:rPr>
              <w:t>其他废物中非特定行业（</w:t>
            </w:r>
            <w:r>
              <w:rPr>
                <w:szCs w:val="24"/>
              </w:rPr>
              <w:t>900-0</w:t>
            </w:r>
            <w:r>
              <w:rPr>
                <w:rFonts w:hint="eastAsia"/>
                <w:szCs w:val="24"/>
              </w:rPr>
              <w:t>39</w:t>
            </w:r>
            <w:r>
              <w:rPr>
                <w:szCs w:val="24"/>
              </w:rPr>
              <w:t>-49</w:t>
            </w:r>
            <w:r>
              <w:rPr>
                <w:rFonts w:hint="eastAsia"/>
                <w:szCs w:val="24"/>
              </w:rPr>
              <w:t>）烟气、</w:t>
            </w:r>
            <w:r>
              <w:rPr>
                <w:szCs w:val="24"/>
              </w:rPr>
              <w:t>VOCs</w:t>
            </w:r>
            <w:r>
              <w:rPr>
                <w:rFonts w:hint="eastAsia"/>
                <w:szCs w:val="24"/>
              </w:rPr>
              <w:t>治理过程（不包括餐饮行业油烟治理过程）产生的废活性炭，分类收集后，暂存于危废暂存间，交由有资质的单位进行处置。</w:t>
            </w:r>
          </w:p>
          <w:p w14:paraId="3150385B">
            <w:pPr>
              <w:pStyle w:val="54"/>
              <w:jc w:val="left"/>
              <w:rPr>
                <w:color w:val="auto"/>
                <w:szCs w:val="24"/>
              </w:rPr>
            </w:pPr>
            <w:r>
              <w:rPr>
                <w:color w:val="auto"/>
                <w:szCs w:val="24"/>
              </w:rPr>
              <w:t>（2）固体废物属性判定</w:t>
            </w:r>
          </w:p>
          <w:p w14:paraId="1AE71DD9">
            <w:pPr>
              <w:pStyle w:val="2"/>
              <w:spacing w:after="0" w:line="360" w:lineRule="auto"/>
              <w:ind w:left="0" w:leftChars="0" w:firstLine="480"/>
              <w:rPr>
                <w:sz w:val="24"/>
              </w:rPr>
            </w:pPr>
            <w:r>
              <w:rPr>
                <w:sz w:val="24"/>
              </w:rPr>
              <w:t>固体废物属性判定：根据《固体废物鉴别标准通则》（GB34330-2017）的规定，判断每种副产物是否属于固体废物，本项目各副产物产生情况及副产物属性判定结果详见表3</w:t>
            </w:r>
            <w:r>
              <w:rPr>
                <w:rFonts w:hint="eastAsia"/>
                <w:sz w:val="24"/>
              </w:rPr>
              <w:t>4</w:t>
            </w:r>
            <w:r>
              <w:rPr>
                <w:sz w:val="24"/>
              </w:rPr>
              <w:t>。</w:t>
            </w:r>
          </w:p>
          <w:p w14:paraId="2A3A25E1">
            <w:pPr>
              <w:pStyle w:val="52"/>
              <w:numPr>
                <w:ilvl w:val="0"/>
                <w:numId w:val="1"/>
              </w:numPr>
              <w:ind w:left="0" w:firstLine="0"/>
              <w:rPr>
                <w:color w:val="auto"/>
              </w:rPr>
            </w:pPr>
            <w:r>
              <w:rPr>
                <w:color w:val="auto"/>
              </w:rPr>
              <w:t xml:space="preserve">    本项目固体废物属性表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739"/>
              <w:gridCol w:w="1433"/>
              <w:gridCol w:w="1143"/>
              <w:gridCol w:w="689"/>
              <w:gridCol w:w="1679"/>
              <w:gridCol w:w="861"/>
              <w:gridCol w:w="876"/>
              <w:gridCol w:w="838"/>
            </w:tblGrid>
            <w:tr w14:paraId="0E29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3FAE666E">
                  <w:pPr>
                    <w:jc w:val="center"/>
                  </w:pPr>
                  <w:r>
                    <w:t>序号</w:t>
                  </w:r>
                </w:p>
              </w:tc>
              <w:tc>
                <w:tcPr>
                  <w:tcW w:w="418" w:type="pct"/>
                  <w:vAlign w:val="center"/>
                </w:tcPr>
                <w:p w14:paraId="228D04E7">
                  <w:pPr>
                    <w:jc w:val="center"/>
                  </w:pPr>
                  <w:r>
                    <w:t>污染工序</w:t>
                  </w:r>
                </w:p>
              </w:tc>
              <w:tc>
                <w:tcPr>
                  <w:tcW w:w="811" w:type="pct"/>
                  <w:vAlign w:val="center"/>
                </w:tcPr>
                <w:p w14:paraId="181F5BAD">
                  <w:pPr>
                    <w:jc w:val="center"/>
                  </w:pPr>
                  <w:r>
                    <w:t>固体废物名称</w:t>
                  </w:r>
                </w:p>
              </w:tc>
              <w:tc>
                <w:tcPr>
                  <w:tcW w:w="647" w:type="pct"/>
                  <w:vAlign w:val="center"/>
                </w:tcPr>
                <w:p w14:paraId="01AD9B80">
                  <w:pPr>
                    <w:jc w:val="center"/>
                  </w:pPr>
                  <w:r>
                    <w:t>产生量</w:t>
                  </w:r>
                </w:p>
              </w:tc>
              <w:tc>
                <w:tcPr>
                  <w:tcW w:w="390" w:type="pct"/>
                  <w:vAlign w:val="center"/>
                </w:tcPr>
                <w:p w14:paraId="0CDBB5F7">
                  <w:pPr>
                    <w:jc w:val="center"/>
                  </w:pPr>
                  <w:r>
                    <w:t>属性</w:t>
                  </w:r>
                </w:p>
              </w:tc>
              <w:tc>
                <w:tcPr>
                  <w:tcW w:w="950" w:type="pct"/>
                  <w:vAlign w:val="center"/>
                </w:tcPr>
                <w:p w14:paraId="039EF3C5">
                  <w:pPr>
                    <w:jc w:val="center"/>
                  </w:pPr>
                  <w:r>
                    <w:t>废物编号</w:t>
                  </w:r>
                </w:p>
              </w:tc>
              <w:tc>
                <w:tcPr>
                  <w:tcW w:w="487" w:type="pct"/>
                  <w:vAlign w:val="center"/>
                </w:tcPr>
                <w:p w14:paraId="2C92B410">
                  <w:pPr>
                    <w:jc w:val="center"/>
                  </w:pPr>
                  <w:r>
                    <w:t>物理性状</w:t>
                  </w:r>
                </w:p>
              </w:tc>
              <w:tc>
                <w:tcPr>
                  <w:tcW w:w="496" w:type="pct"/>
                  <w:vAlign w:val="center"/>
                </w:tcPr>
                <w:p w14:paraId="7C9D27D0">
                  <w:pPr>
                    <w:jc w:val="center"/>
                  </w:pPr>
                  <w:r>
                    <w:t>主要有毒有害物质</w:t>
                  </w:r>
                </w:p>
              </w:tc>
              <w:tc>
                <w:tcPr>
                  <w:tcW w:w="474" w:type="pct"/>
                  <w:vAlign w:val="center"/>
                </w:tcPr>
                <w:p w14:paraId="66F278FA">
                  <w:pPr>
                    <w:jc w:val="center"/>
                  </w:pPr>
                  <w:r>
                    <w:t>环境危险特性</w:t>
                  </w:r>
                </w:p>
              </w:tc>
            </w:tr>
            <w:tr w14:paraId="28D1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21029535">
                  <w:pPr>
                    <w:jc w:val="center"/>
                  </w:pPr>
                  <w:r>
                    <w:t>1</w:t>
                  </w:r>
                </w:p>
              </w:tc>
              <w:tc>
                <w:tcPr>
                  <w:tcW w:w="418" w:type="pct"/>
                  <w:vAlign w:val="center"/>
                </w:tcPr>
                <w:p w14:paraId="0BC3D7E1">
                  <w:pPr>
                    <w:jc w:val="center"/>
                  </w:pPr>
                  <w:r>
                    <w:t>员工办公生活</w:t>
                  </w:r>
                </w:p>
              </w:tc>
              <w:tc>
                <w:tcPr>
                  <w:tcW w:w="811" w:type="pct"/>
                  <w:vAlign w:val="center"/>
                </w:tcPr>
                <w:p w14:paraId="38159A6D">
                  <w:pPr>
                    <w:jc w:val="center"/>
                  </w:pPr>
                  <w:r>
                    <w:t>生活垃圾</w:t>
                  </w:r>
                </w:p>
              </w:tc>
              <w:tc>
                <w:tcPr>
                  <w:tcW w:w="647" w:type="pct"/>
                  <w:vAlign w:val="center"/>
                </w:tcPr>
                <w:p w14:paraId="525E3407">
                  <w:pPr>
                    <w:jc w:val="center"/>
                  </w:pPr>
                  <w:r>
                    <w:t>7.75t/a</w:t>
                  </w:r>
                </w:p>
              </w:tc>
              <w:tc>
                <w:tcPr>
                  <w:tcW w:w="390" w:type="pct"/>
                  <w:vMerge w:val="restart"/>
                  <w:vAlign w:val="center"/>
                </w:tcPr>
                <w:p w14:paraId="22F07085">
                  <w:pPr>
                    <w:jc w:val="center"/>
                  </w:pPr>
                  <w:r>
                    <w:t>一般固废</w:t>
                  </w:r>
                </w:p>
              </w:tc>
              <w:tc>
                <w:tcPr>
                  <w:tcW w:w="950" w:type="pct"/>
                  <w:vAlign w:val="center"/>
                </w:tcPr>
                <w:p w14:paraId="453F9E81">
                  <w:pPr>
                    <w:jc w:val="center"/>
                  </w:pPr>
                  <w:r>
                    <w:t>/</w:t>
                  </w:r>
                </w:p>
              </w:tc>
              <w:tc>
                <w:tcPr>
                  <w:tcW w:w="487" w:type="pct"/>
                  <w:vAlign w:val="center"/>
                </w:tcPr>
                <w:p w14:paraId="24B00A6D">
                  <w:pPr>
                    <w:jc w:val="center"/>
                  </w:pPr>
                  <w:r>
                    <w:t>固态</w:t>
                  </w:r>
                </w:p>
              </w:tc>
              <w:tc>
                <w:tcPr>
                  <w:tcW w:w="496" w:type="pct"/>
                  <w:vMerge w:val="restart"/>
                  <w:vAlign w:val="center"/>
                </w:tcPr>
                <w:p w14:paraId="74836B6D">
                  <w:pPr>
                    <w:jc w:val="center"/>
                  </w:pPr>
                  <w:r>
                    <w:t>/</w:t>
                  </w:r>
                </w:p>
              </w:tc>
              <w:tc>
                <w:tcPr>
                  <w:tcW w:w="474" w:type="pct"/>
                  <w:vMerge w:val="restart"/>
                  <w:vAlign w:val="center"/>
                </w:tcPr>
                <w:p w14:paraId="1D07C6A6">
                  <w:pPr>
                    <w:jc w:val="center"/>
                  </w:pPr>
                  <w:r>
                    <w:t>/</w:t>
                  </w:r>
                </w:p>
              </w:tc>
            </w:tr>
            <w:tr w14:paraId="0170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0CEFBA07">
                  <w:pPr>
                    <w:jc w:val="center"/>
                  </w:pPr>
                  <w:r>
                    <w:t>2</w:t>
                  </w:r>
                </w:p>
              </w:tc>
              <w:tc>
                <w:tcPr>
                  <w:tcW w:w="418" w:type="pct"/>
                  <w:vMerge w:val="restart"/>
                  <w:vAlign w:val="center"/>
                </w:tcPr>
                <w:p w14:paraId="0E896467">
                  <w:pPr>
                    <w:jc w:val="center"/>
                  </w:pPr>
                  <w:r>
                    <w:t>生产车间</w:t>
                  </w:r>
                </w:p>
              </w:tc>
              <w:tc>
                <w:tcPr>
                  <w:tcW w:w="811" w:type="pct"/>
                  <w:vAlign w:val="center"/>
                </w:tcPr>
                <w:p w14:paraId="23D07185">
                  <w:pPr>
                    <w:jc w:val="center"/>
                  </w:pPr>
                  <w:r>
                    <w:t>废金属边角料</w:t>
                  </w:r>
                </w:p>
              </w:tc>
              <w:tc>
                <w:tcPr>
                  <w:tcW w:w="647" w:type="pct"/>
                  <w:vAlign w:val="center"/>
                </w:tcPr>
                <w:p w14:paraId="05C2F321">
                  <w:pPr>
                    <w:jc w:val="center"/>
                  </w:pPr>
                  <w:r>
                    <w:t>10t/a</w:t>
                  </w:r>
                </w:p>
              </w:tc>
              <w:tc>
                <w:tcPr>
                  <w:tcW w:w="390" w:type="pct"/>
                  <w:vMerge w:val="continue"/>
                  <w:vAlign w:val="center"/>
                </w:tcPr>
                <w:p w14:paraId="1B118152">
                  <w:pPr>
                    <w:jc w:val="center"/>
                  </w:pPr>
                </w:p>
              </w:tc>
              <w:tc>
                <w:tcPr>
                  <w:tcW w:w="950" w:type="pct"/>
                  <w:vAlign w:val="center"/>
                </w:tcPr>
                <w:p w14:paraId="1B794BB4">
                  <w:pPr>
                    <w:jc w:val="center"/>
                  </w:pPr>
                  <w:r>
                    <w:t>331-001-09</w:t>
                  </w:r>
                </w:p>
              </w:tc>
              <w:tc>
                <w:tcPr>
                  <w:tcW w:w="487" w:type="pct"/>
                  <w:vAlign w:val="center"/>
                </w:tcPr>
                <w:p w14:paraId="0524FBD0">
                  <w:pPr>
                    <w:jc w:val="center"/>
                  </w:pPr>
                  <w:r>
                    <w:t>固态</w:t>
                  </w:r>
                </w:p>
              </w:tc>
              <w:tc>
                <w:tcPr>
                  <w:tcW w:w="496" w:type="pct"/>
                  <w:vMerge w:val="continue"/>
                  <w:vAlign w:val="center"/>
                </w:tcPr>
                <w:p w14:paraId="26CAB6F9">
                  <w:pPr>
                    <w:jc w:val="center"/>
                  </w:pPr>
                </w:p>
              </w:tc>
              <w:tc>
                <w:tcPr>
                  <w:tcW w:w="474" w:type="pct"/>
                  <w:vMerge w:val="continue"/>
                  <w:vAlign w:val="center"/>
                </w:tcPr>
                <w:p w14:paraId="4ED31135">
                  <w:pPr>
                    <w:jc w:val="center"/>
                  </w:pPr>
                </w:p>
              </w:tc>
            </w:tr>
            <w:tr w14:paraId="4CF7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43D6ABC8">
                  <w:pPr>
                    <w:jc w:val="center"/>
                  </w:pPr>
                  <w:r>
                    <w:t>3</w:t>
                  </w:r>
                </w:p>
              </w:tc>
              <w:tc>
                <w:tcPr>
                  <w:tcW w:w="418" w:type="pct"/>
                  <w:vMerge w:val="continue"/>
                  <w:vAlign w:val="center"/>
                </w:tcPr>
                <w:p w14:paraId="6C8A64AD">
                  <w:pPr>
                    <w:jc w:val="center"/>
                  </w:pPr>
                </w:p>
              </w:tc>
              <w:tc>
                <w:tcPr>
                  <w:tcW w:w="811" w:type="pct"/>
                  <w:vAlign w:val="center"/>
                </w:tcPr>
                <w:p w14:paraId="6F0181B3">
                  <w:pPr>
                    <w:jc w:val="center"/>
                  </w:pPr>
                  <w:r>
                    <w:t>废焊渣</w:t>
                  </w:r>
                </w:p>
              </w:tc>
              <w:tc>
                <w:tcPr>
                  <w:tcW w:w="647" w:type="pct"/>
                  <w:vAlign w:val="center"/>
                </w:tcPr>
                <w:p w14:paraId="1964E5B5">
                  <w:pPr>
                    <w:jc w:val="center"/>
                  </w:pPr>
                  <w:r>
                    <w:t>0.071t/a</w:t>
                  </w:r>
                </w:p>
              </w:tc>
              <w:tc>
                <w:tcPr>
                  <w:tcW w:w="390" w:type="pct"/>
                  <w:vMerge w:val="continue"/>
                  <w:vAlign w:val="center"/>
                </w:tcPr>
                <w:p w14:paraId="3BFD041A">
                  <w:pPr>
                    <w:jc w:val="center"/>
                  </w:pPr>
                </w:p>
              </w:tc>
              <w:tc>
                <w:tcPr>
                  <w:tcW w:w="950" w:type="pct"/>
                  <w:vAlign w:val="center"/>
                </w:tcPr>
                <w:p w14:paraId="06C6F3DB">
                  <w:pPr>
                    <w:jc w:val="center"/>
                  </w:pPr>
                  <w:r>
                    <w:t>331-001-09</w:t>
                  </w:r>
                </w:p>
              </w:tc>
              <w:tc>
                <w:tcPr>
                  <w:tcW w:w="487" w:type="pct"/>
                  <w:vAlign w:val="center"/>
                </w:tcPr>
                <w:p w14:paraId="39A59DB6">
                  <w:pPr>
                    <w:jc w:val="center"/>
                  </w:pPr>
                  <w:r>
                    <w:t>固态</w:t>
                  </w:r>
                </w:p>
              </w:tc>
              <w:tc>
                <w:tcPr>
                  <w:tcW w:w="496" w:type="pct"/>
                  <w:vMerge w:val="continue"/>
                  <w:vAlign w:val="center"/>
                </w:tcPr>
                <w:p w14:paraId="27990724">
                  <w:pPr>
                    <w:jc w:val="center"/>
                  </w:pPr>
                </w:p>
              </w:tc>
              <w:tc>
                <w:tcPr>
                  <w:tcW w:w="474" w:type="pct"/>
                  <w:vMerge w:val="continue"/>
                  <w:vAlign w:val="center"/>
                </w:tcPr>
                <w:p w14:paraId="4B8BDAC9">
                  <w:pPr>
                    <w:jc w:val="center"/>
                  </w:pPr>
                </w:p>
              </w:tc>
            </w:tr>
            <w:tr w14:paraId="1F5E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1625C209">
                  <w:pPr>
                    <w:jc w:val="center"/>
                  </w:pPr>
                  <w:r>
                    <w:t>4</w:t>
                  </w:r>
                </w:p>
              </w:tc>
              <w:tc>
                <w:tcPr>
                  <w:tcW w:w="418" w:type="pct"/>
                  <w:vMerge w:val="continue"/>
                  <w:vAlign w:val="center"/>
                </w:tcPr>
                <w:p w14:paraId="7EE21B16">
                  <w:pPr>
                    <w:jc w:val="center"/>
                  </w:pPr>
                </w:p>
              </w:tc>
              <w:tc>
                <w:tcPr>
                  <w:tcW w:w="811" w:type="pct"/>
                  <w:vAlign w:val="center"/>
                </w:tcPr>
                <w:p w14:paraId="25CA706E">
                  <w:pPr>
                    <w:jc w:val="center"/>
                  </w:pPr>
                  <w:r>
                    <w:t>喷塑过程收集的粉尘</w:t>
                  </w:r>
                </w:p>
              </w:tc>
              <w:tc>
                <w:tcPr>
                  <w:tcW w:w="647" w:type="pct"/>
                  <w:vAlign w:val="center"/>
                </w:tcPr>
                <w:p w14:paraId="36D5B04B">
                  <w:pPr>
                    <w:jc w:val="center"/>
                  </w:pPr>
                  <w:r>
                    <w:t>12.1125t/a</w:t>
                  </w:r>
                </w:p>
              </w:tc>
              <w:tc>
                <w:tcPr>
                  <w:tcW w:w="390" w:type="pct"/>
                  <w:vMerge w:val="continue"/>
                  <w:vAlign w:val="center"/>
                </w:tcPr>
                <w:p w14:paraId="0362F8F7">
                  <w:pPr>
                    <w:jc w:val="center"/>
                  </w:pPr>
                </w:p>
              </w:tc>
              <w:tc>
                <w:tcPr>
                  <w:tcW w:w="950" w:type="pct"/>
                  <w:vAlign w:val="center"/>
                </w:tcPr>
                <w:p w14:paraId="16B02DD4">
                  <w:pPr>
                    <w:jc w:val="center"/>
                  </w:pPr>
                  <w:r>
                    <w:t>331-001-06</w:t>
                  </w:r>
                </w:p>
              </w:tc>
              <w:tc>
                <w:tcPr>
                  <w:tcW w:w="487" w:type="pct"/>
                  <w:vAlign w:val="center"/>
                </w:tcPr>
                <w:p w14:paraId="494117D2">
                  <w:pPr>
                    <w:jc w:val="center"/>
                  </w:pPr>
                  <w:r>
                    <w:t>粉末状</w:t>
                  </w:r>
                </w:p>
              </w:tc>
              <w:tc>
                <w:tcPr>
                  <w:tcW w:w="496" w:type="pct"/>
                  <w:vMerge w:val="continue"/>
                  <w:vAlign w:val="center"/>
                </w:tcPr>
                <w:p w14:paraId="63DAF83F">
                  <w:pPr>
                    <w:jc w:val="center"/>
                  </w:pPr>
                </w:p>
              </w:tc>
              <w:tc>
                <w:tcPr>
                  <w:tcW w:w="474" w:type="pct"/>
                  <w:vMerge w:val="continue"/>
                  <w:vAlign w:val="center"/>
                </w:tcPr>
                <w:p w14:paraId="22A8EAE4">
                  <w:pPr>
                    <w:jc w:val="center"/>
                  </w:pPr>
                </w:p>
              </w:tc>
            </w:tr>
            <w:tr w14:paraId="24F6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0BCCF9C6">
                  <w:pPr>
                    <w:jc w:val="center"/>
                  </w:pPr>
                  <w:r>
                    <w:t>5</w:t>
                  </w:r>
                </w:p>
              </w:tc>
              <w:tc>
                <w:tcPr>
                  <w:tcW w:w="418" w:type="pct"/>
                  <w:vMerge w:val="continue"/>
                  <w:vAlign w:val="center"/>
                </w:tcPr>
                <w:p w14:paraId="4279E411">
                  <w:pPr>
                    <w:jc w:val="center"/>
                  </w:pPr>
                </w:p>
              </w:tc>
              <w:tc>
                <w:tcPr>
                  <w:tcW w:w="811" w:type="pct"/>
                  <w:vAlign w:val="center"/>
                </w:tcPr>
                <w:p w14:paraId="2215F3A2">
                  <w:pPr>
                    <w:jc w:val="center"/>
                  </w:pPr>
                  <w:r>
                    <w:t>废包装材料</w:t>
                  </w:r>
                </w:p>
              </w:tc>
              <w:tc>
                <w:tcPr>
                  <w:tcW w:w="647" w:type="pct"/>
                  <w:vAlign w:val="center"/>
                </w:tcPr>
                <w:p w14:paraId="5B07A14C">
                  <w:pPr>
                    <w:jc w:val="center"/>
                  </w:pPr>
                  <w:r>
                    <w:t>0.</w:t>
                  </w:r>
                  <w:r>
                    <w:rPr>
                      <w:rFonts w:hint="eastAsia"/>
                    </w:rPr>
                    <w:t>5</w:t>
                  </w:r>
                  <w:r>
                    <w:t>t/a</w:t>
                  </w:r>
                </w:p>
              </w:tc>
              <w:tc>
                <w:tcPr>
                  <w:tcW w:w="390" w:type="pct"/>
                  <w:vMerge w:val="continue"/>
                  <w:vAlign w:val="center"/>
                </w:tcPr>
                <w:p w14:paraId="2013F7EF">
                  <w:pPr>
                    <w:jc w:val="center"/>
                  </w:pPr>
                </w:p>
              </w:tc>
              <w:tc>
                <w:tcPr>
                  <w:tcW w:w="950" w:type="pct"/>
                  <w:vAlign w:val="center"/>
                </w:tcPr>
                <w:p w14:paraId="49BD0D82">
                  <w:pPr>
                    <w:jc w:val="center"/>
                  </w:pPr>
                  <w:r>
                    <w:t>331-001-09</w:t>
                  </w:r>
                </w:p>
              </w:tc>
              <w:tc>
                <w:tcPr>
                  <w:tcW w:w="487" w:type="pct"/>
                  <w:vAlign w:val="center"/>
                </w:tcPr>
                <w:p w14:paraId="4E8EDC76">
                  <w:pPr>
                    <w:jc w:val="center"/>
                  </w:pPr>
                  <w:r>
                    <w:t>固态</w:t>
                  </w:r>
                </w:p>
              </w:tc>
              <w:tc>
                <w:tcPr>
                  <w:tcW w:w="496" w:type="pct"/>
                  <w:vMerge w:val="continue"/>
                  <w:vAlign w:val="center"/>
                </w:tcPr>
                <w:p w14:paraId="5B3A9775">
                  <w:pPr>
                    <w:jc w:val="center"/>
                  </w:pPr>
                </w:p>
              </w:tc>
              <w:tc>
                <w:tcPr>
                  <w:tcW w:w="474" w:type="pct"/>
                  <w:vMerge w:val="continue"/>
                  <w:vAlign w:val="center"/>
                </w:tcPr>
                <w:p w14:paraId="31E62677">
                  <w:pPr>
                    <w:jc w:val="center"/>
                  </w:pPr>
                </w:p>
              </w:tc>
            </w:tr>
            <w:tr w14:paraId="5E91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1247B8FF">
                  <w:pPr>
                    <w:jc w:val="center"/>
                  </w:pPr>
                  <w:r>
                    <w:t>6</w:t>
                  </w:r>
                </w:p>
              </w:tc>
              <w:tc>
                <w:tcPr>
                  <w:tcW w:w="418" w:type="pct"/>
                  <w:vAlign w:val="center"/>
                </w:tcPr>
                <w:p w14:paraId="23CA6D6D">
                  <w:pPr>
                    <w:jc w:val="center"/>
                  </w:pPr>
                  <w:r>
                    <w:t>喷漆</w:t>
                  </w:r>
                </w:p>
              </w:tc>
              <w:tc>
                <w:tcPr>
                  <w:tcW w:w="811" w:type="pct"/>
                  <w:vAlign w:val="center"/>
                </w:tcPr>
                <w:p w14:paraId="193127B6">
                  <w:pPr>
                    <w:jc w:val="center"/>
                  </w:pPr>
                  <w:r>
                    <w:t>废</w:t>
                  </w:r>
                  <w:r>
                    <w:rPr>
                      <w:rFonts w:hint="eastAsia"/>
                    </w:rPr>
                    <w:t>水性漆</w:t>
                  </w:r>
                  <w:r>
                    <w:t>漆桶、漆渣</w:t>
                  </w:r>
                </w:p>
              </w:tc>
              <w:tc>
                <w:tcPr>
                  <w:tcW w:w="647" w:type="pct"/>
                  <w:vAlign w:val="center"/>
                </w:tcPr>
                <w:p w14:paraId="40A23978">
                  <w:pPr>
                    <w:jc w:val="center"/>
                  </w:pPr>
                  <w:r>
                    <w:t>0.273t/a</w:t>
                  </w:r>
                </w:p>
              </w:tc>
              <w:tc>
                <w:tcPr>
                  <w:tcW w:w="390" w:type="pct"/>
                  <w:vMerge w:val="continue"/>
                  <w:vAlign w:val="center"/>
                </w:tcPr>
                <w:p w14:paraId="7BA12CC3">
                  <w:pPr>
                    <w:jc w:val="center"/>
                  </w:pPr>
                </w:p>
              </w:tc>
              <w:tc>
                <w:tcPr>
                  <w:tcW w:w="950" w:type="pct"/>
                  <w:vAlign w:val="center"/>
                </w:tcPr>
                <w:p w14:paraId="7F5915F7">
                  <w:pPr>
                    <w:jc w:val="center"/>
                  </w:pPr>
                  <w:r>
                    <w:t>/</w:t>
                  </w:r>
                </w:p>
              </w:tc>
              <w:tc>
                <w:tcPr>
                  <w:tcW w:w="487" w:type="pct"/>
                  <w:vAlign w:val="center"/>
                </w:tcPr>
                <w:p w14:paraId="308AD161">
                  <w:pPr>
                    <w:jc w:val="center"/>
                  </w:pPr>
                  <w:r>
                    <w:t>固态</w:t>
                  </w:r>
                </w:p>
              </w:tc>
              <w:tc>
                <w:tcPr>
                  <w:tcW w:w="496" w:type="pct"/>
                  <w:vMerge w:val="continue"/>
                  <w:vAlign w:val="center"/>
                </w:tcPr>
                <w:p w14:paraId="12CB8222">
                  <w:pPr>
                    <w:jc w:val="center"/>
                  </w:pPr>
                </w:p>
              </w:tc>
              <w:tc>
                <w:tcPr>
                  <w:tcW w:w="474" w:type="pct"/>
                  <w:vMerge w:val="continue"/>
                  <w:vAlign w:val="center"/>
                </w:tcPr>
                <w:p w14:paraId="07EFE98D">
                  <w:pPr>
                    <w:jc w:val="center"/>
                  </w:pPr>
                </w:p>
              </w:tc>
            </w:tr>
            <w:tr w14:paraId="638A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0134CE36">
                  <w:pPr>
                    <w:jc w:val="center"/>
                  </w:pPr>
                  <w:r>
                    <w:t>7</w:t>
                  </w:r>
                </w:p>
              </w:tc>
              <w:tc>
                <w:tcPr>
                  <w:tcW w:w="418" w:type="pct"/>
                  <w:vAlign w:val="center"/>
                </w:tcPr>
                <w:p w14:paraId="3AE37B29">
                  <w:pPr>
                    <w:jc w:val="center"/>
                  </w:pPr>
                  <w:r>
                    <w:t>有机废气处理</w:t>
                  </w:r>
                </w:p>
              </w:tc>
              <w:tc>
                <w:tcPr>
                  <w:tcW w:w="811" w:type="pct"/>
                  <w:vAlign w:val="center"/>
                </w:tcPr>
                <w:p w14:paraId="14A37BE5">
                  <w:pPr>
                    <w:jc w:val="center"/>
                  </w:pPr>
                  <w:r>
                    <w:t>废</w:t>
                  </w:r>
                  <w:r>
                    <w:rPr>
                      <w:rFonts w:hint="eastAsia"/>
                    </w:rPr>
                    <w:t>过滤棉</w:t>
                  </w:r>
                </w:p>
              </w:tc>
              <w:tc>
                <w:tcPr>
                  <w:tcW w:w="647" w:type="pct"/>
                  <w:vAlign w:val="center"/>
                </w:tcPr>
                <w:p w14:paraId="7EB17348">
                  <w:pPr>
                    <w:jc w:val="center"/>
                  </w:pPr>
                  <w:r>
                    <w:t>0.</w:t>
                  </w:r>
                  <w:r>
                    <w:rPr>
                      <w:rFonts w:hint="eastAsia"/>
                    </w:rPr>
                    <w:t>3</w:t>
                  </w:r>
                  <w:r>
                    <w:t>t/a</w:t>
                  </w:r>
                </w:p>
              </w:tc>
              <w:tc>
                <w:tcPr>
                  <w:tcW w:w="390" w:type="pct"/>
                  <w:vMerge w:val="continue"/>
                  <w:vAlign w:val="center"/>
                </w:tcPr>
                <w:p w14:paraId="32BC9C1F">
                  <w:pPr>
                    <w:jc w:val="center"/>
                  </w:pPr>
                </w:p>
              </w:tc>
              <w:tc>
                <w:tcPr>
                  <w:tcW w:w="950" w:type="pct"/>
                  <w:vAlign w:val="center"/>
                </w:tcPr>
                <w:p w14:paraId="02A8036E">
                  <w:pPr>
                    <w:jc w:val="center"/>
                  </w:pPr>
                  <w:r>
                    <w:t>HW49（900-041-49）</w:t>
                  </w:r>
                </w:p>
              </w:tc>
              <w:tc>
                <w:tcPr>
                  <w:tcW w:w="487" w:type="pct"/>
                  <w:vAlign w:val="center"/>
                </w:tcPr>
                <w:p w14:paraId="39A6783F">
                  <w:pPr>
                    <w:jc w:val="center"/>
                  </w:pPr>
                  <w:r>
                    <w:rPr>
                      <w:rFonts w:hint="eastAsia"/>
                    </w:rPr>
                    <w:t>固态</w:t>
                  </w:r>
                </w:p>
              </w:tc>
              <w:tc>
                <w:tcPr>
                  <w:tcW w:w="496" w:type="pct"/>
                  <w:vAlign w:val="center"/>
                </w:tcPr>
                <w:p w14:paraId="568AB65A">
                  <w:pPr>
                    <w:jc w:val="center"/>
                  </w:pPr>
                  <w:r>
                    <w:t>有机物</w:t>
                  </w:r>
                </w:p>
              </w:tc>
              <w:tc>
                <w:tcPr>
                  <w:tcW w:w="474" w:type="pct"/>
                  <w:vAlign w:val="center"/>
                </w:tcPr>
                <w:p w14:paraId="7C562328">
                  <w:pPr>
                    <w:jc w:val="center"/>
                  </w:pPr>
                  <w:r>
                    <w:t>T/In</w:t>
                  </w:r>
                </w:p>
              </w:tc>
            </w:tr>
            <w:tr w14:paraId="2263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2EA82E34">
                  <w:pPr>
                    <w:jc w:val="center"/>
                  </w:pPr>
                  <w:r>
                    <w:t>8</w:t>
                  </w:r>
                </w:p>
              </w:tc>
              <w:tc>
                <w:tcPr>
                  <w:tcW w:w="418" w:type="pct"/>
                  <w:vMerge w:val="restart"/>
                  <w:vAlign w:val="center"/>
                </w:tcPr>
                <w:p w14:paraId="7A6CA2F8">
                  <w:pPr>
                    <w:jc w:val="center"/>
                  </w:pPr>
                  <w:r>
                    <w:t>设备检修</w:t>
                  </w:r>
                </w:p>
              </w:tc>
              <w:tc>
                <w:tcPr>
                  <w:tcW w:w="811" w:type="pct"/>
                  <w:vAlign w:val="center"/>
                </w:tcPr>
                <w:p w14:paraId="06F62B4A">
                  <w:pPr>
                    <w:jc w:val="center"/>
                  </w:pPr>
                  <w:r>
                    <w:t>废机油</w:t>
                  </w:r>
                </w:p>
              </w:tc>
              <w:tc>
                <w:tcPr>
                  <w:tcW w:w="647" w:type="pct"/>
                  <w:vAlign w:val="center"/>
                </w:tcPr>
                <w:p w14:paraId="62A72E55">
                  <w:pPr>
                    <w:jc w:val="center"/>
                  </w:pPr>
                  <w:r>
                    <w:t>0.</w:t>
                  </w:r>
                  <w:r>
                    <w:rPr>
                      <w:rFonts w:hint="eastAsia"/>
                    </w:rPr>
                    <w:t>2</w:t>
                  </w:r>
                  <w:r>
                    <w:t>t/a</w:t>
                  </w:r>
                </w:p>
              </w:tc>
              <w:tc>
                <w:tcPr>
                  <w:tcW w:w="390" w:type="pct"/>
                  <w:vMerge w:val="restart"/>
                  <w:vAlign w:val="center"/>
                </w:tcPr>
                <w:p w14:paraId="42F2E617">
                  <w:pPr>
                    <w:jc w:val="center"/>
                  </w:pPr>
                  <w:r>
                    <w:t>危险废物</w:t>
                  </w:r>
                </w:p>
              </w:tc>
              <w:tc>
                <w:tcPr>
                  <w:tcW w:w="950" w:type="pct"/>
                  <w:vAlign w:val="center"/>
                </w:tcPr>
                <w:p w14:paraId="4A3A9336">
                  <w:pPr>
                    <w:jc w:val="center"/>
                  </w:pPr>
                  <w:r>
                    <w:t>HW08（900-214-08）</w:t>
                  </w:r>
                </w:p>
              </w:tc>
              <w:tc>
                <w:tcPr>
                  <w:tcW w:w="487" w:type="pct"/>
                  <w:vAlign w:val="center"/>
                </w:tcPr>
                <w:p w14:paraId="430CB7A2">
                  <w:pPr>
                    <w:jc w:val="center"/>
                  </w:pPr>
                  <w:r>
                    <w:t>液态</w:t>
                  </w:r>
                </w:p>
              </w:tc>
              <w:tc>
                <w:tcPr>
                  <w:tcW w:w="496" w:type="pct"/>
                  <w:vAlign w:val="center"/>
                </w:tcPr>
                <w:p w14:paraId="1FB0553C">
                  <w:pPr>
                    <w:jc w:val="center"/>
                  </w:pPr>
                  <w:r>
                    <w:t>油类物质</w:t>
                  </w:r>
                </w:p>
              </w:tc>
              <w:tc>
                <w:tcPr>
                  <w:tcW w:w="474" w:type="pct"/>
                  <w:vAlign w:val="center"/>
                </w:tcPr>
                <w:p w14:paraId="0F04B6D0">
                  <w:pPr>
                    <w:jc w:val="center"/>
                  </w:pPr>
                  <w:r>
                    <w:t>T，I</w:t>
                  </w:r>
                </w:p>
              </w:tc>
            </w:tr>
            <w:tr w14:paraId="7CB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30D3F739">
                  <w:pPr>
                    <w:jc w:val="center"/>
                  </w:pPr>
                  <w:r>
                    <w:t>9</w:t>
                  </w:r>
                </w:p>
              </w:tc>
              <w:tc>
                <w:tcPr>
                  <w:tcW w:w="418" w:type="pct"/>
                  <w:vMerge w:val="continue"/>
                  <w:vAlign w:val="center"/>
                </w:tcPr>
                <w:p w14:paraId="3F0516D6">
                  <w:pPr>
                    <w:jc w:val="center"/>
                  </w:pPr>
                </w:p>
              </w:tc>
              <w:tc>
                <w:tcPr>
                  <w:tcW w:w="811" w:type="pct"/>
                  <w:vAlign w:val="center"/>
                </w:tcPr>
                <w:p w14:paraId="74EA6AA1">
                  <w:pPr>
                    <w:jc w:val="center"/>
                  </w:pPr>
                  <w:r>
                    <w:t>含油手套、抹布</w:t>
                  </w:r>
                </w:p>
              </w:tc>
              <w:tc>
                <w:tcPr>
                  <w:tcW w:w="647" w:type="pct"/>
                  <w:vAlign w:val="center"/>
                </w:tcPr>
                <w:p w14:paraId="10D9A799">
                  <w:pPr>
                    <w:jc w:val="center"/>
                  </w:pPr>
                  <w:r>
                    <w:t>0.</w:t>
                  </w:r>
                  <w:r>
                    <w:rPr>
                      <w:rFonts w:hint="eastAsia"/>
                    </w:rPr>
                    <w:t>2</w:t>
                  </w:r>
                  <w:r>
                    <w:t>t/a</w:t>
                  </w:r>
                </w:p>
              </w:tc>
              <w:tc>
                <w:tcPr>
                  <w:tcW w:w="390" w:type="pct"/>
                  <w:vMerge w:val="continue"/>
                  <w:vAlign w:val="center"/>
                </w:tcPr>
                <w:p w14:paraId="0C2A9EF3">
                  <w:pPr>
                    <w:jc w:val="center"/>
                  </w:pPr>
                </w:p>
              </w:tc>
              <w:tc>
                <w:tcPr>
                  <w:tcW w:w="950" w:type="pct"/>
                  <w:vAlign w:val="center"/>
                </w:tcPr>
                <w:p w14:paraId="7E5AE279">
                  <w:pPr>
                    <w:jc w:val="center"/>
                  </w:pPr>
                  <w:r>
                    <w:t>HW49（900-041-49）</w:t>
                  </w:r>
                </w:p>
              </w:tc>
              <w:tc>
                <w:tcPr>
                  <w:tcW w:w="487" w:type="pct"/>
                  <w:vAlign w:val="center"/>
                </w:tcPr>
                <w:p w14:paraId="6AA13CB7">
                  <w:pPr>
                    <w:jc w:val="center"/>
                  </w:pPr>
                  <w:r>
                    <w:t>固态</w:t>
                  </w:r>
                </w:p>
              </w:tc>
              <w:tc>
                <w:tcPr>
                  <w:tcW w:w="496" w:type="pct"/>
                  <w:vAlign w:val="center"/>
                </w:tcPr>
                <w:p w14:paraId="3EABFF0D">
                  <w:pPr>
                    <w:jc w:val="center"/>
                  </w:pPr>
                  <w:r>
                    <w:t>油类物质</w:t>
                  </w:r>
                </w:p>
              </w:tc>
              <w:tc>
                <w:tcPr>
                  <w:tcW w:w="474" w:type="pct"/>
                  <w:vAlign w:val="center"/>
                </w:tcPr>
                <w:p w14:paraId="54249052">
                  <w:pPr>
                    <w:jc w:val="center"/>
                  </w:pPr>
                  <w:r>
                    <w:t>T/In</w:t>
                  </w:r>
                </w:p>
              </w:tc>
            </w:tr>
            <w:tr w14:paraId="0671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3707A110">
                  <w:pPr>
                    <w:jc w:val="center"/>
                  </w:pPr>
                  <w:r>
                    <w:t>10</w:t>
                  </w:r>
                </w:p>
              </w:tc>
              <w:tc>
                <w:tcPr>
                  <w:tcW w:w="418" w:type="pct"/>
                  <w:vAlign w:val="center"/>
                </w:tcPr>
                <w:p w14:paraId="2ACA5383">
                  <w:pPr>
                    <w:jc w:val="center"/>
                  </w:pPr>
                  <w:r>
                    <w:t>有机废气处理</w:t>
                  </w:r>
                </w:p>
              </w:tc>
              <w:tc>
                <w:tcPr>
                  <w:tcW w:w="811" w:type="pct"/>
                  <w:vAlign w:val="center"/>
                </w:tcPr>
                <w:p w14:paraId="21DCB6F1">
                  <w:pPr>
                    <w:jc w:val="center"/>
                  </w:pPr>
                  <w:r>
                    <w:t>废活性炭</w:t>
                  </w:r>
                </w:p>
              </w:tc>
              <w:tc>
                <w:tcPr>
                  <w:tcW w:w="647" w:type="pct"/>
                  <w:vAlign w:val="center"/>
                </w:tcPr>
                <w:p w14:paraId="69DB766A">
                  <w:pPr>
                    <w:jc w:val="center"/>
                  </w:pPr>
                  <w:r>
                    <w:t>0.</w:t>
                  </w:r>
                  <w:r>
                    <w:rPr>
                      <w:rFonts w:hint="eastAsia"/>
                    </w:rPr>
                    <w:t>8</w:t>
                  </w:r>
                  <w:r>
                    <w:t>t/a</w:t>
                  </w:r>
                </w:p>
              </w:tc>
              <w:tc>
                <w:tcPr>
                  <w:tcW w:w="390" w:type="pct"/>
                  <w:vMerge w:val="continue"/>
                  <w:vAlign w:val="center"/>
                </w:tcPr>
                <w:p w14:paraId="49C148AC">
                  <w:pPr>
                    <w:jc w:val="center"/>
                  </w:pPr>
                </w:p>
              </w:tc>
              <w:tc>
                <w:tcPr>
                  <w:tcW w:w="950" w:type="pct"/>
                  <w:vAlign w:val="center"/>
                </w:tcPr>
                <w:p w14:paraId="633300DF">
                  <w:pPr>
                    <w:jc w:val="center"/>
                  </w:pPr>
                  <w:r>
                    <w:t>HW49（900-041-49）</w:t>
                  </w:r>
                </w:p>
              </w:tc>
              <w:tc>
                <w:tcPr>
                  <w:tcW w:w="487" w:type="pct"/>
                  <w:vAlign w:val="center"/>
                </w:tcPr>
                <w:p w14:paraId="554A8FB2">
                  <w:pPr>
                    <w:jc w:val="center"/>
                  </w:pPr>
                  <w:r>
                    <w:t>固态</w:t>
                  </w:r>
                </w:p>
              </w:tc>
              <w:tc>
                <w:tcPr>
                  <w:tcW w:w="496" w:type="pct"/>
                  <w:vAlign w:val="center"/>
                </w:tcPr>
                <w:p w14:paraId="30378CB8">
                  <w:pPr>
                    <w:jc w:val="center"/>
                  </w:pPr>
                  <w:r>
                    <w:t>有机物</w:t>
                  </w:r>
                </w:p>
              </w:tc>
              <w:tc>
                <w:tcPr>
                  <w:tcW w:w="474" w:type="pct"/>
                  <w:vAlign w:val="center"/>
                </w:tcPr>
                <w:p w14:paraId="3094A5F9">
                  <w:pPr>
                    <w:jc w:val="center"/>
                  </w:pPr>
                  <w:r>
                    <w:t>T/In</w:t>
                  </w:r>
                </w:p>
              </w:tc>
            </w:tr>
          </w:tbl>
          <w:p w14:paraId="06E7F57B">
            <w:pPr>
              <w:pStyle w:val="54"/>
              <w:jc w:val="left"/>
              <w:rPr>
                <w:color w:val="auto"/>
                <w:szCs w:val="24"/>
              </w:rPr>
            </w:pPr>
            <w:r>
              <w:rPr>
                <w:color w:val="auto"/>
                <w:szCs w:val="24"/>
              </w:rPr>
              <w:t>4.4.2固体废物汇总</w:t>
            </w:r>
          </w:p>
          <w:p w14:paraId="66DCDFEA">
            <w:pPr>
              <w:autoSpaceDE w:val="0"/>
              <w:autoSpaceDN w:val="0"/>
              <w:adjustRightInd w:val="0"/>
              <w:spacing w:line="360" w:lineRule="auto"/>
              <w:ind w:firstLine="480" w:firstLineChars="200"/>
              <w:jc w:val="left"/>
              <w:rPr>
                <w:sz w:val="24"/>
              </w:rPr>
            </w:pPr>
            <w:r>
              <w:rPr>
                <w:sz w:val="24"/>
              </w:rPr>
              <w:t>本项目营运期产生的固体废物主要为：生活垃圾、一般工业固体废物和危险废物。本项目固体废物的产生、贮存、处置情况见表3</w:t>
            </w:r>
            <w:r>
              <w:rPr>
                <w:rFonts w:hint="eastAsia"/>
                <w:sz w:val="24"/>
              </w:rPr>
              <w:t>5</w:t>
            </w:r>
            <w:r>
              <w:rPr>
                <w:sz w:val="24"/>
              </w:rPr>
              <w:t>。</w:t>
            </w:r>
          </w:p>
          <w:p w14:paraId="49775554">
            <w:pPr>
              <w:pStyle w:val="52"/>
              <w:numPr>
                <w:ilvl w:val="0"/>
                <w:numId w:val="1"/>
              </w:numPr>
              <w:ind w:left="0" w:firstLine="0"/>
              <w:rPr>
                <w:color w:val="auto"/>
              </w:rPr>
            </w:pPr>
            <w:r>
              <w:rPr>
                <w:color w:val="auto"/>
              </w:rPr>
              <w:t xml:space="preserve">    本项目固废贮存和处置情况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030"/>
              <w:gridCol w:w="1050"/>
              <w:gridCol w:w="1709"/>
              <w:gridCol w:w="1205"/>
              <w:gridCol w:w="744"/>
              <w:gridCol w:w="719"/>
              <w:gridCol w:w="633"/>
              <w:gridCol w:w="1278"/>
            </w:tblGrid>
            <w:tr w14:paraId="5C24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7761FBA4">
                  <w:pPr>
                    <w:jc w:val="center"/>
                  </w:pPr>
                  <w:r>
                    <w:t>序号</w:t>
                  </w:r>
                </w:p>
              </w:tc>
              <w:tc>
                <w:tcPr>
                  <w:tcW w:w="583" w:type="pct"/>
                  <w:vAlign w:val="center"/>
                </w:tcPr>
                <w:p w14:paraId="66197685">
                  <w:pPr>
                    <w:jc w:val="center"/>
                  </w:pPr>
                  <w:r>
                    <w:t>固废名称</w:t>
                  </w:r>
                </w:p>
              </w:tc>
              <w:tc>
                <w:tcPr>
                  <w:tcW w:w="594" w:type="pct"/>
                  <w:vAlign w:val="center"/>
                </w:tcPr>
                <w:p w14:paraId="7A55DA04">
                  <w:pPr>
                    <w:jc w:val="center"/>
                  </w:pPr>
                  <w:r>
                    <w:t>废物类别</w:t>
                  </w:r>
                </w:p>
              </w:tc>
              <w:tc>
                <w:tcPr>
                  <w:tcW w:w="967" w:type="pct"/>
                  <w:vAlign w:val="center"/>
                </w:tcPr>
                <w:p w14:paraId="3F4375D6">
                  <w:pPr>
                    <w:jc w:val="center"/>
                  </w:pPr>
                  <w:r>
                    <w:t>废物代码</w:t>
                  </w:r>
                </w:p>
              </w:tc>
              <w:tc>
                <w:tcPr>
                  <w:tcW w:w="682" w:type="pct"/>
                  <w:vAlign w:val="center"/>
                </w:tcPr>
                <w:p w14:paraId="753D97EC">
                  <w:pPr>
                    <w:jc w:val="center"/>
                  </w:pPr>
                  <w:r>
                    <w:t>产生量</w:t>
                  </w:r>
                </w:p>
              </w:tc>
              <w:tc>
                <w:tcPr>
                  <w:tcW w:w="421" w:type="pct"/>
                  <w:vAlign w:val="center"/>
                </w:tcPr>
                <w:p w14:paraId="3AF8FDDD">
                  <w:pPr>
                    <w:jc w:val="center"/>
                  </w:pPr>
                  <w:r>
                    <w:t>产生工序</w:t>
                  </w:r>
                </w:p>
              </w:tc>
              <w:tc>
                <w:tcPr>
                  <w:tcW w:w="407" w:type="pct"/>
                  <w:vAlign w:val="center"/>
                </w:tcPr>
                <w:p w14:paraId="6D9B3FC4">
                  <w:pPr>
                    <w:jc w:val="center"/>
                  </w:pPr>
                  <w:r>
                    <w:t>主要成分</w:t>
                  </w:r>
                </w:p>
              </w:tc>
              <w:tc>
                <w:tcPr>
                  <w:tcW w:w="358" w:type="pct"/>
                  <w:vAlign w:val="center"/>
                </w:tcPr>
                <w:p w14:paraId="5D15112A">
                  <w:pPr>
                    <w:jc w:val="center"/>
                  </w:pPr>
                  <w:r>
                    <w:t>危险特性</w:t>
                  </w:r>
                </w:p>
              </w:tc>
              <w:tc>
                <w:tcPr>
                  <w:tcW w:w="723" w:type="pct"/>
                  <w:vAlign w:val="center"/>
                </w:tcPr>
                <w:p w14:paraId="51959A3C">
                  <w:pPr>
                    <w:jc w:val="center"/>
                  </w:pPr>
                  <w:r>
                    <w:t>利用处置方式及去向</w:t>
                  </w:r>
                </w:p>
              </w:tc>
            </w:tr>
            <w:tr w14:paraId="6863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1086FFAB">
                  <w:pPr>
                    <w:jc w:val="center"/>
                  </w:pPr>
                  <w:r>
                    <w:t>1</w:t>
                  </w:r>
                </w:p>
              </w:tc>
              <w:tc>
                <w:tcPr>
                  <w:tcW w:w="583" w:type="pct"/>
                  <w:vAlign w:val="center"/>
                </w:tcPr>
                <w:p w14:paraId="4E9B5120">
                  <w:pPr>
                    <w:jc w:val="center"/>
                  </w:pPr>
                  <w:r>
                    <w:t>生活垃圾</w:t>
                  </w:r>
                </w:p>
              </w:tc>
              <w:tc>
                <w:tcPr>
                  <w:tcW w:w="594" w:type="pct"/>
                  <w:vAlign w:val="center"/>
                </w:tcPr>
                <w:p w14:paraId="41C2C5A4">
                  <w:pPr>
                    <w:jc w:val="center"/>
                  </w:pPr>
                  <w:r>
                    <w:t>/</w:t>
                  </w:r>
                </w:p>
              </w:tc>
              <w:tc>
                <w:tcPr>
                  <w:tcW w:w="967" w:type="pct"/>
                  <w:vAlign w:val="center"/>
                </w:tcPr>
                <w:p w14:paraId="6747AEAC">
                  <w:pPr>
                    <w:jc w:val="center"/>
                  </w:pPr>
                  <w:r>
                    <w:t>/</w:t>
                  </w:r>
                </w:p>
              </w:tc>
              <w:tc>
                <w:tcPr>
                  <w:tcW w:w="682" w:type="pct"/>
                  <w:vAlign w:val="center"/>
                </w:tcPr>
                <w:p w14:paraId="61B5747A">
                  <w:pPr>
                    <w:jc w:val="center"/>
                  </w:pPr>
                  <w:r>
                    <w:t>7.75/a</w:t>
                  </w:r>
                </w:p>
              </w:tc>
              <w:tc>
                <w:tcPr>
                  <w:tcW w:w="421" w:type="pct"/>
                  <w:vAlign w:val="center"/>
                </w:tcPr>
                <w:p w14:paraId="15A21125">
                  <w:pPr>
                    <w:jc w:val="center"/>
                  </w:pPr>
                  <w:r>
                    <w:t>员工办公生活</w:t>
                  </w:r>
                </w:p>
              </w:tc>
              <w:tc>
                <w:tcPr>
                  <w:tcW w:w="407" w:type="pct"/>
                  <w:vMerge w:val="restart"/>
                  <w:vAlign w:val="center"/>
                </w:tcPr>
                <w:p w14:paraId="74B2472F">
                  <w:pPr>
                    <w:jc w:val="center"/>
                  </w:pPr>
                  <w:r>
                    <w:t>/</w:t>
                  </w:r>
                </w:p>
              </w:tc>
              <w:tc>
                <w:tcPr>
                  <w:tcW w:w="358" w:type="pct"/>
                  <w:vMerge w:val="restart"/>
                  <w:vAlign w:val="center"/>
                </w:tcPr>
                <w:p w14:paraId="0D4F1C52">
                  <w:pPr>
                    <w:jc w:val="center"/>
                  </w:pPr>
                  <w:r>
                    <w:t>/</w:t>
                  </w:r>
                </w:p>
              </w:tc>
              <w:tc>
                <w:tcPr>
                  <w:tcW w:w="723" w:type="pct"/>
                  <w:vAlign w:val="center"/>
                </w:tcPr>
                <w:p w14:paraId="036EFC7D">
                  <w:pPr>
                    <w:jc w:val="center"/>
                  </w:pPr>
                  <w:r>
                    <w:t>垃圾桶收集，由环卫部门运往垃圾填埋场处置。</w:t>
                  </w:r>
                </w:p>
              </w:tc>
            </w:tr>
            <w:tr w14:paraId="478D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7AC58F42">
                  <w:pPr>
                    <w:jc w:val="center"/>
                  </w:pPr>
                  <w:r>
                    <w:t>2</w:t>
                  </w:r>
                </w:p>
              </w:tc>
              <w:tc>
                <w:tcPr>
                  <w:tcW w:w="583" w:type="pct"/>
                  <w:vAlign w:val="center"/>
                </w:tcPr>
                <w:p w14:paraId="2F1BF556">
                  <w:pPr>
                    <w:jc w:val="center"/>
                  </w:pPr>
                  <w:r>
                    <w:t>废金属边角料</w:t>
                  </w:r>
                </w:p>
              </w:tc>
              <w:tc>
                <w:tcPr>
                  <w:tcW w:w="594" w:type="pct"/>
                  <w:vAlign w:val="center"/>
                </w:tcPr>
                <w:p w14:paraId="504A4637">
                  <w:pPr>
                    <w:jc w:val="center"/>
                  </w:pPr>
                  <w:r>
                    <w:t>09</w:t>
                  </w:r>
                </w:p>
              </w:tc>
              <w:tc>
                <w:tcPr>
                  <w:tcW w:w="967" w:type="pct"/>
                  <w:vAlign w:val="center"/>
                </w:tcPr>
                <w:p w14:paraId="4A430A3C">
                  <w:pPr>
                    <w:jc w:val="center"/>
                  </w:pPr>
                  <w:r>
                    <w:t>331-001-09</w:t>
                  </w:r>
                </w:p>
              </w:tc>
              <w:tc>
                <w:tcPr>
                  <w:tcW w:w="682" w:type="pct"/>
                  <w:vAlign w:val="center"/>
                </w:tcPr>
                <w:p w14:paraId="10C6B1AE">
                  <w:pPr>
                    <w:jc w:val="center"/>
                  </w:pPr>
                  <w:r>
                    <w:t>10t/a</w:t>
                  </w:r>
                </w:p>
              </w:tc>
              <w:tc>
                <w:tcPr>
                  <w:tcW w:w="421" w:type="pct"/>
                  <w:vMerge w:val="restart"/>
                  <w:vAlign w:val="center"/>
                </w:tcPr>
                <w:p w14:paraId="2FABEF67">
                  <w:pPr>
                    <w:jc w:val="center"/>
                  </w:pPr>
                  <w:r>
                    <w:t>生产车间</w:t>
                  </w:r>
                </w:p>
              </w:tc>
              <w:tc>
                <w:tcPr>
                  <w:tcW w:w="407" w:type="pct"/>
                  <w:vMerge w:val="continue"/>
                  <w:vAlign w:val="center"/>
                </w:tcPr>
                <w:p w14:paraId="61351F36">
                  <w:pPr>
                    <w:jc w:val="center"/>
                  </w:pPr>
                </w:p>
              </w:tc>
              <w:tc>
                <w:tcPr>
                  <w:tcW w:w="358" w:type="pct"/>
                  <w:vMerge w:val="continue"/>
                  <w:vAlign w:val="center"/>
                </w:tcPr>
                <w:p w14:paraId="76B16773">
                  <w:pPr>
                    <w:jc w:val="center"/>
                  </w:pPr>
                </w:p>
              </w:tc>
              <w:tc>
                <w:tcPr>
                  <w:tcW w:w="723" w:type="pct"/>
                  <w:vMerge w:val="restart"/>
                  <w:vAlign w:val="center"/>
                </w:tcPr>
                <w:p w14:paraId="279F7ACC">
                  <w:pPr>
                    <w:jc w:val="center"/>
                  </w:pPr>
                  <w:r>
                    <w:t>外售给废品回收站进行处置。</w:t>
                  </w:r>
                </w:p>
              </w:tc>
            </w:tr>
            <w:tr w14:paraId="6F01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0EAD0E06">
                  <w:pPr>
                    <w:jc w:val="center"/>
                  </w:pPr>
                  <w:r>
                    <w:t>3</w:t>
                  </w:r>
                </w:p>
              </w:tc>
              <w:tc>
                <w:tcPr>
                  <w:tcW w:w="583" w:type="pct"/>
                  <w:vAlign w:val="center"/>
                </w:tcPr>
                <w:p w14:paraId="3D7EDB45">
                  <w:pPr>
                    <w:jc w:val="center"/>
                  </w:pPr>
                  <w:r>
                    <w:t>废焊渣</w:t>
                  </w:r>
                </w:p>
              </w:tc>
              <w:tc>
                <w:tcPr>
                  <w:tcW w:w="594" w:type="pct"/>
                  <w:vAlign w:val="center"/>
                </w:tcPr>
                <w:p w14:paraId="5A27C49C">
                  <w:pPr>
                    <w:jc w:val="center"/>
                  </w:pPr>
                  <w:r>
                    <w:t>09</w:t>
                  </w:r>
                </w:p>
              </w:tc>
              <w:tc>
                <w:tcPr>
                  <w:tcW w:w="967" w:type="pct"/>
                  <w:vAlign w:val="center"/>
                </w:tcPr>
                <w:p w14:paraId="0B7EB5FA">
                  <w:pPr>
                    <w:jc w:val="center"/>
                  </w:pPr>
                  <w:r>
                    <w:t>331-001-09</w:t>
                  </w:r>
                </w:p>
              </w:tc>
              <w:tc>
                <w:tcPr>
                  <w:tcW w:w="682" w:type="pct"/>
                  <w:vAlign w:val="center"/>
                </w:tcPr>
                <w:p w14:paraId="71E9ECD0">
                  <w:pPr>
                    <w:jc w:val="center"/>
                  </w:pPr>
                  <w:r>
                    <w:t>0.071t/a</w:t>
                  </w:r>
                </w:p>
              </w:tc>
              <w:tc>
                <w:tcPr>
                  <w:tcW w:w="421" w:type="pct"/>
                  <w:vMerge w:val="continue"/>
                  <w:vAlign w:val="center"/>
                </w:tcPr>
                <w:p w14:paraId="20E7605E">
                  <w:pPr>
                    <w:jc w:val="center"/>
                  </w:pPr>
                </w:p>
              </w:tc>
              <w:tc>
                <w:tcPr>
                  <w:tcW w:w="407" w:type="pct"/>
                  <w:vMerge w:val="continue"/>
                  <w:vAlign w:val="center"/>
                </w:tcPr>
                <w:p w14:paraId="0FE4BE44">
                  <w:pPr>
                    <w:jc w:val="center"/>
                  </w:pPr>
                </w:p>
              </w:tc>
              <w:tc>
                <w:tcPr>
                  <w:tcW w:w="358" w:type="pct"/>
                  <w:vMerge w:val="continue"/>
                  <w:vAlign w:val="center"/>
                </w:tcPr>
                <w:p w14:paraId="6E0A2F1F">
                  <w:pPr>
                    <w:jc w:val="center"/>
                  </w:pPr>
                </w:p>
              </w:tc>
              <w:tc>
                <w:tcPr>
                  <w:tcW w:w="723" w:type="pct"/>
                  <w:vMerge w:val="continue"/>
                  <w:vAlign w:val="center"/>
                </w:tcPr>
                <w:p w14:paraId="0A3971D0">
                  <w:pPr>
                    <w:jc w:val="center"/>
                  </w:pPr>
                </w:p>
              </w:tc>
            </w:tr>
            <w:tr w14:paraId="7FE5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 w:type="pct"/>
                  <w:vAlign w:val="center"/>
                </w:tcPr>
                <w:p w14:paraId="51262932">
                  <w:pPr>
                    <w:jc w:val="center"/>
                  </w:pPr>
                  <w:r>
                    <w:t>4</w:t>
                  </w:r>
                </w:p>
              </w:tc>
              <w:tc>
                <w:tcPr>
                  <w:tcW w:w="583" w:type="pct"/>
                  <w:vAlign w:val="center"/>
                </w:tcPr>
                <w:p w14:paraId="498A3077">
                  <w:pPr>
                    <w:jc w:val="center"/>
                  </w:pPr>
                  <w:r>
                    <w:t>喷塑过程收集的粉尘</w:t>
                  </w:r>
                </w:p>
              </w:tc>
              <w:tc>
                <w:tcPr>
                  <w:tcW w:w="594" w:type="pct"/>
                  <w:vAlign w:val="center"/>
                </w:tcPr>
                <w:p w14:paraId="02281852">
                  <w:pPr>
                    <w:jc w:val="center"/>
                  </w:pPr>
                  <w:r>
                    <w:t>06</w:t>
                  </w:r>
                </w:p>
              </w:tc>
              <w:tc>
                <w:tcPr>
                  <w:tcW w:w="967" w:type="pct"/>
                  <w:vAlign w:val="center"/>
                </w:tcPr>
                <w:p w14:paraId="715681FE">
                  <w:pPr>
                    <w:jc w:val="center"/>
                  </w:pPr>
                  <w:r>
                    <w:t>331-001-06</w:t>
                  </w:r>
                </w:p>
              </w:tc>
              <w:tc>
                <w:tcPr>
                  <w:tcW w:w="682" w:type="pct"/>
                  <w:vAlign w:val="center"/>
                </w:tcPr>
                <w:p w14:paraId="48169999">
                  <w:pPr>
                    <w:jc w:val="center"/>
                  </w:pPr>
                  <w:r>
                    <w:t>12.1125t/a</w:t>
                  </w:r>
                </w:p>
              </w:tc>
              <w:tc>
                <w:tcPr>
                  <w:tcW w:w="421" w:type="pct"/>
                  <w:vMerge w:val="continue"/>
                  <w:vAlign w:val="center"/>
                </w:tcPr>
                <w:p w14:paraId="1AA5D487">
                  <w:pPr>
                    <w:jc w:val="center"/>
                  </w:pPr>
                </w:p>
              </w:tc>
              <w:tc>
                <w:tcPr>
                  <w:tcW w:w="407" w:type="pct"/>
                  <w:vMerge w:val="continue"/>
                  <w:vAlign w:val="center"/>
                </w:tcPr>
                <w:p w14:paraId="43A5A7DF">
                  <w:pPr>
                    <w:jc w:val="center"/>
                  </w:pPr>
                </w:p>
              </w:tc>
              <w:tc>
                <w:tcPr>
                  <w:tcW w:w="358" w:type="pct"/>
                  <w:vMerge w:val="continue"/>
                  <w:vAlign w:val="center"/>
                </w:tcPr>
                <w:p w14:paraId="7DCB54B1">
                  <w:pPr>
                    <w:jc w:val="center"/>
                  </w:pPr>
                </w:p>
              </w:tc>
              <w:tc>
                <w:tcPr>
                  <w:tcW w:w="723" w:type="pct"/>
                  <w:vAlign w:val="center"/>
                </w:tcPr>
                <w:p w14:paraId="010001F7">
                  <w:pPr>
                    <w:jc w:val="center"/>
                  </w:pPr>
                  <w:r>
                    <w:t>回用于生产。</w:t>
                  </w:r>
                </w:p>
              </w:tc>
            </w:tr>
            <w:tr w14:paraId="4AA8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5D122F6A">
                  <w:pPr>
                    <w:jc w:val="center"/>
                  </w:pPr>
                  <w:r>
                    <w:t>5</w:t>
                  </w:r>
                </w:p>
              </w:tc>
              <w:tc>
                <w:tcPr>
                  <w:tcW w:w="583" w:type="pct"/>
                  <w:vAlign w:val="center"/>
                </w:tcPr>
                <w:p w14:paraId="72DD5933">
                  <w:pPr>
                    <w:jc w:val="center"/>
                  </w:pPr>
                  <w:r>
                    <w:t>废包装材料</w:t>
                  </w:r>
                </w:p>
              </w:tc>
              <w:tc>
                <w:tcPr>
                  <w:tcW w:w="594" w:type="pct"/>
                  <w:vAlign w:val="center"/>
                </w:tcPr>
                <w:p w14:paraId="11F57CB0">
                  <w:pPr>
                    <w:jc w:val="center"/>
                  </w:pPr>
                  <w:r>
                    <w:t>09</w:t>
                  </w:r>
                </w:p>
              </w:tc>
              <w:tc>
                <w:tcPr>
                  <w:tcW w:w="967" w:type="pct"/>
                  <w:vAlign w:val="center"/>
                </w:tcPr>
                <w:p w14:paraId="542F4678">
                  <w:pPr>
                    <w:jc w:val="center"/>
                  </w:pPr>
                  <w:r>
                    <w:t>331-001-09</w:t>
                  </w:r>
                </w:p>
              </w:tc>
              <w:tc>
                <w:tcPr>
                  <w:tcW w:w="682" w:type="pct"/>
                  <w:vAlign w:val="center"/>
                </w:tcPr>
                <w:p w14:paraId="683D8190">
                  <w:pPr>
                    <w:jc w:val="center"/>
                  </w:pPr>
                  <w:r>
                    <w:t>0.</w:t>
                  </w:r>
                  <w:r>
                    <w:rPr>
                      <w:rFonts w:hint="eastAsia"/>
                    </w:rPr>
                    <w:t>5</w:t>
                  </w:r>
                  <w:r>
                    <w:t>t/a</w:t>
                  </w:r>
                </w:p>
              </w:tc>
              <w:tc>
                <w:tcPr>
                  <w:tcW w:w="421" w:type="pct"/>
                  <w:vMerge w:val="continue"/>
                  <w:vAlign w:val="center"/>
                </w:tcPr>
                <w:p w14:paraId="3847E66B">
                  <w:pPr>
                    <w:jc w:val="center"/>
                  </w:pPr>
                </w:p>
              </w:tc>
              <w:tc>
                <w:tcPr>
                  <w:tcW w:w="407" w:type="pct"/>
                  <w:vMerge w:val="continue"/>
                  <w:vAlign w:val="center"/>
                </w:tcPr>
                <w:p w14:paraId="657EE1A2">
                  <w:pPr>
                    <w:jc w:val="center"/>
                  </w:pPr>
                </w:p>
              </w:tc>
              <w:tc>
                <w:tcPr>
                  <w:tcW w:w="358" w:type="pct"/>
                  <w:vMerge w:val="continue"/>
                  <w:vAlign w:val="center"/>
                </w:tcPr>
                <w:p w14:paraId="7E8D8F0D">
                  <w:pPr>
                    <w:jc w:val="center"/>
                  </w:pPr>
                </w:p>
              </w:tc>
              <w:tc>
                <w:tcPr>
                  <w:tcW w:w="723" w:type="pct"/>
                  <w:vAlign w:val="center"/>
                </w:tcPr>
                <w:p w14:paraId="2E26A138">
                  <w:pPr>
                    <w:jc w:val="center"/>
                  </w:pPr>
                  <w:r>
                    <w:t>外售给废品回收站进行处置。</w:t>
                  </w:r>
                </w:p>
              </w:tc>
            </w:tr>
            <w:tr w14:paraId="229C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5D523569">
                  <w:pPr>
                    <w:jc w:val="center"/>
                  </w:pPr>
                  <w:r>
                    <w:t>6</w:t>
                  </w:r>
                </w:p>
              </w:tc>
              <w:tc>
                <w:tcPr>
                  <w:tcW w:w="583" w:type="pct"/>
                  <w:vAlign w:val="center"/>
                </w:tcPr>
                <w:p w14:paraId="6A305036">
                  <w:pPr>
                    <w:jc w:val="center"/>
                  </w:pPr>
                  <w:r>
                    <w:t>废</w:t>
                  </w:r>
                  <w:r>
                    <w:rPr>
                      <w:rFonts w:hint="eastAsia"/>
                    </w:rPr>
                    <w:t>水性</w:t>
                  </w:r>
                  <w:r>
                    <w:t>漆桶、</w:t>
                  </w:r>
                  <w:r>
                    <w:rPr>
                      <w:rFonts w:hint="eastAsia"/>
                    </w:rPr>
                    <w:t>水性</w:t>
                  </w:r>
                  <w:r>
                    <w:t>漆渣</w:t>
                  </w:r>
                </w:p>
              </w:tc>
              <w:tc>
                <w:tcPr>
                  <w:tcW w:w="1561" w:type="pct"/>
                  <w:gridSpan w:val="2"/>
                  <w:vAlign w:val="center"/>
                </w:tcPr>
                <w:p w14:paraId="1B55EEBF">
                  <w:pPr>
                    <w:jc w:val="center"/>
                  </w:pPr>
                  <w:r>
                    <w:t>/</w:t>
                  </w:r>
                </w:p>
              </w:tc>
              <w:tc>
                <w:tcPr>
                  <w:tcW w:w="682" w:type="pct"/>
                  <w:vAlign w:val="center"/>
                </w:tcPr>
                <w:p w14:paraId="519E51A7">
                  <w:pPr>
                    <w:jc w:val="center"/>
                  </w:pPr>
                  <w:r>
                    <w:t>0.273t/a</w:t>
                  </w:r>
                </w:p>
              </w:tc>
              <w:tc>
                <w:tcPr>
                  <w:tcW w:w="421" w:type="pct"/>
                  <w:vMerge w:val="continue"/>
                  <w:vAlign w:val="center"/>
                </w:tcPr>
                <w:p w14:paraId="2D23E061">
                  <w:pPr>
                    <w:jc w:val="center"/>
                  </w:pPr>
                </w:p>
              </w:tc>
              <w:tc>
                <w:tcPr>
                  <w:tcW w:w="407" w:type="pct"/>
                  <w:vMerge w:val="continue"/>
                  <w:vAlign w:val="center"/>
                </w:tcPr>
                <w:p w14:paraId="06AF5AB0">
                  <w:pPr>
                    <w:jc w:val="center"/>
                  </w:pPr>
                </w:p>
              </w:tc>
              <w:tc>
                <w:tcPr>
                  <w:tcW w:w="358" w:type="pct"/>
                  <w:vMerge w:val="continue"/>
                  <w:vAlign w:val="center"/>
                </w:tcPr>
                <w:p w14:paraId="2D24F549">
                  <w:pPr>
                    <w:jc w:val="center"/>
                  </w:pPr>
                </w:p>
              </w:tc>
              <w:tc>
                <w:tcPr>
                  <w:tcW w:w="723" w:type="pct"/>
                  <w:vAlign w:val="center"/>
                </w:tcPr>
                <w:p w14:paraId="03F62F67">
                  <w:pPr>
                    <w:jc w:val="center"/>
                  </w:pPr>
                  <w:r>
                    <w:t>收集后交由有一般固废处置能力的单位处置。</w:t>
                  </w:r>
                </w:p>
              </w:tc>
            </w:tr>
            <w:tr w14:paraId="3666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19013948">
                  <w:pPr>
                    <w:jc w:val="center"/>
                  </w:pPr>
                  <w:r>
                    <w:t>7</w:t>
                  </w:r>
                </w:p>
              </w:tc>
              <w:tc>
                <w:tcPr>
                  <w:tcW w:w="583" w:type="pct"/>
                  <w:vAlign w:val="center"/>
                </w:tcPr>
                <w:p w14:paraId="7F5C66D4">
                  <w:pPr>
                    <w:jc w:val="center"/>
                  </w:pPr>
                  <w:r>
                    <w:rPr>
                      <w:rFonts w:hint="eastAsia"/>
                    </w:rPr>
                    <w:t>废过滤棉、废油桶</w:t>
                  </w:r>
                </w:p>
              </w:tc>
              <w:tc>
                <w:tcPr>
                  <w:tcW w:w="594" w:type="pct"/>
                  <w:vAlign w:val="center"/>
                </w:tcPr>
                <w:p w14:paraId="161E875C">
                  <w:pPr>
                    <w:jc w:val="center"/>
                  </w:pPr>
                  <w:r>
                    <w:t>HW49</w:t>
                  </w:r>
                </w:p>
              </w:tc>
              <w:tc>
                <w:tcPr>
                  <w:tcW w:w="967" w:type="pct"/>
                  <w:vAlign w:val="center"/>
                </w:tcPr>
                <w:p w14:paraId="49BE4907">
                  <w:pPr>
                    <w:jc w:val="center"/>
                  </w:pPr>
                  <w:r>
                    <w:t>（900-041-49）</w:t>
                  </w:r>
                </w:p>
              </w:tc>
              <w:tc>
                <w:tcPr>
                  <w:tcW w:w="682" w:type="pct"/>
                  <w:vAlign w:val="center"/>
                </w:tcPr>
                <w:p w14:paraId="3C92E326">
                  <w:pPr>
                    <w:jc w:val="center"/>
                  </w:pPr>
                  <w:r>
                    <w:t>0.</w:t>
                  </w:r>
                  <w:r>
                    <w:rPr>
                      <w:rFonts w:hint="eastAsia"/>
                    </w:rPr>
                    <w:t>38</w:t>
                  </w:r>
                  <w:r>
                    <w:t>t/a</w:t>
                  </w:r>
                </w:p>
              </w:tc>
              <w:tc>
                <w:tcPr>
                  <w:tcW w:w="421" w:type="pct"/>
                  <w:vMerge w:val="continue"/>
                  <w:vAlign w:val="center"/>
                </w:tcPr>
                <w:p w14:paraId="48147287">
                  <w:pPr>
                    <w:jc w:val="center"/>
                  </w:pPr>
                </w:p>
              </w:tc>
              <w:tc>
                <w:tcPr>
                  <w:tcW w:w="407" w:type="pct"/>
                  <w:vMerge w:val="continue"/>
                  <w:vAlign w:val="center"/>
                </w:tcPr>
                <w:p w14:paraId="61FAE8CA">
                  <w:pPr>
                    <w:jc w:val="center"/>
                  </w:pPr>
                </w:p>
              </w:tc>
              <w:tc>
                <w:tcPr>
                  <w:tcW w:w="358" w:type="pct"/>
                  <w:vMerge w:val="continue"/>
                  <w:vAlign w:val="center"/>
                </w:tcPr>
                <w:p w14:paraId="66B7A052">
                  <w:pPr>
                    <w:jc w:val="center"/>
                  </w:pPr>
                </w:p>
              </w:tc>
              <w:tc>
                <w:tcPr>
                  <w:tcW w:w="723" w:type="pct"/>
                  <w:vMerge w:val="restart"/>
                  <w:vAlign w:val="center"/>
                </w:tcPr>
                <w:p w14:paraId="5CBE8592">
                  <w:pPr>
                    <w:jc w:val="center"/>
                  </w:pPr>
                  <w:r>
                    <w:t>分类收集，暂存于危废暂存间，交由有资质的单位进行处置。</w:t>
                  </w:r>
                </w:p>
              </w:tc>
            </w:tr>
            <w:tr w14:paraId="5E57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00995BA4">
                  <w:pPr>
                    <w:jc w:val="center"/>
                  </w:pPr>
                  <w:r>
                    <w:t>8</w:t>
                  </w:r>
                </w:p>
              </w:tc>
              <w:tc>
                <w:tcPr>
                  <w:tcW w:w="583" w:type="pct"/>
                  <w:vAlign w:val="center"/>
                </w:tcPr>
                <w:p w14:paraId="29ED0001">
                  <w:pPr>
                    <w:jc w:val="center"/>
                  </w:pPr>
                  <w:r>
                    <w:t>废机油</w:t>
                  </w:r>
                </w:p>
              </w:tc>
              <w:tc>
                <w:tcPr>
                  <w:tcW w:w="594" w:type="pct"/>
                  <w:vAlign w:val="center"/>
                </w:tcPr>
                <w:p w14:paraId="34980A7F">
                  <w:pPr>
                    <w:jc w:val="center"/>
                  </w:pPr>
                  <w:r>
                    <w:t>HW08</w:t>
                  </w:r>
                </w:p>
              </w:tc>
              <w:tc>
                <w:tcPr>
                  <w:tcW w:w="967" w:type="pct"/>
                  <w:vAlign w:val="center"/>
                </w:tcPr>
                <w:p w14:paraId="380A0F22">
                  <w:pPr>
                    <w:jc w:val="center"/>
                  </w:pPr>
                  <w:r>
                    <w:t>（900-214-08）</w:t>
                  </w:r>
                </w:p>
              </w:tc>
              <w:tc>
                <w:tcPr>
                  <w:tcW w:w="682" w:type="pct"/>
                  <w:vAlign w:val="center"/>
                </w:tcPr>
                <w:p w14:paraId="59E38F98">
                  <w:pPr>
                    <w:jc w:val="center"/>
                  </w:pPr>
                  <w:r>
                    <w:t>0.</w:t>
                  </w:r>
                  <w:r>
                    <w:rPr>
                      <w:rFonts w:hint="eastAsia"/>
                    </w:rPr>
                    <w:t>2</w:t>
                  </w:r>
                  <w:r>
                    <w:t>t/a</w:t>
                  </w:r>
                </w:p>
              </w:tc>
              <w:tc>
                <w:tcPr>
                  <w:tcW w:w="421" w:type="pct"/>
                  <w:vMerge w:val="continue"/>
                  <w:vAlign w:val="center"/>
                </w:tcPr>
                <w:p w14:paraId="2BAF2D64">
                  <w:pPr>
                    <w:jc w:val="center"/>
                  </w:pPr>
                </w:p>
              </w:tc>
              <w:tc>
                <w:tcPr>
                  <w:tcW w:w="407" w:type="pct"/>
                  <w:vAlign w:val="center"/>
                </w:tcPr>
                <w:p w14:paraId="68B9742D">
                  <w:pPr>
                    <w:jc w:val="center"/>
                  </w:pPr>
                  <w:r>
                    <w:t>油类物质</w:t>
                  </w:r>
                </w:p>
              </w:tc>
              <w:tc>
                <w:tcPr>
                  <w:tcW w:w="358" w:type="pct"/>
                  <w:vAlign w:val="center"/>
                </w:tcPr>
                <w:p w14:paraId="22CE9813">
                  <w:pPr>
                    <w:jc w:val="center"/>
                  </w:pPr>
                  <w:r>
                    <w:t>T，I</w:t>
                  </w:r>
                </w:p>
              </w:tc>
              <w:tc>
                <w:tcPr>
                  <w:tcW w:w="723" w:type="pct"/>
                  <w:vMerge w:val="continue"/>
                  <w:vAlign w:val="center"/>
                </w:tcPr>
                <w:p w14:paraId="03303BFF">
                  <w:pPr>
                    <w:jc w:val="center"/>
                  </w:pPr>
                </w:p>
              </w:tc>
            </w:tr>
            <w:tr w14:paraId="2684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430102B1">
                  <w:pPr>
                    <w:jc w:val="center"/>
                  </w:pPr>
                  <w:r>
                    <w:t>9</w:t>
                  </w:r>
                </w:p>
              </w:tc>
              <w:tc>
                <w:tcPr>
                  <w:tcW w:w="583" w:type="pct"/>
                  <w:vAlign w:val="center"/>
                </w:tcPr>
                <w:p w14:paraId="2E68FA26">
                  <w:pPr>
                    <w:jc w:val="center"/>
                  </w:pPr>
                  <w:r>
                    <w:t>含油手套、抹布</w:t>
                  </w:r>
                </w:p>
              </w:tc>
              <w:tc>
                <w:tcPr>
                  <w:tcW w:w="594" w:type="pct"/>
                  <w:vAlign w:val="center"/>
                </w:tcPr>
                <w:p w14:paraId="01D9A737">
                  <w:pPr>
                    <w:jc w:val="center"/>
                  </w:pPr>
                  <w:r>
                    <w:t>HW49</w:t>
                  </w:r>
                </w:p>
              </w:tc>
              <w:tc>
                <w:tcPr>
                  <w:tcW w:w="967" w:type="pct"/>
                  <w:vAlign w:val="center"/>
                </w:tcPr>
                <w:p w14:paraId="6800465D">
                  <w:pPr>
                    <w:jc w:val="center"/>
                  </w:pPr>
                  <w:r>
                    <w:t>（900-041-49）</w:t>
                  </w:r>
                </w:p>
              </w:tc>
              <w:tc>
                <w:tcPr>
                  <w:tcW w:w="682" w:type="pct"/>
                  <w:vAlign w:val="center"/>
                </w:tcPr>
                <w:p w14:paraId="73557775">
                  <w:pPr>
                    <w:jc w:val="center"/>
                  </w:pPr>
                  <w:r>
                    <w:t>0.</w:t>
                  </w:r>
                  <w:r>
                    <w:rPr>
                      <w:rFonts w:hint="eastAsia"/>
                    </w:rPr>
                    <w:t>2</w:t>
                  </w:r>
                  <w:r>
                    <w:t>t/a</w:t>
                  </w:r>
                </w:p>
              </w:tc>
              <w:tc>
                <w:tcPr>
                  <w:tcW w:w="421" w:type="pct"/>
                  <w:vMerge w:val="continue"/>
                  <w:vAlign w:val="center"/>
                </w:tcPr>
                <w:p w14:paraId="45121659">
                  <w:pPr>
                    <w:jc w:val="center"/>
                  </w:pPr>
                </w:p>
              </w:tc>
              <w:tc>
                <w:tcPr>
                  <w:tcW w:w="407" w:type="pct"/>
                  <w:vAlign w:val="center"/>
                </w:tcPr>
                <w:p w14:paraId="06017DA3">
                  <w:pPr>
                    <w:jc w:val="center"/>
                  </w:pPr>
                  <w:r>
                    <w:t>油类物质</w:t>
                  </w:r>
                </w:p>
              </w:tc>
              <w:tc>
                <w:tcPr>
                  <w:tcW w:w="358" w:type="pct"/>
                  <w:vAlign w:val="center"/>
                </w:tcPr>
                <w:p w14:paraId="38D6F3D8">
                  <w:pPr>
                    <w:jc w:val="center"/>
                  </w:pPr>
                  <w:r>
                    <w:t>T</w:t>
                  </w:r>
                </w:p>
              </w:tc>
              <w:tc>
                <w:tcPr>
                  <w:tcW w:w="723" w:type="pct"/>
                  <w:vMerge w:val="continue"/>
                  <w:vAlign w:val="center"/>
                </w:tcPr>
                <w:p w14:paraId="26A1981D">
                  <w:pPr>
                    <w:jc w:val="center"/>
                  </w:pPr>
                </w:p>
              </w:tc>
            </w:tr>
            <w:tr w14:paraId="60AA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41F5A58D">
                  <w:pPr>
                    <w:jc w:val="center"/>
                  </w:pPr>
                  <w:r>
                    <w:t>10</w:t>
                  </w:r>
                </w:p>
              </w:tc>
              <w:tc>
                <w:tcPr>
                  <w:tcW w:w="583" w:type="pct"/>
                  <w:vAlign w:val="center"/>
                </w:tcPr>
                <w:p w14:paraId="58DF1789">
                  <w:pPr>
                    <w:jc w:val="center"/>
                  </w:pPr>
                  <w:r>
                    <w:t>废活性炭</w:t>
                  </w:r>
                </w:p>
              </w:tc>
              <w:tc>
                <w:tcPr>
                  <w:tcW w:w="594" w:type="pct"/>
                  <w:vAlign w:val="center"/>
                </w:tcPr>
                <w:p w14:paraId="4CCE2807">
                  <w:pPr>
                    <w:jc w:val="center"/>
                  </w:pPr>
                  <w:r>
                    <w:t>HW49</w:t>
                  </w:r>
                </w:p>
              </w:tc>
              <w:tc>
                <w:tcPr>
                  <w:tcW w:w="967" w:type="pct"/>
                  <w:vAlign w:val="center"/>
                </w:tcPr>
                <w:p w14:paraId="409C99D8">
                  <w:pPr>
                    <w:jc w:val="center"/>
                  </w:pPr>
                  <w:r>
                    <w:t>（900-041-49）</w:t>
                  </w:r>
                </w:p>
              </w:tc>
              <w:tc>
                <w:tcPr>
                  <w:tcW w:w="682" w:type="pct"/>
                  <w:vAlign w:val="center"/>
                </w:tcPr>
                <w:p w14:paraId="230F632B">
                  <w:pPr>
                    <w:jc w:val="center"/>
                  </w:pPr>
                  <w:r>
                    <w:t>0.</w:t>
                  </w:r>
                  <w:r>
                    <w:rPr>
                      <w:rFonts w:hint="eastAsia"/>
                    </w:rPr>
                    <w:t>8</w:t>
                  </w:r>
                  <w:r>
                    <w:t>t/a</w:t>
                  </w:r>
                </w:p>
              </w:tc>
              <w:tc>
                <w:tcPr>
                  <w:tcW w:w="421" w:type="pct"/>
                  <w:vMerge w:val="continue"/>
                  <w:vAlign w:val="center"/>
                </w:tcPr>
                <w:p w14:paraId="5BD0E5C7">
                  <w:pPr>
                    <w:jc w:val="center"/>
                  </w:pPr>
                </w:p>
              </w:tc>
              <w:tc>
                <w:tcPr>
                  <w:tcW w:w="407" w:type="pct"/>
                  <w:vAlign w:val="center"/>
                </w:tcPr>
                <w:p w14:paraId="19FA72FF">
                  <w:pPr>
                    <w:jc w:val="center"/>
                  </w:pPr>
                  <w:r>
                    <w:t>有机物</w:t>
                  </w:r>
                </w:p>
              </w:tc>
              <w:tc>
                <w:tcPr>
                  <w:tcW w:w="358" w:type="pct"/>
                  <w:vAlign w:val="center"/>
                </w:tcPr>
                <w:p w14:paraId="6F967D8C">
                  <w:pPr>
                    <w:jc w:val="center"/>
                  </w:pPr>
                  <w:r>
                    <w:t>T/In</w:t>
                  </w:r>
                </w:p>
              </w:tc>
              <w:tc>
                <w:tcPr>
                  <w:tcW w:w="723" w:type="pct"/>
                  <w:vMerge w:val="continue"/>
                  <w:vAlign w:val="center"/>
                </w:tcPr>
                <w:p w14:paraId="4A64671E">
                  <w:pPr>
                    <w:jc w:val="center"/>
                  </w:pPr>
                </w:p>
              </w:tc>
            </w:tr>
          </w:tbl>
          <w:p w14:paraId="70F4D644">
            <w:pPr>
              <w:pStyle w:val="54"/>
              <w:jc w:val="left"/>
              <w:rPr>
                <w:color w:val="auto"/>
                <w:szCs w:val="24"/>
              </w:rPr>
            </w:pPr>
            <w:r>
              <w:rPr>
                <w:color w:val="auto"/>
                <w:szCs w:val="24"/>
              </w:rPr>
              <w:t>4.4.3环境管理要求</w:t>
            </w:r>
          </w:p>
          <w:p w14:paraId="04E02804">
            <w:pPr>
              <w:adjustRightInd w:val="0"/>
              <w:snapToGrid w:val="0"/>
              <w:spacing w:line="360" w:lineRule="auto"/>
              <w:ind w:firstLine="480" w:firstLineChars="200"/>
              <w:rPr>
                <w:sz w:val="24"/>
              </w:rPr>
            </w:pPr>
            <w:r>
              <w:rPr>
                <w:sz w:val="24"/>
              </w:rPr>
              <w:t>本次环评要求，按《一般工业固体废物贮存和填埋污染控制标准》（GB18599-2020）和《危险废物贮存污染控制标准》（GB18597-20</w:t>
            </w:r>
            <w:r>
              <w:rPr>
                <w:rFonts w:hint="eastAsia"/>
                <w:sz w:val="24"/>
              </w:rPr>
              <w:t>23</w:t>
            </w:r>
            <w:r>
              <w:rPr>
                <w:sz w:val="24"/>
              </w:rPr>
              <w:t>）及其修改单相关规定，本项目一般固废暂存设施及危险废物贮存设施的设计及堆放的相关规定要求如下：</w:t>
            </w:r>
          </w:p>
          <w:p w14:paraId="313B582C">
            <w:pPr>
              <w:adjustRightInd w:val="0"/>
              <w:snapToGrid w:val="0"/>
              <w:spacing w:line="360" w:lineRule="auto"/>
              <w:ind w:firstLine="480" w:firstLineChars="200"/>
              <w:rPr>
                <w:sz w:val="24"/>
              </w:rPr>
            </w:pPr>
            <w:r>
              <w:rPr>
                <w:rFonts w:hint="eastAsia"/>
                <w:sz w:val="24"/>
              </w:rPr>
              <w:t>（</w:t>
            </w:r>
            <w:r>
              <w:rPr>
                <w:sz w:val="24"/>
              </w:rPr>
              <w:t>1）项目设置一间一般固废暂存间，要求满足防渗漏、防雨淋、防扬尘等环保要求，设置环境保护图形标志，并</w:t>
            </w:r>
            <w:r>
              <w:rPr>
                <w:kern w:val="0"/>
                <w:sz w:val="24"/>
              </w:rPr>
              <w:t>满足</w:t>
            </w:r>
            <w:r>
              <w:rPr>
                <w:bCs/>
                <w:sz w:val="24"/>
              </w:rPr>
              <w:t>防风、防雨、防晒措施；</w:t>
            </w:r>
          </w:p>
          <w:p w14:paraId="0D662321">
            <w:pPr>
              <w:adjustRightInd w:val="0"/>
              <w:snapToGrid w:val="0"/>
              <w:spacing w:line="360" w:lineRule="auto"/>
              <w:ind w:firstLine="480" w:firstLineChars="200"/>
              <w:rPr>
                <w:sz w:val="24"/>
              </w:rPr>
            </w:pPr>
            <w:r>
              <w:rPr>
                <w:sz w:val="24"/>
              </w:rPr>
              <w:t>（2）环评要求在</w:t>
            </w:r>
            <w:r>
              <w:rPr>
                <w:bCs/>
                <w:sz w:val="24"/>
              </w:rPr>
              <w:t>生产车间北侧</w:t>
            </w:r>
            <w:r>
              <w:rPr>
                <w:sz w:val="24"/>
              </w:rPr>
              <w:t>新建一个约</w:t>
            </w:r>
            <w:r>
              <w:rPr>
                <w:rFonts w:hint="eastAsia"/>
                <w:sz w:val="24"/>
              </w:rPr>
              <w:t>10</w:t>
            </w:r>
            <w:r>
              <w:rPr>
                <w:sz w:val="24"/>
              </w:rPr>
              <w:t>m</w:t>
            </w:r>
            <w:r>
              <w:rPr>
                <w:sz w:val="24"/>
                <w:vertAlign w:val="superscript"/>
              </w:rPr>
              <w:t>2</w:t>
            </w:r>
            <w:r>
              <w:rPr>
                <w:sz w:val="24"/>
              </w:rPr>
              <w:t>的危废暂存间，危废暂存间建设要求如下：</w:t>
            </w:r>
          </w:p>
          <w:p w14:paraId="34FCCD2F">
            <w:pPr>
              <w:adjustRightInd w:val="0"/>
              <w:snapToGrid w:val="0"/>
              <w:spacing w:line="360" w:lineRule="auto"/>
              <w:ind w:firstLine="480" w:firstLineChars="200"/>
              <w:rPr>
                <w:sz w:val="24"/>
                <w:szCs w:val="22"/>
              </w:rPr>
            </w:pPr>
            <w:r>
              <w:rPr>
                <w:sz w:val="24"/>
                <w:szCs w:val="22"/>
              </w:rPr>
              <w:t>①</w:t>
            </w:r>
            <w:r>
              <w:rPr>
                <w:rFonts w:ascii="宋体" w:hAnsi="宋体" w:cs="宋体"/>
                <w:sz w:val="24"/>
              </w:rPr>
              <w:t>贮存设施应根据危险废物的形态、物理化学性质、包装形式和污染物迁移途径，采取必要的防风、防晒、防雨、防漏、防渗、防腐以及其他环境污染防治措施，不应露天堆放危险废物。</w:t>
            </w:r>
          </w:p>
          <w:p w14:paraId="5C17D1C0">
            <w:pPr>
              <w:adjustRightInd w:val="0"/>
              <w:snapToGrid w:val="0"/>
              <w:spacing w:line="360" w:lineRule="auto"/>
              <w:ind w:firstLine="480" w:firstLineChars="200"/>
              <w:rPr>
                <w:sz w:val="24"/>
                <w:szCs w:val="22"/>
              </w:rPr>
            </w:pPr>
            <w:r>
              <w:rPr>
                <w:sz w:val="24"/>
                <w:szCs w:val="22"/>
              </w:rPr>
              <w:t>②</w:t>
            </w:r>
            <w:r>
              <w:rPr>
                <w:rFonts w:ascii="宋体" w:hAnsi="宋体" w:cs="宋体"/>
                <w:sz w:val="24"/>
              </w:rPr>
              <w:t>贮存设施应根据危险废物的类别、数量、形态、物理化学性质和污染防治等要求设置必要的贮存分区，避免不相容的危险废物接触、混合</w:t>
            </w:r>
            <w:r>
              <w:rPr>
                <w:sz w:val="24"/>
                <w:szCs w:val="22"/>
              </w:rPr>
              <w:t>。</w:t>
            </w:r>
          </w:p>
          <w:p w14:paraId="45A9D99E">
            <w:pPr>
              <w:adjustRightInd w:val="0"/>
              <w:snapToGrid w:val="0"/>
              <w:spacing w:line="360" w:lineRule="auto"/>
              <w:ind w:firstLine="480" w:firstLineChars="200"/>
              <w:rPr>
                <w:sz w:val="24"/>
                <w:szCs w:val="22"/>
              </w:rPr>
            </w:pPr>
            <w:r>
              <w:rPr>
                <w:sz w:val="24"/>
                <w:szCs w:val="22"/>
              </w:rPr>
              <w:fldChar w:fldCharType="begin"/>
            </w:r>
            <w:r>
              <w:rPr>
                <w:sz w:val="24"/>
                <w:szCs w:val="22"/>
              </w:rPr>
              <w:instrText xml:space="preserve"> = 3 \* GB3 </w:instrText>
            </w:r>
            <w:r>
              <w:rPr>
                <w:sz w:val="24"/>
                <w:szCs w:val="22"/>
              </w:rPr>
              <w:fldChar w:fldCharType="separate"/>
            </w:r>
            <w:r>
              <w:rPr>
                <w:sz w:val="24"/>
                <w:szCs w:val="22"/>
              </w:rPr>
              <w:t>③</w:t>
            </w:r>
            <w:r>
              <w:rPr>
                <w:sz w:val="24"/>
                <w:szCs w:val="22"/>
              </w:rPr>
              <w:fldChar w:fldCharType="end"/>
            </w:r>
            <w:r>
              <w:rPr>
                <w:rFonts w:ascii="宋体" w:hAnsi="宋体" w:cs="宋体"/>
                <w:sz w:val="24"/>
              </w:rPr>
              <w:t>贮存设施或贮存分区内地面、墙面裙脚、堵截泄漏的围堰、接触危险废物的隔板和墙体等应采 用坚固的材料建造，表面无裂缝。</w:t>
            </w:r>
          </w:p>
          <w:p w14:paraId="42BD0130">
            <w:pPr>
              <w:pStyle w:val="2"/>
              <w:tabs>
                <w:tab w:val="left" w:pos="8607"/>
              </w:tabs>
              <w:spacing w:after="0" w:line="360" w:lineRule="auto"/>
              <w:ind w:left="0" w:leftChars="0" w:firstLine="480"/>
              <w:rPr>
                <w:sz w:val="24"/>
                <w:szCs w:val="22"/>
              </w:rPr>
            </w:pPr>
            <w:r>
              <w:rPr>
                <w:sz w:val="24"/>
                <w:szCs w:val="22"/>
              </w:rPr>
              <w:fldChar w:fldCharType="begin"/>
            </w:r>
            <w:r>
              <w:rPr>
                <w:sz w:val="24"/>
                <w:szCs w:val="22"/>
              </w:rPr>
              <w:instrText xml:space="preserve"> = 4 \* GB3 </w:instrText>
            </w:r>
            <w:r>
              <w:rPr>
                <w:sz w:val="24"/>
                <w:szCs w:val="22"/>
              </w:rPr>
              <w:fldChar w:fldCharType="separate"/>
            </w:r>
            <w:r>
              <w:rPr>
                <w:sz w:val="24"/>
                <w:szCs w:val="22"/>
              </w:rPr>
              <w:t>④</w:t>
            </w:r>
            <w:r>
              <w:rPr>
                <w:sz w:val="24"/>
                <w:szCs w:val="22"/>
              </w:rPr>
              <w:fldChar w:fldCharType="end"/>
            </w:r>
            <w:r>
              <w:rPr>
                <w:rFonts w:ascii="宋体" w:hAnsi="宋体" w:cs="宋体"/>
                <w:sz w:val="24"/>
              </w:rPr>
              <w:t>贮存设施</w:t>
            </w:r>
            <w:r>
              <w:rPr>
                <w:sz w:val="24"/>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sz w:val="24"/>
                <w:vertAlign w:val="superscript"/>
              </w:rPr>
              <w:t>-7</w:t>
            </w:r>
            <w:r>
              <w:rPr>
                <w:sz w:val="24"/>
              </w:rPr>
              <w:t>cm/s），或至少2 mm厚高密度聚乙烯膜等人工防渗材料（渗透系数不大于10</w:t>
            </w:r>
            <w:r>
              <w:rPr>
                <w:sz w:val="24"/>
                <w:vertAlign w:val="superscript"/>
              </w:rPr>
              <w:t>-10</w:t>
            </w:r>
            <w:r>
              <w:rPr>
                <w:sz w:val="24"/>
              </w:rPr>
              <w:t>cm/s），或其他防渗性能等效的材料。</w:t>
            </w:r>
          </w:p>
          <w:p w14:paraId="1A49919F">
            <w:pPr>
              <w:spacing w:line="360" w:lineRule="auto"/>
              <w:ind w:firstLine="480" w:firstLineChars="200"/>
              <w:rPr>
                <w:sz w:val="24"/>
                <w:szCs w:val="22"/>
              </w:rPr>
            </w:pPr>
            <w:r>
              <w:rPr>
                <w:sz w:val="24"/>
                <w:szCs w:val="22"/>
              </w:rPr>
              <w:fldChar w:fldCharType="begin"/>
            </w:r>
            <w:r>
              <w:rPr>
                <w:sz w:val="24"/>
                <w:szCs w:val="22"/>
              </w:rPr>
              <w:instrText xml:space="preserve"> = 5 \* GB3 </w:instrText>
            </w:r>
            <w:r>
              <w:rPr>
                <w:sz w:val="24"/>
                <w:szCs w:val="22"/>
              </w:rPr>
              <w:fldChar w:fldCharType="separate"/>
            </w:r>
            <w:r>
              <w:rPr>
                <w:sz w:val="24"/>
                <w:szCs w:val="22"/>
              </w:rPr>
              <w:t>⑤</w:t>
            </w:r>
            <w:r>
              <w:rPr>
                <w:sz w:val="24"/>
                <w:szCs w:val="22"/>
              </w:rPr>
              <w:fldChar w:fldCharType="end"/>
            </w:r>
            <w:r>
              <w:rPr>
                <w:rFonts w:ascii="宋体" w:hAnsi="宋体" w:cs="宋体"/>
                <w:sz w:val="24"/>
              </w:rPr>
              <w:t>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ascii="宋体" w:hAnsi="宋体" w:cs="宋体"/>
                <w:sz w:val="24"/>
              </w:rPr>
              <w:t>。</w:t>
            </w:r>
          </w:p>
          <w:p w14:paraId="584C2CB0">
            <w:pPr>
              <w:spacing w:line="360" w:lineRule="auto"/>
              <w:ind w:firstLine="480" w:firstLineChars="200"/>
              <w:rPr>
                <w:sz w:val="24"/>
                <w:szCs w:val="22"/>
              </w:rPr>
            </w:pPr>
            <w:r>
              <w:rPr>
                <w:rFonts w:hint="eastAsia"/>
                <w:sz w:val="24"/>
                <w:szCs w:val="22"/>
              </w:rPr>
              <w:t>⑥</w:t>
            </w:r>
            <w:r>
              <w:rPr>
                <w:rFonts w:ascii="宋体" w:hAnsi="宋体" w:cs="宋体"/>
                <w:sz w:val="24"/>
              </w:rPr>
              <w:t>贮存设施应采取技术和管理措施防止无关人员进入。</w:t>
            </w:r>
          </w:p>
          <w:p w14:paraId="02FF7C41">
            <w:pPr>
              <w:spacing w:line="360" w:lineRule="auto"/>
              <w:ind w:firstLine="480" w:firstLineChars="200"/>
              <w:rPr>
                <w:sz w:val="24"/>
                <w:szCs w:val="22"/>
              </w:rPr>
            </w:pPr>
            <w:r>
              <w:rPr>
                <w:rFonts w:hint="eastAsia"/>
                <w:sz w:val="24"/>
                <w:szCs w:val="22"/>
              </w:rPr>
              <w:t>⑦</w:t>
            </w:r>
            <w:r>
              <w:rPr>
                <w:sz w:val="24"/>
                <w:szCs w:val="22"/>
              </w:rPr>
              <w:t>危废暂存间内禁止存放危险废物及应急工具以外的其他物品。危废暂存间危险废物标识要求如下图所示：</w:t>
            </w:r>
          </w:p>
          <w:p w14:paraId="48BFA972">
            <w:pPr>
              <w:spacing w:line="360" w:lineRule="auto"/>
              <w:ind w:firstLine="480" w:firstLineChars="200"/>
              <w:rPr>
                <w:sz w:val="24"/>
              </w:rPr>
            </w:pPr>
            <w:r>
              <w:rPr>
                <w:sz w:val="24"/>
              </w:rPr>
              <w:drawing>
                <wp:inline distT="0" distB="0" distL="0" distR="0">
                  <wp:extent cx="2580640" cy="2476500"/>
                  <wp:effectExtent l="19050" t="0" r="0" b="0"/>
                  <wp:docPr id="9" name="图片 9" descr="C:\Users\ADMINI~1\AppData\Local\Temp\WeChat Files\7a9527c568bf6a05d61d2ff7f41e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7a9527c568bf6a05d61d2ff7f41e6ba.jpg"/>
                          <pic:cNvPicPr>
                            <a:picLocks noChangeAspect="1" noChangeArrowheads="1"/>
                          </pic:cNvPicPr>
                        </pic:nvPicPr>
                        <pic:blipFill>
                          <a:blip r:embed="rId29" cstate="print"/>
                          <a:srcRect b="17789"/>
                          <a:stretch>
                            <a:fillRect/>
                          </a:stretch>
                        </pic:blipFill>
                        <pic:spPr>
                          <a:xfrm>
                            <a:off x="0" y="0"/>
                            <a:ext cx="2580848" cy="2477069"/>
                          </a:xfrm>
                          <a:prstGeom prst="rect">
                            <a:avLst/>
                          </a:prstGeom>
                          <a:noFill/>
                          <a:ln w="9525">
                            <a:noFill/>
                            <a:miter lim="800000"/>
                            <a:headEnd/>
                            <a:tailEnd/>
                          </a:ln>
                        </pic:spPr>
                      </pic:pic>
                    </a:graphicData>
                  </a:graphic>
                </wp:inline>
              </w:drawing>
            </w:r>
            <w:r>
              <w:rPr>
                <w:sz w:val="24"/>
              </w:rPr>
              <w:drawing>
                <wp:inline distT="0" distB="0" distL="0" distR="0">
                  <wp:extent cx="2674620" cy="2476500"/>
                  <wp:effectExtent l="19050" t="0" r="0" b="0"/>
                  <wp:docPr id="10" name="图片 10" descr="C:\Users\ADMINI~1\AppData\Local\Temp\WeChat Files\61da0860f9316dae89ed3754d53e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61da0860f9316dae89ed3754d53ed95.jpg"/>
                          <pic:cNvPicPr>
                            <a:picLocks noChangeAspect="1" noChangeArrowheads="1"/>
                          </pic:cNvPicPr>
                        </pic:nvPicPr>
                        <pic:blipFill>
                          <a:blip r:embed="rId30" cstate="print"/>
                          <a:srcRect t="41932"/>
                          <a:stretch>
                            <a:fillRect/>
                          </a:stretch>
                        </pic:blipFill>
                        <pic:spPr>
                          <a:xfrm>
                            <a:off x="0" y="0"/>
                            <a:ext cx="2674961" cy="2477069"/>
                          </a:xfrm>
                          <a:prstGeom prst="rect">
                            <a:avLst/>
                          </a:prstGeom>
                          <a:noFill/>
                          <a:ln w="9525">
                            <a:noFill/>
                            <a:miter lim="800000"/>
                            <a:headEnd/>
                            <a:tailEnd/>
                          </a:ln>
                        </pic:spPr>
                      </pic:pic>
                    </a:graphicData>
                  </a:graphic>
                </wp:inline>
              </w:drawing>
            </w:r>
          </w:p>
          <w:p w14:paraId="3876511E">
            <w:pPr>
              <w:pStyle w:val="51"/>
              <w:spacing w:line="360" w:lineRule="auto"/>
              <w:jc w:val="both"/>
              <w:rPr>
                <w:rFonts w:ascii="Times New Roman" w:cs="Times New Roman"/>
                <w:b/>
                <w:color w:val="auto"/>
              </w:rPr>
            </w:pPr>
            <w:r>
              <w:rPr>
                <w:rFonts w:ascii="Times New Roman" w:cs="Times New Roman"/>
                <w:b/>
                <w:color w:val="auto"/>
              </w:rPr>
              <w:t>4.5地下水、土壤</w:t>
            </w:r>
          </w:p>
          <w:p w14:paraId="0175772D">
            <w:pPr>
              <w:adjustRightInd w:val="0"/>
              <w:snapToGrid w:val="0"/>
              <w:spacing w:line="360" w:lineRule="auto"/>
              <w:ind w:firstLine="480" w:firstLineChars="200"/>
              <w:rPr>
                <w:sz w:val="24"/>
              </w:rPr>
            </w:pPr>
            <w:r>
              <w:rPr>
                <w:rFonts w:hint="eastAsia"/>
                <w:sz w:val="24"/>
              </w:rPr>
              <w:t>（1）污染来源、类型</w:t>
            </w:r>
          </w:p>
          <w:p w14:paraId="0363D63C">
            <w:pPr>
              <w:adjustRightInd w:val="0"/>
              <w:snapToGrid w:val="0"/>
              <w:spacing w:line="360" w:lineRule="auto"/>
              <w:ind w:firstLine="480" w:firstLineChars="200"/>
              <w:rPr>
                <w:sz w:val="24"/>
              </w:rPr>
            </w:pPr>
            <w:r>
              <w:rPr>
                <w:sz w:val="24"/>
              </w:rPr>
              <w:t>本项目废水为生活污水，生活污水经化粪池处理后经市政管网排放；正常情况下废水基本对地下水、土壤无影响。</w:t>
            </w:r>
            <w:r>
              <w:rPr>
                <w:rFonts w:hint="eastAsia"/>
                <w:sz w:val="24"/>
              </w:rPr>
              <w:t>项目设有危废暂存间，如果出现非正常情况如危废暂存间受雨淋，形成地面径流渗入地下，或暂存桶破裂，发生污染物质跑冒滴漏会造成地下水、土壤环境污染风险。</w:t>
            </w:r>
          </w:p>
          <w:p w14:paraId="52B4DD1F">
            <w:pPr>
              <w:pStyle w:val="78"/>
              <w:ind w:firstLine="480"/>
              <w:rPr>
                <w:szCs w:val="24"/>
              </w:rPr>
            </w:pPr>
            <w:r>
              <w:rPr>
                <w:rFonts w:hint="eastAsia"/>
                <w:szCs w:val="24"/>
              </w:rPr>
              <w:t>（2）主要污染途径</w:t>
            </w:r>
          </w:p>
          <w:p w14:paraId="58EFE8A7">
            <w:pPr>
              <w:pStyle w:val="78"/>
              <w:ind w:firstLine="480"/>
              <w:rPr>
                <w:szCs w:val="24"/>
              </w:rPr>
            </w:pPr>
            <w:r>
              <w:rPr>
                <w:rFonts w:hint="eastAsia"/>
                <w:szCs w:val="24"/>
              </w:rPr>
              <w:t>土壤及潜水的主要污染途径是大气降水的淋渗携带、排水沟对地下水的补给污染及泄漏等。承压水的主要污染途径是上部已污染潜水对承压水的间接污染，包括越流补给和混合成井的污染；同一含水层相邻地区已污染水的径流补给污染。</w:t>
            </w:r>
          </w:p>
          <w:p w14:paraId="4FB65B1F">
            <w:pPr>
              <w:pStyle w:val="78"/>
              <w:ind w:firstLine="480"/>
              <w:rPr>
                <w:szCs w:val="24"/>
              </w:rPr>
            </w:pPr>
            <w:r>
              <w:rPr>
                <w:rFonts w:hint="eastAsia"/>
                <w:szCs w:val="24"/>
              </w:rPr>
              <w:t>（3）防控措施</w:t>
            </w:r>
          </w:p>
          <w:p w14:paraId="1550BBDF">
            <w:pPr>
              <w:pStyle w:val="78"/>
              <w:ind w:firstLine="480"/>
              <w:rPr>
                <w:szCs w:val="24"/>
              </w:rPr>
            </w:pPr>
            <w:r>
              <w:rPr>
                <w:rFonts w:hint="eastAsia"/>
                <w:szCs w:val="24"/>
              </w:rPr>
              <w:t>本项目的地下水级土壤污染预防措施按照“源头控制、分区防治、污染监控、应急响应”的原则进行。在做好防止和减少“跑、冒、滴、漏”等源头防控措施的基础上，对厂区内各单元进行分区防渗处理。</w:t>
            </w:r>
          </w:p>
          <w:p w14:paraId="08F0D343">
            <w:pPr>
              <w:pStyle w:val="78"/>
              <w:ind w:firstLine="480"/>
              <w:rPr>
                <w:sz w:val="21"/>
                <w:szCs w:val="21"/>
              </w:rPr>
            </w:pPr>
            <w:r>
              <w:rPr>
                <w:rFonts w:hint="eastAsia"/>
                <w:szCs w:val="24"/>
              </w:rPr>
              <w:t>本项目租赁厂房已对厂区地面全部采用混凝土进行硬化。本次环评要求：针对本项目不同生产环节的污染防治要求，本项目针对性的采取不同的防腐、防渗工程措施，具体见下表，分区防渗图见附图3。</w:t>
            </w:r>
          </w:p>
          <w:p w14:paraId="46D95161">
            <w:pPr>
              <w:pStyle w:val="52"/>
              <w:numPr>
                <w:ilvl w:val="0"/>
                <w:numId w:val="1"/>
              </w:numPr>
              <w:ind w:left="0" w:firstLine="0"/>
              <w:rPr>
                <w:color w:val="auto"/>
              </w:rPr>
            </w:pPr>
            <w:r>
              <w:rPr>
                <w:rFonts w:hint="eastAsia"/>
                <w:color w:val="auto"/>
              </w:rPr>
              <w:t xml:space="preserve">   本项目分区防渗情况一览表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938"/>
              <w:gridCol w:w="1569"/>
              <w:gridCol w:w="3294"/>
              <w:gridCol w:w="2576"/>
            </w:tblGrid>
            <w:tr w14:paraId="5825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 w:type="pct"/>
                  <w:vAlign w:val="center"/>
                </w:tcPr>
                <w:p w14:paraId="18163090">
                  <w:pPr>
                    <w:pStyle w:val="78"/>
                    <w:spacing w:line="240" w:lineRule="auto"/>
                    <w:ind w:firstLine="0"/>
                    <w:jc w:val="center"/>
                    <w:rPr>
                      <w:bCs/>
                      <w:sz w:val="21"/>
                      <w:szCs w:val="21"/>
                    </w:rPr>
                  </w:pPr>
                  <w:r>
                    <w:rPr>
                      <w:rFonts w:hint="eastAsia"/>
                      <w:bCs/>
                      <w:sz w:val="21"/>
                      <w:szCs w:val="21"/>
                    </w:rPr>
                    <w:t>序号</w:t>
                  </w:r>
                </w:p>
              </w:tc>
              <w:tc>
                <w:tcPr>
                  <w:tcW w:w="531" w:type="pct"/>
                  <w:vAlign w:val="center"/>
                </w:tcPr>
                <w:p w14:paraId="44AB3B0C">
                  <w:pPr>
                    <w:pStyle w:val="78"/>
                    <w:spacing w:line="240" w:lineRule="auto"/>
                    <w:ind w:firstLine="0"/>
                    <w:jc w:val="center"/>
                    <w:rPr>
                      <w:bCs/>
                      <w:sz w:val="21"/>
                      <w:szCs w:val="21"/>
                    </w:rPr>
                  </w:pPr>
                  <w:r>
                    <w:rPr>
                      <w:rFonts w:hint="eastAsia"/>
                      <w:bCs/>
                      <w:sz w:val="21"/>
                      <w:szCs w:val="21"/>
                    </w:rPr>
                    <w:t>防渗分区</w:t>
                  </w:r>
                </w:p>
              </w:tc>
              <w:tc>
                <w:tcPr>
                  <w:tcW w:w="888" w:type="pct"/>
                  <w:vAlign w:val="center"/>
                </w:tcPr>
                <w:p w14:paraId="570A7D67">
                  <w:pPr>
                    <w:pStyle w:val="78"/>
                    <w:spacing w:line="240" w:lineRule="auto"/>
                    <w:ind w:firstLine="0"/>
                    <w:jc w:val="center"/>
                    <w:rPr>
                      <w:bCs/>
                      <w:sz w:val="21"/>
                      <w:szCs w:val="21"/>
                    </w:rPr>
                  </w:pPr>
                  <w:r>
                    <w:rPr>
                      <w:rFonts w:hint="eastAsia"/>
                      <w:bCs/>
                      <w:sz w:val="21"/>
                      <w:szCs w:val="21"/>
                    </w:rPr>
                    <w:t>具体范围</w:t>
                  </w:r>
                </w:p>
              </w:tc>
              <w:tc>
                <w:tcPr>
                  <w:tcW w:w="1864" w:type="pct"/>
                  <w:vAlign w:val="center"/>
                </w:tcPr>
                <w:p w14:paraId="1EE6571B">
                  <w:pPr>
                    <w:pStyle w:val="78"/>
                    <w:spacing w:line="240" w:lineRule="auto"/>
                    <w:ind w:firstLine="0"/>
                    <w:jc w:val="center"/>
                    <w:rPr>
                      <w:bCs/>
                      <w:sz w:val="21"/>
                      <w:szCs w:val="21"/>
                    </w:rPr>
                  </w:pPr>
                  <w:r>
                    <w:rPr>
                      <w:rFonts w:hint="eastAsia"/>
                      <w:bCs/>
                      <w:sz w:val="21"/>
                      <w:szCs w:val="21"/>
                    </w:rPr>
                    <w:t>防渗措施</w:t>
                  </w:r>
                </w:p>
              </w:tc>
              <w:tc>
                <w:tcPr>
                  <w:tcW w:w="1458" w:type="pct"/>
                  <w:vAlign w:val="center"/>
                </w:tcPr>
                <w:p w14:paraId="4297E246">
                  <w:pPr>
                    <w:pStyle w:val="78"/>
                    <w:spacing w:line="240" w:lineRule="auto"/>
                    <w:ind w:firstLine="0"/>
                    <w:jc w:val="center"/>
                    <w:rPr>
                      <w:bCs/>
                      <w:sz w:val="21"/>
                      <w:szCs w:val="21"/>
                    </w:rPr>
                  </w:pPr>
                  <w:r>
                    <w:rPr>
                      <w:rFonts w:hint="eastAsia"/>
                      <w:bCs/>
                      <w:sz w:val="21"/>
                      <w:szCs w:val="21"/>
                    </w:rPr>
                    <w:t>防渗技术要求</w:t>
                  </w:r>
                </w:p>
              </w:tc>
            </w:tr>
            <w:tr w14:paraId="755F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1A32AFA2">
                  <w:pPr>
                    <w:pStyle w:val="78"/>
                    <w:spacing w:line="240" w:lineRule="auto"/>
                    <w:ind w:firstLine="0"/>
                    <w:jc w:val="center"/>
                    <w:rPr>
                      <w:sz w:val="21"/>
                      <w:szCs w:val="21"/>
                    </w:rPr>
                  </w:pPr>
                  <w:r>
                    <w:rPr>
                      <w:rFonts w:hint="eastAsia"/>
                      <w:sz w:val="21"/>
                      <w:szCs w:val="21"/>
                    </w:rPr>
                    <w:t>1</w:t>
                  </w:r>
                </w:p>
              </w:tc>
              <w:tc>
                <w:tcPr>
                  <w:tcW w:w="531" w:type="pct"/>
                  <w:vMerge w:val="restart"/>
                  <w:vAlign w:val="center"/>
                </w:tcPr>
                <w:p w14:paraId="554C53EC">
                  <w:pPr>
                    <w:pStyle w:val="78"/>
                    <w:spacing w:line="240" w:lineRule="auto"/>
                    <w:ind w:firstLine="0"/>
                    <w:jc w:val="center"/>
                    <w:rPr>
                      <w:sz w:val="21"/>
                      <w:szCs w:val="21"/>
                    </w:rPr>
                  </w:pPr>
                  <w:r>
                    <w:rPr>
                      <w:rFonts w:hint="eastAsia"/>
                      <w:sz w:val="21"/>
                      <w:szCs w:val="21"/>
                    </w:rPr>
                    <w:t>重点防渗区</w:t>
                  </w:r>
                </w:p>
              </w:tc>
              <w:tc>
                <w:tcPr>
                  <w:tcW w:w="888" w:type="pct"/>
                  <w:vAlign w:val="center"/>
                </w:tcPr>
                <w:p w14:paraId="17DC7F89">
                  <w:pPr>
                    <w:pStyle w:val="78"/>
                    <w:spacing w:line="240" w:lineRule="auto"/>
                    <w:ind w:firstLine="0"/>
                    <w:jc w:val="center"/>
                    <w:rPr>
                      <w:sz w:val="21"/>
                      <w:szCs w:val="21"/>
                    </w:rPr>
                  </w:pPr>
                  <w:r>
                    <w:rPr>
                      <w:rFonts w:hint="eastAsia"/>
                      <w:sz w:val="21"/>
                      <w:szCs w:val="21"/>
                    </w:rPr>
                    <w:t>喷粉、喷漆生产区地面</w:t>
                  </w:r>
                </w:p>
              </w:tc>
              <w:tc>
                <w:tcPr>
                  <w:tcW w:w="1864" w:type="pct"/>
                  <w:vAlign w:val="center"/>
                </w:tcPr>
                <w:p w14:paraId="2289AFD1">
                  <w:pPr>
                    <w:pStyle w:val="78"/>
                    <w:spacing w:line="240" w:lineRule="auto"/>
                    <w:ind w:firstLine="0"/>
                    <w:jc w:val="center"/>
                    <w:rPr>
                      <w:sz w:val="21"/>
                      <w:szCs w:val="21"/>
                    </w:rPr>
                  </w:pPr>
                  <w:r>
                    <w:rPr>
                      <w:rFonts w:hint="eastAsia"/>
                      <w:sz w:val="21"/>
                      <w:szCs w:val="21"/>
                    </w:rPr>
                    <w:t>地面防渗层采用防渗混凝+2mmHDPE膜措施防渗。</w:t>
                  </w:r>
                </w:p>
              </w:tc>
              <w:tc>
                <w:tcPr>
                  <w:tcW w:w="1458" w:type="pct"/>
                  <w:vMerge w:val="restart"/>
                  <w:vAlign w:val="center"/>
                </w:tcPr>
                <w:p w14:paraId="51D0DCE6">
                  <w:pPr>
                    <w:pStyle w:val="78"/>
                    <w:spacing w:line="240" w:lineRule="auto"/>
                    <w:ind w:firstLine="0"/>
                    <w:jc w:val="center"/>
                    <w:rPr>
                      <w:sz w:val="21"/>
                      <w:szCs w:val="21"/>
                    </w:rPr>
                  </w:pPr>
                  <w:r>
                    <w:rPr>
                      <w:rFonts w:hint="eastAsia"/>
                      <w:sz w:val="21"/>
                      <w:szCs w:val="21"/>
                    </w:rPr>
                    <w:t>等效黏土防渗层Mb≥1.5m，K≤1×10</w:t>
                  </w:r>
                  <w:r>
                    <w:rPr>
                      <w:rFonts w:hint="eastAsia"/>
                      <w:sz w:val="21"/>
                      <w:szCs w:val="21"/>
                      <w:vertAlign w:val="superscript"/>
                    </w:rPr>
                    <w:t>-7</w:t>
                  </w:r>
                  <w:r>
                    <w:rPr>
                      <w:rFonts w:hint="eastAsia"/>
                      <w:sz w:val="21"/>
                      <w:szCs w:val="21"/>
                    </w:rPr>
                    <w:t>cm/s，或参照GB18598 执行</w:t>
                  </w:r>
                </w:p>
              </w:tc>
            </w:tr>
            <w:tr w14:paraId="154B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372D6493">
                  <w:pPr>
                    <w:pStyle w:val="78"/>
                    <w:spacing w:line="240" w:lineRule="auto"/>
                    <w:ind w:firstLine="0"/>
                    <w:jc w:val="center"/>
                    <w:rPr>
                      <w:sz w:val="21"/>
                      <w:szCs w:val="21"/>
                    </w:rPr>
                  </w:pPr>
                  <w:r>
                    <w:rPr>
                      <w:rFonts w:hint="eastAsia"/>
                      <w:sz w:val="21"/>
                      <w:szCs w:val="21"/>
                    </w:rPr>
                    <w:t>2</w:t>
                  </w:r>
                </w:p>
              </w:tc>
              <w:tc>
                <w:tcPr>
                  <w:tcW w:w="531" w:type="pct"/>
                  <w:vMerge w:val="continue"/>
                  <w:vAlign w:val="center"/>
                </w:tcPr>
                <w:p w14:paraId="478EFAD4">
                  <w:pPr>
                    <w:pStyle w:val="78"/>
                    <w:spacing w:line="240" w:lineRule="auto"/>
                    <w:ind w:firstLine="0"/>
                    <w:jc w:val="center"/>
                    <w:rPr>
                      <w:sz w:val="21"/>
                      <w:szCs w:val="21"/>
                    </w:rPr>
                  </w:pPr>
                </w:p>
              </w:tc>
              <w:tc>
                <w:tcPr>
                  <w:tcW w:w="888" w:type="pct"/>
                  <w:vAlign w:val="center"/>
                </w:tcPr>
                <w:p w14:paraId="65D675C8">
                  <w:pPr>
                    <w:pStyle w:val="78"/>
                    <w:spacing w:line="240" w:lineRule="auto"/>
                    <w:ind w:firstLine="0"/>
                    <w:jc w:val="center"/>
                    <w:rPr>
                      <w:sz w:val="21"/>
                      <w:szCs w:val="21"/>
                    </w:rPr>
                  </w:pPr>
                  <w:r>
                    <w:rPr>
                      <w:rFonts w:hint="eastAsia"/>
                      <w:sz w:val="21"/>
                      <w:szCs w:val="21"/>
                    </w:rPr>
                    <w:t>危废暂存间、2#原材料存放区</w:t>
                  </w:r>
                </w:p>
              </w:tc>
              <w:tc>
                <w:tcPr>
                  <w:tcW w:w="1864" w:type="pct"/>
                  <w:vAlign w:val="center"/>
                </w:tcPr>
                <w:p w14:paraId="747B8D58">
                  <w:pPr>
                    <w:pStyle w:val="78"/>
                    <w:spacing w:line="240" w:lineRule="auto"/>
                    <w:ind w:firstLine="0"/>
                    <w:jc w:val="center"/>
                    <w:rPr>
                      <w:sz w:val="21"/>
                      <w:szCs w:val="21"/>
                    </w:rPr>
                  </w:pPr>
                  <w:r>
                    <w:rPr>
                      <w:rFonts w:hint="eastAsia"/>
                      <w:sz w:val="21"/>
                      <w:szCs w:val="21"/>
                    </w:rPr>
                    <w:t>地面防渗层采用防渗混凝土+2m厚HDPE膜措施防渗，设置10cm高围堰</w:t>
                  </w:r>
                </w:p>
              </w:tc>
              <w:tc>
                <w:tcPr>
                  <w:tcW w:w="1458" w:type="pct"/>
                  <w:vMerge w:val="continue"/>
                  <w:vAlign w:val="center"/>
                </w:tcPr>
                <w:p w14:paraId="07DC5BD6">
                  <w:pPr>
                    <w:pStyle w:val="78"/>
                    <w:spacing w:line="240" w:lineRule="auto"/>
                    <w:ind w:firstLine="0"/>
                    <w:jc w:val="center"/>
                    <w:rPr>
                      <w:sz w:val="21"/>
                      <w:szCs w:val="21"/>
                    </w:rPr>
                  </w:pPr>
                </w:p>
              </w:tc>
            </w:tr>
            <w:tr w14:paraId="7EEB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59F35B50">
                  <w:pPr>
                    <w:pStyle w:val="78"/>
                    <w:spacing w:line="240" w:lineRule="auto"/>
                    <w:ind w:firstLine="0"/>
                    <w:jc w:val="center"/>
                    <w:rPr>
                      <w:sz w:val="21"/>
                      <w:szCs w:val="21"/>
                    </w:rPr>
                  </w:pPr>
                  <w:r>
                    <w:rPr>
                      <w:rFonts w:hint="eastAsia"/>
                      <w:sz w:val="21"/>
                      <w:szCs w:val="21"/>
                    </w:rPr>
                    <w:t>3</w:t>
                  </w:r>
                </w:p>
              </w:tc>
              <w:tc>
                <w:tcPr>
                  <w:tcW w:w="531" w:type="pct"/>
                  <w:vAlign w:val="center"/>
                </w:tcPr>
                <w:p w14:paraId="7A2AB982">
                  <w:pPr>
                    <w:pStyle w:val="78"/>
                    <w:spacing w:line="240" w:lineRule="auto"/>
                    <w:ind w:firstLine="0"/>
                    <w:jc w:val="center"/>
                    <w:rPr>
                      <w:sz w:val="21"/>
                      <w:szCs w:val="21"/>
                    </w:rPr>
                  </w:pPr>
                  <w:r>
                    <w:rPr>
                      <w:rFonts w:hint="eastAsia"/>
                      <w:sz w:val="21"/>
                      <w:szCs w:val="21"/>
                    </w:rPr>
                    <w:t>一般防渗区</w:t>
                  </w:r>
                </w:p>
              </w:tc>
              <w:tc>
                <w:tcPr>
                  <w:tcW w:w="888" w:type="pct"/>
                  <w:vAlign w:val="center"/>
                </w:tcPr>
                <w:p w14:paraId="6315831D">
                  <w:pPr>
                    <w:pStyle w:val="78"/>
                    <w:spacing w:line="240" w:lineRule="auto"/>
                    <w:ind w:firstLine="0"/>
                    <w:jc w:val="center"/>
                    <w:rPr>
                      <w:sz w:val="21"/>
                      <w:szCs w:val="21"/>
                    </w:rPr>
                  </w:pPr>
                  <w:r>
                    <w:rPr>
                      <w:rFonts w:hint="eastAsia"/>
                      <w:sz w:val="21"/>
                      <w:szCs w:val="21"/>
                    </w:rPr>
                    <w:t>生产车间内除重点防渗区以外其他地面</w:t>
                  </w:r>
                </w:p>
              </w:tc>
              <w:tc>
                <w:tcPr>
                  <w:tcW w:w="1864" w:type="pct"/>
                  <w:vAlign w:val="center"/>
                </w:tcPr>
                <w:p w14:paraId="0734BC48">
                  <w:pPr>
                    <w:pStyle w:val="78"/>
                    <w:spacing w:line="240" w:lineRule="auto"/>
                    <w:ind w:firstLine="0"/>
                    <w:jc w:val="center"/>
                    <w:rPr>
                      <w:sz w:val="21"/>
                      <w:szCs w:val="21"/>
                    </w:rPr>
                  </w:pPr>
                  <w:r>
                    <w:rPr>
                      <w:rFonts w:hint="eastAsia"/>
                      <w:sz w:val="21"/>
                      <w:szCs w:val="21"/>
                    </w:rPr>
                    <w:t>采取黏土+防渗混凝土，确保等效粘土防渗层Mb≥1.5m，渗透系数可满足K≤10</w:t>
                  </w:r>
                  <w:r>
                    <w:rPr>
                      <w:rFonts w:hint="eastAsia"/>
                      <w:sz w:val="21"/>
                      <w:szCs w:val="21"/>
                      <w:vertAlign w:val="superscript"/>
                    </w:rPr>
                    <w:t>-7</w:t>
                  </w:r>
                  <w:r>
                    <w:rPr>
                      <w:rFonts w:hint="eastAsia"/>
                      <w:sz w:val="21"/>
                      <w:szCs w:val="21"/>
                    </w:rPr>
                    <w:t>cm/s</w:t>
                  </w:r>
                </w:p>
              </w:tc>
              <w:tc>
                <w:tcPr>
                  <w:tcW w:w="1458" w:type="pct"/>
                  <w:vAlign w:val="center"/>
                </w:tcPr>
                <w:p w14:paraId="054900A5">
                  <w:pPr>
                    <w:pStyle w:val="78"/>
                    <w:spacing w:line="240" w:lineRule="auto"/>
                    <w:ind w:firstLine="0"/>
                    <w:jc w:val="center"/>
                    <w:rPr>
                      <w:sz w:val="21"/>
                      <w:szCs w:val="21"/>
                    </w:rPr>
                  </w:pPr>
                  <w:r>
                    <w:rPr>
                      <w:rFonts w:hint="eastAsia"/>
                      <w:sz w:val="21"/>
                      <w:szCs w:val="21"/>
                    </w:rPr>
                    <w:t>等效黏土防渗层Mb≥1.5m，K≤1×10</w:t>
                  </w:r>
                  <w:r>
                    <w:rPr>
                      <w:rFonts w:hint="eastAsia"/>
                      <w:sz w:val="21"/>
                      <w:szCs w:val="21"/>
                      <w:vertAlign w:val="superscript"/>
                    </w:rPr>
                    <w:t>-7</w:t>
                  </w:r>
                  <w:r>
                    <w:rPr>
                      <w:rFonts w:hint="eastAsia"/>
                      <w:sz w:val="21"/>
                      <w:szCs w:val="21"/>
                    </w:rPr>
                    <w:t>cm/s，或参照GB16889执行</w:t>
                  </w:r>
                </w:p>
              </w:tc>
            </w:tr>
            <w:tr w14:paraId="02A6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746E0B1B">
                  <w:pPr>
                    <w:pStyle w:val="78"/>
                    <w:spacing w:line="240" w:lineRule="auto"/>
                    <w:ind w:firstLine="0"/>
                    <w:jc w:val="center"/>
                    <w:rPr>
                      <w:sz w:val="21"/>
                      <w:szCs w:val="21"/>
                    </w:rPr>
                  </w:pPr>
                  <w:r>
                    <w:rPr>
                      <w:rFonts w:hint="eastAsia"/>
                      <w:sz w:val="21"/>
                      <w:szCs w:val="21"/>
                    </w:rPr>
                    <w:t>4</w:t>
                  </w:r>
                </w:p>
              </w:tc>
              <w:tc>
                <w:tcPr>
                  <w:tcW w:w="531" w:type="pct"/>
                  <w:vAlign w:val="center"/>
                </w:tcPr>
                <w:p w14:paraId="155B94FD">
                  <w:pPr>
                    <w:pStyle w:val="78"/>
                    <w:spacing w:line="240" w:lineRule="auto"/>
                    <w:ind w:firstLine="0"/>
                    <w:jc w:val="center"/>
                    <w:rPr>
                      <w:sz w:val="21"/>
                      <w:szCs w:val="21"/>
                    </w:rPr>
                  </w:pPr>
                  <w:r>
                    <w:rPr>
                      <w:rFonts w:hint="eastAsia"/>
                      <w:sz w:val="21"/>
                      <w:szCs w:val="21"/>
                    </w:rPr>
                    <w:t>简单防渗区</w:t>
                  </w:r>
                </w:p>
              </w:tc>
              <w:tc>
                <w:tcPr>
                  <w:tcW w:w="888" w:type="pct"/>
                  <w:vAlign w:val="center"/>
                </w:tcPr>
                <w:p w14:paraId="4510408D">
                  <w:pPr>
                    <w:pStyle w:val="78"/>
                    <w:spacing w:line="240" w:lineRule="auto"/>
                    <w:ind w:firstLine="0"/>
                    <w:jc w:val="center"/>
                    <w:rPr>
                      <w:sz w:val="21"/>
                      <w:szCs w:val="21"/>
                    </w:rPr>
                  </w:pPr>
                  <w:r>
                    <w:rPr>
                      <w:rFonts w:hint="eastAsia"/>
                      <w:sz w:val="21"/>
                      <w:szCs w:val="21"/>
                    </w:rPr>
                    <w:t>办公区等其他场地（除绿化用地之外）</w:t>
                  </w:r>
                </w:p>
              </w:tc>
              <w:tc>
                <w:tcPr>
                  <w:tcW w:w="1864" w:type="pct"/>
                  <w:vAlign w:val="center"/>
                </w:tcPr>
                <w:p w14:paraId="39886879">
                  <w:pPr>
                    <w:pStyle w:val="78"/>
                    <w:spacing w:line="240" w:lineRule="auto"/>
                    <w:ind w:firstLine="0"/>
                    <w:jc w:val="center"/>
                    <w:rPr>
                      <w:sz w:val="21"/>
                      <w:szCs w:val="21"/>
                    </w:rPr>
                  </w:pPr>
                  <w:r>
                    <w:rPr>
                      <w:rFonts w:hint="eastAsia"/>
                      <w:sz w:val="21"/>
                      <w:szCs w:val="21"/>
                    </w:rPr>
                    <w:t>简单防渗区</w:t>
                  </w:r>
                </w:p>
              </w:tc>
              <w:tc>
                <w:tcPr>
                  <w:tcW w:w="1458" w:type="pct"/>
                  <w:vAlign w:val="center"/>
                </w:tcPr>
                <w:p w14:paraId="254BBE75">
                  <w:pPr>
                    <w:pStyle w:val="78"/>
                    <w:spacing w:line="240" w:lineRule="auto"/>
                    <w:ind w:firstLine="0"/>
                    <w:jc w:val="center"/>
                    <w:rPr>
                      <w:sz w:val="21"/>
                      <w:szCs w:val="21"/>
                    </w:rPr>
                  </w:pPr>
                  <w:r>
                    <w:rPr>
                      <w:rFonts w:hint="eastAsia"/>
                      <w:sz w:val="21"/>
                      <w:szCs w:val="21"/>
                    </w:rPr>
                    <w:t>一般地面硬化</w:t>
                  </w:r>
                </w:p>
              </w:tc>
            </w:tr>
          </w:tbl>
          <w:p w14:paraId="5C81E8D9">
            <w:pPr>
              <w:pStyle w:val="78"/>
              <w:ind w:firstLine="480"/>
              <w:rPr>
                <w:szCs w:val="24"/>
              </w:rPr>
            </w:pPr>
            <w:r>
              <w:rPr>
                <w:rFonts w:hint="eastAsia"/>
                <w:szCs w:val="24"/>
              </w:rPr>
              <w:t>环评要求运营期发现生产设施发生泄漏后，应立即将泄漏设施内的物料转移至其他包装完好的容器中；及时向生态环境保护部门报告，随时就应急处置工作接受监督检查；建立健全突发环境事件应急救援体系，及时修订应急预案，并将地下水污染应急响应内容包括在内。</w:t>
            </w:r>
          </w:p>
          <w:p w14:paraId="6225142C">
            <w:pPr>
              <w:pStyle w:val="78"/>
              <w:ind w:firstLine="480"/>
              <w:rPr>
                <w:szCs w:val="24"/>
              </w:rPr>
            </w:pPr>
            <w:r>
              <w:rPr>
                <w:rFonts w:hint="eastAsia"/>
                <w:szCs w:val="24"/>
              </w:rPr>
              <w:t>经采取这些措施后，项目运营后对不会对土壤及地下水环境产生影响。</w:t>
            </w:r>
          </w:p>
          <w:p w14:paraId="4579BC82">
            <w:pPr>
              <w:pStyle w:val="51"/>
              <w:spacing w:line="360" w:lineRule="auto"/>
              <w:jc w:val="both"/>
              <w:rPr>
                <w:rFonts w:ascii="Times New Roman" w:cs="Times New Roman"/>
                <w:b/>
                <w:color w:val="auto"/>
              </w:rPr>
            </w:pPr>
            <w:r>
              <w:rPr>
                <w:rFonts w:ascii="Times New Roman" w:cs="Times New Roman"/>
                <w:b/>
                <w:color w:val="auto"/>
              </w:rPr>
              <w:t>4.6环境风险</w:t>
            </w:r>
          </w:p>
          <w:p w14:paraId="31CF37F8">
            <w:pPr>
              <w:spacing w:line="360" w:lineRule="auto"/>
              <w:ind w:firstLine="480" w:firstLineChars="200"/>
              <w:rPr>
                <w:sz w:val="24"/>
              </w:rPr>
            </w:pPr>
            <w:r>
              <w:rPr>
                <w:sz w:val="24"/>
              </w:rPr>
              <w:t>4.6.1</w:t>
            </w:r>
            <w:r>
              <w:rPr>
                <w:rFonts w:hint="eastAsia"/>
                <w:sz w:val="24"/>
              </w:rPr>
              <w:t>风险物质调查</w:t>
            </w:r>
          </w:p>
          <w:p w14:paraId="0B78C1A7">
            <w:pPr>
              <w:spacing w:line="360" w:lineRule="auto"/>
              <w:ind w:firstLine="480" w:firstLineChars="200"/>
              <w:rPr>
                <w:rFonts w:cs="宋体"/>
                <w:bCs/>
                <w:kern w:val="21"/>
                <w:sz w:val="24"/>
              </w:rPr>
            </w:pPr>
            <w:r>
              <w:rPr>
                <w:rFonts w:hint="eastAsia" w:cs="宋体"/>
                <w:bCs/>
                <w:kern w:val="21"/>
                <w:sz w:val="24"/>
              </w:rPr>
              <w:t>（1）风险物质调查</w:t>
            </w:r>
          </w:p>
          <w:p w14:paraId="272208D6">
            <w:pPr>
              <w:spacing w:line="360" w:lineRule="auto"/>
              <w:ind w:firstLine="480" w:firstLineChars="200"/>
              <w:rPr>
                <w:rFonts w:cs="宋体"/>
                <w:bCs/>
                <w:kern w:val="21"/>
                <w:sz w:val="24"/>
              </w:rPr>
            </w:pPr>
            <w:r>
              <w:rPr>
                <w:rFonts w:cs="宋体"/>
                <w:bCs/>
                <w:kern w:val="21"/>
                <w:sz w:val="24"/>
              </w:rPr>
              <w:t>对照《建设项目环境风险评价技术导则》</w:t>
            </w:r>
            <w:r>
              <w:rPr>
                <w:rFonts w:hint="eastAsia" w:cs="宋体"/>
                <w:bCs/>
                <w:kern w:val="21"/>
                <w:sz w:val="24"/>
              </w:rPr>
              <w:t>（</w:t>
            </w:r>
            <w:r>
              <w:rPr>
                <w:rFonts w:cs="宋体"/>
                <w:bCs/>
                <w:kern w:val="21"/>
                <w:sz w:val="24"/>
              </w:rPr>
              <w:t>HJ/T169-2018</w:t>
            </w:r>
            <w:r>
              <w:rPr>
                <w:rFonts w:hint="eastAsia" w:cs="宋体"/>
                <w:bCs/>
                <w:kern w:val="21"/>
                <w:sz w:val="24"/>
              </w:rPr>
              <w:t>）</w:t>
            </w:r>
            <w:r>
              <w:rPr>
                <w:rFonts w:cs="宋体"/>
                <w:bCs/>
                <w:kern w:val="21"/>
                <w:sz w:val="24"/>
              </w:rPr>
              <w:t>附录B</w:t>
            </w:r>
            <w:r>
              <w:rPr>
                <w:rFonts w:hint="eastAsia" w:cs="宋体"/>
                <w:bCs/>
                <w:kern w:val="21"/>
                <w:sz w:val="24"/>
              </w:rPr>
              <w:t>及《危险化学品重大危险源辨识》（GB18218-2008）</w:t>
            </w:r>
            <w:r>
              <w:rPr>
                <w:rFonts w:cs="宋体"/>
                <w:bCs/>
                <w:kern w:val="21"/>
                <w:sz w:val="24"/>
              </w:rPr>
              <w:t>，本项目涉及的风险物质主要为</w:t>
            </w:r>
            <w:r>
              <w:rPr>
                <w:rFonts w:hint="eastAsia" w:ascii="宋体" w:hAnsi="宋体" w:cs="宋体"/>
                <w:kern w:val="0"/>
                <w:sz w:val="24"/>
              </w:rPr>
              <w:t>废机油</w:t>
            </w:r>
            <w:r>
              <w:rPr>
                <w:rFonts w:cs="宋体"/>
                <w:bCs/>
                <w:kern w:val="21"/>
                <w:sz w:val="24"/>
              </w:rPr>
              <w:t>。</w:t>
            </w:r>
            <w:r>
              <w:rPr>
                <w:rFonts w:hint="eastAsia" w:cs="宋体"/>
                <w:bCs/>
                <w:kern w:val="21"/>
                <w:sz w:val="24"/>
              </w:rPr>
              <w:t>项目危险性主要是储桶破损等导致风险物质泄漏引发的风险事故。</w:t>
            </w:r>
          </w:p>
          <w:p w14:paraId="19F35362">
            <w:pPr>
              <w:pStyle w:val="52"/>
              <w:numPr>
                <w:ilvl w:val="0"/>
                <w:numId w:val="1"/>
              </w:numPr>
              <w:ind w:left="0" w:firstLine="0"/>
              <w:rPr>
                <w:color w:val="auto"/>
              </w:rPr>
            </w:pPr>
            <w:bookmarkStart w:id="4" w:name="_Toc411149446"/>
            <w:bookmarkEnd w:id="4"/>
            <w:r>
              <w:rPr>
                <w:rFonts w:hint="eastAsia"/>
                <w:color w:val="auto"/>
              </w:rPr>
              <w:t xml:space="preserve">     主要危险物质数量和分布情况一览表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4"/>
              <w:gridCol w:w="958"/>
              <w:gridCol w:w="1606"/>
              <w:gridCol w:w="2939"/>
              <w:gridCol w:w="991"/>
              <w:gridCol w:w="1327"/>
            </w:tblGrid>
            <w:tr w14:paraId="7D1D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4" w:type="pct"/>
                  <w:vAlign w:val="center"/>
                </w:tcPr>
                <w:p w14:paraId="3AF3B306">
                  <w:pPr>
                    <w:widowControl/>
                    <w:jc w:val="center"/>
                    <w:rPr>
                      <w:szCs w:val="21"/>
                    </w:rPr>
                  </w:pPr>
                  <w:r>
                    <w:rPr>
                      <w:rFonts w:hint="eastAsia"/>
                      <w:szCs w:val="21"/>
                    </w:rPr>
                    <w:t>物质名称</w:t>
                  </w:r>
                </w:p>
              </w:tc>
              <w:tc>
                <w:tcPr>
                  <w:tcW w:w="542" w:type="pct"/>
                  <w:vAlign w:val="center"/>
                </w:tcPr>
                <w:p w14:paraId="4FB98C35">
                  <w:pPr>
                    <w:widowControl/>
                    <w:jc w:val="center"/>
                    <w:rPr>
                      <w:szCs w:val="21"/>
                    </w:rPr>
                  </w:pPr>
                  <w:r>
                    <w:rPr>
                      <w:rFonts w:hint="eastAsia"/>
                      <w:szCs w:val="21"/>
                    </w:rPr>
                    <w:t>物品状态</w:t>
                  </w:r>
                </w:p>
              </w:tc>
              <w:tc>
                <w:tcPr>
                  <w:tcW w:w="909" w:type="pct"/>
                  <w:vAlign w:val="center"/>
                </w:tcPr>
                <w:p w14:paraId="1F7B22A8">
                  <w:pPr>
                    <w:widowControl/>
                    <w:jc w:val="center"/>
                    <w:rPr>
                      <w:szCs w:val="21"/>
                    </w:rPr>
                  </w:pPr>
                  <w:r>
                    <w:rPr>
                      <w:rFonts w:hint="eastAsia"/>
                      <w:szCs w:val="21"/>
                    </w:rPr>
                    <w:t>存储方式</w:t>
                  </w:r>
                </w:p>
              </w:tc>
              <w:tc>
                <w:tcPr>
                  <w:tcW w:w="1663" w:type="pct"/>
                  <w:vAlign w:val="center"/>
                </w:tcPr>
                <w:p w14:paraId="05872145">
                  <w:pPr>
                    <w:widowControl/>
                    <w:jc w:val="center"/>
                    <w:rPr>
                      <w:szCs w:val="21"/>
                    </w:rPr>
                  </w:pPr>
                  <w:r>
                    <w:rPr>
                      <w:rFonts w:hint="eastAsia"/>
                      <w:szCs w:val="21"/>
                    </w:rPr>
                    <w:t>最大贮存量</w:t>
                  </w:r>
                  <w:r>
                    <w:rPr>
                      <w:rFonts w:hint="eastAsia"/>
                      <w:bCs/>
                      <w:szCs w:val="21"/>
                    </w:rPr>
                    <w:t>q</w:t>
                  </w:r>
                  <w:r>
                    <w:rPr>
                      <w:bCs/>
                      <w:szCs w:val="21"/>
                    </w:rPr>
                    <w:t>i</w:t>
                  </w:r>
                </w:p>
              </w:tc>
              <w:tc>
                <w:tcPr>
                  <w:tcW w:w="561" w:type="pct"/>
                  <w:vAlign w:val="center"/>
                </w:tcPr>
                <w:p w14:paraId="33C80633">
                  <w:pPr>
                    <w:widowControl/>
                    <w:jc w:val="center"/>
                    <w:rPr>
                      <w:szCs w:val="21"/>
                    </w:rPr>
                  </w:pPr>
                  <w:r>
                    <w:rPr>
                      <w:rFonts w:hint="eastAsia"/>
                      <w:szCs w:val="21"/>
                    </w:rPr>
                    <w:t>临界量（t）</w:t>
                  </w:r>
                  <w:r>
                    <w:rPr>
                      <w:rFonts w:hint="eastAsia"/>
                      <w:bCs/>
                      <w:szCs w:val="21"/>
                    </w:rPr>
                    <w:t>Q</w:t>
                  </w:r>
                  <w:r>
                    <w:rPr>
                      <w:bCs/>
                      <w:szCs w:val="21"/>
                    </w:rPr>
                    <w:t>i</w:t>
                  </w:r>
                </w:p>
              </w:tc>
              <w:tc>
                <w:tcPr>
                  <w:tcW w:w="751" w:type="pct"/>
                  <w:vAlign w:val="center"/>
                </w:tcPr>
                <w:p w14:paraId="7B031F41">
                  <w:pPr>
                    <w:widowControl/>
                    <w:jc w:val="center"/>
                    <w:rPr>
                      <w:szCs w:val="21"/>
                    </w:rPr>
                  </w:pPr>
                  <w:r>
                    <w:rPr>
                      <w:rFonts w:hint="eastAsia"/>
                      <w:bCs/>
                      <w:szCs w:val="21"/>
                    </w:rPr>
                    <w:t>q</w:t>
                  </w:r>
                  <w:r>
                    <w:rPr>
                      <w:bCs/>
                      <w:szCs w:val="21"/>
                    </w:rPr>
                    <w:t>i</w:t>
                  </w:r>
                  <w:r>
                    <w:rPr>
                      <w:rFonts w:hint="eastAsia"/>
                      <w:bCs/>
                      <w:szCs w:val="21"/>
                    </w:rPr>
                    <w:t>/Q</w:t>
                  </w:r>
                  <w:r>
                    <w:rPr>
                      <w:bCs/>
                      <w:szCs w:val="21"/>
                    </w:rPr>
                    <w:t>i</w:t>
                  </w:r>
                </w:p>
              </w:tc>
            </w:tr>
            <w:tr w14:paraId="20C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4" w:type="pct"/>
                  <w:vAlign w:val="center"/>
                </w:tcPr>
                <w:p w14:paraId="6380BC02">
                  <w:pPr>
                    <w:widowControl/>
                    <w:jc w:val="center"/>
                    <w:rPr>
                      <w:szCs w:val="21"/>
                    </w:rPr>
                  </w:pPr>
                  <w:r>
                    <w:rPr>
                      <w:rFonts w:hint="eastAsia"/>
                      <w:szCs w:val="21"/>
                    </w:rPr>
                    <w:t>机油</w:t>
                  </w:r>
                </w:p>
              </w:tc>
              <w:tc>
                <w:tcPr>
                  <w:tcW w:w="542" w:type="pct"/>
                  <w:vAlign w:val="center"/>
                </w:tcPr>
                <w:p w14:paraId="66B6507D">
                  <w:pPr>
                    <w:jc w:val="center"/>
                    <w:rPr>
                      <w:szCs w:val="21"/>
                    </w:rPr>
                  </w:pPr>
                  <w:r>
                    <w:rPr>
                      <w:rFonts w:hint="eastAsia"/>
                      <w:szCs w:val="21"/>
                    </w:rPr>
                    <w:t>液体</w:t>
                  </w:r>
                </w:p>
              </w:tc>
              <w:tc>
                <w:tcPr>
                  <w:tcW w:w="909" w:type="pct"/>
                  <w:vAlign w:val="center"/>
                </w:tcPr>
                <w:p w14:paraId="77565F96">
                  <w:pPr>
                    <w:jc w:val="center"/>
                    <w:rPr>
                      <w:szCs w:val="21"/>
                    </w:rPr>
                  </w:pPr>
                  <w:r>
                    <w:rPr>
                      <w:rFonts w:hint="eastAsia"/>
                      <w:szCs w:val="21"/>
                    </w:rPr>
                    <w:t>桶装</w:t>
                  </w:r>
                </w:p>
              </w:tc>
              <w:tc>
                <w:tcPr>
                  <w:tcW w:w="1663" w:type="pct"/>
                  <w:vAlign w:val="center"/>
                </w:tcPr>
                <w:p w14:paraId="6B9443C8">
                  <w:pPr>
                    <w:jc w:val="center"/>
                    <w:rPr>
                      <w:szCs w:val="21"/>
                    </w:rPr>
                  </w:pPr>
                  <w:r>
                    <w:rPr>
                      <w:rFonts w:hint="eastAsia"/>
                      <w:szCs w:val="21"/>
                    </w:rPr>
                    <w:t>最大贮存量0.05t</w:t>
                  </w:r>
                </w:p>
              </w:tc>
              <w:tc>
                <w:tcPr>
                  <w:tcW w:w="561" w:type="pct"/>
                  <w:vAlign w:val="center"/>
                </w:tcPr>
                <w:p w14:paraId="16B759FE">
                  <w:pPr>
                    <w:jc w:val="center"/>
                    <w:rPr>
                      <w:szCs w:val="21"/>
                    </w:rPr>
                  </w:pPr>
                  <w:r>
                    <w:rPr>
                      <w:rFonts w:hint="eastAsia"/>
                      <w:szCs w:val="21"/>
                    </w:rPr>
                    <w:t>2500</w:t>
                  </w:r>
                </w:p>
              </w:tc>
              <w:tc>
                <w:tcPr>
                  <w:tcW w:w="751" w:type="pct"/>
                  <w:vAlign w:val="center"/>
                </w:tcPr>
                <w:p w14:paraId="1FAAE894">
                  <w:pPr>
                    <w:jc w:val="center"/>
                    <w:rPr>
                      <w:szCs w:val="21"/>
                    </w:rPr>
                  </w:pPr>
                  <w:r>
                    <w:rPr>
                      <w:rFonts w:hint="eastAsia"/>
                      <w:szCs w:val="21"/>
                    </w:rPr>
                    <w:t>0.00005</w:t>
                  </w:r>
                </w:p>
              </w:tc>
            </w:tr>
            <w:tr w14:paraId="2002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4" w:type="pct"/>
                  <w:vAlign w:val="center"/>
                </w:tcPr>
                <w:p w14:paraId="4E7E3FCD">
                  <w:pPr>
                    <w:widowControl/>
                    <w:jc w:val="center"/>
                    <w:rPr>
                      <w:szCs w:val="21"/>
                    </w:rPr>
                  </w:pPr>
                  <w:r>
                    <w:rPr>
                      <w:rFonts w:hint="eastAsia"/>
                      <w:szCs w:val="21"/>
                    </w:rPr>
                    <w:t>废机油</w:t>
                  </w:r>
                </w:p>
              </w:tc>
              <w:tc>
                <w:tcPr>
                  <w:tcW w:w="542" w:type="pct"/>
                  <w:vAlign w:val="center"/>
                </w:tcPr>
                <w:p w14:paraId="55F711E3">
                  <w:pPr>
                    <w:jc w:val="center"/>
                    <w:rPr>
                      <w:szCs w:val="21"/>
                    </w:rPr>
                  </w:pPr>
                  <w:r>
                    <w:rPr>
                      <w:rFonts w:hint="eastAsia"/>
                      <w:szCs w:val="21"/>
                    </w:rPr>
                    <w:t>液体</w:t>
                  </w:r>
                </w:p>
              </w:tc>
              <w:tc>
                <w:tcPr>
                  <w:tcW w:w="909" w:type="pct"/>
                  <w:vAlign w:val="center"/>
                </w:tcPr>
                <w:p w14:paraId="07633894">
                  <w:pPr>
                    <w:jc w:val="center"/>
                    <w:rPr>
                      <w:szCs w:val="21"/>
                    </w:rPr>
                  </w:pPr>
                  <w:r>
                    <w:rPr>
                      <w:rFonts w:hint="eastAsia"/>
                      <w:szCs w:val="21"/>
                    </w:rPr>
                    <w:t>桶装</w:t>
                  </w:r>
                </w:p>
              </w:tc>
              <w:tc>
                <w:tcPr>
                  <w:tcW w:w="1663" w:type="pct"/>
                  <w:vAlign w:val="center"/>
                </w:tcPr>
                <w:p w14:paraId="32007EE5">
                  <w:pPr>
                    <w:jc w:val="center"/>
                    <w:rPr>
                      <w:szCs w:val="21"/>
                    </w:rPr>
                  </w:pPr>
                  <w:r>
                    <w:rPr>
                      <w:rFonts w:hint="eastAsia"/>
                      <w:szCs w:val="21"/>
                    </w:rPr>
                    <w:t>最大贮存量0.2t</w:t>
                  </w:r>
                </w:p>
              </w:tc>
              <w:tc>
                <w:tcPr>
                  <w:tcW w:w="561" w:type="pct"/>
                  <w:vAlign w:val="center"/>
                </w:tcPr>
                <w:p w14:paraId="647155AF">
                  <w:pPr>
                    <w:jc w:val="center"/>
                    <w:rPr>
                      <w:szCs w:val="21"/>
                    </w:rPr>
                  </w:pPr>
                  <w:r>
                    <w:rPr>
                      <w:rFonts w:hint="eastAsia"/>
                      <w:szCs w:val="21"/>
                    </w:rPr>
                    <w:t>50</w:t>
                  </w:r>
                </w:p>
              </w:tc>
              <w:tc>
                <w:tcPr>
                  <w:tcW w:w="751" w:type="pct"/>
                  <w:vAlign w:val="center"/>
                </w:tcPr>
                <w:p w14:paraId="5F8A53D8">
                  <w:pPr>
                    <w:jc w:val="center"/>
                    <w:rPr>
                      <w:szCs w:val="21"/>
                    </w:rPr>
                  </w:pPr>
                  <w:r>
                    <w:rPr>
                      <w:rFonts w:hint="eastAsia"/>
                      <w:szCs w:val="21"/>
                    </w:rPr>
                    <w:t>0.004</w:t>
                  </w:r>
                </w:p>
              </w:tc>
            </w:tr>
            <w:tr w14:paraId="074D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4" w:type="pct"/>
                  <w:vAlign w:val="center"/>
                </w:tcPr>
                <w:p w14:paraId="24FCC4C8">
                  <w:pPr>
                    <w:widowControl/>
                    <w:jc w:val="center"/>
                    <w:rPr>
                      <w:szCs w:val="21"/>
                    </w:rPr>
                  </w:pPr>
                  <w:r>
                    <w:rPr>
                      <w:rFonts w:hint="eastAsia"/>
                      <w:szCs w:val="21"/>
                    </w:rPr>
                    <w:t>天然气</w:t>
                  </w:r>
                </w:p>
              </w:tc>
              <w:tc>
                <w:tcPr>
                  <w:tcW w:w="542" w:type="pct"/>
                  <w:vAlign w:val="center"/>
                </w:tcPr>
                <w:p w14:paraId="735C8FC5">
                  <w:pPr>
                    <w:jc w:val="center"/>
                    <w:rPr>
                      <w:szCs w:val="21"/>
                    </w:rPr>
                  </w:pPr>
                  <w:r>
                    <w:rPr>
                      <w:rFonts w:hint="eastAsia"/>
                      <w:szCs w:val="21"/>
                    </w:rPr>
                    <w:t>气体</w:t>
                  </w:r>
                </w:p>
              </w:tc>
              <w:tc>
                <w:tcPr>
                  <w:tcW w:w="909" w:type="pct"/>
                  <w:vAlign w:val="center"/>
                </w:tcPr>
                <w:p w14:paraId="11D7086F">
                  <w:pPr>
                    <w:jc w:val="center"/>
                    <w:rPr>
                      <w:szCs w:val="21"/>
                    </w:rPr>
                  </w:pPr>
                  <w:r>
                    <w:rPr>
                      <w:rFonts w:hint="eastAsia"/>
                      <w:szCs w:val="21"/>
                    </w:rPr>
                    <w:t>市政管网（根据厂区管网布设折算天然气管网最大输送量）</w:t>
                  </w:r>
                </w:p>
              </w:tc>
              <w:tc>
                <w:tcPr>
                  <w:tcW w:w="1663" w:type="pct"/>
                  <w:vAlign w:val="center"/>
                </w:tcPr>
                <w:p w14:paraId="0C13CA68">
                  <w:pPr>
                    <w:jc w:val="center"/>
                    <w:rPr>
                      <w:szCs w:val="21"/>
                    </w:rPr>
                  </w:pPr>
                  <w:r>
                    <w:rPr>
                      <w:rFonts w:hint="eastAsia"/>
                      <w:szCs w:val="21"/>
                    </w:rPr>
                    <w:t>天然气管网最大输送量0.14 t</w:t>
                  </w:r>
                </w:p>
              </w:tc>
              <w:tc>
                <w:tcPr>
                  <w:tcW w:w="561" w:type="pct"/>
                  <w:vAlign w:val="center"/>
                </w:tcPr>
                <w:p w14:paraId="21596D2A">
                  <w:pPr>
                    <w:widowControl/>
                    <w:jc w:val="center"/>
                    <w:rPr>
                      <w:szCs w:val="21"/>
                    </w:rPr>
                  </w:pPr>
                  <w:r>
                    <w:rPr>
                      <w:rFonts w:hint="eastAsia"/>
                      <w:szCs w:val="21"/>
                    </w:rPr>
                    <w:t>10</w:t>
                  </w:r>
                </w:p>
              </w:tc>
              <w:tc>
                <w:tcPr>
                  <w:tcW w:w="751" w:type="pct"/>
                  <w:vAlign w:val="center"/>
                </w:tcPr>
                <w:p w14:paraId="783ED025">
                  <w:pPr>
                    <w:jc w:val="center"/>
                    <w:rPr>
                      <w:szCs w:val="21"/>
                    </w:rPr>
                  </w:pPr>
                  <w:r>
                    <w:rPr>
                      <w:rFonts w:hint="eastAsia"/>
                      <w:szCs w:val="21"/>
                    </w:rPr>
                    <w:t>0.014</w:t>
                  </w:r>
                </w:p>
              </w:tc>
            </w:tr>
            <w:tr w14:paraId="1B05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4" w:type="pct"/>
                  <w:vAlign w:val="center"/>
                </w:tcPr>
                <w:p w14:paraId="6248F7BF">
                  <w:pPr>
                    <w:widowControl/>
                    <w:jc w:val="center"/>
                    <w:rPr>
                      <w:szCs w:val="21"/>
                    </w:rPr>
                  </w:pPr>
                  <w:r>
                    <w:rPr>
                      <w:rFonts w:hint="eastAsia"/>
                      <w:szCs w:val="21"/>
                    </w:rPr>
                    <w:t>液化石油气</w:t>
                  </w:r>
                </w:p>
              </w:tc>
              <w:tc>
                <w:tcPr>
                  <w:tcW w:w="542" w:type="pct"/>
                  <w:vAlign w:val="center"/>
                </w:tcPr>
                <w:p w14:paraId="04936417">
                  <w:pPr>
                    <w:jc w:val="center"/>
                    <w:rPr>
                      <w:szCs w:val="21"/>
                    </w:rPr>
                  </w:pPr>
                  <w:r>
                    <w:rPr>
                      <w:rFonts w:hint="eastAsia"/>
                      <w:szCs w:val="21"/>
                    </w:rPr>
                    <w:t>液体</w:t>
                  </w:r>
                </w:p>
              </w:tc>
              <w:tc>
                <w:tcPr>
                  <w:tcW w:w="909" w:type="pct"/>
                  <w:vAlign w:val="center"/>
                </w:tcPr>
                <w:p w14:paraId="68D41F04">
                  <w:pPr>
                    <w:jc w:val="center"/>
                    <w:rPr>
                      <w:szCs w:val="21"/>
                    </w:rPr>
                  </w:pPr>
                  <w:r>
                    <w:rPr>
                      <w:rFonts w:hint="eastAsia"/>
                      <w:szCs w:val="21"/>
                    </w:rPr>
                    <w:t>罐装（厂区内贮存5罐，规格为170</w:t>
                  </w:r>
                  <w:r>
                    <w:rPr>
                      <w:szCs w:val="21"/>
                    </w:rPr>
                    <w:t>kg/</w:t>
                  </w:r>
                  <w:r>
                    <w:rPr>
                      <w:rFonts w:hAnsiTheme="minorEastAsia"/>
                      <w:szCs w:val="21"/>
                    </w:rPr>
                    <w:t>罐</w:t>
                  </w:r>
                  <w:r>
                    <w:rPr>
                      <w:rFonts w:hint="eastAsia"/>
                      <w:szCs w:val="21"/>
                    </w:rPr>
                    <w:t>）</w:t>
                  </w:r>
                </w:p>
              </w:tc>
              <w:tc>
                <w:tcPr>
                  <w:tcW w:w="1663" w:type="pct"/>
                  <w:vAlign w:val="center"/>
                </w:tcPr>
                <w:p w14:paraId="023CEAA1">
                  <w:pPr>
                    <w:jc w:val="center"/>
                    <w:rPr>
                      <w:szCs w:val="21"/>
                    </w:rPr>
                  </w:pPr>
                  <w:r>
                    <w:rPr>
                      <w:rFonts w:hint="eastAsia"/>
                      <w:szCs w:val="21"/>
                    </w:rPr>
                    <w:t>液化石油气最大贮存量0.85t</w:t>
                  </w:r>
                </w:p>
              </w:tc>
              <w:tc>
                <w:tcPr>
                  <w:tcW w:w="561" w:type="pct"/>
                  <w:vAlign w:val="center"/>
                </w:tcPr>
                <w:p w14:paraId="324FCEAE">
                  <w:pPr>
                    <w:widowControl/>
                    <w:jc w:val="center"/>
                    <w:rPr>
                      <w:szCs w:val="21"/>
                    </w:rPr>
                  </w:pPr>
                  <w:r>
                    <w:rPr>
                      <w:rFonts w:hint="eastAsia"/>
                      <w:szCs w:val="21"/>
                    </w:rPr>
                    <w:t>10</w:t>
                  </w:r>
                </w:p>
              </w:tc>
              <w:tc>
                <w:tcPr>
                  <w:tcW w:w="751" w:type="pct"/>
                  <w:vAlign w:val="center"/>
                </w:tcPr>
                <w:p w14:paraId="1A5F9B24">
                  <w:pPr>
                    <w:jc w:val="center"/>
                    <w:rPr>
                      <w:szCs w:val="21"/>
                    </w:rPr>
                  </w:pPr>
                  <w:r>
                    <w:rPr>
                      <w:rFonts w:hint="eastAsia"/>
                      <w:szCs w:val="21"/>
                    </w:rPr>
                    <w:t>0.085</w:t>
                  </w:r>
                </w:p>
              </w:tc>
            </w:tr>
          </w:tbl>
          <w:p w14:paraId="671A6319">
            <w:pPr>
              <w:spacing w:line="360" w:lineRule="auto"/>
              <w:ind w:firstLine="480" w:firstLineChars="200"/>
              <w:rPr>
                <w:bCs/>
                <w:sz w:val="24"/>
              </w:rPr>
            </w:pPr>
            <w:r>
              <w:rPr>
                <w:rFonts w:cs="宋体"/>
                <w:bCs/>
                <w:kern w:val="21"/>
                <w:sz w:val="24"/>
              </w:rPr>
              <w:t>根据《建设项目风险评价技术导则》（HJ169-2018</w:t>
            </w:r>
            <w:r>
              <w:rPr>
                <w:rFonts w:hint="eastAsia" w:cs="宋体"/>
                <w:bCs/>
                <w:kern w:val="21"/>
                <w:sz w:val="24"/>
              </w:rPr>
              <w:t>）及表37中的相关数据进行判断，当燃料为天然气时，本项目</w:t>
            </w:r>
            <w:r>
              <w:rPr>
                <w:rFonts w:cs="宋体"/>
                <w:bCs/>
                <w:kern w:val="21"/>
                <w:sz w:val="24"/>
              </w:rPr>
              <w:t>危险物质数量与临界量的比值Q=</w:t>
            </w:r>
            <w:r>
              <w:rPr>
                <w:rFonts w:hint="eastAsia" w:cs="宋体"/>
                <w:bCs/>
                <w:kern w:val="21"/>
                <w:sz w:val="24"/>
              </w:rPr>
              <w:t>0.01805＜1；当燃料为液化石油气时，本项目</w:t>
            </w:r>
            <w:r>
              <w:rPr>
                <w:rFonts w:cs="宋体"/>
                <w:bCs/>
                <w:kern w:val="21"/>
                <w:sz w:val="24"/>
              </w:rPr>
              <w:t>危险物质数量与临界量的比值Q=</w:t>
            </w:r>
            <w:r>
              <w:rPr>
                <w:rFonts w:hint="eastAsia" w:cs="宋体"/>
                <w:bCs/>
                <w:kern w:val="21"/>
                <w:sz w:val="24"/>
              </w:rPr>
              <w:t>0.08905＜1；</w:t>
            </w:r>
            <w:r>
              <w:rPr>
                <w:bCs/>
                <w:sz w:val="24"/>
              </w:rPr>
              <w:t>本工程环境风险</w:t>
            </w:r>
            <w:r>
              <w:rPr>
                <w:rFonts w:hint="eastAsia"/>
                <w:bCs/>
                <w:sz w:val="24"/>
              </w:rPr>
              <w:t>物质存储量小于临界量</w:t>
            </w:r>
            <w:r>
              <w:rPr>
                <w:bCs/>
                <w:sz w:val="24"/>
              </w:rPr>
              <w:t>。</w:t>
            </w:r>
          </w:p>
          <w:p w14:paraId="18AB43A3">
            <w:pPr>
              <w:spacing w:line="360" w:lineRule="auto"/>
              <w:ind w:firstLine="480" w:firstLineChars="200"/>
              <w:rPr>
                <w:rFonts w:cs="宋体"/>
                <w:bCs/>
                <w:kern w:val="21"/>
                <w:sz w:val="24"/>
              </w:rPr>
            </w:pPr>
            <w:r>
              <w:rPr>
                <w:rFonts w:hint="eastAsia" w:cs="宋体"/>
                <w:bCs/>
                <w:kern w:val="21"/>
                <w:sz w:val="24"/>
              </w:rPr>
              <w:t>4.6.2风险源分布及可能影响途径</w:t>
            </w:r>
          </w:p>
          <w:p w14:paraId="0C7079D4">
            <w:pPr>
              <w:spacing w:line="360" w:lineRule="auto"/>
              <w:ind w:firstLine="480" w:firstLineChars="200"/>
              <w:jc w:val="left"/>
              <w:rPr>
                <w:sz w:val="24"/>
              </w:rPr>
            </w:pPr>
            <w:r>
              <w:rPr>
                <w:rFonts w:hint="eastAsia"/>
                <w:sz w:val="24"/>
              </w:rPr>
              <w:t>A、风险物质泄漏，生产车间原料储存区及生产区地面防渗层破损或危废暂存间防渗层破损会导致风险物质垂直入渗污染土壤及地下水；</w:t>
            </w:r>
          </w:p>
          <w:p w14:paraId="52B0861F">
            <w:pPr>
              <w:spacing w:line="360" w:lineRule="auto"/>
              <w:ind w:firstLine="480" w:firstLineChars="200"/>
              <w:jc w:val="left"/>
              <w:rPr>
                <w:sz w:val="24"/>
              </w:rPr>
            </w:pPr>
            <w:r>
              <w:rPr>
                <w:sz w:val="24"/>
              </w:rPr>
              <w:t>B</w:t>
            </w:r>
            <w:r>
              <w:rPr>
                <w:rFonts w:hint="eastAsia"/>
                <w:sz w:val="24"/>
              </w:rPr>
              <w:t>、若风险物质泄漏发生火灾时，消防废水通过雨水管网排入地表水环境中，造成地表水环境的污染。</w:t>
            </w:r>
          </w:p>
          <w:p w14:paraId="5D2B3B9E">
            <w:pPr>
              <w:spacing w:line="360" w:lineRule="auto"/>
              <w:ind w:firstLine="480" w:firstLineChars="200"/>
              <w:rPr>
                <w:sz w:val="24"/>
              </w:rPr>
            </w:pPr>
            <w:r>
              <w:rPr>
                <w:rFonts w:hint="eastAsia"/>
                <w:sz w:val="24"/>
              </w:rPr>
              <w:t>4.6.3风险防范措施</w:t>
            </w:r>
          </w:p>
          <w:p w14:paraId="3345DF64">
            <w:pPr>
              <w:spacing w:line="360" w:lineRule="auto"/>
              <w:ind w:firstLine="480" w:firstLineChars="200"/>
              <w:rPr>
                <w:sz w:val="24"/>
              </w:rPr>
            </w:pPr>
            <w:r>
              <w:rPr>
                <w:rFonts w:hint="eastAsia"/>
                <w:sz w:val="24"/>
              </w:rPr>
              <w:t>对企业可能发生的突发环境事件，有针对性地进行防控，提倡预防为主的原则，防患于未然。一旦发生上述突发环境事件，应做到快速响应、及时控制、措施得力，最大程度上减轻不良影响。项目对各风险源采取以下风险防控措施：</w:t>
            </w:r>
          </w:p>
          <w:p w14:paraId="0B57BFDC">
            <w:pPr>
              <w:adjustRightInd w:val="0"/>
              <w:snapToGrid w:val="0"/>
              <w:spacing w:line="360" w:lineRule="auto"/>
              <w:ind w:firstLine="480" w:firstLineChars="200"/>
              <w:rPr>
                <w:sz w:val="24"/>
              </w:rPr>
            </w:pPr>
            <w:r>
              <w:rPr>
                <w:sz w:val="24"/>
              </w:rPr>
              <w:t>项目针对风险物质的储存存在的风险拟采取如下措施：</w:t>
            </w:r>
          </w:p>
          <w:p w14:paraId="34C74D77">
            <w:pPr>
              <w:adjustRightInd w:val="0"/>
              <w:snapToGrid w:val="0"/>
              <w:spacing w:line="360" w:lineRule="auto"/>
              <w:ind w:firstLine="480" w:firstLineChars="200"/>
              <w:rPr>
                <w:sz w:val="24"/>
              </w:rPr>
            </w:pPr>
            <w:r>
              <w:rPr>
                <w:sz w:val="24"/>
              </w:rPr>
              <w:t>①泄漏风险防范措施</w:t>
            </w:r>
          </w:p>
          <w:p w14:paraId="482D8665">
            <w:pPr>
              <w:adjustRightInd w:val="0"/>
              <w:snapToGrid w:val="0"/>
              <w:spacing w:line="360" w:lineRule="auto"/>
              <w:ind w:firstLine="480" w:firstLineChars="200"/>
              <w:rPr>
                <w:sz w:val="24"/>
              </w:rPr>
            </w:pPr>
            <w:r>
              <w:rPr>
                <w:sz w:val="24"/>
              </w:rPr>
              <w:t>a.完善原料仓库、危废仓库、污水处理设施等区域防渗工作。</w:t>
            </w:r>
          </w:p>
          <w:p w14:paraId="701BA39A">
            <w:pPr>
              <w:adjustRightInd w:val="0"/>
              <w:snapToGrid w:val="0"/>
              <w:spacing w:line="360" w:lineRule="auto"/>
              <w:ind w:firstLine="480" w:firstLineChars="200"/>
              <w:rPr>
                <w:sz w:val="24"/>
              </w:rPr>
            </w:pPr>
            <w:r>
              <w:rPr>
                <w:sz w:val="24"/>
              </w:rPr>
              <w:t>b.危废仓库内四周设置导流槽、收集池或围堰，导流槽连入收集池，一旦发生泄漏，应收集泄漏的废液，收集后的废液交有资质单位处置。</w:t>
            </w:r>
          </w:p>
          <w:p w14:paraId="2AACDD83">
            <w:pPr>
              <w:adjustRightInd w:val="0"/>
              <w:snapToGrid w:val="0"/>
              <w:spacing w:line="360" w:lineRule="auto"/>
              <w:ind w:firstLine="480" w:firstLineChars="200"/>
              <w:rPr>
                <w:sz w:val="24"/>
              </w:rPr>
            </w:pPr>
            <w:r>
              <w:rPr>
                <w:sz w:val="24"/>
              </w:rPr>
              <w:t>c.发生火灾事故后，如消防废水流入雨水管道，应立即关闭雨水管道排水口阀门，将雨水管道中的污染液体收集处理。</w:t>
            </w:r>
          </w:p>
          <w:p w14:paraId="551302AD">
            <w:pPr>
              <w:adjustRightInd w:val="0"/>
              <w:snapToGrid w:val="0"/>
              <w:spacing w:line="360" w:lineRule="auto"/>
              <w:ind w:firstLine="480" w:firstLineChars="200"/>
              <w:rPr>
                <w:sz w:val="24"/>
              </w:rPr>
            </w:pPr>
            <w:r>
              <w:rPr>
                <w:sz w:val="24"/>
              </w:rPr>
              <w:t>d.厂内应准备足够的沙袋、阻流袋等应急物资。</w:t>
            </w:r>
          </w:p>
          <w:p w14:paraId="70982B7F">
            <w:pPr>
              <w:adjustRightInd w:val="0"/>
              <w:snapToGrid w:val="0"/>
              <w:spacing w:line="360" w:lineRule="auto"/>
              <w:ind w:firstLine="480" w:firstLineChars="200"/>
              <w:rPr>
                <w:sz w:val="24"/>
              </w:rPr>
            </w:pPr>
            <w:r>
              <w:rPr>
                <w:sz w:val="24"/>
              </w:rPr>
              <w:t>②火灾产生的次生污染物突发环境事件风险防范措施</w:t>
            </w:r>
          </w:p>
          <w:p w14:paraId="70F695D6">
            <w:pPr>
              <w:adjustRightInd w:val="0"/>
              <w:snapToGrid w:val="0"/>
              <w:spacing w:line="360" w:lineRule="auto"/>
              <w:ind w:firstLine="480" w:firstLineChars="200"/>
              <w:rPr>
                <w:sz w:val="24"/>
              </w:rPr>
            </w:pPr>
            <w:r>
              <w:rPr>
                <w:sz w:val="24"/>
              </w:rPr>
              <w:t>a.原料仓库、危废仓库等区域周围禁止明火，电气设施应采用防爆设施。加强电线电路及各机械设施设备的日常检查，发现老化、异常运转等情况及时更换，避免产生火花引起火灾事故。</w:t>
            </w:r>
          </w:p>
          <w:p w14:paraId="431D4AD4">
            <w:pPr>
              <w:adjustRightInd w:val="0"/>
              <w:snapToGrid w:val="0"/>
              <w:spacing w:line="360" w:lineRule="auto"/>
              <w:ind w:firstLine="480" w:firstLineChars="200"/>
              <w:rPr>
                <w:sz w:val="24"/>
              </w:rPr>
            </w:pPr>
            <w:r>
              <w:rPr>
                <w:sz w:val="24"/>
              </w:rPr>
              <w:t>b.发生火灾后，燃烧产生的烟气，也是引起人员伤亡的重要因素，采取有效的排烟措施是预防二次污染的主要途径。车间应设置机械排烟设施，使火灾发生后的烟气及时排除。此外，灭火救援过程中，在保证火势不迅速蔓延的条件下，可打开门窗进行自然通风排烟，为人员安全疏散和灭火创造有利条件。</w:t>
            </w:r>
          </w:p>
          <w:p w14:paraId="1DB88FF3">
            <w:pPr>
              <w:adjustRightInd w:val="0"/>
              <w:snapToGrid w:val="0"/>
              <w:spacing w:line="360" w:lineRule="auto"/>
              <w:ind w:firstLine="480" w:firstLineChars="200"/>
              <w:rPr>
                <w:sz w:val="24"/>
              </w:rPr>
            </w:pPr>
            <w:r>
              <w:rPr>
                <w:sz w:val="24"/>
              </w:rPr>
              <w:t>c.厂内应准备足够的消防器材、防护服、防毒面具、急救药物等安全环保应急物资。</w:t>
            </w:r>
          </w:p>
          <w:p w14:paraId="2EC330AA">
            <w:pPr>
              <w:widowControl/>
              <w:spacing w:line="360" w:lineRule="auto"/>
              <w:ind w:firstLine="480" w:firstLineChars="200"/>
              <w:jc w:val="left"/>
              <w:rPr>
                <w:sz w:val="24"/>
              </w:rPr>
            </w:pPr>
            <w:r>
              <w:rPr>
                <w:sz w:val="24"/>
              </w:rPr>
              <w:t>项目风险物质暂存量较少，经环评提出的环保措施落实后，环境风险较小。</w:t>
            </w:r>
          </w:p>
          <w:p w14:paraId="0464A132">
            <w:pPr>
              <w:adjustRightInd w:val="0"/>
              <w:snapToGrid w:val="0"/>
              <w:spacing w:line="360" w:lineRule="auto"/>
              <w:rPr>
                <w:b/>
                <w:sz w:val="24"/>
              </w:rPr>
            </w:pPr>
            <w:r>
              <w:rPr>
                <w:b/>
                <w:sz w:val="24"/>
              </w:rPr>
              <w:t>4.7环保投资</w:t>
            </w:r>
          </w:p>
          <w:p w14:paraId="168B775B">
            <w:pPr>
              <w:adjustRightInd w:val="0"/>
              <w:snapToGrid w:val="0"/>
              <w:spacing w:line="360" w:lineRule="auto"/>
              <w:ind w:firstLine="480" w:firstLineChars="200"/>
              <w:rPr>
                <w:sz w:val="24"/>
              </w:rPr>
            </w:pPr>
            <w:r>
              <w:rPr>
                <w:sz w:val="24"/>
              </w:rPr>
              <w:t>项目运营过程的废气、废水、噪声、固体废物经采取相应防治措施后，对环境的影响很小。该项目主要环保投资见表3</w:t>
            </w:r>
            <w:r>
              <w:rPr>
                <w:rFonts w:hint="eastAsia"/>
                <w:sz w:val="24"/>
              </w:rPr>
              <w:t>8</w:t>
            </w:r>
            <w:r>
              <w:rPr>
                <w:sz w:val="24"/>
              </w:rPr>
              <w:t>，总投资为3000万元，环保投资共计</w:t>
            </w:r>
            <w:r>
              <w:rPr>
                <w:rFonts w:hint="eastAsia"/>
                <w:sz w:val="24"/>
              </w:rPr>
              <w:t>109</w:t>
            </w:r>
            <w:r>
              <w:rPr>
                <w:sz w:val="24"/>
              </w:rPr>
              <w:t>万元，占项目总投资的</w:t>
            </w:r>
            <w:r>
              <w:rPr>
                <w:rFonts w:hint="eastAsia"/>
                <w:sz w:val="24"/>
              </w:rPr>
              <w:t>3.63</w:t>
            </w:r>
            <w:r>
              <w:rPr>
                <w:sz w:val="24"/>
              </w:rPr>
              <w:t>%。</w:t>
            </w:r>
          </w:p>
          <w:p w14:paraId="4F13F5D5">
            <w:pPr>
              <w:pStyle w:val="52"/>
              <w:numPr>
                <w:ilvl w:val="0"/>
                <w:numId w:val="1"/>
              </w:numPr>
              <w:ind w:left="0" w:firstLine="0"/>
              <w:rPr>
                <w:color w:val="auto"/>
              </w:rPr>
            </w:pPr>
            <w:r>
              <w:rPr>
                <w:color w:val="auto"/>
              </w:rPr>
              <w:t xml:space="preserve">    主要环保投资一览表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0"/>
              <w:gridCol w:w="638"/>
              <w:gridCol w:w="755"/>
              <w:gridCol w:w="1463"/>
              <w:gridCol w:w="3902"/>
              <w:gridCol w:w="1437"/>
            </w:tblGrid>
            <w:tr w14:paraId="2860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1FAE145F">
                  <w:pPr>
                    <w:jc w:val="center"/>
                  </w:pPr>
                  <w:r>
                    <w:t>序号</w:t>
                  </w:r>
                </w:p>
              </w:tc>
              <w:tc>
                <w:tcPr>
                  <w:tcW w:w="1616" w:type="pct"/>
                  <w:gridSpan w:val="3"/>
                  <w:tcBorders>
                    <w:top w:val="single" w:color="auto" w:sz="4" w:space="0"/>
                    <w:left w:val="single" w:color="auto" w:sz="4" w:space="0"/>
                    <w:bottom w:val="single" w:color="auto" w:sz="4" w:space="0"/>
                    <w:right w:val="single" w:color="auto" w:sz="4" w:space="0"/>
                  </w:tcBorders>
                  <w:vAlign w:val="center"/>
                </w:tcPr>
                <w:p w14:paraId="104E6317">
                  <w:pPr>
                    <w:jc w:val="center"/>
                  </w:pPr>
                  <w:r>
                    <w:t>治理项目</w:t>
                  </w:r>
                </w:p>
              </w:tc>
              <w:tc>
                <w:tcPr>
                  <w:tcW w:w="2208" w:type="pct"/>
                  <w:tcBorders>
                    <w:top w:val="single" w:color="auto" w:sz="4" w:space="0"/>
                    <w:left w:val="single" w:color="auto" w:sz="4" w:space="0"/>
                    <w:bottom w:val="single" w:color="auto" w:sz="4" w:space="0"/>
                    <w:right w:val="single" w:color="auto" w:sz="4" w:space="0"/>
                  </w:tcBorders>
                  <w:vAlign w:val="center"/>
                </w:tcPr>
                <w:p w14:paraId="100EE29D">
                  <w:pPr>
                    <w:jc w:val="center"/>
                  </w:pPr>
                  <w:r>
                    <w:t>污染防治设施或措施</w:t>
                  </w:r>
                </w:p>
              </w:tc>
              <w:tc>
                <w:tcPr>
                  <w:tcW w:w="813" w:type="pct"/>
                  <w:tcBorders>
                    <w:top w:val="single" w:color="auto" w:sz="4" w:space="0"/>
                    <w:left w:val="single" w:color="auto" w:sz="4" w:space="0"/>
                    <w:bottom w:val="single" w:color="auto" w:sz="4" w:space="0"/>
                    <w:right w:val="single" w:color="auto" w:sz="4" w:space="0"/>
                  </w:tcBorders>
                  <w:vAlign w:val="center"/>
                </w:tcPr>
                <w:p w14:paraId="74C7599C">
                  <w:pPr>
                    <w:jc w:val="center"/>
                  </w:pPr>
                  <w:r>
                    <w:t>投资（万元）</w:t>
                  </w:r>
                </w:p>
              </w:tc>
            </w:tr>
            <w:tr w14:paraId="12C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 w:hRule="atLeast"/>
                <w:jc w:val="center"/>
              </w:trPr>
              <w:tc>
                <w:tcPr>
                  <w:tcW w:w="362" w:type="pct"/>
                  <w:vMerge w:val="restart"/>
                  <w:tcBorders>
                    <w:top w:val="single" w:color="auto" w:sz="4" w:space="0"/>
                    <w:left w:val="single" w:color="auto" w:sz="4" w:space="0"/>
                    <w:right w:val="single" w:color="auto" w:sz="4" w:space="0"/>
                  </w:tcBorders>
                  <w:vAlign w:val="center"/>
                </w:tcPr>
                <w:p w14:paraId="1979F6CC">
                  <w:pPr>
                    <w:jc w:val="center"/>
                  </w:pPr>
                  <w:r>
                    <w:t>1</w:t>
                  </w:r>
                </w:p>
              </w:tc>
              <w:tc>
                <w:tcPr>
                  <w:tcW w:w="361" w:type="pct"/>
                  <w:vMerge w:val="restart"/>
                  <w:tcBorders>
                    <w:top w:val="single" w:color="auto" w:sz="4" w:space="0"/>
                    <w:left w:val="single" w:color="auto" w:sz="4" w:space="0"/>
                    <w:right w:val="single" w:color="auto" w:sz="4" w:space="0"/>
                  </w:tcBorders>
                  <w:vAlign w:val="center"/>
                </w:tcPr>
                <w:p w14:paraId="7803E873">
                  <w:pPr>
                    <w:jc w:val="center"/>
                  </w:pPr>
                  <w:r>
                    <w:t>废气治理</w:t>
                  </w: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03D60752">
                  <w:pPr>
                    <w:jc w:val="center"/>
                  </w:pPr>
                  <w:r>
                    <w:rPr>
                      <w:rFonts w:hint="eastAsia"/>
                    </w:rPr>
                    <w:t>切割粉尘</w:t>
                  </w:r>
                </w:p>
              </w:tc>
              <w:tc>
                <w:tcPr>
                  <w:tcW w:w="2208" w:type="pct"/>
                  <w:tcBorders>
                    <w:top w:val="single" w:color="auto" w:sz="4" w:space="0"/>
                    <w:left w:val="single" w:color="auto" w:sz="4" w:space="0"/>
                    <w:bottom w:val="single" w:color="auto" w:sz="4" w:space="0"/>
                    <w:right w:val="single" w:color="auto" w:sz="4" w:space="0"/>
                  </w:tcBorders>
                  <w:vAlign w:val="center"/>
                </w:tcPr>
                <w:p w14:paraId="74D811E5">
                  <w:pPr>
                    <w:pStyle w:val="2"/>
                    <w:spacing w:after="0"/>
                    <w:ind w:left="0" w:leftChars="0" w:firstLine="0" w:firstLineChars="0"/>
                    <w:jc w:val="center"/>
                  </w:pPr>
                  <w:r>
                    <w:rPr>
                      <w:rFonts w:hint="eastAsia"/>
                    </w:rPr>
                    <w:t>布袋除尘器2台</w:t>
                  </w:r>
                  <w:r>
                    <w:t>（TA001</w:t>
                  </w:r>
                  <w:r>
                    <w:rPr>
                      <w:rFonts w:hint="eastAsia"/>
                    </w:rPr>
                    <w:t>、TA002</w:t>
                  </w:r>
                  <w:r>
                    <w:t>）</w:t>
                  </w:r>
                </w:p>
              </w:tc>
              <w:tc>
                <w:tcPr>
                  <w:tcW w:w="813" w:type="pct"/>
                  <w:tcBorders>
                    <w:top w:val="single" w:color="auto" w:sz="4" w:space="0"/>
                    <w:left w:val="single" w:color="auto" w:sz="4" w:space="0"/>
                    <w:bottom w:val="single" w:color="auto" w:sz="4" w:space="0"/>
                    <w:right w:val="single" w:color="auto" w:sz="4" w:space="0"/>
                  </w:tcBorders>
                  <w:vAlign w:val="center"/>
                </w:tcPr>
                <w:p w14:paraId="5C88DD98">
                  <w:pPr>
                    <w:jc w:val="center"/>
                  </w:pPr>
                  <w:r>
                    <w:t>3.0</w:t>
                  </w:r>
                </w:p>
              </w:tc>
            </w:tr>
            <w:tr w14:paraId="2ABC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jc w:val="center"/>
              </w:trPr>
              <w:tc>
                <w:tcPr>
                  <w:tcW w:w="362" w:type="pct"/>
                  <w:vMerge w:val="continue"/>
                  <w:tcBorders>
                    <w:left w:val="single" w:color="auto" w:sz="4" w:space="0"/>
                    <w:right w:val="single" w:color="auto" w:sz="4" w:space="0"/>
                  </w:tcBorders>
                  <w:vAlign w:val="center"/>
                </w:tcPr>
                <w:p w14:paraId="2D56AF9F">
                  <w:pPr>
                    <w:jc w:val="center"/>
                  </w:pPr>
                </w:p>
              </w:tc>
              <w:tc>
                <w:tcPr>
                  <w:tcW w:w="361" w:type="pct"/>
                  <w:vMerge w:val="continue"/>
                  <w:tcBorders>
                    <w:left w:val="single" w:color="auto" w:sz="4" w:space="0"/>
                    <w:right w:val="single" w:color="auto" w:sz="4" w:space="0"/>
                  </w:tcBorders>
                  <w:vAlign w:val="center"/>
                </w:tcPr>
                <w:p w14:paraId="4523AD11">
                  <w:pPr>
                    <w:jc w:val="center"/>
                  </w:pP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44E2F4A2">
                  <w:pPr>
                    <w:jc w:val="center"/>
                  </w:pPr>
                  <w:r>
                    <w:rPr>
                      <w:rFonts w:hint="eastAsia"/>
                    </w:rPr>
                    <w:t>焊接烟尘</w:t>
                  </w:r>
                </w:p>
              </w:tc>
              <w:tc>
                <w:tcPr>
                  <w:tcW w:w="2208" w:type="pct"/>
                  <w:tcBorders>
                    <w:top w:val="single" w:color="auto" w:sz="4" w:space="0"/>
                    <w:left w:val="single" w:color="auto" w:sz="4" w:space="0"/>
                    <w:bottom w:val="single" w:color="auto" w:sz="4" w:space="0"/>
                    <w:right w:val="single" w:color="auto" w:sz="4" w:space="0"/>
                  </w:tcBorders>
                  <w:vAlign w:val="center"/>
                </w:tcPr>
                <w:p w14:paraId="77091E24">
                  <w:pPr>
                    <w:jc w:val="center"/>
                  </w:pPr>
                  <w:r>
                    <w:rPr>
                      <w:rFonts w:hint="eastAsia"/>
                    </w:rPr>
                    <w:t>4</w:t>
                  </w:r>
                  <w:r>
                    <w:t>台移动式焊接烟尘净化器（TA00</w:t>
                  </w:r>
                  <w:r>
                    <w:rPr>
                      <w:rFonts w:hint="eastAsia"/>
                    </w:rPr>
                    <w:t>3</w:t>
                  </w:r>
                  <w:r>
                    <w:t>）</w:t>
                  </w:r>
                </w:p>
              </w:tc>
              <w:tc>
                <w:tcPr>
                  <w:tcW w:w="813" w:type="pct"/>
                  <w:tcBorders>
                    <w:top w:val="single" w:color="auto" w:sz="4" w:space="0"/>
                    <w:left w:val="single" w:color="auto" w:sz="4" w:space="0"/>
                    <w:bottom w:val="single" w:color="auto" w:sz="4" w:space="0"/>
                    <w:right w:val="single" w:color="auto" w:sz="4" w:space="0"/>
                  </w:tcBorders>
                  <w:vAlign w:val="center"/>
                </w:tcPr>
                <w:p w14:paraId="6C64D2AD">
                  <w:pPr>
                    <w:jc w:val="center"/>
                  </w:pPr>
                  <w:r>
                    <w:rPr>
                      <w:rFonts w:hint="eastAsia"/>
                    </w:rPr>
                    <w:t>3</w:t>
                  </w:r>
                  <w:r>
                    <w:t>.0</w:t>
                  </w:r>
                </w:p>
              </w:tc>
            </w:tr>
            <w:tr w14:paraId="5C13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jc w:val="center"/>
              </w:trPr>
              <w:tc>
                <w:tcPr>
                  <w:tcW w:w="362" w:type="pct"/>
                  <w:vMerge w:val="continue"/>
                  <w:tcBorders>
                    <w:left w:val="single" w:color="auto" w:sz="4" w:space="0"/>
                    <w:right w:val="single" w:color="auto" w:sz="4" w:space="0"/>
                  </w:tcBorders>
                  <w:vAlign w:val="center"/>
                </w:tcPr>
                <w:p w14:paraId="688FA8DC">
                  <w:pPr>
                    <w:jc w:val="center"/>
                  </w:pPr>
                </w:p>
              </w:tc>
              <w:tc>
                <w:tcPr>
                  <w:tcW w:w="361" w:type="pct"/>
                  <w:vMerge w:val="continue"/>
                  <w:tcBorders>
                    <w:left w:val="single" w:color="auto" w:sz="4" w:space="0"/>
                    <w:right w:val="single" w:color="auto" w:sz="4" w:space="0"/>
                  </w:tcBorders>
                  <w:vAlign w:val="center"/>
                </w:tcPr>
                <w:p w14:paraId="3A4C3E7A">
                  <w:pPr>
                    <w:jc w:val="center"/>
                  </w:pP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4E5C7483">
                  <w:pPr>
                    <w:jc w:val="center"/>
                  </w:pPr>
                  <w:r>
                    <w:rPr>
                      <w:rFonts w:hint="eastAsia"/>
                    </w:rPr>
                    <w:t>打磨粉尘</w:t>
                  </w:r>
                </w:p>
              </w:tc>
              <w:tc>
                <w:tcPr>
                  <w:tcW w:w="2208" w:type="pct"/>
                  <w:tcBorders>
                    <w:top w:val="single" w:color="auto" w:sz="4" w:space="0"/>
                    <w:left w:val="single" w:color="auto" w:sz="4" w:space="0"/>
                    <w:bottom w:val="single" w:color="auto" w:sz="4" w:space="0"/>
                    <w:right w:val="single" w:color="auto" w:sz="4" w:space="0"/>
                  </w:tcBorders>
                  <w:vAlign w:val="center"/>
                </w:tcPr>
                <w:p w14:paraId="6DBC07D7">
                  <w:pPr>
                    <w:jc w:val="center"/>
                  </w:pPr>
                  <w:r>
                    <w:rPr>
                      <w:rFonts w:hint="eastAsia"/>
                    </w:rPr>
                    <w:t>打磨房分别设置两级纳米覆膜除尘器TAA004、TA005</w:t>
                  </w:r>
                </w:p>
              </w:tc>
              <w:tc>
                <w:tcPr>
                  <w:tcW w:w="813" w:type="pct"/>
                  <w:tcBorders>
                    <w:top w:val="single" w:color="auto" w:sz="4" w:space="0"/>
                    <w:left w:val="single" w:color="auto" w:sz="4" w:space="0"/>
                    <w:bottom w:val="single" w:color="auto" w:sz="4" w:space="0"/>
                    <w:right w:val="single" w:color="auto" w:sz="4" w:space="0"/>
                  </w:tcBorders>
                  <w:vAlign w:val="center"/>
                </w:tcPr>
                <w:p w14:paraId="72338448">
                  <w:pPr>
                    <w:jc w:val="center"/>
                  </w:pPr>
                  <w:r>
                    <w:rPr>
                      <w:rFonts w:hint="eastAsia"/>
                    </w:rPr>
                    <w:t>8.0</w:t>
                  </w:r>
                </w:p>
              </w:tc>
            </w:tr>
            <w:tr w14:paraId="4EC9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jc w:val="center"/>
              </w:trPr>
              <w:tc>
                <w:tcPr>
                  <w:tcW w:w="362" w:type="pct"/>
                  <w:vMerge w:val="continue"/>
                  <w:tcBorders>
                    <w:left w:val="single" w:color="auto" w:sz="4" w:space="0"/>
                    <w:right w:val="single" w:color="auto" w:sz="4" w:space="0"/>
                  </w:tcBorders>
                  <w:vAlign w:val="center"/>
                </w:tcPr>
                <w:p w14:paraId="39D0D166">
                  <w:pPr>
                    <w:jc w:val="center"/>
                  </w:pPr>
                </w:p>
              </w:tc>
              <w:tc>
                <w:tcPr>
                  <w:tcW w:w="361" w:type="pct"/>
                  <w:vMerge w:val="continue"/>
                  <w:tcBorders>
                    <w:left w:val="single" w:color="auto" w:sz="4" w:space="0"/>
                    <w:right w:val="single" w:color="auto" w:sz="4" w:space="0"/>
                  </w:tcBorders>
                  <w:vAlign w:val="center"/>
                </w:tcPr>
                <w:p w14:paraId="43AC1747">
                  <w:pPr>
                    <w:jc w:val="center"/>
                  </w:pP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401F6B6E">
                  <w:pPr>
                    <w:jc w:val="center"/>
                  </w:pPr>
                  <w:r>
                    <w:rPr>
                      <w:rFonts w:hint="eastAsia"/>
                    </w:rPr>
                    <w:t>抛丸粉尘</w:t>
                  </w:r>
                </w:p>
              </w:tc>
              <w:tc>
                <w:tcPr>
                  <w:tcW w:w="2208" w:type="pct"/>
                  <w:tcBorders>
                    <w:top w:val="single" w:color="auto" w:sz="4" w:space="0"/>
                    <w:left w:val="single" w:color="auto" w:sz="4" w:space="0"/>
                    <w:bottom w:val="single" w:color="auto" w:sz="4" w:space="0"/>
                    <w:right w:val="single" w:color="auto" w:sz="4" w:space="0"/>
                  </w:tcBorders>
                  <w:vAlign w:val="center"/>
                </w:tcPr>
                <w:p w14:paraId="76529650">
                  <w:pPr>
                    <w:jc w:val="center"/>
                  </w:pPr>
                  <w:r>
                    <w:rPr>
                      <w:rFonts w:hint="eastAsia"/>
                    </w:rPr>
                    <w:t>自带布袋除尘器TA006+15m高排气筒DA001</w:t>
                  </w:r>
                </w:p>
              </w:tc>
              <w:tc>
                <w:tcPr>
                  <w:tcW w:w="813" w:type="pct"/>
                  <w:tcBorders>
                    <w:top w:val="single" w:color="auto" w:sz="4" w:space="0"/>
                    <w:left w:val="single" w:color="auto" w:sz="4" w:space="0"/>
                    <w:bottom w:val="single" w:color="auto" w:sz="4" w:space="0"/>
                    <w:right w:val="single" w:color="auto" w:sz="4" w:space="0"/>
                  </w:tcBorders>
                  <w:vAlign w:val="center"/>
                </w:tcPr>
                <w:p w14:paraId="10FC2E1F">
                  <w:pPr>
                    <w:jc w:val="center"/>
                  </w:pPr>
                  <w:r>
                    <w:rPr>
                      <w:rFonts w:hint="eastAsia"/>
                    </w:rPr>
                    <w:t>8.0</w:t>
                  </w:r>
                </w:p>
              </w:tc>
            </w:tr>
            <w:tr w14:paraId="4BEA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jc w:val="center"/>
              </w:trPr>
              <w:tc>
                <w:tcPr>
                  <w:tcW w:w="362" w:type="pct"/>
                  <w:vMerge w:val="continue"/>
                  <w:tcBorders>
                    <w:left w:val="single" w:color="auto" w:sz="4" w:space="0"/>
                    <w:right w:val="single" w:color="auto" w:sz="4" w:space="0"/>
                  </w:tcBorders>
                  <w:vAlign w:val="center"/>
                </w:tcPr>
                <w:p w14:paraId="2F47770D">
                  <w:pPr>
                    <w:jc w:val="center"/>
                  </w:pPr>
                </w:p>
              </w:tc>
              <w:tc>
                <w:tcPr>
                  <w:tcW w:w="361" w:type="pct"/>
                  <w:vMerge w:val="continue"/>
                  <w:tcBorders>
                    <w:left w:val="single" w:color="auto" w:sz="4" w:space="0"/>
                    <w:right w:val="single" w:color="auto" w:sz="4" w:space="0"/>
                  </w:tcBorders>
                  <w:vAlign w:val="center"/>
                </w:tcPr>
                <w:p w14:paraId="5D18FB14">
                  <w:pPr>
                    <w:jc w:val="center"/>
                  </w:pPr>
                </w:p>
              </w:tc>
              <w:tc>
                <w:tcPr>
                  <w:tcW w:w="427" w:type="pct"/>
                  <w:vMerge w:val="restart"/>
                  <w:tcBorders>
                    <w:top w:val="single" w:color="auto" w:sz="4" w:space="0"/>
                    <w:left w:val="single" w:color="auto" w:sz="4" w:space="0"/>
                    <w:right w:val="single" w:color="auto" w:sz="4" w:space="0"/>
                  </w:tcBorders>
                  <w:vAlign w:val="center"/>
                </w:tcPr>
                <w:p w14:paraId="41158528">
                  <w:pPr>
                    <w:jc w:val="center"/>
                  </w:pPr>
                  <w:r>
                    <w:t>全自动喷涂流水线</w:t>
                  </w:r>
                </w:p>
              </w:tc>
              <w:tc>
                <w:tcPr>
                  <w:tcW w:w="827" w:type="pct"/>
                  <w:tcBorders>
                    <w:top w:val="single" w:color="auto" w:sz="4" w:space="0"/>
                    <w:left w:val="single" w:color="auto" w:sz="4" w:space="0"/>
                    <w:bottom w:val="single" w:color="auto" w:sz="4" w:space="0"/>
                    <w:right w:val="single" w:color="auto" w:sz="4" w:space="0"/>
                  </w:tcBorders>
                  <w:vAlign w:val="center"/>
                </w:tcPr>
                <w:p w14:paraId="72A2BAEB">
                  <w:pPr>
                    <w:jc w:val="center"/>
                  </w:pPr>
                  <w:r>
                    <w:rPr>
                      <w:rFonts w:hint="eastAsia"/>
                    </w:rPr>
                    <w:t>手动喷粉工位1粉尘</w:t>
                  </w:r>
                </w:p>
              </w:tc>
              <w:tc>
                <w:tcPr>
                  <w:tcW w:w="2208" w:type="pct"/>
                  <w:tcBorders>
                    <w:top w:val="single" w:color="auto" w:sz="4" w:space="0"/>
                    <w:left w:val="single" w:color="auto" w:sz="4" w:space="0"/>
                    <w:bottom w:val="single" w:color="auto" w:sz="4" w:space="0"/>
                    <w:right w:val="single" w:color="auto" w:sz="4" w:space="0"/>
                  </w:tcBorders>
                  <w:vAlign w:val="center"/>
                </w:tcPr>
                <w:p w14:paraId="18DCB897">
                  <w:pPr>
                    <w:wordWrap w:val="0"/>
                    <w:jc w:val="center"/>
                  </w:pPr>
                  <w:r>
                    <w:rPr>
                      <w:rFonts w:hint="eastAsia"/>
                    </w:rPr>
                    <w:t>滤筒除尘器+纳米覆膜滤筒除尘器TA007+17m高排气筒DA002</w:t>
                  </w:r>
                </w:p>
              </w:tc>
              <w:tc>
                <w:tcPr>
                  <w:tcW w:w="813" w:type="pct"/>
                  <w:tcBorders>
                    <w:top w:val="single" w:color="auto" w:sz="4" w:space="0"/>
                    <w:left w:val="single" w:color="auto" w:sz="4" w:space="0"/>
                    <w:bottom w:val="single" w:color="auto" w:sz="4" w:space="0"/>
                    <w:right w:val="single" w:color="auto" w:sz="4" w:space="0"/>
                  </w:tcBorders>
                  <w:vAlign w:val="center"/>
                </w:tcPr>
                <w:p w14:paraId="57DD10E5">
                  <w:pPr>
                    <w:jc w:val="center"/>
                  </w:pPr>
                  <w:r>
                    <w:rPr>
                      <w:rFonts w:hint="eastAsia"/>
                    </w:rPr>
                    <w:t>8.0</w:t>
                  </w:r>
                </w:p>
              </w:tc>
            </w:tr>
            <w:tr w14:paraId="3736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12170C11">
                  <w:pPr>
                    <w:widowControl/>
                    <w:jc w:val="left"/>
                  </w:pPr>
                </w:p>
              </w:tc>
              <w:tc>
                <w:tcPr>
                  <w:tcW w:w="361" w:type="pct"/>
                  <w:vMerge w:val="continue"/>
                  <w:tcBorders>
                    <w:left w:val="single" w:color="auto" w:sz="4" w:space="0"/>
                    <w:right w:val="single" w:color="auto" w:sz="4" w:space="0"/>
                  </w:tcBorders>
                  <w:vAlign w:val="center"/>
                </w:tcPr>
                <w:p w14:paraId="17FF51A8">
                  <w:pPr>
                    <w:widowControl/>
                    <w:jc w:val="left"/>
                  </w:pPr>
                </w:p>
              </w:tc>
              <w:tc>
                <w:tcPr>
                  <w:tcW w:w="427" w:type="pct"/>
                  <w:vMerge w:val="continue"/>
                  <w:tcBorders>
                    <w:left w:val="single" w:color="auto" w:sz="4" w:space="0"/>
                    <w:right w:val="single" w:color="auto" w:sz="4" w:space="0"/>
                  </w:tcBorders>
                  <w:vAlign w:val="center"/>
                </w:tcPr>
                <w:p w14:paraId="165563FA">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0456EBDB">
                  <w:pPr>
                    <w:adjustRightInd w:val="0"/>
                    <w:snapToGrid w:val="0"/>
                    <w:jc w:val="center"/>
                  </w:pPr>
                  <w:r>
                    <w:rPr>
                      <w:rFonts w:hint="eastAsia"/>
                    </w:rPr>
                    <w:t>手动+自动喷粉工位2粉尘</w:t>
                  </w:r>
                </w:p>
              </w:tc>
              <w:tc>
                <w:tcPr>
                  <w:tcW w:w="2208" w:type="pct"/>
                  <w:tcBorders>
                    <w:top w:val="single" w:color="auto" w:sz="4" w:space="0"/>
                    <w:left w:val="single" w:color="auto" w:sz="4" w:space="0"/>
                    <w:right w:val="single" w:color="auto" w:sz="4" w:space="0"/>
                  </w:tcBorders>
                  <w:vAlign w:val="center"/>
                </w:tcPr>
                <w:p w14:paraId="5D4886BA">
                  <w:pPr>
                    <w:jc w:val="center"/>
                  </w:pPr>
                  <w:r>
                    <w:rPr>
                      <w:rFonts w:hint="eastAsia"/>
                    </w:rPr>
                    <w:t>滤筒除尘器+纳米覆膜滤筒除尘器TA008+17m高排气筒DA002</w:t>
                  </w:r>
                </w:p>
              </w:tc>
              <w:tc>
                <w:tcPr>
                  <w:tcW w:w="813" w:type="pct"/>
                  <w:tcBorders>
                    <w:top w:val="single" w:color="auto" w:sz="4" w:space="0"/>
                    <w:left w:val="single" w:color="auto" w:sz="4" w:space="0"/>
                    <w:bottom w:val="single" w:color="auto" w:sz="4" w:space="0"/>
                    <w:right w:val="single" w:color="auto" w:sz="4" w:space="0"/>
                  </w:tcBorders>
                  <w:vAlign w:val="center"/>
                </w:tcPr>
                <w:p w14:paraId="6303922A">
                  <w:pPr>
                    <w:widowControl/>
                    <w:jc w:val="center"/>
                  </w:pPr>
                  <w:r>
                    <w:rPr>
                      <w:rFonts w:hint="eastAsia"/>
                    </w:rPr>
                    <w:t>7.5</w:t>
                  </w:r>
                </w:p>
              </w:tc>
            </w:tr>
            <w:tr w14:paraId="4B60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1554DFD0">
                  <w:pPr>
                    <w:widowControl/>
                    <w:jc w:val="left"/>
                  </w:pPr>
                </w:p>
              </w:tc>
              <w:tc>
                <w:tcPr>
                  <w:tcW w:w="361" w:type="pct"/>
                  <w:vMerge w:val="continue"/>
                  <w:tcBorders>
                    <w:left w:val="single" w:color="auto" w:sz="4" w:space="0"/>
                    <w:right w:val="single" w:color="auto" w:sz="4" w:space="0"/>
                  </w:tcBorders>
                  <w:vAlign w:val="center"/>
                </w:tcPr>
                <w:p w14:paraId="17A96E5C">
                  <w:pPr>
                    <w:widowControl/>
                    <w:jc w:val="left"/>
                  </w:pPr>
                </w:p>
              </w:tc>
              <w:tc>
                <w:tcPr>
                  <w:tcW w:w="427" w:type="pct"/>
                  <w:vMerge w:val="continue"/>
                  <w:tcBorders>
                    <w:left w:val="single" w:color="auto" w:sz="4" w:space="0"/>
                    <w:right w:val="single" w:color="auto" w:sz="4" w:space="0"/>
                  </w:tcBorders>
                  <w:vAlign w:val="center"/>
                </w:tcPr>
                <w:p w14:paraId="785E7AF4">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6A40F298">
                  <w:pPr>
                    <w:adjustRightInd w:val="0"/>
                    <w:snapToGrid w:val="0"/>
                    <w:jc w:val="center"/>
                  </w:pPr>
                  <w:r>
                    <w:rPr>
                      <w:rFonts w:hint="eastAsia"/>
                    </w:rPr>
                    <w:t>手动+自动喷粉工位3粉尘</w:t>
                  </w:r>
                </w:p>
              </w:tc>
              <w:tc>
                <w:tcPr>
                  <w:tcW w:w="2208" w:type="pct"/>
                  <w:tcBorders>
                    <w:top w:val="single" w:color="auto" w:sz="4" w:space="0"/>
                    <w:left w:val="single" w:color="auto" w:sz="4" w:space="0"/>
                    <w:right w:val="single" w:color="auto" w:sz="4" w:space="0"/>
                  </w:tcBorders>
                  <w:vAlign w:val="center"/>
                </w:tcPr>
                <w:p w14:paraId="623B37D4">
                  <w:pPr>
                    <w:jc w:val="center"/>
                  </w:pPr>
                  <w:r>
                    <w:rPr>
                      <w:rFonts w:hint="eastAsia"/>
                    </w:rPr>
                    <w:t>旋风+纳米覆膜滤筒除尘器TA009+17m高排气筒DA003</w:t>
                  </w:r>
                </w:p>
              </w:tc>
              <w:tc>
                <w:tcPr>
                  <w:tcW w:w="813" w:type="pct"/>
                  <w:tcBorders>
                    <w:top w:val="single" w:color="auto" w:sz="4" w:space="0"/>
                    <w:left w:val="single" w:color="auto" w:sz="4" w:space="0"/>
                    <w:bottom w:val="single" w:color="auto" w:sz="4" w:space="0"/>
                    <w:right w:val="single" w:color="auto" w:sz="4" w:space="0"/>
                  </w:tcBorders>
                  <w:vAlign w:val="center"/>
                </w:tcPr>
                <w:p w14:paraId="268E09FC">
                  <w:pPr>
                    <w:widowControl/>
                    <w:jc w:val="center"/>
                  </w:pPr>
                  <w:r>
                    <w:rPr>
                      <w:rFonts w:hint="eastAsia"/>
                    </w:rPr>
                    <w:t>8.5</w:t>
                  </w:r>
                </w:p>
              </w:tc>
            </w:tr>
            <w:tr w14:paraId="596F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5BAEE3A5">
                  <w:pPr>
                    <w:widowControl/>
                    <w:jc w:val="left"/>
                  </w:pPr>
                </w:p>
              </w:tc>
              <w:tc>
                <w:tcPr>
                  <w:tcW w:w="361" w:type="pct"/>
                  <w:vMerge w:val="continue"/>
                  <w:tcBorders>
                    <w:left w:val="single" w:color="auto" w:sz="4" w:space="0"/>
                    <w:right w:val="single" w:color="auto" w:sz="4" w:space="0"/>
                  </w:tcBorders>
                  <w:vAlign w:val="center"/>
                </w:tcPr>
                <w:p w14:paraId="0E3D6BF9">
                  <w:pPr>
                    <w:widowControl/>
                    <w:jc w:val="left"/>
                  </w:pPr>
                </w:p>
              </w:tc>
              <w:tc>
                <w:tcPr>
                  <w:tcW w:w="427" w:type="pct"/>
                  <w:vMerge w:val="continue"/>
                  <w:tcBorders>
                    <w:left w:val="single" w:color="auto" w:sz="4" w:space="0"/>
                    <w:right w:val="single" w:color="auto" w:sz="4" w:space="0"/>
                  </w:tcBorders>
                  <w:vAlign w:val="center"/>
                </w:tcPr>
                <w:p w14:paraId="53D161A2">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4E8D8925">
                  <w:pPr>
                    <w:adjustRightInd w:val="0"/>
                    <w:snapToGrid w:val="0"/>
                    <w:jc w:val="center"/>
                  </w:pPr>
                  <w:r>
                    <w:rPr>
                      <w:rFonts w:hint="eastAsia"/>
                    </w:rPr>
                    <w:t>喷漆房1废气</w:t>
                  </w:r>
                </w:p>
              </w:tc>
              <w:tc>
                <w:tcPr>
                  <w:tcW w:w="2208" w:type="pct"/>
                  <w:tcBorders>
                    <w:top w:val="single" w:color="auto" w:sz="4" w:space="0"/>
                    <w:left w:val="single" w:color="auto" w:sz="4" w:space="0"/>
                    <w:right w:val="single" w:color="auto" w:sz="4" w:space="0"/>
                  </w:tcBorders>
                  <w:vAlign w:val="center"/>
                </w:tcPr>
                <w:p w14:paraId="5D7C961A">
                  <w:pPr>
                    <w:jc w:val="center"/>
                  </w:pPr>
                  <w:r>
                    <w:rPr>
                      <w:rFonts w:hint="eastAsia"/>
                      <w:szCs w:val="21"/>
                    </w:rPr>
                    <w:t>玻璃纤维过滤棉+活性炭吸附装置TA010+</w:t>
                  </w:r>
                  <w:r>
                    <w:rPr>
                      <w:rFonts w:hint="eastAsia"/>
                    </w:rPr>
                    <w:t>17m高排气筒</w:t>
                  </w:r>
                  <w:r>
                    <w:rPr>
                      <w:rFonts w:hint="eastAsia"/>
                      <w:szCs w:val="21"/>
                    </w:rPr>
                    <w:t>DA002</w:t>
                  </w:r>
                </w:p>
              </w:tc>
              <w:tc>
                <w:tcPr>
                  <w:tcW w:w="813" w:type="pct"/>
                  <w:tcBorders>
                    <w:top w:val="single" w:color="auto" w:sz="4" w:space="0"/>
                    <w:left w:val="single" w:color="auto" w:sz="4" w:space="0"/>
                    <w:bottom w:val="single" w:color="auto" w:sz="4" w:space="0"/>
                    <w:right w:val="single" w:color="auto" w:sz="4" w:space="0"/>
                  </w:tcBorders>
                  <w:vAlign w:val="center"/>
                </w:tcPr>
                <w:p w14:paraId="693FB2B0">
                  <w:pPr>
                    <w:widowControl/>
                    <w:jc w:val="center"/>
                  </w:pPr>
                  <w:r>
                    <w:rPr>
                      <w:rFonts w:hint="eastAsia"/>
                    </w:rPr>
                    <w:t>7.0</w:t>
                  </w:r>
                </w:p>
              </w:tc>
            </w:tr>
            <w:tr w14:paraId="7C07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1B7896B5">
                  <w:pPr>
                    <w:widowControl/>
                    <w:jc w:val="left"/>
                  </w:pPr>
                </w:p>
              </w:tc>
              <w:tc>
                <w:tcPr>
                  <w:tcW w:w="361" w:type="pct"/>
                  <w:vMerge w:val="continue"/>
                  <w:tcBorders>
                    <w:left w:val="single" w:color="auto" w:sz="4" w:space="0"/>
                    <w:right w:val="single" w:color="auto" w:sz="4" w:space="0"/>
                  </w:tcBorders>
                  <w:vAlign w:val="center"/>
                </w:tcPr>
                <w:p w14:paraId="6C982C14">
                  <w:pPr>
                    <w:widowControl/>
                    <w:jc w:val="left"/>
                  </w:pPr>
                </w:p>
              </w:tc>
              <w:tc>
                <w:tcPr>
                  <w:tcW w:w="427" w:type="pct"/>
                  <w:vMerge w:val="continue"/>
                  <w:tcBorders>
                    <w:left w:val="single" w:color="auto" w:sz="4" w:space="0"/>
                    <w:right w:val="single" w:color="auto" w:sz="4" w:space="0"/>
                  </w:tcBorders>
                  <w:vAlign w:val="center"/>
                </w:tcPr>
                <w:p w14:paraId="4C6251F8">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0997C64F">
                  <w:pPr>
                    <w:adjustRightInd w:val="0"/>
                    <w:snapToGrid w:val="0"/>
                    <w:jc w:val="center"/>
                  </w:pPr>
                  <w:r>
                    <w:rPr>
                      <w:rFonts w:hint="eastAsia"/>
                    </w:rPr>
                    <w:t>烘箱1有机废气</w:t>
                  </w:r>
                </w:p>
              </w:tc>
              <w:tc>
                <w:tcPr>
                  <w:tcW w:w="2208" w:type="pct"/>
                  <w:tcBorders>
                    <w:top w:val="single" w:color="auto" w:sz="4" w:space="0"/>
                    <w:left w:val="single" w:color="auto" w:sz="4" w:space="0"/>
                    <w:right w:val="single" w:color="auto" w:sz="4" w:space="0"/>
                  </w:tcBorders>
                  <w:vAlign w:val="center"/>
                </w:tcPr>
                <w:p w14:paraId="4EEC7C5B">
                  <w:pPr>
                    <w:jc w:val="center"/>
                  </w:pPr>
                  <w:r>
                    <w:rPr>
                      <w:rFonts w:hint="eastAsia"/>
                    </w:rPr>
                    <w:t>两级活性炭吸附装置TA011+15m高排气筒DA004</w:t>
                  </w:r>
                </w:p>
              </w:tc>
              <w:tc>
                <w:tcPr>
                  <w:tcW w:w="813" w:type="pct"/>
                  <w:tcBorders>
                    <w:top w:val="single" w:color="auto" w:sz="4" w:space="0"/>
                    <w:left w:val="single" w:color="auto" w:sz="4" w:space="0"/>
                    <w:bottom w:val="single" w:color="auto" w:sz="4" w:space="0"/>
                    <w:right w:val="single" w:color="auto" w:sz="4" w:space="0"/>
                  </w:tcBorders>
                  <w:vAlign w:val="center"/>
                </w:tcPr>
                <w:p w14:paraId="29F24948">
                  <w:pPr>
                    <w:widowControl/>
                    <w:jc w:val="center"/>
                  </w:pPr>
                  <w:r>
                    <w:rPr>
                      <w:rFonts w:hint="eastAsia"/>
                    </w:rPr>
                    <w:t>7.0</w:t>
                  </w:r>
                </w:p>
              </w:tc>
            </w:tr>
            <w:tr w14:paraId="1E2F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7C41D28F">
                  <w:pPr>
                    <w:widowControl/>
                    <w:jc w:val="left"/>
                  </w:pPr>
                </w:p>
              </w:tc>
              <w:tc>
                <w:tcPr>
                  <w:tcW w:w="361" w:type="pct"/>
                  <w:vMerge w:val="continue"/>
                  <w:tcBorders>
                    <w:left w:val="single" w:color="auto" w:sz="4" w:space="0"/>
                    <w:right w:val="single" w:color="auto" w:sz="4" w:space="0"/>
                  </w:tcBorders>
                  <w:vAlign w:val="center"/>
                </w:tcPr>
                <w:p w14:paraId="76551ABF">
                  <w:pPr>
                    <w:widowControl/>
                    <w:jc w:val="left"/>
                  </w:pPr>
                </w:p>
              </w:tc>
              <w:tc>
                <w:tcPr>
                  <w:tcW w:w="427" w:type="pct"/>
                  <w:vMerge w:val="continue"/>
                  <w:tcBorders>
                    <w:left w:val="single" w:color="auto" w:sz="4" w:space="0"/>
                    <w:bottom w:val="single" w:color="auto" w:sz="4" w:space="0"/>
                    <w:right w:val="single" w:color="auto" w:sz="4" w:space="0"/>
                  </w:tcBorders>
                  <w:vAlign w:val="center"/>
                </w:tcPr>
                <w:p w14:paraId="3E184D1C">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6DD4A8C2">
                  <w:pPr>
                    <w:adjustRightInd w:val="0"/>
                    <w:snapToGrid w:val="0"/>
                    <w:jc w:val="center"/>
                  </w:pPr>
                  <w:r>
                    <w:rPr>
                      <w:rFonts w:hint="eastAsia"/>
                    </w:rPr>
                    <w:t>烘箱1燃料燃烧废气</w:t>
                  </w:r>
                </w:p>
              </w:tc>
              <w:tc>
                <w:tcPr>
                  <w:tcW w:w="2208" w:type="pct"/>
                  <w:tcBorders>
                    <w:top w:val="single" w:color="auto" w:sz="4" w:space="0"/>
                    <w:left w:val="single" w:color="auto" w:sz="4" w:space="0"/>
                    <w:right w:val="single" w:color="auto" w:sz="4" w:space="0"/>
                  </w:tcBorders>
                  <w:vAlign w:val="center"/>
                </w:tcPr>
                <w:p w14:paraId="2B22532D">
                  <w:pPr>
                    <w:jc w:val="center"/>
                  </w:pPr>
                  <w:r>
                    <w:rPr>
                      <w:rFonts w:hint="eastAsia"/>
                    </w:rPr>
                    <w:t>低氮燃烧TA012+15m高排气筒DA005</w:t>
                  </w:r>
                </w:p>
              </w:tc>
              <w:tc>
                <w:tcPr>
                  <w:tcW w:w="813" w:type="pct"/>
                  <w:tcBorders>
                    <w:top w:val="single" w:color="auto" w:sz="4" w:space="0"/>
                    <w:left w:val="single" w:color="auto" w:sz="4" w:space="0"/>
                    <w:bottom w:val="single" w:color="auto" w:sz="4" w:space="0"/>
                    <w:right w:val="single" w:color="auto" w:sz="4" w:space="0"/>
                  </w:tcBorders>
                  <w:vAlign w:val="center"/>
                </w:tcPr>
                <w:p w14:paraId="20A38B04">
                  <w:pPr>
                    <w:widowControl/>
                    <w:jc w:val="center"/>
                  </w:pPr>
                  <w:r>
                    <w:rPr>
                      <w:rFonts w:hint="eastAsia"/>
                    </w:rPr>
                    <w:t>6.0</w:t>
                  </w:r>
                </w:p>
              </w:tc>
            </w:tr>
            <w:tr w14:paraId="284B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74A7D15D">
                  <w:pPr>
                    <w:widowControl/>
                    <w:jc w:val="left"/>
                  </w:pPr>
                </w:p>
              </w:tc>
              <w:tc>
                <w:tcPr>
                  <w:tcW w:w="361" w:type="pct"/>
                  <w:vMerge w:val="continue"/>
                  <w:tcBorders>
                    <w:left w:val="single" w:color="auto" w:sz="4" w:space="0"/>
                    <w:right w:val="single" w:color="auto" w:sz="4" w:space="0"/>
                  </w:tcBorders>
                  <w:vAlign w:val="center"/>
                </w:tcPr>
                <w:p w14:paraId="4A90B882">
                  <w:pPr>
                    <w:widowControl/>
                    <w:jc w:val="left"/>
                  </w:pPr>
                </w:p>
              </w:tc>
              <w:tc>
                <w:tcPr>
                  <w:tcW w:w="427" w:type="pct"/>
                  <w:vMerge w:val="restart"/>
                  <w:tcBorders>
                    <w:left w:val="single" w:color="auto" w:sz="4" w:space="0"/>
                    <w:right w:val="single" w:color="auto" w:sz="4" w:space="0"/>
                  </w:tcBorders>
                  <w:vAlign w:val="center"/>
                </w:tcPr>
                <w:p w14:paraId="5C85717D">
                  <w:pPr>
                    <w:adjustRightInd w:val="0"/>
                    <w:snapToGrid w:val="0"/>
                    <w:jc w:val="center"/>
                  </w:pPr>
                  <w:r>
                    <w:rPr>
                      <w:rFonts w:hint="eastAsia"/>
                    </w:rPr>
                    <w:t>半自动喷涂流水线</w:t>
                  </w:r>
                </w:p>
              </w:tc>
              <w:tc>
                <w:tcPr>
                  <w:tcW w:w="827" w:type="pct"/>
                  <w:tcBorders>
                    <w:top w:val="single" w:color="auto" w:sz="4" w:space="0"/>
                    <w:left w:val="single" w:color="auto" w:sz="4" w:space="0"/>
                    <w:bottom w:val="single" w:color="auto" w:sz="4" w:space="0"/>
                    <w:right w:val="single" w:color="auto" w:sz="4" w:space="0"/>
                  </w:tcBorders>
                  <w:vAlign w:val="center"/>
                </w:tcPr>
                <w:p w14:paraId="37E1C36C">
                  <w:pPr>
                    <w:adjustRightInd w:val="0"/>
                    <w:snapToGrid w:val="0"/>
                    <w:jc w:val="center"/>
                  </w:pPr>
                  <w:r>
                    <w:rPr>
                      <w:rFonts w:hint="eastAsia"/>
                    </w:rPr>
                    <w:t>喷粉房1粉尘</w:t>
                  </w:r>
                </w:p>
              </w:tc>
              <w:tc>
                <w:tcPr>
                  <w:tcW w:w="2208" w:type="pct"/>
                  <w:tcBorders>
                    <w:top w:val="single" w:color="auto" w:sz="4" w:space="0"/>
                    <w:left w:val="single" w:color="auto" w:sz="4" w:space="0"/>
                    <w:right w:val="single" w:color="auto" w:sz="4" w:space="0"/>
                  </w:tcBorders>
                  <w:vAlign w:val="center"/>
                </w:tcPr>
                <w:p w14:paraId="7B9C00E3">
                  <w:pPr>
                    <w:jc w:val="center"/>
                  </w:pPr>
                  <w:r>
                    <w:rPr>
                      <w:rFonts w:hint="eastAsia"/>
                      <w:szCs w:val="21"/>
                    </w:rPr>
                    <w:t>滤筒除尘器+纳米覆膜除尘器TA013+</w:t>
                  </w:r>
                  <w:r>
                    <w:rPr>
                      <w:rFonts w:hint="eastAsia"/>
                    </w:rPr>
                    <w:t>17m高排气筒</w:t>
                  </w:r>
                  <w:r>
                    <w:rPr>
                      <w:rFonts w:hint="eastAsia"/>
                      <w:szCs w:val="21"/>
                    </w:rPr>
                    <w:t>DA003</w:t>
                  </w:r>
                </w:p>
              </w:tc>
              <w:tc>
                <w:tcPr>
                  <w:tcW w:w="813" w:type="pct"/>
                  <w:tcBorders>
                    <w:top w:val="single" w:color="auto" w:sz="4" w:space="0"/>
                    <w:left w:val="single" w:color="auto" w:sz="4" w:space="0"/>
                    <w:bottom w:val="single" w:color="auto" w:sz="4" w:space="0"/>
                    <w:right w:val="single" w:color="auto" w:sz="4" w:space="0"/>
                  </w:tcBorders>
                  <w:vAlign w:val="center"/>
                </w:tcPr>
                <w:p w14:paraId="4CD96F17">
                  <w:pPr>
                    <w:widowControl/>
                    <w:jc w:val="center"/>
                  </w:pPr>
                  <w:r>
                    <w:rPr>
                      <w:rFonts w:hint="eastAsia"/>
                    </w:rPr>
                    <w:t>7.5</w:t>
                  </w:r>
                </w:p>
              </w:tc>
            </w:tr>
            <w:tr w14:paraId="0F50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1AE33C16">
                  <w:pPr>
                    <w:widowControl/>
                    <w:jc w:val="left"/>
                  </w:pPr>
                </w:p>
              </w:tc>
              <w:tc>
                <w:tcPr>
                  <w:tcW w:w="361" w:type="pct"/>
                  <w:vMerge w:val="continue"/>
                  <w:tcBorders>
                    <w:left w:val="single" w:color="auto" w:sz="4" w:space="0"/>
                    <w:right w:val="single" w:color="auto" w:sz="4" w:space="0"/>
                  </w:tcBorders>
                  <w:vAlign w:val="center"/>
                </w:tcPr>
                <w:p w14:paraId="6CB035DB">
                  <w:pPr>
                    <w:widowControl/>
                    <w:jc w:val="left"/>
                  </w:pPr>
                </w:p>
              </w:tc>
              <w:tc>
                <w:tcPr>
                  <w:tcW w:w="427" w:type="pct"/>
                  <w:vMerge w:val="continue"/>
                  <w:tcBorders>
                    <w:left w:val="single" w:color="auto" w:sz="4" w:space="0"/>
                    <w:right w:val="single" w:color="auto" w:sz="4" w:space="0"/>
                  </w:tcBorders>
                  <w:vAlign w:val="center"/>
                </w:tcPr>
                <w:p w14:paraId="55A2AD7F">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645E18C7">
                  <w:pPr>
                    <w:adjustRightInd w:val="0"/>
                    <w:snapToGrid w:val="0"/>
                    <w:jc w:val="center"/>
                  </w:pPr>
                  <w:r>
                    <w:rPr>
                      <w:rFonts w:hint="eastAsia"/>
                    </w:rPr>
                    <w:t>烘箱2有机废气</w:t>
                  </w:r>
                </w:p>
              </w:tc>
              <w:tc>
                <w:tcPr>
                  <w:tcW w:w="2208" w:type="pct"/>
                  <w:tcBorders>
                    <w:top w:val="single" w:color="auto" w:sz="4" w:space="0"/>
                    <w:left w:val="single" w:color="auto" w:sz="4" w:space="0"/>
                    <w:right w:val="single" w:color="auto" w:sz="4" w:space="0"/>
                  </w:tcBorders>
                  <w:vAlign w:val="center"/>
                </w:tcPr>
                <w:p w14:paraId="36D6A3DD">
                  <w:pPr>
                    <w:jc w:val="center"/>
                  </w:pPr>
                  <w:r>
                    <w:rPr>
                      <w:rFonts w:hint="eastAsia"/>
                    </w:rPr>
                    <w:t>两级活性炭吸附装置TA014+15m高排气筒DA004</w:t>
                  </w:r>
                </w:p>
              </w:tc>
              <w:tc>
                <w:tcPr>
                  <w:tcW w:w="813" w:type="pct"/>
                  <w:tcBorders>
                    <w:top w:val="single" w:color="auto" w:sz="4" w:space="0"/>
                    <w:left w:val="single" w:color="auto" w:sz="4" w:space="0"/>
                    <w:bottom w:val="single" w:color="auto" w:sz="4" w:space="0"/>
                    <w:right w:val="single" w:color="auto" w:sz="4" w:space="0"/>
                  </w:tcBorders>
                  <w:vAlign w:val="center"/>
                </w:tcPr>
                <w:p w14:paraId="5A2CB698">
                  <w:pPr>
                    <w:widowControl/>
                    <w:jc w:val="center"/>
                  </w:pPr>
                  <w:r>
                    <w:rPr>
                      <w:rFonts w:hint="eastAsia"/>
                    </w:rPr>
                    <w:t>6.5</w:t>
                  </w:r>
                </w:p>
              </w:tc>
            </w:tr>
            <w:tr w14:paraId="6AFF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0631A2DE">
                  <w:pPr>
                    <w:widowControl/>
                    <w:jc w:val="left"/>
                  </w:pPr>
                </w:p>
              </w:tc>
              <w:tc>
                <w:tcPr>
                  <w:tcW w:w="361" w:type="pct"/>
                  <w:vMerge w:val="continue"/>
                  <w:tcBorders>
                    <w:left w:val="single" w:color="auto" w:sz="4" w:space="0"/>
                    <w:right w:val="single" w:color="auto" w:sz="4" w:space="0"/>
                  </w:tcBorders>
                  <w:vAlign w:val="center"/>
                </w:tcPr>
                <w:p w14:paraId="6909A8A2">
                  <w:pPr>
                    <w:widowControl/>
                    <w:jc w:val="left"/>
                  </w:pPr>
                </w:p>
              </w:tc>
              <w:tc>
                <w:tcPr>
                  <w:tcW w:w="427" w:type="pct"/>
                  <w:vMerge w:val="continue"/>
                  <w:tcBorders>
                    <w:left w:val="single" w:color="auto" w:sz="4" w:space="0"/>
                    <w:right w:val="single" w:color="auto" w:sz="4" w:space="0"/>
                  </w:tcBorders>
                  <w:vAlign w:val="center"/>
                </w:tcPr>
                <w:p w14:paraId="19DF7DF8">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6CED3D23">
                  <w:pPr>
                    <w:adjustRightInd w:val="0"/>
                    <w:snapToGrid w:val="0"/>
                    <w:jc w:val="center"/>
                  </w:pPr>
                  <w:r>
                    <w:rPr>
                      <w:rFonts w:hint="eastAsia"/>
                    </w:rPr>
                    <w:t>烘箱2燃料燃烧废气</w:t>
                  </w:r>
                </w:p>
              </w:tc>
              <w:tc>
                <w:tcPr>
                  <w:tcW w:w="2208" w:type="pct"/>
                  <w:tcBorders>
                    <w:top w:val="single" w:color="auto" w:sz="4" w:space="0"/>
                    <w:left w:val="single" w:color="auto" w:sz="4" w:space="0"/>
                    <w:right w:val="single" w:color="auto" w:sz="4" w:space="0"/>
                  </w:tcBorders>
                  <w:vAlign w:val="center"/>
                </w:tcPr>
                <w:p w14:paraId="78332B80">
                  <w:pPr>
                    <w:jc w:val="center"/>
                  </w:pPr>
                  <w:r>
                    <w:rPr>
                      <w:rFonts w:hint="eastAsia"/>
                    </w:rPr>
                    <w:t>低氮燃烧TA015+15m高排气筒DA005</w:t>
                  </w:r>
                </w:p>
              </w:tc>
              <w:tc>
                <w:tcPr>
                  <w:tcW w:w="813" w:type="pct"/>
                  <w:tcBorders>
                    <w:top w:val="single" w:color="auto" w:sz="4" w:space="0"/>
                    <w:left w:val="single" w:color="auto" w:sz="4" w:space="0"/>
                    <w:bottom w:val="single" w:color="auto" w:sz="4" w:space="0"/>
                    <w:right w:val="single" w:color="auto" w:sz="4" w:space="0"/>
                  </w:tcBorders>
                  <w:vAlign w:val="center"/>
                </w:tcPr>
                <w:p w14:paraId="2A83343D">
                  <w:pPr>
                    <w:widowControl/>
                    <w:jc w:val="center"/>
                  </w:pPr>
                  <w:r>
                    <w:rPr>
                      <w:rFonts w:hint="eastAsia"/>
                    </w:rPr>
                    <w:t>6.0</w:t>
                  </w:r>
                </w:p>
              </w:tc>
            </w:tr>
            <w:tr w14:paraId="5EB2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3EDC4B87">
                  <w:pPr>
                    <w:widowControl/>
                    <w:jc w:val="left"/>
                  </w:pPr>
                </w:p>
              </w:tc>
              <w:tc>
                <w:tcPr>
                  <w:tcW w:w="361" w:type="pct"/>
                  <w:vMerge w:val="continue"/>
                  <w:tcBorders>
                    <w:left w:val="single" w:color="auto" w:sz="4" w:space="0"/>
                    <w:right w:val="single" w:color="auto" w:sz="4" w:space="0"/>
                  </w:tcBorders>
                  <w:vAlign w:val="center"/>
                </w:tcPr>
                <w:p w14:paraId="27E817B4">
                  <w:pPr>
                    <w:widowControl/>
                    <w:jc w:val="left"/>
                  </w:pPr>
                </w:p>
              </w:tc>
              <w:tc>
                <w:tcPr>
                  <w:tcW w:w="427" w:type="pct"/>
                  <w:vMerge w:val="continue"/>
                  <w:tcBorders>
                    <w:left w:val="single" w:color="auto" w:sz="4" w:space="0"/>
                    <w:right w:val="single" w:color="auto" w:sz="4" w:space="0"/>
                  </w:tcBorders>
                  <w:vAlign w:val="center"/>
                </w:tcPr>
                <w:p w14:paraId="76D42506">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5A5A787A">
                  <w:pPr>
                    <w:adjustRightInd w:val="0"/>
                    <w:snapToGrid w:val="0"/>
                    <w:jc w:val="center"/>
                  </w:pPr>
                  <w:r>
                    <w:rPr>
                      <w:rFonts w:hint="eastAsia"/>
                    </w:rPr>
                    <w:t>喷粉房2粉尘</w:t>
                  </w:r>
                </w:p>
              </w:tc>
              <w:tc>
                <w:tcPr>
                  <w:tcW w:w="2208" w:type="pct"/>
                  <w:tcBorders>
                    <w:top w:val="single" w:color="auto" w:sz="4" w:space="0"/>
                    <w:left w:val="single" w:color="auto" w:sz="4" w:space="0"/>
                    <w:right w:val="single" w:color="auto" w:sz="4" w:space="0"/>
                  </w:tcBorders>
                  <w:vAlign w:val="center"/>
                </w:tcPr>
                <w:p w14:paraId="2E082F38">
                  <w:pPr>
                    <w:jc w:val="center"/>
                  </w:pPr>
                  <w:r>
                    <w:rPr>
                      <w:rFonts w:hint="eastAsia"/>
                      <w:szCs w:val="21"/>
                    </w:rPr>
                    <w:t>滤筒除尘器+纳米覆膜除尘器TA0016+</w:t>
                  </w:r>
                  <w:r>
                    <w:rPr>
                      <w:rFonts w:hint="eastAsia"/>
                    </w:rPr>
                    <w:t>17m高排气筒</w:t>
                  </w:r>
                  <w:r>
                    <w:rPr>
                      <w:rFonts w:hint="eastAsia"/>
                      <w:szCs w:val="21"/>
                    </w:rPr>
                    <w:t>DA006</w:t>
                  </w:r>
                </w:p>
              </w:tc>
              <w:tc>
                <w:tcPr>
                  <w:tcW w:w="813" w:type="pct"/>
                  <w:tcBorders>
                    <w:top w:val="single" w:color="auto" w:sz="4" w:space="0"/>
                    <w:left w:val="single" w:color="auto" w:sz="4" w:space="0"/>
                    <w:bottom w:val="single" w:color="auto" w:sz="4" w:space="0"/>
                    <w:right w:val="single" w:color="auto" w:sz="4" w:space="0"/>
                  </w:tcBorders>
                  <w:vAlign w:val="center"/>
                </w:tcPr>
                <w:p w14:paraId="3FB3425E">
                  <w:pPr>
                    <w:widowControl/>
                    <w:jc w:val="center"/>
                  </w:pPr>
                  <w:r>
                    <w:rPr>
                      <w:rFonts w:hint="eastAsia"/>
                    </w:rPr>
                    <w:t>8.0</w:t>
                  </w:r>
                </w:p>
              </w:tc>
            </w:tr>
            <w:tr w14:paraId="556E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jc w:val="center"/>
              </w:trPr>
              <w:tc>
                <w:tcPr>
                  <w:tcW w:w="362" w:type="pct"/>
                  <w:vMerge w:val="continue"/>
                  <w:tcBorders>
                    <w:left w:val="single" w:color="auto" w:sz="4" w:space="0"/>
                    <w:right w:val="single" w:color="auto" w:sz="4" w:space="0"/>
                  </w:tcBorders>
                  <w:vAlign w:val="center"/>
                </w:tcPr>
                <w:p w14:paraId="4A8F7F1C">
                  <w:pPr>
                    <w:widowControl/>
                    <w:jc w:val="left"/>
                  </w:pPr>
                </w:p>
              </w:tc>
              <w:tc>
                <w:tcPr>
                  <w:tcW w:w="361" w:type="pct"/>
                  <w:vMerge w:val="continue"/>
                  <w:tcBorders>
                    <w:left w:val="single" w:color="auto" w:sz="4" w:space="0"/>
                    <w:right w:val="single" w:color="auto" w:sz="4" w:space="0"/>
                  </w:tcBorders>
                  <w:vAlign w:val="center"/>
                </w:tcPr>
                <w:p w14:paraId="216DF666">
                  <w:pPr>
                    <w:widowControl/>
                    <w:jc w:val="left"/>
                  </w:pPr>
                </w:p>
              </w:tc>
              <w:tc>
                <w:tcPr>
                  <w:tcW w:w="427" w:type="pct"/>
                  <w:vMerge w:val="continue"/>
                  <w:tcBorders>
                    <w:left w:val="single" w:color="auto" w:sz="4" w:space="0"/>
                    <w:bottom w:val="single" w:color="auto" w:sz="4" w:space="0"/>
                    <w:right w:val="single" w:color="auto" w:sz="4" w:space="0"/>
                  </w:tcBorders>
                  <w:vAlign w:val="center"/>
                </w:tcPr>
                <w:p w14:paraId="12FD109E">
                  <w:pPr>
                    <w:adjustRightInd w:val="0"/>
                    <w:snapToGrid w:val="0"/>
                    <w:jc w:val="center"/>
                  </w:pPr>
                </w:p>
              </w:tc>
              <w:tc>
                <w:tcPr>
                  <w:tcW w:w="827" w:type="pct"/>
                  <w:tcBorders>
                    <w:top w:val="single" w:color="auto" w:sz="4" w:space="0"/>
                    <w:left w:val="single" w:color="auto" w:sz="4" w:space="0"/>
                    <w:bottom w:val="single" w:color="auto" w:sz="4" w:space="0"/>
                    <w:right w:val="single" w:color="auto" w:sz="4" w:space="0"/>
                  </w:tcBorders>
                  <w:vAlign w:val="center"/>
                </w:tcPr>
                <w:p w14:paraId="2B2017C5">
                  <w:pPr>
                    <w:adjustRightInd w:val="0"/>
                    <w:snapToGrid w:val="0"/>
                    <w:jc w:val="center"/>
                  </w:pPr>
                  <w:r>
                    <w:rPr>
                      <w:rFonts w:hint="eastAsia"/>
                    </w:rPr>
                    <w:t>喷漆房2废气</w:t>
                  </w:r>
                </w:p>
              </w:tc>
              <w:tc>
                <w:tcPr>
                  <w:tcW w:w="2208" w:type="pct"/>
                  <w:tcBorders>
                    <w:top w:val="single" w:color="auto" w:sz="4" w:space="0"/>
                    <w:left w:val="single" w:color="auto" w:sz="4" w:space="0"/>
                    <w:right w:val="single" w:color="auto" w:sz="4" w:space="0"/>
                  </w:tcBorders>
                  <w:vAlign w:val="center"/>
                </w:tcPr>
                <w:p w14:paraId="5D24175A">
                  <w:pPr>
                    <w:jc w:val="center"/>
                  </w:pPr>
                  <w:r>
                    <w:rPr>
                      <w:rFonts w:hint="eastAsia"/>
                      <w:szCs w:val="21"/>
                    </w:rPr>
                    <w:t>玻璃纤维过滤棉+活性炭吸附装置TA0017+</w:t>
                  </w:r>
                  <w:r>
                    <w:rPr>
                      <w:rFonts w:hint="eastAsia"/>
                    </w:rPr>
                    <w:t>17m高排气筒</w:t>
                  </w:r>
                  <w:r>
                    <w:rPr>
                      <w:rFonts w:hint="eastAsia"/>
                      <w:szCs w:val="21"/>
                    </w:rPr>
                    <w:t>DA007</w:t>
                  </w:r>
                </w:p>
              </w:tc>
              <w:tc>
                <w:tcPr>
                  <w:tcW w:w="813" w:type="pct"/>
                  <w:tcBorders>
                    <w:top w:val="single" w:color="auto" w:sz="4" w:space="0"/>
                    <w:left w:val="single" w:color="auto" w:sz="4" w:space="0"/>
                    <w:bottom w:val="single" w:color="auto" w:sz="4" w:space="0"/>
                    <w:right w:val="single" w:color="auto" w:sz="4" w:space="0"/>
                  </w:tcBorders>
                  <w:vAlign w:val="center"/>
                </w:tcPr>
                <w:p w14:paraId="08BF648A">
                  <w:pPr>
                    <w:widowControl/>
                    <w:jc w:val="center"/>
                  </w:pPr>
                  <w:r>
                    <w:rPr>
                      <w:rFonts w:hint="eastAsia"/>
                    </w:rPr>
                    <w:t>7.0</w:t>
                  </w:r>
                </w:p>
              </w:tc>
            </w:tr>
            <w:tr w14:paraId="4AB5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9" w:hRule="atLeast"/>
                <w:jc w:val="center"/>
              </w:trPr>
              <w:tc>
                <w:tcPr>
                  <w:tcW w:w="362" w:type="pct"/>
                  <w:tcBorders>
                    <w:top w:val="single" w:color="auto" w:sz="4" w:space="0"/>
                    <w:left w:val="single" w:color="auto" w:sz="4" w:space="0"/>
                    <w:right w:val="single" w:color="auto" w:sz="4" w:space="0"/>
                  </w:tcBorders>
                  <w:vAlign w:val="center"/>
                </w:tcPr>
                <w:p w14:paraId="25D5A2A1">
                  <w:pPr>
                    <w:jc w:val="center"/>
                  </w:pPr>
                  <w:r>
                    <w:t>2</w:t>
                  </w:r>
                </w:p>
              </w:tc>
              <w:tc>
                <w:tcPr>
                  <w:tcW w:w="361" w:type="pct"/>
                  <w:tcBorders>
                    <w:top w:val="single" w:color="auto" w:sz="4" w:space="0"/>
                    <w:left w:val="single" w:color="auto" w:sz="4" w:space="0"/>
                    <w:right w:val="single" w:color="auto" w:sz="4" w:space="0"/>
                  </w:tcBorders>
                  <w:vAlign w:val="center"/>
                </w:tcPr>
                <w:p w14:paraId="4A5C70C7">
                  <w:pPr>
                    <w:jc w:val="center"/>
                  </w:pPr>
                  <w:r>
                    <w:t>污水</w:t>
                  </w:r>
                </w:p>
                <w:p w14:paraId="136C3650">
                  <w:pPr>
                    <w:jc w:val="center"/>
                  </w:pPr>
                  <w:r>
                    <w:t>治理</w:t>
                  </w: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41E926AD">
                  <w:pPr>
                    <w:jc w:val="center"/>
                  </w:pPr>
                  <w:r>
                    <w:t>生活污水</w:t>
                  </w:r>
                </w:p>
              </w:tc>
              <w:tc>
                <w:tcPr>
                  <w:tcW w:w="2208" w:type="pct"/>
                  <w:tcBorders>
                    <w:top w:val="single" w:color="auto" w:sz="4" w:space="0"/>
                    <w:left w:val="single" w:color="auto" w:sz="4" w:space="0"/>
                    <w:bottom w:val="single" w:color="auto" w:sz="4" w:space="0"/>
                    <w:right w:val="single" w:color="auto" w:sz="4" w:space="0"/>
                  </w:tcBorders>
                  <w:vAlign w:val="center"/>
                </w:tcPr>
                <w:p w14:paraId="5AF5D2EE">
                  <w:pPr>
                    <w:jc w:val="center"/>
                  </w:pPr>
                  <w:r>
                    <w:t>化粪池、油水分离器</w:t>
                  </w:r>
                </w:p>
              </w:tc>
              <w:tc>
                <w:tcPr>
                  <w:tcW w:w="813" w:type="pct"/>
                  <w:tcBorders>
                    <w:top w:val="single" w:color="auto" w:sz="4" w:space="0"/>
                    <w:left w:val="single" w:color="auto" w:sz="4" w:space="0"/>
                    <w:right w:val="single" w:color="auto" w:sz="4" w:space="0"/>
                  </w:tcBorders>
                  <w:vAlign w:val="center"/>
                </w:tcPr>
                <w:p w14:paraId="2A8C34BE">
                  <w:pPr>
                    <w:jc w:val="center"/>
                  </w:pPr>
                  <w:r>
                    <w:t>依托</w:t>
                  </w:r>
                </w:p>
              </w:tc>
            </w:tr>
            <w:tr w14:paraId="372B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38126EE2">
                  <w:pPr>
                    <w:jc w:val="center"/>
                  </w:pPr>
                  <w:r>
                    <w:t>3</w:t>
                  </w:r>
                </w:p>
              </w:tc>
              <w:tc>
                <w:tcPr>
                  <w:tcW w:w="361" w:type="pct"/>
                  <w:tcBorders>
                    <w:top w:val="single" w:color="auto" w:sz="4" w:space="0"/>
                    <w:left w:val="single" w:color="auto" w:sz="4" w:space="0"/>
                    <w:bottom w:val="single" w:color="auto" w:sz="4" w:space="0"/>
                    <w:right w:val="single" w:color="auto" w:sz="4" w:space="0"/>
                  </w:tcBorders>
                  <w:vAlign w:val="center"/>
                </w:tcPr>
                <w:p w14:paraId="3B89DEC3">
                  <w:pPr>
                    <w:jc w:val="center"/>
                  </w:pPr>
                  <w:r>
                    <w:t>噪声</w:t>
                  </w:r>
                </w:p>
                <w:p w14:paraId="57E2F09A">
                  <w:pPr>
                    <w:jc w:val="center"/>
                  </w:pPr>
                  <w:r>
                    <w:t>治理</w:t>
                  </w: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649AAEA6">
                  <w:pPr>
                    <w:jc w:val="center"/>
                  </w:pPr>
                  <w:r>
                    <w:t>设备噪声</w:t>
                  </w:r>
                </w:p>
              </w:tc>
              <w:tc>
                <w:tcPr>
                  <w:tcW w:w="2208" w:type="pct"/>
                  <w:tcBorders>
                    <w:top w:val="single" w:color="auto" w:sz="4" w:space="0"/>
                    <w:left w:val="single" w:color="auto" w:sz="4" w:space="0"/>
                    <w:bottom w:val="single" w:color="auto" w:sz="4" w:space="0"/>
                    <w:right w:val="single" w:color="auto" w:sz="4" w:space="0"/>
                  </w:tcBorders>
                  <w:vAlign w:val="center"/>
                </w:tcPr>
                <w:p w14:paraId="0D84CB56">
                  <w:pPr>
                    <w:jc w:val="center"/>
                  </w:pPr>
                  <w:r>
                    <w:t>隔声、减</w:t>
                  </w:r>
                  <w:r>
                    <w:rPr>
                      <w:rFonts w:hint="eastAsia"/>
                    </w:rPr>
                    <w:t>振</w:t>
                  </w:r>
                  <w:r>
                    <w:t>措施</w:t>
                  </w:r>
                </w:p>
              </w:tc>
              <w:tc>
                <w:tcPr>
                  <w:tcW w:w="813" w:type="pct"/>
                  <w:tcBorders>
                    <w:top w:val="single" w:color="auto" w:sz="4" w:space="0"/>
                    <w:left w:val="single" w:color="auto" w:sz="4" w:space="0"/>
                    <w:bottom w:val="single" w:color="auto" w:sz="4" w:space="0"/>
                    <w:right w:val="single" w:color="auto" w:sz="4" w:space="0"/>
                  </w:tcBorders>
                  <w:vAlign w:val="center"/>
                </w:tcPr>
                <w:p w14:paraId="17BEAFBB">
                  <w:pPr>
                    <w:jc w:val="center"/>
                  </w:pPr>
                  <w:r>
                    <w:t>4.0</w:t>
                  </w:r>
                </w:p>
              </w:tc>
            </w:tr>
            <w:tr w14:paraId="5626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0" w:hRule="atLeast"/>
                <w:jc w:val="center"/>
              </w:trPr>
              <w:tc>
                <w:tcPr>
                  <w:tcW w:w="362" w:type="pct"/>
                  <w:vMerge w:val="restart"/>
                  <w:tcBorders>
                    <w:top w:val="single" w:color="auto" w:sz="4" w:space="0"/>
                    <w:left w:val="single" w:color="auto" w:sz="4" w:space="0"/>
                    <w:right w:val="single" w:color="auto" w:sz="4" w:space="0"/>
                  </w:tcBorders>
                  <w:vAlign w:val="center"/>
                </w:tcPr>
                <w:p w14:paraId="442F9A5C">
                  <w:pPr>
                    <w:jc w:val="center"/>
                  </w:pPr>
                  <w:r>
                    <w:t>4</w:t>
                  </w:r>
                </w:p>
              </w:tc>
              <w:tc>
                <w:tcPr>
                  <w:tcW w:w="361" w:type="pct"/>
                  <w:vMerge w:val="restart"/>
                  <w:tcBorders>
                    <w:top w:val="single" w:color="auto" w:sz="4" w:space="0"/>
                    <w:left w:val="single" w:color="auto" w:sz="4" w:space="0"/>
                    <w:right w:val="single" w:color="auto" w:sz="4" w:space="0"/>
                  </w:tcBorders>
                  <w:vAlign w:val="center"/>
                </w:tcPr>
                <w:p w14:paraId="2C977B6C">
                  <w:pPr>
                    <w:jc w:val="center"/>
                  </w:pPr>
                  <w:r>
                    <w:t>固废</w:t>
                  </w:r>
                </w:p>
                <w:p w14:paraId="7D5E7D5E">
                  <w:pPr>
                    <w:jc w:val="center"/>
                  </w:pPr>
                  <w:r>
                    <w:t>治理</w:t>
                  </w: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28DD5F3B">
                  <w:pPr>
                    <w:tabs>
                      <w:tab w:val="left" w:pos="3870"/>
                    </w:tabs>
                    <w:adjustRightInd w:val="0"/>
                    <w:snapToGrid w:val="0"/>
                    <w:jc w:val="center"/>
                  </w:pPr>
                  <w:r>
                    <w:t>生活垃圾</w:t>
                  </w:r>
                </w:p>
              </w:tc>
              <w:tc>
                <w:tcPr>
                  <w:tcW w:w="2208" w:type="pct"/>
                  <w:tcBorders>
                    <w:top w:val="single" w:color="auto" w:sz="4" w:space="0"/>
                    <w:left w:val="single" w:color="auto" w:sz="4" w:space="0"/>
                    <w:bottom w:val="single" w:color="auto" w:sz="4" w:space="0"/>
                    <w:right w:val="single" w:color="auto" w:sz="4" w:space="0"/>
                  </w:tcBorders>
                  <w:vAlign w:val="center"/>
                </w:tcPr>
                <w:p w14:paraId="64ED5DE6">
                  <w:pPr>
                    <w:jc w:val="center"/>
                  </w:pPr>
                  <w:r>
                    <w:t>带盖垃圾桶若干</w:t>
                  </w:r>
                </w:p>
              </w:tc>
              <w:tc>
                <w:tcPr>
                  <w:tcW w:w="813" w:type="pct"/>
                  <w:tcBorders>
                    <w:top w:val="single" w:color="auto" w:sz="4" w:space="0"/>
                    <w:left w:val="single" w:color="auto" w:sz="4" w:space="0"/>
                    <w:bottom w:val="single" w:color="auto" w:sz="4" w:space="0"/>
                    <w:right w:val="single" w:color="auto" w:sz="4" w:space="0"/>
                  </w:tcBorders>
                  <w:vAlign w:val="center"/>
                </w:tcPr>
                <w:p w14:paraId="70A958D4">
                  <w:pPr>
                    <w:jc w:val="center"/>
                  </w:pPr>
                  <w:r>
                    <w:t>0.2</w:t>
                  </w:r>
                </w:p>
              </w:tc>
            </w:tr>
            <w:tr w14:paraId="2861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 w:hRule="atLeast"/>
                <w:jc w:val="center"/>
              </w:trPr>
              <w:tc>
                <w:tcPr>
                  <w:tcW w:w="362" w:type="pct"/>
                  <w:vMerge w:val="continue"/>
                  <w:tcBorders>
                    <w:left w:val="single" w:color="auto" w:sz="4" w:space="0"/>
                    <w:right w:val="single" w:color="auto" w:sz="4" w:space="0"/>
                  </w:tcBorders>
                  <w:vAlign w:val="center"/>
                </w:tcPr>
                <w:p w14:paraId="317337F5">
                  <w:pPr>
                    <w:widowControl/>
                    <w:jc w:val="left"/>
                  </w:pPr>
                </w:p>
              </w:tc>
              <w:tc>
                <w:tcPr>
                  <w:tcW w:w="361" w:type="pct"/>
                  <w:vMerge w:val="continue"/>
                  <w:tcBorders>
                    <w:left w:val="single" w:color="auto" w:sz="4" w:space="0"/>
                    <w:right w:val="single" w:color="auto" w:sz="4" w:space="0"/>
                  </w:tcBorders>
                  <w:vAlign w:val="center"/>
                </w:tcPr>
                <w:p w14:paraId="4E9B2D3C">
                  <w:pPr>
                    <w:widowControl/>
                    <w:jc w:val="left"/>
                  </w:pP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3869C394">
                  <w:pPr>
                    <w:tabs>
                      <w:tab w:val="left" w:pos="3870"/>
                    </w:tabs>
                    <w:adjustRightInd w:val="0"/>
                    <w:snapToGrid w:val="0"/>
                    <w:jc w:val="center"/>
                  </w:pPr>
                  <w:r>
                    <w:t>一般固废</w:t>
                  </w:r>
                </w:p>
              </w:tc>
              <w:tc>
                <w:tcPr>
                  <w:tcW w:w="2208" w:type="pct"/>
                  <w:tcBorders>
                    <w:top w:val="single" w:color="auto" w:sz="4" w:space="0"/>
                    <w:left w:val="single" w:color="auto" w:sz="4" w:space="0"/>
                    <w:bottom w:val="single" w:color="auto" w:sz="4" w:space="0"/>
                    <w:right w:val="single" w:color="auto" w:sz="4" w:space="0"/>
                  </w:tcBorders>
                  <w:vAlign w:val="center"/>
                </w:tcPr>
                <w:p w14:paraId="0F52C3D0">
                  <w:pPr>
                    <w:jc w:val="center"/>
                  </w:pPr>
                  <w:r>
                    <w:t>一般固废暂存间/处</w:t>
                  </w:r>
                </w:p>
              </w:tc>
              <w:tc>
                <w:tcPr>
                  <w:tcW w:w="813" w:type="pct"/>
                  <w:tcBorders>
                    <w:top w:val="single" w:color="auto" w:sz="4" w:space="0"/>
                    <w:left w:val="single" w:color="auto" w:sz="4" w:space="0"/>
                    <w:bottom w:val="single" w:color="auto" w:sz="4" w:space="0"/>
                    <w:right w:val="single" w:color="auto" w:sz="4" w:space="0"/>
                  </w:tcBorders>
                  <w:vAlign w:val="center"/>
                </w:tcPr>
                <w:p w14:paraId="0D8E7B8B">
                  <w:pPr>
                    <w:jc w:val="center"/>
                  </w:pPr>
                  <w:r>
                    <w:t>0.8</w:t>
                  </w:r>
                </w:p>
              </w:tc>
            </w:tr>
            <w:tr w14:paraId="165D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 w:hRule="atLeast"/>
                <w:jc w:val="center"/>
              </w:trPr>
              <w:tc>
                <w:tcPr>
                  <w:tcW w:w="362" w:type="pct"/>
                  <w:vMerge w:val="continue"/>
                  <w:tcBorders>
                    <w:left w:val="single" w:color="auto" w:sz="4" w:space="0"/>
                    <w:bottom w:val="single" w:color="auto" w:sz="4" w:space="0"/>
                    <w:right w:val="single" w:color="auto" w:sz="4" w:space="0"/>
                  </w:tcBorders>
                  <w:vAlign w:val="center"/>
                </w:tcPr>
                <w:p w14:paraId="1A1F08C5">
                  <w:pPr>
                    <w:widowControl/>
                    <w:jc w:val="left"/>
                  </w:pPr>
                </w:p>
              </w:tc>
              <w:tc>
                <w:tcPr>
                  <w:tcW w:w="361" w:type="pct"/>
                  <w:vMerge w:val="continue"/>
                  <w:tcBorders>
                    <w:left w:val="single" w:color="auto" w:sz="4" w:space="0"/>
                    <w:bottom w:val="single" w:color="auto" w:sz="4" w:space="0"/>
                    <w:right w:val="single" w:color="auto" w:sz="4" w:space="0"/>
                  </w:tcBorders>
                  <w:vAlign w:val="center"/>
                </w:tcPr>
                <w:p w14:paraId="4161AE46">
                  <w:pPr>
                    <w:widowControl/>
                    <w:jc w:val="left"/>
                  </w:pPr>
                </w:p>
              </w:tc>
              <w:tc>
                <w:tcPr>
                  <w:tcW w:w="1255" w:type="pct"/>
                  <w:gridSpan w:val="2"/>
                  <w:tcBorders>
                    <w:top w:val="single" w:color="auto" w:sz="4" w:space="0"/>
                    <w:left w:val="single" w:color="auto" w:sz="4" w:space="0"/>
                    <w:bottom w:val="single" w:color="auto" w:sz="4" w:space="0"/>
                    <w:right w:val="single" w:color="auto" w:sz="4" w:space="0"/>
                  </w:tcBorders>
                  <w:vAlign w:val="center"/>
                </w:tcPr>
                <w:p w14:paraId="2222EF61">
                  <w:pPr>
                    <w:tabs>
                      <w:tab w:val="left" w:pos="3870"/>
                    </w:tabs>
                    <w:adjustRightInd w:val="0"/>
                    <w:snapToGrid w:val="0"/>
                    <w:jc w:val="center"/>
                  </w:pPr>
                  <w:r>
                    <w:t>危废暂存</w:t>
                  </w:r>
                  <w:r>
                    <w:rPr>
                      <w:rFonts w:hint="eastAsia"/>
                    </w:rPr>
                    <w:t>间</w:t>
                  </w:r>
                </w:p>
              </w:tc>
              <w:tc>
                <w:tcPr>
                  <w:tcW w:w="2208" w:type="pct"/>
                  <w:tcBorders>
                    <w:top w:val="single" w:color="auto" w:sz="4" w:space="0"/>
                    <w:left w:val="single" w:color="auto" w:sz="4" w:space="0"/>
                    <w:bottom w:val="single" w:color="auto" w:sz="4" w:space="0"/>
                    <w:right w:val="single" w:color="auto" w:sz="4" w:space="0"/>
                  </w:tcBorders>
                  <w:vAlign w:val="center"/>
                </w:tcPr>
                <w:p w14:paraId="26152779">
                  <w:pPr>
                    <w:jc w:val="center"/>
                  </w:pPr>
                  <w:r>
                    <w:t>危废暂存间1间</w:t>
                  </w:r>
                </w:p>
              </w:tc>
              <w:tc>
                <w:tcPr>
                  <w:tcW w:w="813" w:type="pct"/>
                  <w:tcBorders>
                    <w:top w:val="single" w:color="auto" w:sz="4" w:space="0"/>
                    <w:left w:val="single" w:color="auto" w:sz="4" w:space="0"/>
                    <w:bottom w:val="single" w:color="auto" w:sz="4" w:space="0"/>
                    <w:right w:val="single" w:color="auto" w:sz="4" w:space="0"/>
                  </w:tcBorders>
                  <w:vAlign w:val="center"/>
                </w:tcPr>
                <w:p w14:paraId="6F37A627">
                  <w:pPr>
                    <w:jc w:val="center"/>
                  </w:pPr>
                  <w:r>
                    <w:t>3.0</w:t>
                  </w:r>
                </w:p>
              </w:tc>
            </w:tr>
            <w:tr w14:paraId="44BA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 w:hRule="atLeast"/>
                <w:jc w:val="center"/>
              </w:trPr>
              <w:tc>
                <w:tcPr>
                  <w:tcW w:w="723" w:type="pct"/>
                  <w:gridSpan w:val="2"/>
                  <w:tcBorders>
                    <w:top w:val="single" w:color="auto" w:sz="4" w:space="0"/>
                    <w:left w:val="single" w:color="auto" w:sz="4" w:space="0"/>
                    <w:bottom w:val="single" w:color="auto" w:sz="4" w:space="0"/>
                    <w:right w:val="single" w:color="auto" w:sz="4" w:space="0"/>
                  </w:tcBorders>
                  <w:vAlign w:val="center"/>
                </w:tcPr>
                <w:p w14:paraId="2F7B4B28">
                  <w:pPr>
                    <w:jc w:val="center"/>
                  </w:pPr>
                  <w:r>
                    <w:t>合计</w:t>
                  </w:r>
                </w:p>
              </w:tc>
              <w:tc>
                <w:tcPr>
                  <w:tcW w:w="3463" w:type="pct"/>
                  <w:gridSpan w:val="3"/>
                  <w:tcBorders>
                    <w:top w:val="single" w:color="auto" w:sz="4" w:space="0"/>
                    <w:left w:val="single" w:color="auto" w:sz="4" w:space="0"/>
                    <w:bottom w:val="single" w:color="auto" w:sz="4" w:space="0"/>
                    <w:right w:val="single" w:color="auto" w:sz="4" w:space="0"/>
                  </w:tcBorders>
                  <w:vAlign w:val="center"/>
                </w:tcPr>
                <w:p w14:paraId="51512685">
                  <w:pPr>
                    <w:jc w:val="center"/>
                  </w:pPr>
                  <w:r>
                    <w:t>/</w:t>
                  </w:r>
                </w:p>
              </w:tc>
              <w:tc>
                <w:tcPr>
                  <w:tcW w:w="813" w:type="pct"/>
                  <w:tcBorders>
                    <w:top w:val="single" w:color="auto" w:sz="4" w:space="0"/>
                    <w:left w:val="single" w:color="auto" w:sz="4" w:space="0"/>
                    <w:bottom w:val="single" w:color="auto" w:sz="4" w:space="0"/>
                    <w:right w:val="single" w:color="auto" w:sz="4" w:space="0"/>
                  </w:tcBorders>
                  <w:vAlign w:val="center"/>
                </w:tcPr>
                <w:p w14:paraId="364E758D">
                  <w:pPr>
                    <w:jc w:val="center"/>
                  </w:pPr>
                  <w:r>
                    <w:rPr>
                      <w:rFonts w:hint="eastAsia"/>
                    </w:rPr>
                    <w:t>109</w:t>
                  </w:r>
                </w:p>
              </w:tc>
            </w:tr>
          </w:tbl>
          <w:p w14:paraId="10CAC458">
            <w:pPr>
              <w:pStyle w:val="2"/>
            </w:pPr>
          </w:p>
          <w:p w14:paraId="18369264"/>
          <w:p w14:paraId="4EED84C7">
            <w:pPr>
              <w:pStyle w:val="2"/>
            </w:pPr>
          </w:p>
          <w:p w14:paraId="132A32FC"/>
          <w:p w14:paraId="1E73DB33">
            <w:pPr>
              <w:pStyle w:val="2"/>
            </w:pPr>
          </w:p>
          <w:p w14:paraId="5B043649"/>
          <w:p w14:paraId="48D7D231"/>
          <w:p w14:paraId="40309F6D">
            <w:pPr>
              <w:pStyle w:val="2"/>
            </w:pPr>
          </w:p>
          <w:p w14:paraId="233F0089"/>
          <w:p w14:paraId="43C89BC8">
            <w:pPr>
              <w:pStyle w:val="2"/>
            </w:pPr>
          </w:p>
          <w:p w14:paraId="5B932C32"/>
          <w:p w14:paraId="2D3635FD">
            <w:pPr>
              <w:pStyle w:val="2"/>
            </w:pPr>
          </w:p>
          <w:p w14:paraId="3C295627"/>
          <w:p w14:paraId="10EDAA1A">
            <w:pPr>
              <w:pStyle w:val="2"/>
            </w:pPr>
          </w:p>
          <w:p w14:paraId="7636AE91"/>
          <w:p w14:paraId="52AC48E9">
            <w:pPr>
              <w:pStyle w:val="2"/>
            </w:pPr>
          </w:p>
          <w:p w14:paraId="0EA68CE7"/>
          <w:p w14:paraId="29A92150">
            <w:pPr>
              <w:pStyle w:val="2"/>
            </w:pPr>
          </w:p>
          <w:p w14:paraId="7B4D835B"/>
          <w:p w14:paraId="6F889F11">
            <w:pPr>
              <w:pStyle w:val="2"/>
            </w:pPr>
          </w:p>
          <w:p w14:paraId="4C998330"/>
        </w:tc>
      </w:tr>
    </w:tbl>
    <w:p w14:paraId="76BCF985">
      <w:pPr>
        <w:pStyle w:val="2"/>
        <w:sectPr>
          <w:pgSz w:w="11907" w:h="16840"/>
          <w:pgMar w:top="1701" w:right="1531" w:bottom="2126" w:left="1531" w:header="851" w:footer="851" w:gutter="0"/>
          <w:cols w:space="0" w:num="1"/>
          <w:docGrid w:linePitch="312" w:charSpace="0"/>
        </w:sectPr>
      </w:pPr>
    </w:p>
    <w:p w14:paraId="2A388063">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5" w:name="_Hlk54167917"/>
      <w:r>
        <w:rPr>
          <w:rFonts w:hint="eastAsia" w:ascii="黑体" w:hAnsi="黑体" w:eastAsia="黑体"/>
          <w:snapToGrid w:val="0"/>
          <w:sz w:val="30"/>
          <w:szCs w:val="30"/>
        </w:rPr>
        <w:t>环境保护措施监督检查清单</w:t>
      </w:r>
      <w:bookmarkEnd w:id="5"/>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708"/>
        <w:gridCol w:w="1276"/>
        <w:gridCol w:w="1134"/>
        <w:gridCol w:w="2268"/>
        <w:gridCol w:w="2443"/>
      </w:tblGrid>
      <w:tr w14:paraId="70C50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71" w:type="dxa"/>
            <w:tcBorders>
              <w:tl2br w:val="single" w:color="auto" w:sz="4" w:space="0"/>
            </w:tcBorders>
          </w:tcPr>
          <w:p w14:paraId="31B3B285">
            <w:pPr>
              <w:adjustRightInd w:val="0"/>
              <w:snapToGrid w:val="0"/>
              <w:ind w:firstLine="210" w:firstLineChars="100"/>
              <w:rPr>
                <w:rFonts w:ascii="宋体" w:hAnsi="宋体" w:cs="宋体"/>
                <w:szCs w:val="21"/>
              </w:rPr>
            </w:pPr>
            <w:r>
              <w:rPr>
                <w:rFonts w:hint="eastAsia" w:ascii="宋体" w:hAnsi="宋体" w:cs="宋体"/>
                <w:szCs w:val="21"/>
              </w:rPr>
              <w:t>内容</w:t>
            </w:r>
          </w:p>
          <w:p w14:paraId="71307A30">
            <w:pPr>
              <w:adjustRightInd w:val="0"/>
              <w:snapToGrid w:val="0"/>
              <w:rPr>
                <w:rFonts w:ascii="宋体" w:hAnsi="宋体" w:cs="宋体"/>
                <w:szCs w:val="21"/>
              </w:rPr>
            </w:pPr>
          </w:p>
          <w:p w14:paraId="2D3071B3">
            <w:pPr>
              <w:adjustRightInd w:val="0"/>
              <w:snapToGrid w:val="0"/>
              <w:rPr>
                <w:rFonts w:ascii="宋体" w:hAnsi="宋体" w:cs="宋体"/>
                <w:szCs w:val="21"/>
              </w:rPr>
            </w:pPr>
            <w:r>
              <w:rPr>
                <w:rFonts w:hint="eastAsia" w:ascii="宋体" w:hAnsi="宋体" w:cs="宋体"/>
                <w:szCs w:val="21"/>
              </w:rPr>
              <w:t>要素</w:t>
            </w:r>
          </w:p>
        </w:tc>
        <w:tc>
          <w:tcPr>
            <w:tcW w:w="1984" w:type="dxa"/>
            <w:gridSpan w:val="2"/>
            <w:vAlign w:val="center"/>
          </w:tcPr>
          <w:p w14:paraId="0A3D54E6">
            <w:pPr>
              <w:adjustRightInd w:val="0"/>
              <w:snapToGrid w:val="0"/>
              <w:jc w:val="center"/>
              <w:rPr>
                <w:rFonts w:ascii="宋体" w:hAnsi="宋体" w:cs="宋体"/>
                <w:szCs w:val="21"/>
              </w:rPr>
            </w:pPr>
            <w:r>
              <w:rPr>
                <w:rFonts w:hint="eastAsia" w:ascii="宋体" w:hAnsi="宋体" w:cs="宋体"/>
                <w:szCs w:val="21"/>
              </w:rPr>
              <w:t>排放口(编号、</w:t>
            </w:r>
          </w:p>
          <w:p w14:paraId="5DD3583C">
            <w:pPr>
              <w:adjustRightInd w:val="0"/>
              <w:snapToGrid w:val="0"/>
              <w:jc w:val="center"/>
              <w:rPr>
                <w:rFonts w:ascii="宋体" w:hAnsi="宋体" w:cs="宋体"/>
                <w:szCs w:val="21"/>
              </w:rPr>
            </w:pPr>
            <w:r>
              <w:rPr>
                <w:rFonts w:hint="eastAsia" w:ascii="宋体" w:hAnsi="宋体" w:cs="宋体"/>
                <w:szCs w:val="21"/>
              </w:rPr>
              <w:t>名称)/污染源</w:t>
            </w:r>
          </w:p>
        </w:tc>
        <w:tc>
          <w:tcPr>
            <w:tcW w:w="1134" w:type="dxa"/>
            <w:vAlign w:val="center"/>
          </w:tcPr>
          <w:p w14:paraId="4B6D5B33">
            <w:pPr>
              <w:adjustRightInd w:val="0"/>
              <w:snapToGrid w:val="0"/>
              <w:jc w:val="center"/>
              <w:rPr>
                <w:rFonts w:ascii="宋体" w:hAnsi="宋体" w:cs="宋体"/>
                <w:szCs w:val="21"/>
              </w:rPr>
            </w:pPr>
            <w:r>
              <w:rPr>
                <w:rFonts w:hint="eastAsia" w:ascii="宋体" w:hAnsi="宋体" w:cs="宋体"/>
                <w:szCs w:val="21"/>
              </w:rPr>
              <w:t>污染物项目</w:t>
            </w:r>
          </w:p>
        </w:tc>
        <w:tc>
          <w:tcPr>
            <w:tcW w:w="2268" w:type="dxa"/>
            <w:vAlign w:val="center"/>
          </w:tcPr>
          <w:p w14:paraId="0805C7F6">
            <w:pPr>
              <w:adjustRightInd w:val="0"/>
              <w:snapToGrid w:val="0"/>
              <w:jc w:val="center"/>
              <w:rPr>
                <w:rFonts w:ascii="宋体" w:hAnsi="宋体" w:cs="宋体"/>
                <w:szCs w:val="21"/>
              </w:rPr>
            </w:pPr>
            <w:r>
              <w:rPr>
                <w:rFonts w:hint="eastAsia" w:ascii="宋体" w:hAnsi="宋体" w:cs="宋体"/>
                <w:szCs w:val="21"/>
              </w:rPr>
              <w:t>环境保护措施</w:t>
            </w:r>
          </w:p>
        </w:tc>
        <w:tc>
          <w:tcPr>
            <w:tcW w:w="2443" w:type="dxa"/>
            <w:vAlign w:val="center"/>
          </w:tcPr>
          <w:p w14:paraId="43409095">
            <w:pPr>
              <w:adjustRightInd w:val="0"/>
              <w:snapToGrid w:val="0"/>
              <w:jc w:val="center"/>
              <w:rPr>
                <w:rFonts w:ascii="宋体" w:hAnsi="宋体" w:cs="宋体"/>
                <w:szCs w:val="21"/>
              </w:rPr>
            </w:pPr>
            <w:r>
              <w:rPr>
                <w:rFonts w:hint="eastAsia" w:ascii="宋体" w:hAnsi="宋体" w:cs="宋体"/>
                <w:szCs w:val="21"/>
              </w:rPr>
              <w:t>执行标准</w:t>
            </w:r>
          </w:p>
        </w:tc>
      </w:tr>
      <w:tr w14:paraId="26037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restart"/>
            <w:vAlign w:val="center"/>
          </w:tcPr>
          <w:p w14:paraId="2DF93C05">
            <w:pPr>
              <w:adjustRightInd w:val="0"/>
              <w:snapToGrid w:val="0"/>
              <w:jc w:val="center"/>
              <w:rPr>
                <w:rFonts w:ascii="宋体" w:hAnsi="宋体" w:cs="宋体"/>
                <w:szCs w:val="21"/>
              </w:rPr>
            </w:pPr>
            <w:r>
              <w:rPr>
                <w:rFonts w:hint="eastAsia" w:ascii="宋体" w:hAnsi="宋体" w:cs="宋体"/>
                <w:szCs w:val="21"/>
              </w:rPr>
              <w:t>大气环境</w:t>
            </w:r>
          </w:p>
        </w:tc>
        <w:tc>
          <w:tcPr>
            <w:tcW w:w="1984" w:type="dxa"/>
            <w:gridSpan w:val="2"/>
            <w:vAlign w:val="center"/>
          </w:tcPr>
          <w:p w14:paraId="30EBCEC5">
            <w:pPr>
              <w:wordWrap w:val="0"/>
              <w:jc w:val="center"/>
            </w:pPr>
            <w:r>
              <w:rPr>
                <w:rFonts w:hint="eastAsia"/>
              </w:rPr>
              <w:t>切割粉尘</w:t>
            </w:r>
          </w:p>
        </w:tc>
        <w:tc>
          <w:tcPr>
            <w:tcW w:w="1134" w:type="dxa"/>
            <w:vAlign w:val="center"/>
          </w:tcPr>
          <w:p w14:paraId="16D709C6">
            <w:pPr>
              <w:wordWrap w:val="0"/>
              <w:jc w:val="center"/>
            </w:pPr>
            <w:r>
              <w:rPr>
                <w:rFonts w:hint="eastAsia"/>
              </w:rPr>
              <w:t>颗粒物</w:t>
            </w:r>
          </w:p>
        </w:tc>
        <w:tc>
          <w:tcPr>
            <w:tcW w:w="2268" w:type="dxa"/>
            <w:vAlign w:val="center"/>
          </w:tcPr>
          <w:p w14:paraId="2A34B4B0">
            <w:pPr>
              <w:pStyle w:val="2"/>
              <w:wordWrap w:val="0"/>
              <w:spacing w:after="0"/>
              <w:ind w:left="0" w:leftChars="0" w:firstLine="0" w:firstLineChars="0"/>
              <w:jc w:val="center"/>
            </w:pPr>
            <w:r>
              <w:t>布袋除尘器（TA001</w:t>
            </w:r>
            <w:r>
              <w:rPr>
                <w:rFonts w:hint="eastAsia"/>
              </w:rPr>
              <w:t>、TA002</w:t>
            </w:r>
            <w:r>
              <w:t>）</w:t>
            </w:r>
          </w:p>
        </w:tc>
        <w:tc>
          <w:tcPr>
            <w:tcW w:w="2443" w:type="dxa"/>
            <w:vMerge w:val="restart"/>
            <w:vAlign w:val="center"/>
          </w:tcPr>
          <w:p w14:paraId="4DF72DBA">
            <w:pPr>
              <w:pStyle w:val="8"/>
              <w:wordWrap w:val="0"/>
              <w:jc w:val="center"/>
              <w:rPr>
                <w:rFonts w:hAnsi="宋体"/>
                <w:sz w:val="21"/>
                <w:szCs w:val="21"/>
              </w:rPr>
            </w:pPr>
            <w:r>
              <w:rPr>
                <w:kern w:val="2"/>
                <w:sz w:val="21"/>
                <w:szCs w:val="24"/>
              </w:rPr>
              <w:t>《大气污染物综合排放标准》（GB16297-1996）表2中的</w:t>
            </w:r>
            <w:r>
              <w:rPr>
                <w:rFonts w:hint="eastAsia"/>
                <w:kern w:val="2"/>
                <w:sz w:val="21"/>
                <w:szCs w:val="24"/>
              </w:rPr>
              <w:t>无组织排放标准</w:t>
            </w:r>
          </w:p>
        </w:tc>
      </w:tr>
      <w:tr w14:paraId="602AD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6D079A81">
            <w:pPr>
              <w:adjustRightInd w:val="0"/>
              <w:snapToGrid w:val="0"/>
              <w:jc w:val="center"/>
              <w:rPr>
                <w:rFonts w:ascii="宋体" w:hAnsi="宋体" w:cs="宋体"/>
                <w:szCs w:val="21"/>
              </w:rPr>
            </w:pPr>
          </w:p>
        </w:tc>
        <w:tc>
          <w:tcPr>
            <w:tcW w:w="1984" w:type="dxa"/>
            <w:gridSpan w:val="2"/>
            <w:vAlign w:val="center"/>
          </w:tcPr>
          <w:p w14:paraId="38013210">
            <w:pPr>
              <w:wordWrap w:val="0"/>
              <w:jc w:val="center"/>
            </w:pPr>
            <w:r>
              <w:rPr>
                <w:rFonts w:hint="eastAsia"/>
              </w:rPr>
              <w:t>焊接烟尘</w:t>
            </w:r>
          </w:p>
        </w:tc>
        <w:tc>
          <w:tcPr>
            <w:tcW w:w="1134" w:type="dxa"/>
            <w:vAlign w:val="center"/>
          </w:tcPr>
          <w:p w14:paraId="143F6D49">
            <w:pPr>
              <w:wordWrap w:val="0"/>
              <w:jc w:val="center"/>
            </w:pPr>
            <w:r>
              <w:rPr>
                <w:rFonts w:hint="eastAsia"/>
              </w:rPr>
              <w:t>颗粒物</w:t>
            </w:r>
          </w:p>
        </w:tc>
        <w:tc>
          <w:tcPr>
            <w:tcW w:w="2268" w:type="dxa"/>
            <w:vAlign w:val="center"/>
          </w:tcPr>
          <w:p w14:paraId="730327DB">
            <w:pPr>
              <w:wordWrap w:val="0"/>
              <w:jc w:val="center"/>
            </w:pPr>
            <w:r>
              <w:rPr>
                <w:rFonts w:hint="eastAsia"/>
              </w:rPr>
              <w:t>4</w:t>
            </w:r>
            <w:r>
              <w:t>台移动式焊接烟尘净化器（TA00</w:t>
            </w:r>
            <w:r>
              <w:rPr>
                <w:rFonts w:hint="eastAsia"/>
              </w:rPr>
              <w:t>3</w:t>
            </w:r>
            <w:r>
              <w:t>）</w:t>
            </w:r>
          </w:p>
        </w:tc>
        <w:tc>
          <w:tcPr>
            <w:tcW w:w="2443" w:type="dxa"/>
            <w:vMerge w:val="continue"/>
            <w:vAlign w:val="center"/>
          </w:tcPr>
          <w:p w14:paraId="1267E08F">
            <w:pPr>
              <w:pStyle w:val="8"/>
              <w:wordWrap w:val="0"/>
              <w:jc w:val="center"/>
              <w:rPr>
                <w:rFonts w:hAnsi="宋体"/>
                <w:sz w:val="21"/>
                <w:szCs w:val="21"/>
              </w:rPr>
            </w:pPr>
          </w:p>
        </w:tc>
      </w:tr>
      <w:tr w14:paraId="2F62A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1F381A1B">
            <w:pPr>
              <w:adjustRightInd w:val="0"/>
              <w:snapToGrid w:val="0"/>
              <w:jc w:val="center"/>
              <w:rPr>
                <w:rFonts w:ascii="宋体" w:hAnsi="宋体" w:cs="宋体"/>
                <w:szCs w:val="21"/>
              </w:rPr>
            </w:pPr>
          </w:p>
        </w:tc>
        <w:tc>
          <w:tcPr>
            <w:tcW w:w="1984" w:type="dxa"/>
            <w:gridSpan w:val="2"/>
            <w:vAlign w:val="center"/>
          </w:tcPr>
          <w:p w14:paraId="101B86D4">
            <w:pPr>
              <w:wordWrap w:val="0"/>
              <w:jc w:val="center"/>
            </w:pPr>
            <w:r>
              <w:rPr>
                <w:rFonts w:hint="eastAsia"/>
              </w:rPr>
              <w:t>打磨粉尘</w:t>
            </w:r>
          </w:p>
        </w:tc>
        <w:tc>
          <w:tcPr>
            <w:tcW w:w="1134" w:type="dxa"/>
            <w:vAlign w:val="center"/>
          </w:tcPr>
          <w:p w14:paraId="1103E219">
            <w:pPr>
              <w:wordWrap w:val="0"/>
              <w:jc w:val="center"/>
            </w:pPr>
            <w:r>
              <w:rPr>
                <w:rFonts w:hint="eastAsia"/>
              </w:rPr>
              <w:t>颗粒物</w:t>
            </w:r>
          </w:p>
        </w:tc>
        <w:tc>
          <w:tcPr>
            <w:tcW w:w="2268" w:type="dxa"/>
            <w:vAlign w:val="center"/>
          </w:tcPr>
          <w:p w14:paraId="38DE4580">
            <w:pPr>
              <w:wordWrap w:val="0"/>
              <w:jc w:val="center"/>
            </w:pPr>
            <w:r>
              <w:rPr>
                <w:rFonts w:hint="eastAsia"/>
              </w:rPr>
              <w:t>打磨房分别设置两级纳米覆膜除尘器（TA004、TA005）</w:t>
            </w:r>
          </w:p>
        </w:tc>
        <w:tc>
          <w:tcPr>
            <w:tcW w:w="2443" w:type="dxa"/>
            <w:vMerge w:val="continue"/>
            <w:vAlign w:val="center"/>
          </w:tcPr>
          <w:p w14:paraId="2A128EA2">
            <w:pPr>
              <w:pStyle w:val="8"/>
              <w:wordWrap w:val="0"/>
              <w:jc w:val="center"/>
              <w:rPr>
                <w:rFonts w:hAnsi="宋体"/>
                <w:sz w:val="21"/>
                <w:szCs w:val="21"/>
              </w:rPr>
            </w:pPr>
          </w:p>
        </w:tc>
      </w:tr>
      <w:tr w14:paraId="72D0F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2C7AB5B9">
            <w:pPr>
              <w:adjustRightInd w:val="0"/>
              <w:snapToGrid w:val="0"/>
              <w:jc w:val="center"/>
              <w:rPr>
                <w:rFonts w:ascii="宋体" w:hAnsi="宋体" w:cs="宋体"/>
                <w:szCs w:val="21"/>
              </w:rPr>
            </w:pPr>
          </w:p>
        </w:tc>
        <w:tc>
          <w:tcPr>
            <w:tcW w:w="1984" w:type="dxa"/>
            <w:gridSpan w:val="2"/>
            <w:vAlign w:val="center"/>
          </w:tcPr>
          <w:p w14:paraId="54F1AE83">
            <w:pPr>
              <w:wordWrap w:val="0"/>
              <w:jc w:val="center"/>
            </w:pPr>
            <w:r>
              <w:rPr>
                <w:rFonts w:hint="eastAsia"/>
              </w:rPr>
              <w:t>抛丸粉尘排气筒DA001</w:t>
            </w:r>
          </w:p>
        </w:tc>
        <w:tc>
          <w:tcPr>
            <w:tcW w:w="1134" w:type="dxa"/>
            <w:vAlign w:val="center"/>
          </w:tcPr>
          <w:p w14:paraId="0BB2444B">
            <w:pPr>
              <w:wordWrap w:val="0"/>
              <w:jc w:val="center"/>
            </w:pPr>
            <w:r>
              <w:rPr>
                <w:rFonts w:hint="eastAsia"/>
              </w:rPr>
              <w:t>颗粒物</w:t>
            </w:r>
          </w:p>
        </w:tc>
        <w:tc>
          <w:tcPr>
            <w:tcW w:w="2268" w:type="dxa"/>
            <w:vAlign w:val="center"/>
          </w:tcPr>
          <w:p w14:paraId="369A1354">
            <w:pPr>
              <w:wordWrap w:val="0"/>
              <w:jc w:val="center"/>
            </w:pPr>
            <w:r>
              <w:rPr>
                <w:rFonts w:hint="eastAsia"/>
              </w:rPr>
              <w:t>自带布袋除尘器TA006+17m高排气筒DA001</w:t>
            </w:r>
          </w:p>
        </w:tc>
        <w:tc>
          <w:tcPr>
            <w:tcW w:w="2443" w:type="dxa"/>
            <w:vMerge w:val="restart"/>
            <w:vAlign w:val="center"/>
          </w:tcPr>
          <w:p w14:paraId="63B3C514">
            <w:pPr>
              <w:pStyle w:val="8"/>
              <w:wordWrap w:val="0"/>
              <w:jc w:val="center"/>
              <w:rPr>
                <w:rFonts w:hAnsi="宋体"/>
                <w:sz w:val="21"/>
                <w:szCs w:val="21"/>
              </w:rPr>
            </w:pPr>
            <w:r>
              <w:rPr>
                <w:rFonts w:hint="eastAsia" w:hAnsi="宋体"/>
                <w:sz w:val="21"/>
                <w:szCs w:val="21"/>
              </w:rPr>
              <w:t>《大气污染物综合排放标准》（GB16297-1996）表2中的二级标准</w:t>
            </w:r>
          </w:p>
        </w:tc>
      </w:tr>
      <w:tr w14:paraId="7FC03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6EBE3697">
            <w:pPr>
              <w:adjustRightInd w:val="0"/>
              <w:snapToGrid w:val="0"/>
              <w:jc w:val="center"/>
              <w:rPr>
                <w:rFonts w:ascii="宋体" w:hAnsi="宋体" w:cs="宋体"/>
                <w:szCs w:val="21"/>
              </w:rPr>
            </w:pPr>
          </w:p>
        </w:tc>
        <w:tc>
          <w:tcPr>
            <w:tcW w:w="708" w:type="dxa"/>
            <w:vMerge w:val="restart"/>
            <w:vAlign w:val="center"/>
          </w:tcPr>
          <w:p w14:paraId="081031BB">
            <w:pPr>
              <w:wordWrap w:val="0"/>
              <w:jc w:val="center"/>
            </w:pPr>
            <w:r>
              <w:rPr>
                <w:rFonts w:hint="eastAsia"/>
              </w:rPr>
              <w:t>全自动喷涂流水线</w:t>
            </w:r>
          </w:p>
        </w:tc>
        <w:tc>
          <w:tcPr>
            <w:tcW w:w="1276" w:type="dxa"/>
            <w:vAlign w:val="center"/>
          </w:tcPr>
          <w:p w14:paraId="036BE273">
            <w:pPr>
              <w:wordWrap w:val="0"/>
              <w:jc w:val="center"/>
            </w:pPr>
            <w:r>
              <w:rPr>
                <w:rFonts w:hint="eastAsia"/>
              </w:rPr>
              <w:t>手动喷粉工位1粉尘排气筒DA002</w:t>
            </w:r>
          </w:p>
        </w:tc>
        <w:tc>
          <w:tcPr>
            <w:tcW w:w="1134" w:type="dxa"/>
            <w:vAlign w:val="center"/>
          </w:tcPr>
          <w:p w14:paraId="55386E97">
            <w:pPr>
              <w:wordWrap w:val="0"/>
              <w:jc w:val="center"/>
            </w:pPr>
            <w:r>
              <w:rPr>
                <w:rFonts w:hint="eastAsia"/>
              </w:rPr>
              <w:t>颗粒物</w:t>
            </w:r>
          </w:p>
        </w:tc>
        <w:tc>
          <w:tcPr>
            <w:tcW w:w="2268" w:type="dxa"/>
            <w:vAlign w:val="center"/>
          </w:tcPr>
          <w:p w14:paraId="31C20D1A">
            <w:pPr>
              <w:wordWrap w:val="0"/>
              <w:jc w:val="center"/>
            </w:pPr>
            <w:r>
              <w:rPr>
                <w:rFonts w:hint="eastAsia"/>
              </w:rPr>
              <w:t>滤筒除尘器+纳米覆膜滤筒除尘器TA007+17m高排气筒DA002</w:t>
            </w:r>
          </w:p>
        </w:tc>
        <w:tc>
          <w:tcPr>
            <w:tcW w:w="2443" w:type="dxa"/>
            <w:vMerge w:val="continue"/>
            <w:vAlign w:val="center"/>
          </w:tcPr>
          <w:p w14:paraId="750EABBA">
            <w:pPr>
              <w:pStyle w:val="8"/>
              <w:wordWrap w:val="0"/>
              <w:jc w:val="center"/>
              <w:rPr>
                <w:rFonts w:hAnsi="宋体"/>
                <w:sz w:val="21"/>
                <w:szCs w:val="21"/>
              </w:rPr>
            </w:pPr>
          </w:p>
        </w:tc>
      </w:tr>
      <w:tr w14:paraId="52014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03D234C0">
            <w:pPr>
              <w:adjustRightInd w:val="0"/>
              <w:snapToGrid w:val="0"/>
              <w:jc w:val="center"/>
              <w:rPr>
                <w:rFonts w:ascii="宋体" w:hAnsi="宋体" w:cs="宋体"/>
                <w:szCs w:val="21"/>
              </w:rPr>
            </w:pPr>
          </w:p>
        </w:tc>
        <w:tc>
          <w:tcPr>
            <w:tcW w:w="708" w:type="dxa"/>
            <w:vMerge w:val="continue"/>
            <w:vAlign w:val="center"/>
          </w:tcPr>
          <w:p w14:paraId="338A8BFF">
            <w:pPr>
              <w:wordWrap w:val="0"/>
              <w:jc w:val="center"/>
            </w:pPr>
          </w:p>
        </w:tc>
        <w:tc>
          <w:tcPr>
            <w:tcW w:w="1276" w:type="dxa"/>
            <w:vAlign w:val="center"/>
          </w:tcPr>
          <w:p w14:paraId="2F0B8FB2">
            <w:pPr>
              <w:wordWrap w:val="0"/>
              <w:adjustRightInd w:val="0"/>
              <w:snapToGrid w:val="0"/>
              <w:jc w:val="center"/>
            </w:pPr>
            <w:r>
              <w:rPr>
                <w:rFonts w:hint="eastAsia"/>
              </w:rPr>
              <w:t>手动+自动喷粉工位2粉尘排气筒DA002</w:t>
            </w:r>
          </w:p>
        </w:tc>
        <w:tc>
          <w:tcPr>
            <w:tcW w:w="1134" w:type="dxa"/>
            <w:vAlign w:val="center"/>
          </w:tcPr>
          <w:p w14:paraId="29A1AB56">
            <w:pPr>
              <w:wordWrap w:val="0"/>
              <w:jc w:val="center"/>
            </w:pPr>
            <w:r>
              <w:rPr>
                <w:rFonts w:hint="eastAsia"/>
              </w:rPr>
              <w:t>颗粒物</w:t>
            </w:r>
          </w:p>
        </w:tc>
        <w:tc>
          <w:tcPr>
            <w:tcW w:w="2268" w:type="dxa"/>
            <w:vAlign w:val="center"/>
          </w:tcPr>
          <w:p w14:paraId="6AB0235F">
            <w:pPr>
              <w:wordWrap w:val="0"/>
              <w:jc w:val="center"/>
            </w:pPr>
            <w:r>
              <w:rPr>
                <w:rFonts w:hint="eastAsia"/>
              </w:rPr>
              <w:t>滤筒除尘器+纳米覆膜滤筒除尘器TA008+17m高排气筒DA002</w:t>
            </w:r>
          </w:p>
        </w:tc>
        <w:tc>
          <w:tcPr>
            <w:tcW w:w="2443" w:type="dxa"/>
            <w:vMerge w:val="continue"/>
            <w:vAlign w:val="center"/>
          </w:tcPr>
          <w:p w14:paraId="3C6533C6">
            <w:pPr>
              <w:pStyle w:val="8"/>
              <w:wordWrap w:val="0"/>
              <w:jc w:val="center"/>
              <w:rPr>
                <w:rFonts w:hAnsi="宋体"/>
                <w:sz w:val="21"/>
                <w:szCs w:val="21"/>
              </w:rPr>
            </w:pPr>
          </w:p>
        </w:tc>
      </w:tr>
      <w:tr w14:paraId="67C24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5FD0783C">
            <w:pPr>
              <w:adjustRightInd w:val="0"/>
              <w:snapToGrid w:val="0"/>
              <w:jc w:val="center"/>
              <w:rPr>
                <w:rFonts w:ascii="宋体" w:hAnsi="宋体" w:cs="宋体"/>
                <w:szCs w:val="21"/>
              </w:rPr>
            </w:pPr>
          </w:p>
        </w:tc>
        <w:tc>
          <w:tcPr>
            <w:tcW w:w="708" w:type="dxa"/>
            <w:vMerge w:val="continue"/>
            <w:vAlign w:val="center"/>
          </w:tcPr>
          <w:p w14:paraId="102BCDE4">
            <w:pPr>
              <w:wordWrap w:val="0"/>
              <w:jc w:val="center"/>
            </w:pPr>
          </w:p>
        </w:tc>
        <w:tc>
          <w:tcPr>
            <w:tcW w:w="1276" w:type="dxa"/>
            <w:vAlign w:val="center"/>
          </w:tcPr>
          <w:p w14:paraId="79835179">
            <w:pPr>
              <w:wordWrap w:val="0"/>
              <w:adjustRightInd w:val="0"/>
              <w:snapToGrid w:val="0"/>
              <w:jc w:val="center"/>
            </w:pPr>
            <w:r>
              <w:rPr>
                <w:rFonts w:hint="eastAsia"/>
              </w:rPr>
              <w:t>手动+自动喷粉工位3粉尘排气筒DA003</w:t>
            </w:r>
          </w:p>
        </w:tc>
        <w:tc>
          <w:tcPr>
            <w:tcW w:w="1134" w:type="dxa"/>
            <w:vAlign w:val="center"/>
          </w:tcPr>
          <w:p w14:paraId="46D5C422">
            <w:pPr>
              <w:wordWrap w:val="0"/>
              <w:jc w:val="center"/>
            </w:pPr>
            <w:r>
              <w:rPr>
                <w:rFonts w:hint="eastAsia"/>
              </w:rPr>
              <w:t>颗粒物</w:t>
            </w:r>
          </w:p>
        </w:tc>
        <w:tc>
          <w:tcPr>
            <w:tcW w:w="2268" w:type="dxa"/>
            <w:vAlign w:val="center"/>
          </w:tcPr>
          <w:p w14:paraId="2ED15C50">
            <w:pPr>
              <w:wordWrap w:val="0"/>
              <w:jc w:val="center"/>
            </w:pPr>
            <w:r>
              <w:rPr>
                <w:rFonts w:hint="eastAsia"/>
              </w:rPr>
              <w:t>旋风+纳米覆膜滤筒除尘器TA009+17m高排气筒DA003</w:t>
            </w:r>
          </w:p>
        </w:tc>
        <w:tc>
          <w:tcPr>
            <w:tcW w:w="2443" w:type="dxa"/>
            <w:vMerge w:val="continue"/>
            <w:vAlign w:val="center"/>
          </w:tcPr>
          <w:p w14:paraId="769C6460">
            <w:pPr>
              <w:pStyle w:val="8"/>
              <w:wordWrap w:val="0"/>
              <w:jc w:val="center"/>
              <w:rPr>
                <w:rFonts w:hAnsi="宋体"/>
                <w:sz w:val="21"/>
                <w:szCs w:val="21"/>
              </w:rPr>
            </w:pPr>
          </w:p>
        </w:tc>
      </w:tr>
      <w:tr w14:paraId="5B488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1D78BEBC">
            <w:pPr>
              <w:adjustRightInd w:val="0"/>
              <w:snapToGrid w:val="0"/>
              <w:jc w:val="center"/>
              <w:rPr>
                <w:rFonts w:ascii="宋体" w:hAnsi="宋体" w:cs="宋体"/>
                <w:szCs w:val="21"/>
              </w:rPr>
            </w:pPr>
          </w:p>
        </w:tc>
        <w:tc>
          <w:tcPr>
            <w:tcW w:w="708" w:type="dxa"/>
            <w:vMerge w:val="continue"/>
            <w:vAlign w:val="center"/>
          </w:tcPr>
          <w:p w14:paraId="30CE4DFA">
            <w:pPr>
              <w:wordWrap w:val="0"/>
              <w:jc w:val="center"/>
            </w:pPr>
          </w:p>
        </w:tc>
        <w:tc>
          <w:tcPr>
            <w:tcW w:w="1276" w:type="dxa"/>
            <w:vAlign w:val="center"/>
          </w:tcPr>
          <w:p w14:paraId="25E9DED0">
            <w:pPr>
              <w:wordWrap w:val="0"/>
              <w:adjustRightInd w:val="0"/>
              <w:snapToGrid w:val="0"/>
              <w:jc w:val="center"/>
            </w:pPr>
            <w:r>
              <w:rPr>
                <w:rFonts w:hint="eastAsia"/>
              </w:rPr>
              <w:t>喷漆房1废气排气筒DA002</w:t>
            </w:r>
          </w:p>
        </w:tc>
        <w:tc>
          <w:tcPr>
            <w:tcW w:w="1134" w:type="dxa"/>
            <w:vAlign w:val="center"/>
          </w:tcPr>
          <w:p w14:paraId="3A8DA003">
            <w:pPr>
              <w:wordWrap w:val="0"/>
              <w:jc w:val="center"/>
            </w:pPr>
            <w:r>
              <w:rPr>
                <w:rFonts w:hint="eastAsia"/>
              </w:rPr>
              <w:t>颗粒物、非甲烷总烃</w:t>
            </w:r>
          </w:p>
        </w:tc>
        <w:tc>
          <w:tcPr>
            <w:tcW w:w="2268" w:type="dxa"/>
            <w:vAlign w:val="center"/>
          </w:tcPr>
          <w:p w14:paraId="22CCDCE5">
            <w:pPr>
              <w:wordWrap w:val="0"/>
              <w:jc w:val="center"/>
            </w:pPr>
            <w:r>
              <w:rPr>
                <w:rFonts w:hint="eastAsia"/>
                <w:szCs w:val="21"/>
              </w:rPr>
              <w:t>玻璃纤维过滤棉+活性炭吸附装置TA010+</w:t>
            </w:r>
            <w:r>
              <w:rPr>
                <w:rFonts w:hint="eastAsia"/>
              </w:rPr>
              <w:t>17m高排气筒</w:t>
            </w:r>
            <w:r>
              <w:rPr>
                <w:rFonts w:hint="eastAsia"/>
                <w:szCs w:val="21"/>
              </w:rPr>
              <w:t>DA002</w:t>
            </w:r>
          </w:p>
        </w:tc>
        <w:tc>
          <w:tcPr>
            <w:tcW w:w="2443" w:type="dxa"/>
            <w:vAlign w:val="center"/>
          </w:tcPr>
          <w:p w14:paraId="136B0E1F">
            <w:pPr>
              <w:pStyle w:val="8"/>
              <w:wordWrap w:val="0"/>
              <w:jc w:val="center"/>
              <w:rPr>
                <w:rFonts w:hAnsi="宋体"/>
                <w:sz w:val="21"/>
                <w:szCs w:val="21"/>
              </w:rPr>
            </w:pPr>
            <w:r>
              <w:rPr>
                <w:rFonts w:hint="eastAsia" w:hAnsi="宋体"/>
                <w:sz w:val="21"/>
                <w:szCs w:val="21"/>
              </w:rPr>
              <w:t>颗粒物执行《大气污染物综合排放标准》（GB16297-1996）表2中的二级标准；非甲烷总烃执行《挥发性有机物排放控制标准》（DB61/T1061-2017）表面涂装行业中的相关标准</w:t>
            </w:r>
          </w:p>
        </w:tc>
      </w:tr>
      <w:tr w14:paraId="3CC57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1A93B9CB">
            <w:pPr>
              <w:adjustRightInd w:val="0"/>
              <w:snapToGrid w:val="0"/>
              <w:jc w:val="center"/>
              <w:rPr>
                <w:rFonts w:ascii="宋体" w:hAnsi="宋体" w:cs="宋体"/>
                <w:szCs w:val="21"/>
              </w:rPr>
            </w:pPr>
          </w:p>
        </w:tc>
        <w:tc>
          <w:tcPr>
            <w:tcW w:w="708" w:type="dxa"/>
            <w:vMerge w:val="continue"/>
            <w:vAlign w:val="center"/>
          </w:tcPr>
          <w:p w14:paraId="69F90853">
            <w:pPr>
              <w:wordWrap w:val="0"/>
              <w:jc w:val="center"/>
            </w:pPr>
          </w:p>
        </w:tc>
        <w:tc>
          <w:tcPr>
            <w:tcW w:w="1276" w:type="dxa"/>
            <w:vAlign w:val="center"/>
          </w:tcPr>
          <w:p w14:paraId="0F914BEF">
            <w:pPr>
              <w:wordWrap w:val="0"/>
              <w:adjustRightInd w:val="0"/>
              <w:snapToGrid w:val="0"/>
              <w:jc w:val="center"/>
            </w:pPr>
            <w:r>
              <w:rPr>
                <w:rFonts w:hint="eastAsia"/>
              </w:rPr>
              <w:t>烘箱1有机废气排气筒DA004</w:t>
            </w:r>
          </w:p>
        </w:tc>
        <w:tc>
          <w:tcPr>
            <w:tcW w:w="1134" w:type="dxa"/>
            <w:vAlign w:val="center"/>
          </w:tcPr>
          <w:p w14:paraId="25598900">
            <w:pPr>
              <w:wordWrap w:val="0"/>
              <w:jc w:val="center"/>
            </w:pPr>
            <w:r>
              <w:rPr>
                <w:rFonts w:hint="eastAsia"/>
              </w:rPr>
              <w:t>非甲烷总烃</w:t>
            </w:r>
          </w:p>
        </w:tc>
        <w:tc>
          <w:tcPr>
            <w:tcW w:w="2268" w:type="dxa"/>
            <w:vAlign w:val="center"/>
          </w:tcPr>
          <w:p w14:paraId="0954B393">
            <w:pPr>
              <w:wordWrap w:val="0"/>
              <w:jc w:val="center"/>
            </w:pPr>
            <w:r>
              <w:rPr>
                <w:rFonts w:hint="eastAsia"/>
              </w:rPr>
              <w:t>两级活性炭吸附装置TA011+15m高排气筒DA004</w:t>
            </w:r>
          </w:p>
        </w:tc>
        <w:tc>
          <w:tcPr>
            <w:tcW w:w="2443" w:type="dxa"/>
            <w:vAlign w:val="center"/>
          </w:tcPr>
          <w:p w14:paraId="3AF406E7">
            <w:pPr>
              <w:pStyle w:val="8"/>
              <w:wordWrap w:val="0"/>
              <w:jc w:val="center"/>
              <w:rPr>
                <w:rFonts w:hAnsi="宋体"/>
                <w:sz w:val="21"/>
                <w:szCs w:val="21"/>
              </w:rPr>
            </w:pPr>
            <w:r>
              <w:rPr>
                <w:rFonts w:hint="eastAsia" w:hAnsi="宋体"/>
                <w:sz w:val="21"/>
                <w:szCs w:val="21"/>
              </w:rPr>
              <w:t>《挥发性有机物排放控制标准》表面涂装行业相关标准</w:t>
            </w:r>
          </w:p>
        </w:tc>
      </w:tr>
      <w:tr w14:paraId="0DF9A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380A39A0">
            <w:pPr>
              <w:adjustRightInd w:val="0"/>
              <w:snapToGrid w:val="0"/>
              <w:jc w:val="center"/>
              <w:rPr>
                <w:rFonts w:ascii="宋体" w:hAnsi="宋体" w:cs="宋体"/>
                <w:szCs w:val="21"/>
              </w:rPr>
            </w:pPr>
          </w:p>
        </w:tc>
        <w:tc>
          <w:tcPr>
            <w:tcW w:w="708" w:type="dxa"/>
            <w:vMerge w:val="continue"/>
            <w:vAlign w:val="center"/>
          </w:tcPr>
          <w:p w14:paraId="52367127">
            <w:pPr>
              <w:wordWrap w:val="0"/>
              <w:jc w:val="center"/>
            </w:pPr>
          </w:p>
        </w:tc>
        <w:tc>
          <w:tcPr>
            <w:tcW w:w="1276" w:type="dxa"/>
            <w:vAlign w:val="center"/>
          </w:tcPr>
          <w:p w14:paraId="56054A3A">
            <w:pPr>
              <w:wordWrap w:val="0"/>
              <w:adjustRightInd w:val="0"/>
              <w:snapToGrid w:val="0"/>
              <w:jc w:val="center"/>
            </w:pPr>
            <w:r>
              <w:rPr>
                <w:rFonts w:hint="eastAsia"/>
              </w:rPr>
              <w:t>烘箱1燃料燃烧废气排气筒DA005</w:t>
            </w:r>
          </w:p>
        </w:tc>
        <w:tc>
          <w:tcPr>
            <w:tcW w:w="1134" w:type="dxa"/>
            <w:vAlign w:val="center"/>
          </w:tcPr>
          <w:p w14:paraId="5BF3DDC5">
            <w:pPr>
              <w:wordWrap w:val="0"/>
              <w:jc w:val="center"/>
            </w:pPr>
            <w:r>
              <w:rPr>
                <w:rFonts w:hint="eastAsia"/>
              </w:rPr>
              <w:t>二氧化硫、氮氧化物、颗粒物</w:t>
            </w:r>
          </w:p>
        </w:tc>
        <w:tc>
          <w:tcPr>
            <w:tcW w:w="2268" w:type="dxa"/>
            <w:vAlign w:val="center"/>
          </w:tcPr>
          <w:p w14:paraId="6B793BF7">
            <w:pPr>
              <w:wordWrap w:val="0"/>
              <w:jc w:val="center"/>
            </w:pPr>
            <w:r>
              <w:rPr>
                <w:rFonts w:hint="eastAsia"/>
              </w:rPr>
              <w:t>低氮燃烧器TA012+15m排气筒DA005</w:t>
            </w:r>
          </w:p>
        </w:tc>
        <w:tc>
          <w:tcPr>
            <w:tcW w:w="2443" w:type="dxa"/>
            <w:vAlign w:val="center"/>
          </w:tcPr>
          <w:p w14:paraId="722BFE33">
            <w:pPr>
              <w:pStyle w:val="8"/>
              <w:wordWrap w:val="0"/>
              <w:jc w:val="center"/>
              <w:rPr>
                <w:rFonts w:hAnsi="宋体"/>
                <w:sz w:val="21"/>
                <w:szCs w:val="21"/>
              </w:rPr>
            </w:pPr>
            <w:r>
              <w:rPr>
                <w:rFonts w:hint="eastAsia" w:hAnsi="宋体"/>
                <w:sz w:val="21"/>
                <w:szCs w:val="21"/>
              </w:rPr>
              <w:t>《锅炉大气污染物排放标准》（DB61/1226-2018）</w:t>
            </w:r>
          </w:p>
        </w:tc>
      </w:tr>
      <w:tr w14:paraId="006E4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0932FDA6">
            <w:pPr>
              <w:adjustRightInd w:val="0"/>
              <w:snapToGrid w:val="0"/>
              <w:jc w:val="center"/>
              <w:rPr>
                <w:rFonts w:ascii="宋体" w:hAnsi="宋体" w:cs="宋体"/>
                <w:szCs w:val="21"/>
              </w:rPr>
            </w:pPr>
          </w:p>
        </w:tc>
        <w:tc>
          <w:tcPr>
            <w:tcW w:w="708" w:type="dxa"/>
            <w:vMerge w:val="restart"/>
            <w:vAlign w:val="center"/>
          </w:tcPr>
          <w:p w14:paraId="1DFB8B6B">
            <w:pPr>
              <w:wordWrap w:val="0"/>
              <w:jc w:val="center"/>
            </w:pPr>
            <w:r>
              <w:rPr>
                <w:rFonts w:hint="eastAsia"/>
              </w:rPr>
              <w:t>半自动喷涂流水线</w:t>
            </w:r>
          </w:p>
        </w:tc>
        <w:tc>
          <w:tcPr>
            <w:tcW w:w="1276" w:type="dxa"/>
            <w:vAlign w:val="center"/>
          </w:tcPr>
          <w:p w14:paraId="07381D32">
            <w:pPr>
              <w:wordWrap w:val="0"/>
              <w:adjustRightInd w:val="0"/>
              <w:snapToGrid w:val="0"/>
              <w:jc w:val="center"/>
            </w:pPr>
            <w:r>
              <w:rPr>
                <w:rFonts w:hint="eastAsia"/>
              </w:rPr>
              <w:t>喷粉房1粉尘排气筒DA003</w:t>
            </w:r>
          </w:p>
        </w:tc>
        <w:tc>
          <w:tcPr>
            <w:tcW w:w="1134" w:type="dxa"/>
            <w:vAlign w:val="center"/>
          </w:tcPr>
          <w:p w14:paraId="3178926C">
            <w:pPr>
              <w:wordWrap w:val="0"/>
              <w:jc w:val="center"/>
            </w:pPr>
            <w:r>
              <w:rPr>
                <w:rFonts w:hint="eastAsia"/>
              </w:rPr>
              <w:t>颗粒物</w:t>
            </w:r>
          </w:p>
        </w:tc>
        <w:tc>
          <w:tcPr>
            <w:tcW w:w="2268" w:type="dxa"/>
            <w:vAlign w:val="center"/>
          </w:tcPr>
          <w:p w14:paraId="3CEC1794">
            <w:pPr>
              <w:wordWrap w:val="0"/>
              <w:jc w:val="center"/>
            </w:pPr>
            <w:r>
              <w:rPr>
                <w:rFonts w:hint="eastAsia"/>
                <w:szCs w:val="21"/>
              </w:rPr>
              <w:t>滤筒除尘器+纳米覆膜除尘器TA013+</w:t>
            </w:r>
            <w:r>
              <w:rPr>
                <w:rFonts w:hint="eastAsia"/>
              </w:rPr>
              <w:t>17m高排气筒</w:t>
            </w:r>
            <w:r>
              <w:rPr>
                <w:rFonts w:hint="eastAsia"/>
                <w:szCs w:val="21"/>
              </w:rPr>
              <w:t>DA003</w:t>
            </w:r>
          </w:p>
        </w:tc>
        <w:tc>
          <w:tcPr>
            <w:tcW w:w="2443" w:type="dxa"/>
            <w:vAlign w:val="center"/>
          </w:tcPr>
          <w:p w14:paraId="76C25293">
            <w:pPr>
              <w:pStyle w:val="8"/>
              <w:wordWrap w:val="0"/>
              <w:jc w:val="center"/>
              <w:rPr>
                <w:rFonts w:hAnsi="宋体"/>
                <w:sz w:val="21"/>
                <w:szCs w:val="21"/>
              </w:rPr>
            </w:pPr>
            <w:r>
              <w:rPr>
                <w:rFonts w:hint="eastAsia" w:hAnsi="宋体"/>
                <w:sz w:val="21"/>
                <w:szCs w:val="21"/>
              </w:rPr>
              <w:t>《大气污染物综合排放标准》（GB16297-1996）表2中的二级标准</w:t>
            </w:r>
          </w:p>
        </w:tc>
      </w:tr>
      <w:tr w14:paraId="25107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13EA8A68">
            <w:pPr>
              <w:adjustRightInd w:val="0"/>
              <w:snapToGrid w:val="0"/>
              <w:jc w:val="center"/>
              <w:rPr>
                <w:rFonts w:ascii="宋体" w:hAnsi="宋体" w:cs="宋体"/>
                <w:szCs w:val="21"/>
              </w:rPr>
            </w:pPr>
          </w:p>
        </w:tc>
        <w:tc>
          <w:tcPr>
            <w:tcW w:w="708" w:type="dxa"/>
            <w:vMerge w:val="continue"/>
            <w:vAlign w:val="center"/>
          </w:tcPr>
          <w:p w14:paraId="2B16FAF3">
            <w:pPr>
              <w:wordWrap w:val="0"/>
              <w:jc w:val="center"/>
            </w:pPr>
          </w:p>
        </w:tc>
        <w:tc>
          <w:tcPr>
            <w:tcW w:w="1276" w:type="dxa"/>
            <w:vAlign w:val="center"/>
          </w:tcPr>
          <w:p w14:paraId="7DD37BF4">
            <w:pPr>
              <w:wordWrap w:val="0"/>
              <w:adjustRightInd w:val="0"/>
              <w:snapToGrid w:val="0"/>
              <w:jc w:val="center"/>
            </w:pPr>
            <w:r>
              <w:rPr>
                <w:rFonts w:hint="eastAsia"/>
              </w:rPr>
              <w:t>烘箱2有机废气排气筒DA004</w:t>
            </w:r>
          </w:p>
        </w:tc>
        <w:tc>
          <w:tcPr>
            <w:tcW w:w="1134" w:type="dxa"/>
            <w:vAlign w:val="center"/>
          </w:tcPr>
          <w:p w14:paraId="340A5087">
            <w:pPr>
              <w:wordWrap w:val="0"/>
              <w:jc w:val="center"/>
            </w:pPr>
            <w:r>
              <w:rPr>
                <w:rFonts w:hint="eastAsia"/>
              </w:rPr>
              <w:t>非甲烷总烃</w:t>
            </w:r>
          </w:p>
        </w:tc>
        <w:tc>
          <w:tcPr>
            <w:tcW w:w="2268" w:type="dxa"/>
            <w:vAlign w:val="center"/>
          </w:tcPr>
          <w:p w14:paraId="17F50732">
            <w:pPr>
              <w:wordWrap w:val="0"/>
              <w:jc w:val="center"/>
            </w:pPr>
            <w:r>
              <w:rPr>
                <w:rFonts w:hint="eastAsia"/>
              </w:rPr>
              <w:t>两级活性炭吸附装置TA014+15m高排气筒DA004</w:t>
            </w:r>
          </w:p>
        </w:tc>
        <w:tc>
          <w:tcPr>
            <w:tcW w:w="2443" w:type="dxa"/>
            <w:vAlign w:val="center"/>
          </w:tcPr>
          <w:p w14:paraId="6BE13CF9">
            <w:pPr>
              <w:pStyle w:val="8"/>
              <w:wordWrap w:val="0"/>
              <w:jc w:val="center"/>
              <w:rPr>
                <w:rFonts w:hAnsi="宋体"/>
                <w:sz w:val="21"/>
                <w:szCs w:val="21"/>
              </w:rPr>
            </w:pPr>
            <w:r>
              <w:rPr>
                <w:rFonts w:hint="eastAsia" w:hAnsi="宋体"/>
                <w:sz w:val="21"/>
                <w:szCs w:val="21"/>
              </w:rPr>
              <w:t>非甲烷总烃执行《挥发性有机物排放控制标准》（DB61/T1061-2017）表面涂装行业相关标准</w:t>
            </w:r>
          </w:p>
        </w:tc>
      </w:tr>
      <w:tr w14:paraId="0AA4D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128ECD74">
            <w:pPr>
              <w:adjustRightInd w:val="0"/>
              <w:snapToGrid w:val="0"/>
              <w:jc w:val="center"/>
              <w:rPr>
                <w:rFonts w:ascii="宋体" w:hAnsi="宋体" w:cs="宋体"/>
                <w:szCs w:val="21"/>
              </w:rPr>
            </w:pPr>
          </w:p>
        </w:tc>
        <w:tc>
          <w:tcPr>
            <w:tcW w:w="708" w:type="dxa"/>
            <w:vMerge w:val="continue"/>
            <w:vAlign w:val="center"/>
          </w:tcPr>
          <w:p w14:paraId="7AE718F3">
            <w:pPr>
              <w:wordWrap w:val="0"/>
              <w:jc w:val="center"/>
            </w:pPr>
          </w:p>
        </w:tc>
        <w:tc>
          <w:tcPr>
            <w:tcW w:w="1276" w:type="dxa"/>
            <w:vAlign w:val="center"/>
          </w:tcPr>
          <w:p w14:paraId="1F1CCABE">
            <w:pPr>
              <w:wordWrap w:val="0"/>
              <w:adjustRightInd w:val="0"/>
              <w:snapToGrid w:val="0"/>
              <w:jc w:val="center"/>
            </w:pPr>
            <w:r>
              <w:rPr>
                <w:rFonts w:hint="eastAsia"/>
              </w:rPr>
              <w:t>烘箱2燃料燃烧废气排气筒DA005</w:t>
            </w:r>
          </w:p>
        </w:tc>
        <w:tc>
          <w:tcPr>
            <w:tcW w:w="1134" w:type="dxa"/>
            <w:vAlign w:val="center"/>
          </w:tcPr>
          <w:p w14:paraId="0661CCE8">
            <w:pPr>
              <w:wordWrap w:val="0"/>
              <w:jc w:val="center"/>
            </w:pPr>
            <w:r>
              <w:rPr>
                <w:rFonts w:hint="eastAsia"/>
              </w:rPr>
              <w:t>二氧化硫、氮氧化物、颗粒物</w:t>
            </w:r>
          </w:p>
        </w:tc>
        <w:tc>
          <w:tcPr>
            <w:tcW w:w="2268" w:type="dxa"/>
            <w:vAlign w:val="center"/>
          </w:tcPr>
          <w:p w14:paraId="610C00D3">
            <w:pPr>
              <w:wordWrap w:val="0"/>
              <w:jc w:val="center"/>
            </w:pPr>
            <w:r>
              <w:rPr>
                <w:rFonts w:hint="eastAsia"/>
              </w:rPr>
              <w:t>低氮燃烧器TA015+15m排气筒DA005</w:t>
            </w:r>
          </w:p>
        </w:tc>
        <w:tc>
          <w:tcPr>
            <w:tcW w:w="2443" w:type="dxa"/>
            <w:vAlign w:val="center"/>
          </w:tcPr>
          <w:p w14:paraId="01C53564">
            <w:pPr>
              <w:pStyle w:val="8"/>
              <w:wordWrap w:val="0"/>
              <w:jc w:val="center"/>
              <w:rPr>
                <w:rFonts w:hAnsi="宋体"/>
                <w:sz w:val="21"/>
                <w:szCs w:val="21"/>
              </w:rPr>
            </w:pPr>
            <w:r>
              <w:rPr>
                <w:rFonts w:hint="eastAsia" w:hAnsi="宋体"/>
                <w:sz w:val="21"/>
                <w:szCs w:val="21"/>
              </w:rPr>
              <w:t>《锅炉大气污染物排放标准》（DB61/1226-2018）</w:t>
            </w:r>
          </w:p>
        </w:tc>
      </w:tr>
      <w:tr w14:paraId="7ABCC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3919D024">
            <w:pPr>
              <w:adjustRightInd w:val="0"/>
              <w:snapToGrid w:val="0"/>
              <w:jc w:val="center"/>
              <w:rPr>
                <w:rFonts w:ascii="宋体" w:hAnsi="宋体" w:cs="宋体"/>
                <w:szCs w:val="21"/>
              </w:rPr>
            </w:pPr>
          </w:p>
        </w:tc>
        <w:tc>
          <w:tcPr>
            <w:tcW w:w="708" w:type="dxa"/>
            <w:vMerge w:val="continue"/>
            <w:vAlign w:val="center"/>
          </w:tcPr>
          <w:p w14:paraId="007DB085">
            <w:pPr>
              <w:wordWrap w:val="0"/>
              <w:jc w:val="center"/>
            </w:pPr>
          </w:p>
        </w:tc>
        <w:tc>
          <w:tcPr>
            <w:tcW w:w="1276" w:type="dxa"/>
            <w:vAlign w:val="center"/>
          </w:tcPr>
          <w:p w14:paraId="07C6AEA7">
            <w:pPr>
              <w:wordWrap w:val="0"/>
              <w:adjustRightInd w:val="0"/>
              <w:snapToGrid w:val="0"/>
              <w:jc w:val="center"/>
            </w:pPr>
            <w:r>
              <w:rPr>
                <w:rFonts w:hint="eastAsia"/>
              </w:rPr>
              <w:t>喷粉房2粉尘排气筒DA006</w:t>
            </w:r>
          </w:p>
        </w:tc>
        <w:tc>
          <w:tcPr>
            <w:tcW w:w="1134" w:type="dxa"/>
            <w:vAlign w:val="center"/>
          </w:tcPr>
          <w:p w14:paraId="015E5EB1">
            <w:pPr>
              <w:wordWrap w:val="0"/>
              <w:jc w:val="center"/>
            </w:pPr>
            <w:r>
              <w:rPr>
                <w:rFonts w:hint="eastAsia"/>
              </w:rPr>
              <w:t>颗粒物</w:t>
            </w:r>
          </w:p>
        </w:tc>
        <w:tc>
          <w:tcPr>
            <w:tcW w:w="2268" w:type="dxa"/>
            <w:vAlign w:val="center"/>
          </w:tcPr>
          <w:p w14:paraId="7E4250BB">
            <w:pPr>
              <w:jc w:val="center"/>
            </w:pPr>
            <w:r>
              <w:rPr>
                <w:rFonts w:hint="eastAsia"/>
                <w:szCs w:val="21"/>
              </w:rPr>
              <w:t>滤筒除尘器+纳米覆膜除尘器TA0016+</w:t>
            </w:r>
            <w:r>
              <w:rPr>
                <w:rFonts w:hint="eastAsia"/>
              </w:rPr>
              <w:t>17m高排气筒</w:t>
            </w:r>
            <w:r>
              <w:rPr>
                <w:rFonts w:hint="eastAsia"/>
                <w:szCs w:val="21"/>
              </w:rPr>
              <w:t>DA006</w:t>
            </w:r>
          </w:p>
        </w:tc>
        <w:tc>
          <w:tcPr>
            <w:tcW w:w="2443" w:type="dxa"/>
            <w:vAlign w:val="center"/>
          </w:tcPr>
          <w:p w14:paraId="0A4D3E79">
            <w:pPr>
              <w:pStyle w:val="8"/>
              <w:wordWrap w:val="0"/>
              <w:jc w:val="center"/>
              <w:rPr>
                <w:rFonts w:hAnsi="宋体"/>
                <w:sz w:val="21"/>
                <w:szCs w:val="21"/>
              </w:rPr>
            </w:pPr>
            <w:r>
              <w:rPr>
                <w:rFonts w:hint="eastAsia" w:hAnsi="宋体"/>
                <w:sz w:val="21"/>
                <w:szCs w:val="21"/>
              </w:rPr>
              <w:t>《大气污染物综合排放标准》（GB16297-1996）表2中的二级标准</w:t>
            </w:r>
          </w:p>
        </w:tc>
      </w:tr>
      <w:tr w14:paraId="527D8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742AB629">
            <w:pPr>
              <w:adjustRightInd w:val="0"/>
              <w:snapToGrid w:val="0"/>
              <w:jc w:val="center"/>
              <w:rPr>
                <w:rFonts w:ascii="宋体" w:hAnsi="宋体" w:cs="宋体"/>
                <w:szCs w:val="21"/>
              </w:rPr>
            </w:pPr>
          </w:p>
        </w:tc>
        <w:tc>
          <w:tcPr>
            <w:tcW w:w="708" w:type="dxa"/>
            <w:vMerge w:val="continue"/>
            <w:vAlign w:val="center"/>
          </w:tcPr>
          <w:p w14:paraId="3C70112A">
            <w:pPr>
              <w:wordWrap w:val="0"/>
              <w:jc w:val="center"/>
            </w:pPr>
          </w:p>
        </w:tc>
        <w:tc>
          <w:tcPr>
            <w:tcW w:w="1276" w:type="dxa"/>
            <w:vAlign w:val="center"/>
          </w:tcPr>
          <w:p w14:paraId="4571AFDA">
            <w:pPr>
              <w:wordWrap w:val="0"/>
              <w:adjustRightInd w:val="0"/>
              <w:snapToGrid w:val="0"/>
              <w:jc w:val="center"/>
            </w:pPr>
            <w:r>
              <w:rPr>
                <w:rFonts w:hint="eastAsia"/>
              </w:rPr>
              <w:t>喷漆房2废气排气筒DA007</w:t>
            </w:r>
          </w:p>
        </w:tc>
        <w:tc>
          <w:tcPr>
            <w:tcW w:w="1134" w:type="dxa"/>
            <w:vAlign w:val="center"/>
          </w:tcPr>
          <w:p w14:paraId="754177F3">
            <w:pPr>
              <w:wordWrap w:val="0"/>
              <w:jc w:val="center"/>
            </w:pPr>
            <w:r>
              <w:rPr>
                <w:rFonts w:hint="eastAsia"/>
              </w:rPr>
              <w:t>颗粒物、非甲烷总烃</w:t>
            </w:r>
          </w:p>
        </w:tc>
        <w:tc>
          <w:tcPr>
            <w:tcW w:w="2268" w:type="dxa"/>
            <w:vAlign w:val="center"/>
          </w:tcPr>
          <w:p w14:paraId="4E24E8C5">
            <w:pPr>
              <w:jc w:val="center"/>
            </w:pPr>
            <w:r>
              <w:rPr>
                <w:rFonts w:hint="eastAsia"/>
                <w:szCs w:val="21"/>
              </w:rPr>
              <w:t>玻璃纤维过滤棉+活性炭吸附装置TA0017+</w:t>
            </w:r>
            <w:r>
              <w:rPr>
                <w:rFonts w:hint="eastAsia"/>
              </w:rPr>
              <w:t>17m高排气筒</w:t>
            </w:r>
            <w:r>
              <w:rPr>
                <w:rFonts w:hint="eastAsia"/>
                <w:szCs w:val="21"/>
              </w:rPr>
              <w:t>DA007</w:t>
            </w:r>
          </w:p>
        </w:tc>
        <w:tc>
          <w:tcPr>
            <w:tcW w:w="2443" w:type="dxa"/>
            <w:vAlign w:val="center"/>
          </w:tcPr>
          <w:p w14:paraId="2623C377">
            <w:pPr>
              <w:pStyle w:val="8"/>
              <w:wordWrap w:val="0"/>
              <w:jc w:val="center"/>
              <w:rPr>
                <w:rFonts w:hAnsi="宋体"/>
                <w:sz w:val="21"/>
                <w:szCs w:val="21"/>
              </w:rPr>
            </w:pPr>
            <w:r>
              <w:rPr>
                <w:rFonts w:hint="eastAsia" w:hAnsi="宋体"/>
                <w:sz w:val="21"/>
                <w:szCs w:val="21"/>
              </w:rPr>
              <w:t>颗粒物执行《大气污染物综合排放标准》（GB16297-1996）表2中的二级标准；非甲烷总烃执行《挥发性有机物排放控制标准》（DB61/T1061-2017）表面涂装行业中的相关标准</w:t>
            </w:r>
          </w:p>
        </w:tc>
      </w:tr>
      <w:tr w14:paraId="3107E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Merge w:val="continue"/>
            <w:vAlign w:val="center"/>
          </w:tcPr>
          <w:p w14:paraId="71F2D705">
            <w:pPr>
              <w:adjustRightInd w:val="0"/>
              <w:snapToGrid w:val="0"/>
              <w:jc w:val="center"/>
              <w:rPr>
                <w:rFonts w:ascii="宋体" w:hAnsi="宋体" w:cs="宋体"/>
                <w:szCs w:val="21"/>
              </w:rPr>
            </w:pPr>
          </w:p>
        </w:tc>
        <w:tc>
          <w:tcPr>
            <w:tcW w:w="1984" w:type="dxa"/>
            <w:gridSpan w:val="2"/>
            <w:vAlign w:val="center"/>
          </w:tcPr>
          <w:p w14:paraId="74BB5BEE">
            <w:pPr>
              <w:wordWrap w:val="0"/>
              <w:adjustRightInd w:val="0"/>
              <w:snapToGrid w:val="0"/>
              <w:jc w:val="center"/>
            </w:pPr>
            <w:r>
              <w:rPr>
                <w:rFonts w:hint="eastAsia"/>
              </w:rPr>
              <w:t>/</w:t>
            </w:r>
          </w:p>
        </w:tc>
        <w:tc>
          <w:tcPr>
            <w:tcW w:w="1134" w:type="dxa"/>
            <w:vAlign w:val="center"/>
          </w:tcPr>
          <w:p w14:paraId="7E360E01">
            <w:pPr>
              <w:wordWrap w:val="0"/>
              <w:jc w:val="center"/>
            </w:pPr>
            <w:r>
              <w:rPr>
                <w:rFonts w:hint="eastAsia"/>
              </w:rPr>
              <w:t>非甲烷总烃</w:t>
            </w:r>
          </w:p>
        </w:tc>
        <w:tc>
          <w:tcPr>
            <w:tcW w:w="2268" w:type="dxa"/>
            <w:vAlign w:val="center"/>
          </w:tcPr>
          <w:p w14:paraId="233AB0CD">
            <w:pPr>
              <w:jc w:val="center"/>
              <w:rPr>
                <w:szCs w:val="21"/>
              </w:rPr>
            </w:pPr>
            <w:r>
              <w:rPr>
                <w:rFonts w:hint="eastAsia"/>
                <w:szCs w:val="21"/>
              </w:rPr>
              <w:t>无组织</w:t>
            </w:r>
          </w:p>
        </w:tc>
        <w:tc>
          <w:tcPr>
            <w:tcW w:w="2443" w:type="dxa"/>
            <w:vAlign w:val="center"/>
          </w:tcPr>
          <w:p w14:paraId="611F85EA">
            <w:pPr>
              <w:pStyle w:val="8"/>
              <w:wordWrap w:val="0"/>
              <w:jc w:val="center"/>
              <w:rPr>
                <w:rFonts w:hAnsi="宋体"/>
                <w:sz w:val="21"/>
                <w:szCs w:val="21"/>
              </w:rPr>
            </w:pPr>
            <w:r>
              <w:rPr>
                <w:rFonts w:hint="eastAsia"/>
                <w:kern w:val="2"/>
                <w:sz w:val="21"/>
                <w:szCs w:val="24"/>
              </w:rPr>
              <w:t>《挥发性有机物无组织排放控制标准》（GB37822-2019）及《挥发性有机物排放控制标准》（DB61/T1061-2017）表面涂装行业中的相关标准</w:t>
            </w:r>
          </w:p>
        </w:tc>
      </w:tr>
      <w:tr w14:paraId="29EE1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14:paraId="6A9E51CE">
            <w:pPr>
              <w:adjustRightInd w:val="0"/>
              <w:snapToGrid w:val="0"/>
              <w:jc w:val="center"/>
              <w:rPr>
                <w:rFonts w:ascii="宋体" w:hAnsi="宋体" w:cs="宋体"/>
                <w:szCs w:val="21"/>
              </w:rPr>
            </w:pPr>
            <w:r>
              <w:rPr>
                <w:rFonts w:hint="eastAsia" w:ascii="宋体" w:hAnsi="宋体" w:cs="宋体"/>
                <w:szCs w:val="21"/>
              </w:rPr>
              <w:t>地表水环境</w:t>
            </w:r>
          </w:p>
        </w:tc>
        <w:tc>
          <w:tcPr>
            <w:tcW w:w="1984" w:type="dxa"/>
            <w:gridSpan w:val="2"/>
            <w:vAlign w:val="center"/>
          </w:tcPr>
          <w:p w14:paraId="5F414F7D">
            <w:pPr>
              <w:jc w:val="center"/>
            </w:pPr>
            <w:r>
              <w:t>生活污水</w:t>
            </w:r>
          </w:p>
        </w:tc>
        <w:tc>
          <w:tcPr>
            <w:tcW w:w="1134" w:type="dxa"/>
            <w:vAlign w:val="center"/>
          </w:tcPr>
          <w:p w14:paraId="6CB29FC7">
            <w:pPr>
              <w:jc w:val="center"/>
            </w:pPr>
            <w:r>
              <w:t>COD、NH3-N、</w:t>
            </w:r>
            <w:r>
              <w:rPr>
                <w:rFonts w:hint="eastAsia"/>
              </w:rPr>
              <w:t>SS</w:t>
            </w:r>
          </w:p>
        </w:tc>
        <w:tc>
          <w:tcPr>
            <w:tcW w:w="2268" w:type="dxa"/>
            <w:vAlign w:val="center"/>
          </w:tcPr>
          <w:p w14:paraId="2F44AA8E">
            <w:pPr>
              <w:jc w:val="center"/>
            </w:pPr>
            <w:r>
              <w:rPr>
                <w:rFonts w:hint="eastAsia"/>
              </w:rPr>
              <w:t>依托陕西敏瑞建筑科技有限公司鄠邑区分公司厂区东北角化粪池（18m</w:t>
            </w:r>
            <w:r>
              <w:rPr>
                <w:rFonts w:hint="eastAsia"/>
                <w:vertAlign w:val="superscript"/>
              </w:rPr>
              <w:t>3</w:t>
            </w:r>
            <w:r>
              <w:rPr>
                <w:rFonts w:hint="eastAsia"/>
              </w:rPr>
              <w:t>）后进入惠民路市政污水管网最终进入鄠邑区第三污水处理厂。</w:t>
            </w:r>
          </w:p>
        </w:tc>
        <w:tc>
          <w:tcPr>
            <w:tcW w:w="2443" w:type="dxa"/>
            <w:vAlign w:val="center"/>
          </w:tcPr>
          <w:p w14:paraId="01BF0F68">
            <w:pPr>
              <w:adjustRightInd w:val="0"/>
              <w:snapToGrid w:val="0"/>
              <w:jc w:val="center"/>
            </w:pPr>
            <w:r>
              <w:rPr>
                <w:rFonts w:hint="eastAsia"/>
              </w:rPr>
              <w:t>鄠邑区第三污水处理厂</w:t>
            </w:r>
          </w:p>
        </w:tc>
      </w:tr>
      <w:tr w14:paraId="2EA75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14:paraId="35088B18">
            <w:pPr>
              <w:adjustRightInd w:val="0"/>
              <w:snapToGrid w:val="0"/>
              <w:jc w:val="center"/>
              <w:rPr>
                <w:rFonts w:ascii="宋体" w:hAnsi="宋体" w:cs="宋体"/>
                <w:szCs w:val="21"/>
              </w:rPr>
            </w:pPr>
            <w:r>
              <w:rPr>
                <w:rFonts w:hint="eastAsia" w:ascii="宋体" w:hAnsi="宋体" w:cs="宋体"/>
                <w:szCs w:val="21"/>
              </w:rPr>
              <w:t>声环境</w:t>
            </w:r>
          </w:p>
        </w:tc>
        <w:tc>
          <w:tcPr>
            <w:tcW w:w="1984" w:type="dxa"/>
            <w:gridSpan w:val="2"/>
            <w:vAlign w:val="center"/>
          </w:tcPr>
          <w:p w14:paraId="62D9FFE5">
            <w:pPr>
              <w:jc w:val="center"/>
            </w:pPr>
            <w:r>
              <w:t>设备噪声</w:t>
            </w:r>
          </w:p>
        </w:tc>
        <w:tc>
          <w:tcPr>
            <w:tcW w:w="1134" w:type="dxa"/>
            <w:vAlign w:val="center"/>
          </w:tcPr>
          <w:p w14:paraId="21FC0AEC">
            <w:pPr>
              <w:jc w:val="center"/>
            </w:pPr>
            <w:r>
              <w:rPr>
                <w:rFonts w:hAnsi="宋体"/>
                <w:szCs w:val="21"/>
              </w:rPr>
              <w:t>连续等效</w:t>
            </w:r>
            <w:r>
              <w:rPr>
                <w:szCs w:val="21"/>
              </w:rPr>
              <w:t>A</w:t>
            </w:r>
            <w:r>
              <w:rPr>
                <w:rFonts w:hAnsi="宋体"/>
                <w:szCs w:val="21"/>
              </w:rPr>
              <w:t>声级</w:t>
            </w:r>
          </w:p>
        </w:tc>
        <w:tc>
          <w:tcPr>
            <w:tcW w:w="2268" w:type="dxa"/>
            <w:vAlign w:val="center"/>
          </w:tcPr>
          <w:p w14:paraId="7532947C">
            <w:pPr>
              <w:adjustRightInd w:val="0"/>
              <w:snapToGrid w:val="0"/>
              <w:jc w:val="center"/>
              <w:rPr>
                <w:rFonts w:ascii="宋体" w:hAnsi="宋体" w:cs="宋体"/>
                <w:szCs w:val="21"/>
              </w:rPr>
            </w:pPr>
            <w:r>
              <w:t>隔声、减振措施</w:t>
            </w:r>
          </w:p>
        </w:tc>
        <w:tc>
          <w:tcPr>
            <w:tcW w:w="2443" w:type="dxa"/>
            <w:vAlign w:val="center"/>
          </w:tcPr>
          <w:p w14:paraId="2E7BE312">
            <w:pPr>
              <w:wordWrap w:val="0"/>
              <w:adjustRightInd w:val="0"/>
              <w:snapToGrid w:val="0"/>
              <w:jc w:val="center"/>
              <w:rPr>
                <w:rFonts w:ascii="宋体" w:hAnsi="宋体" w:cs="宋体"/>
                <w:szCs w:val="21"/>
              </w:rPr>
            </w:pPr>
            <w:r>
              <w:rPr>
                <w:szCs w:val="21"/>
              </w:rPr>
              <w:t>《工业企业厂界环境噪声排放标准》</w:t>
            </w:r>
            <w:r>
              <w:rPr>
                <w:rFonts w:hint="eastAsia"/>
                <w:szCs w:val="21"/>
              </w:rPr>
              <w:t>3</w:t>
            </w:r>
            <w:r>
              <w:rPr>
                <w:szCs w:val="21"/>
              </w:rPr>
              <w:t>类标准</w:t>
            </w:r>
          </w:p>
        </w:tc>
      </w:tr>
      <w:tr w14:paraId="280FD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971" w:type="dxa"/>
            <w:vAlign w:val="center"/>
          </w:tcPr>
          <w:p w14:paraId="7ECB8C19">
            <w:pPr>
              <w:adjustRightInd w:val="0"/>
              <w:snapToGrid w:val="0"/>
              <w:jc w:val="center"/>
              <w:rPr>
                <w:rFonts w:ascii="宋体" w:hAnsi="宋体" w:cs="宋体"/>
                <w:szCs w:val="21"/>
              </w:rPr>
            </w:pPr>
            <w:r>
              <w:rPr>
                <w:rFonts w:hint="eastAsia" w:ascii="宋体" w:hAnsi="宋体" w:cs="宋体"/>
                <w:szCs w:val="21"/>
              </w:rPr>
              <w:t>电磁辐射</w:t>
            </w:r>
          </w:p>
        </w:tc>
        <w:tc>
          <w:tcPr>
            <w:tcW w:w="7829" w:type="dxa"/>
            <w:gridSpan w:val="5"/>
            <w:vAlign w:val="center"/>
          </w:tcPr>
          <w:p w14:paraId="48774841">
            <w:pPr>
              <w:adjustRightInd w:val="0"/>
              <w:snapToGrid w:val="0"/>
              <w:jc w:val="center"/>
              <w:rPr>
                <w:rFonts w:ascii="宋体" w:hAnsi="宋体" w:cs="宋体"/>
                <w:szCs w:val="21"/>
              </w:rPr>
            </w:pPr>
            <w:r>
              <w:rPr>
                <w:rFonts w:hint="eastAsia" w:ascii="宋体" w:hAnsi="宋体" w:cs="宋体"/>
                <w:szCs w:val="21"/>
              </w:rPr>
              <w:t>无</w:t>
            </w:r>
          </w:p>
        </w:tc>
      </w:tr>
      <w:tr w14:paraId="461EF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08FB8A77">
            <w:pPr>
              <w:jc w:val="center"/>
            </w:pPr>
            <w:r>
              <w:rPr>
                <w:rFonts w:hint="eastAsia"/>
              </w:rPr>
              <w:t>固体废物</w:t>
            </w:r>
          </w:p>
        </w:tc>
        <w:tc>
          <w:tcPr>
            <w:tcW w:w="7829" w:type="dxa"/>
            <w:gridSpan w:val="5"/>
            <w:vAlign w:val="center"/>
          </w:tcPr>
          <w:p w14:paraId="24ACC092">
            <w:pPr>
              <w:jc w:val="center"/>
            </w:pPr>
            <w:r>
              <w:rPr>
                <w:szCs w:val="21"/>
              </w:rPr>
              <w:t>项目营运期产生的</w:t>
            </w:r>
            <w:r>
              <w:rPr>
                <w:rFonts w:hint="eastAsia"/>
                <w:szCs w:val="21"/>
              </w:rPr>
              <w:t>固体废物</w:t>
            </w:r>
            <w:r>
              <w:rPr>
                <w:szCs w:val="21"/>
              </w:rPr>
              <w:t>主要为</w:t>
            </w:r>
            <w:r>
              <w:rPr>
                <w:rFonts w:hint="eastAsia"/>
                <w:szCs w:val="21"/>
              </w:rPr>
              <w:t>：生活垃圾、一般工业固体废物和危险废物。生活垃圾分类收集于垃圾桶，交由环卫部门统一清运；项目产生的一般固废有废金属边角料、废焊渣、喷塑过程收集的粉尘、废包装材料、废水性漆桶、废水性漆渣；废金属边角料、废焊渣、废包装材料外售给废品回收站处置；喷塑过程收集的粉末回收利用；废水性漆桶、废水性漆渣交由有一般固废处置资质的单位进行处置。项目产生废机油、含油手套和油抹布、废过滤棉、废活性炭分类收集，暂存于危废暂存间，定期交由有资质的单位进行处理。</w:t>
            </w:r>
          </w:p>
        </w:tc>
      </w:tr>
      <w:tr w14:paraId="6F8AA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71" w:type="dxa"/>
            <w:vAlign w:val="center"/>
          </w:tcPr>
          <w:p w14:paraId="67535C65">
            <w:pPr>
              <w:adjustRightInd w:val="0"/>
              <w:snapToGrid w:val="0"/>
              <w:jc w:val="center"/>
              <w:rPr>
                <w:rFonts w:ascii="宋体" w:hAnsi="宋体" w:cs="宋体"/>
                <w:szCs w:val="21"/>
              </w:rPr>
            </w:pPr>
            <w:r>
              <w:rPr>
                <w:rFonts w:hint="eastAsia" w:ascii="宋体" w:hAnsi="宋体" w:cs="宋体"/>
                <w:szCs w:val="21"/>
              </w:rPr>
              <w:t>土壤及地下水</w:t>
            </w:r>
          </w:p>
          <w:p w14:paraId="1A65957E">
            <w:pPr>
              <w:adjustRightInd w:val="0"/>
              <w:snapToGrid w:val="0"/>
              <w:jc w:val="center"/>
              <w:rPr>
                <w:rFonts w:ascii="宋体" w:hAnsi="宋体" w:cs="宋体"/>
                <w:szCs w:val="21"/>
              </w:rPr>
            </w:pPr>
            <w:r>
              <w:rPr>
                <w:rFonts w:hint="eastAsia" w:ascii="宋体" w:hAnsi="宋体" w:cs="宋体"/>
                <w:szCs w:val="21"/>
              </w:rPr>
              <w:t>污染防治措施</w:t>
            </w:r>
          </w:p>
        </w:tc>
        <w:tc>
          <w:tcPr>
            <w:tcW w:w="7829" w:type="dxa"/>
            <w:gridSpan w:val="5"/>
            <w:vAlign w:val="center"/>
          </w:tcPr>
          <w:p w14:paraId="179B1C99">
            <w:pPr>
              <w:adjustRightInd w:val="0"/>
              <w:snapToGrid w:val="0"/>
              <w:jc w:val="center"/>
              <w:rPr>
                <w:rFonts w:ascii="宋体" w:hAnsi="宋体" w:cs="宋体"/>
                <w:szCs w:val="21"/>
              </w:rPr>
            </w:pPr>
            <w:r>
              <w:rPr>
                <w:rFonts w:hint="eastAsia" w:ascii="宋体" w:hAnsi="宋体" w:cs="宋体"/>
                <w:szCs w:val="21"/>
              </w:rPr>
              <w:t>一般固废暂存处和危废暂存间做好防渗。</w:t>
            </w:r>
          </w:p>
        </w:tc>
      </w:tr>
      <w:tr w14:paraId="7A558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1" w:type="dxa"/>
            <w:vAlign w:val="center"/>
          </w:tcPr>
          <w:p w14:paraId="3516CBD3">
            <w:pPr>
              <w:adjustRightInd w:val="0"/>
              <w:snapToGrid w:val="0"/>
              <w:jc w:val="center"/>
              <w:rPr>
                <w:rFonts w:ascii="宋体" w:hAnsi="宋体" w:cs="宋体"/>
                <w:szCs w:val="21"/>
              </w:rPr>
            </w:pPr>
            <w:r>
              <w:rPr>
                <w:rFonts w:hint="eastAsia" w:ascii="宋体" w:hAnsi="宋体" w:cs="宋体"/>
                <w:szCs w:val="21"/>
              </w:rPr>
              <w:t>生态保护措施</w:t>
            </w:r>
          </w:p>
        </w:tc>
        <w:tc>
          <w:tcPr>
            <w:tcW w:w="7829" w:type="dxa"/>
            <w:gridSpan w:val="5"/>
            <w:vAlign w:val="center"/>
          </w:tcPr>
          <w:p w14:paraId="3F4E06B0">
            <w:pPr>
              <w:adjustRightInd w:val="0"/>
              <w:snapToGrid w:val="0"/>
              <w:jc w:val="center"/>
              <w:rPr>
                <w:rFonts w:ascii="宋体" w:hAnsi="宋体" w:cs="宋体"/>
                <w:szCs w:val="21"/>
              </w:rPr>
            </w:pPr>
            <w:r>
              <w:rPr>
                <w:rFonts w:hint="eastAsia" w:ascii="宋体" w:hAnsi="宋体" w:cs="宋体"/>
                <w:szCs w:val="21"/>
              </w:rPr>
              <w:t>/</w:t>
            </w:r>
          </w:p>
        </w:tc>
      </w:tr>
      <w:tr w14:paraId="7CEBB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71" w:type="dxa"/>
            <w:vAlign w:val="center"/>
          </w:tcPr>
          <w:p w14:paraId="76E9B243">
            <w:pPr>
              <w:adjustRightInd w:val="0"/>
              <w:snapToGrid w:val="0"/>
              <w:jc w:val="center"/>
              <w:rPr>
                <w:rFonts w:ascii="宋体" w:hAnsi="宋体" w:cs="宋体"/>
                <w:spacing w:val="-8"/>
                <w:szCs w:val="21"/>
              </w:rPr>
            </w:pPr>
            <w:r>
              <w:rPr>
                <w:rFonts w:hint="eastAsia" w:ascii="宋体" w:hAnsi="宋体" w:cs="宋体"/>
                <w:spacing w:val="-8"/>
                <w:szCs w:val="21"/>
              </w:rPr>
              <w:t>环境风险</w:t>
            </w:r>
          </w:p>
          <w:p w14:paraId="09BFE0FE">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7829" w:type="dxa"/>
            <w:gridSpan w:val="5"/>
            <w:vAlign w:val="center"/>
          </w:tcPr>
          <w:p w14:paraId="6A600D97">
            <w:pPr>
              <w:widowControl/>
              <w:spacing w:line="360" w:lineRule="auto"/>
              <w:ind w:firstLine="420" w:firstLineChars="200"/>
              <w:jc w:val="left"/>
              <w:rPr>
                <w:rFonts w:ascii="宋体" w:hAnsi="宋体" w:cs="宋体"/>
                <w:szCs w:val="21"/>
              </w:rPr>
            </w:pPr>
            <w:r>
              <w:rPr>
                <w:rFonts w:hint="eastAsia" w:ascii="宋体" w:hAnsi="宋体" w:cs="宋体"/>
                <w:szCs w:val="21"/>
              </w:rPr>
              <w:t>①采用先进、成熟、可靠的工艺技术，严防“跑、冒、滴、漏”。</w:t>
            </w:r>
          </w:p>
          <w:p w14:paraId="0B1C7EF5">
            <w:pPr>
              <w:widowControl/>
              <w:spacing w:line="360" w:lineRule="auto"/>
              <w:ind w:firstLine="420" w:firstLineChars="200"/>
              <w:jc w:val="left"/>
              <w:rPr>
                <w:rFonts w:ascii="宋体" w:hAnsi="宋体" w:cs="宋体"/>
                <w:szCs w:val="21"/>
              </w:rPr>
            </w:pPr>
            <w:r>
              <w:rPr>
                <w:rFonts w:hint="eastAsia" w:ascii="宋体" w:hAnsi="宋体" w:cs="宋体"/>
                <w:szCs w:val="21"/>
              </w:rPr>
              <w:t>②加强对危废暂存间日常管理，发生液料泄漏，应立即组织抢修，确保危废不发生溢流事故，如发生危废间防渗层破坏，应及时修复，减少对地下水和土壤环境的污染。</w:t>
            </w:r>
          </w:p>
          <w:p w14:paraId="30AAA2DF">
            <w:pPr>
              <w:widowControl/>
              <w:spacing w:line="360" w:lineRule="auto"/>
              <w:ind w:firstLine="420" w:firstLineChars="200"/>
              <w:jc w:val="left"/>
              <w:rPr>
                <w:rFonts w:ascii="宋体" w:hAnsi="宋体" w:cs="宋体"/>
                <w:szCs w:val="21"/>
              </w:rPr>
            </w:pPr>
            <w:r>
              <w:rPr>
                <w:rFonts w:hint="eastAsia" w:ascii="宋体" w:hAnsi="宋体" w:cs="宋体"/>
                <w:szCs w:val="21"/>
              </w:rPr>
              <w:t>③项目在生产过程中要一定注意通风，远离火花、明火、热源。厂区内应安装消防及火灾报警系统，并配套相应的消防设施。厂区总平面布置符合防范事故要求，有应急救援设施及救援通道。</w:t>
            </w:r>
          </w:p>
          <w:p w14:paraId="1DF99BA6">
            <w:pPr>
              <w:widowControl/>
              <w:spacing w:line="360" w:lineRule="auto"/>
              <w:ind w:firstLine="420" w:firstLineChars="200"/>
              <w:jc w:val="left"/>
              <w:rPr>
                <w:rFonts w:ascii="宋体" w:hAnsi="宋体" w:cs="宋体"/>
                <w:szCs w:val="21"/>
              </w:rPr>
            </w:pPr>
            <w:r>
              <w:rPr>
                <w:rFonts w:hint="eastAsia" w:ascii="宋体" w:hAnsi="宋体" w:cs="宋体"/>
                <w:szCs w:val="21"/>
              </w:rPr>
              <w:t>④设置项目事故应急预案</w:t>
            </w:r>
          </w:p>
          <w:p w14:paraId="656014C3">
            <w:pPr>
              <w:widowControl/>
              <w:spacing w:line="360" w:lineRule="auto"/>
              <w:ind w:firstLine="420" w:firstLineChars="200"/>
              <w:jc w:val="left"/>
              <w:rPr>
                <w:rFonts w:ascii="宋体" w:hAnsi="宋体" w:cs="宋体"/>
                <w:szCs w:val="21"/>
              </w:rPr>
            </w:pPr>
            <w:r>
              <w:rPr>
                <w:rFonts w:hint="eastAsia" w:ascii="宋体" w:hAnsi="宋体" w:cs="宋体"/>
                <w:szCs w:val="21"/>
              </w:rPr>
              <w:t>制定风险事故应急预案的目的是为了在发生风险事故时，能以最快的速度发挥最大的效能，有序的实施救援，尽快控制事态的发展，降低事故造成的危害，减少事故造成的损失。</w:t>
            </w:r>
          </w:p>
          <w:p w14:paraId="44AE101B">
            <w:pPr>
              <w:widowControl/>
              <w:spacing w:line="360" w:lineRule="auto"/>
              <w:ind w:firstLine="420" w:firstLineChars="200"/>
              <w:jc w:val="left"/>
              <w:rPr>
                <w:szCs w:val="21"/>
              </w:rPr>
            </w:pPr>
            <w:r>
              <w:rPr>
                <w:rFonts w:hint="eastAsia" w:ascii="宋体" w:hAnsi="宋体" w:cs="宋体"/>
                <w:szCs w:val="21"/>
              </w:rPr>
              <w:t>⑤加强职工的安全教育，定期组织环境事故抢救演习。</w:t>
            </w:r>
          </w:p>
        </w:tc>
      </w:tr>
      <w:tr w14:paraId="21639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71" w:type="dxa"/>
            <w:vAlign w:val="center"/>
          </w:tcPr>
          <w:p w14:paraId="1DA9C4A8">
            <w:pPr>
              <w:adjustRightInd w:val="0"/>
              <w:snapToGrid w:val="0"/>
              <w:jc w:val="center"/>
              <w:rPr>
                <w:rFonts w:ascii="宋体" w:hAnsi="宋体" w:cs="宋体"/>
                <w:spacing w:val="-8"/>
                <w:szCs w:val="21"/>
              </w:rPr>
            </w:pPr>
            <w:r>
              <w:rPr>
                <w:rFonts w:hint="eastAsia" w:ascii="宋体" w:hAnsi="宋体" w:cs="宋体"/>
                <w:spacing w:val="-8"/>
                <w:szCs w:val="21"/>
              </w:rPr>
              <w:t>其他环境管理要求</w:t>
            </w:r>
          </w:p>
        </w:tc>
        <w:tc>
          <w:tcPr>
            <w:tcW w:w="7829" w:type="dxa"/>
            <w:gridSpan w:val="5"/>
            <w:vAlign w:val="center"/>
          </w:tcPr>
          <w:p w14:paraId="2253508C">
            <w:pPr>
              <w:widowControl/>
              <w:spacing w:line="360" w:lineRule="auto"/>
              <w:ind w:firstLine="420" w:firstLineChars="200"/>
              <w:jc w:val="left"/>
              <w:rPr>
                <w:szCs w:val="21"/>
              </w:rPr>
            </w:pPr>
            <w:r>
              <w:rPr>
                <w:rFonts w:hint="eastAsia" w:ascii="宋体" w:hAnsi="宋体" w:cs="宋体"/>
                <w:szCs w:val="21"/>
              </w:rPr>
              <w:t>①</w:t>
            </w:r>
            <w:r>
              <w:rPr>
                <w:szCs w:val="21"/>
              </w:rPr>
              <w:t>严格执行国家环境保护有关政策和法规，项目建成后及时办理排污许可证并进行建设项目竣工环境保护验收工作；</w:t>
            </w:r>
          </w:p>
          <w:p w14:paraId="1BB867C8">
            <w:pPr>
              <w:widowControl/>
              <w:spacing w:line="360" w:lineRule="auto"/>
              <w:ind w:firstLine="420" w:firstLineChars="200"/>
              <w:jc w:val="left"/>
              <w:rPr>
                <w:szCs w:val="21"/>
              </w:rPr>
            </w:pPr>
            <w:r>
              <w:rPr>
                <w:rFonts w:hint="eastAsia" w:ascii="宋体" w:hAnsi="宋体" w:cs="宋体"/>
                <w:szCs w:val="21"/>
              </w:rPr>
              <w:t>②</w:t>
            </w:r>
            <w:r>
              <w:rPr>
                <w:szCs w:val="21"/>
              </w:rPr>
              <w:t>严格执行建设项目“三同时”制度，监督项目环保“三同时”落实情况；</w:t>
            </w:r>
          </w:p>
          <w:p w14:paraId="3495D8C6">
            <w:pPr>
              <w:widowControl/>
              <w:spacing w:line="360" w:lineRule="auto"/>
              <w:ind w:firstLine="420" w:firstLineChars="200"/>
              <w:jc w:val="left"/>
              <w:rPr>
                <w:szCs w:val="21"/>
              </w:rPr>
            </w:pPr>
            <w:r>
              <w:rPr>
                <w:rFonts w:hint="eastAsia" w:ascii="宋体" w:hAnsi="宋体" w:cs="宋体"/>
                <w:szCs w:val="21"/>
              </w:rPr>
              <w:t>③</w:t>
            </w:r>
            <w:r>
              <w:rPr>
                <w:szCs w:val="21"/>
              </w:rPr>
              <w:t>建立健全环境管理制度、环保档案，设置专职或兼职环保人员，负责日常环保安全，定期检查环保管理和环境监测工作；</w:t>
            </w:r>
          </w:p>
          <w:p w14:paraId="14362EA4">
            <w:pPr>
              <w:widowControl/>
              <w:spacing w:line="360" w:lineRule="auto"/>
              <w:ind w:firstLine="420" w:firstLineChars="200"/>
              <w:jc w:val="left"/>
              <w:rPr>
                <w:szCs w:val="21"/>
              </w:rPr>
            </w:pPr>
            <w:r>
              <w:rPr>
                <w:rFonts w:hint="eastAsia" w:ascii="宋体" w:hAnsi="宋体" w:cs="宋体"/>
                <w:szCs w:val="21"/>
              </w:rPr>
              <w:t>④</w:t>
            </w:r>
            <w:r>
              <w:rPr>
                <w:szCs w:val="21"/>
              </w:rPr>
              <w:t>进行环保教育宣传，制定紧急情况应急措施，预防或减少可能的环境影响。</w:t>
            </w:r>
          </w:p>
          <w:p w14:paraId="53587E0D">
            <w:pPr>
              <w:widowControl/>
              <w:spacing w:line="360" w:lineRule="auto"/>
              <w:ind w:firstLine="420" w:firstLineChars="200"/>
              <w:jc w:val="left"/>
              <w:rPr>
                <w:szCs w:val="21"/>
              </w:rPr>
            </w:pPr>
            <w:r>
              <w:rPr>
                <w:rFonts w:hint="eastAsia" w:ascii="宋体" w:hAnsi="宋体" w:cs="宋体"/>
                <w:szCs w:val="21"/>
              </w:rPr>
              <w:t>⑤</w:t>
            </w:r>
            <w:r>
              <w:rPr>
                <w:szCs w:val="21"/>
              </w:rPr>
              <w:t>维护环保措施的正常运行和安全生产，对各种环保设施进行定期检查和维修，确保污染物达标排放。</w:t>
            </w:r>
          </w:p>
          <w:p w14:paraId="378303BD">
            <w:pPr>
              <w:widowControl/>
              <w:spacing w:line="360" w:lineRule="auto"/>
              <w:ind w:firstLine="420" w:firstLineChars="200"/>
              <w:jc w:val="left"/>
              <w:rPr>
                <w:szCs w:val="21"/>
              </w:rPr>
            </w:pPr>
            <w:r>
              <w:rPr>
                <w:rFonts w:hint="eastAsia" w:ascii="宋体" w:hAnsi="宋体" w:cs="宋体"/>
                <w:szCs w:val="21"/>
              </w:rPr>
              <w:t>⑥</w:t>
            </w:r>
            <w:r>
              <w:rPr>
                <w:szCs w:val="21"/>
              </w:rPr>
              <w:t>组织和协调环境监测工作，定期监测污染物排放情况，确保污染物排放控制在允许的控制范围内。</w:t>
            </w:r>
          </w:p>
          <w:p w14:paraId="68ADAEFA">
            <w:pPr>
              <w:pStyle w:val="6"/>
              <w:snapToGrid w:val="0"/>
              <w:spacing w:line="240" w:lineRule="auto"/>
              <w:ind w:firstLine="0"/>
              <w:textAlignment w:val="auto"/>
              <w:rPr>
                <w:kern w:val="2"/>
                <w:sz w:val="21"/>
                <w:szCs w:val="24"/>
              </w:rPr>
            </w:pPr>
          </w:p>
          <w:p w14:paraId="2ACA56B5">
            <w:pPr>
              <w:pStyle w:val="6"/>
              <w:snapToGrid w:val="0"/>
              <w:spacing w:line="240" w:lineRule="auto"/>
              <w:ind w:firstLine="0"/>
              <w:textAlignment w:val="auto"/>
              <w:rPr>
                <w:kern w:val="2"/>
                <w:sz w:val="21"/>
                <w:szCs w:val="24"/>
              </w:rPr>
            </w:pPr>
          </w:p>
          <w:p w14:paraId="50520A73">
            <w:pPr>
              <w:pStyle w:val="6"/>
              <w:snapToGrid w:val="0"/>
              <w:spacing w:line="240" w:lineRule="auto"/>
              <w:ind w:firstLine="0"/>
              <w:textAlignment w:val="auto"/>
              <w:rPr>
                <w:kern w:val="2"/>
                <w:sz w:val="21"/>
                <w:szCs w:val="24"/>
              </w:rPr>
            </w:pPr>
          </w:p>
          <w:p w14:paraId="362166D3">
            <w:pPr>
              <w:pStyle w:val="6"/>
              <w:snapToGrid w:val="0"/>
              <w:spacing w:line="240" w:lineRule="auto"/>
              <w:ind w:firstLine="0"/>
              <w:textAlignment w:val="auto"/>
              <w:rPr>
                <w:kern w:val="2"/>
                <w:sz w:val="21"/>
                <w:szCs w:val="24"/>
              </w:rPr>
            </w:pPr>
          </w:p>
          <w:p w14:paraId="110510D6">
            <w:pPr>
              <w:pStyle w:val="6"/>
              <w:snapToGrid w:val="0"/>
              <w:spacing w:line="240" w:lineRule="auto"/>
              <w:ind w:firstLine="0"/>
              <w:textAlignment w:val="auto"/>
              <w:rPr>
                <w:kern w:val="2"/>
                <w:sz w:val="21"/>
                <w:szCs w:val="24"/>
              </w:rPr>
            </w:pPr>
          </w:p>
          <w:p w14:paraId="0DE42B3C">
            <w:pPr>
              <w:pStyle w:val="6"/>
              <w:snapToGrid w:val="0"/>
              <w:spacing w:line="240" w:lineRule="auto"/>
              <w:ind w:firstLine="0"/>
              <w:textAlignment w:val="auto"/>
              <w:rPr>
                <w:kern w:val="2"/>
                <w:sz w:val="21"/>
                <w:szCs w:val="24"/>
              </w:rPr>
            </w:pPr>
          </w:p>
          <w:p w14:paraId="32AFE2F7">
            <w:pPr>
              <w:pStyle w:val="6"/>
              <w:snapToGrid w:val="0"/>
              <w:spacing w:line="240" w:lineRule="auto"/>
              <w:ind w:firstLine="0"/>
              <w:textAlignment w:val="auto"/>
              <w:rPr>
                <w:kern w:val="2"/>
                <w:sz w:val="21"/>
                <w:szCs w:val="24"/>
              </w:rPr>
            </w:pPr>
          </w:p>
          <w:p w14:paraId="13FEE23C">
            <w:pPr>
              <w:pStyle w:val="6"/>
              <w:snapToGrid w:val="0"/>
              <w:spacing w:line="240" w:lineRule="auto"/>
              <w:ind w:firstLine="0"/>
              <w:textAlignment w:val="auto"/>
              <w:rPr>
                <w:kern w:val="2"/>
                <w:sz w:val="21"/>
                <w:szCs w:val="24"/>
              </w:rPr>
            </w:pPr>
          </w:p>
          <w:p w14:paraId="0AAF942E">
            <w:pPr>
              <w:pStyle w:val="6"/>
              <w:snapToGrid w:val="0"/>
              <w:spacing w:line="240" w:lineRule="auto"/>
              <w:ind w:firstLine="0"/>
              <w:textAlignment w:val="auto"/>
              <w:rPr>
                <w:kern w:val="2"/>
                <w:sz w:val="21"/>
                <w:szCs w:val="24"/>
              </w:rPr>
            </w:pPr>
          </w:p>
          <w:p w14:paraId="4DBC0F53">
            <w:pPr>
              <w:pStyle w:val="6"/>
              <w:snapToGrid w:val="0"/>
              <w:spacing w:line="240" w:lineRule="auto"/>
              <w:ind w:firstLine="0"/>
              <w:textAlignment w:val="auto"/>
              <w:rPr>
                <w:kern w:val="2"/>
                <w:sz w:val="21"/>
                <w:szCs w:val="24"/>
              </w:rPr>
            </w:pPr>
          </w:p>
          <w:p w14:paraId="5793D6D5">
            <w:pPr>
              <w:pStyle w:val="6"/>
              <w:snapToGrid w:val="0"/>
              <w:spacing w:line="240" w:lineRule="auto"/>
              <w:ind w:firstLine="0"/>
              <w:textAlignment w:val="auto"/>
              <w:rPr>
                <w:kern w:val="2"/>
                <w:sz w:val="21"/>
                <w:szCs w:val="24"/>
              </w:rPr>
            </w:pPr>
          </w:p>
          <w:p w14:paraId="13CEEA50">
            <w:pPr>
              <w:pStyle w:val="6"/>
              <w:snapToGrid w:val="0"/>
              <w:spacing w:line="240" w:lineRule="auto"/>
              <w:ind w:firstLine="0"/>
              <w:textAlignment w:val="auto"/>
              <w:rPr>
                <w:kern w:val="2"/>
                <w:sz w:val="21"/>
                <w:szCs w:val="24"/>
              </w:rPr>
            </w:pPr>
          </w:p>
          <w:p w14:paraId="799E883D">
            <w:pPr>
              <w:pStyle w:val="6"/>
              <w:snapToGrid w:val="0"/>
              <w:spacing w:line="240" w:lineRule="auto"/>
              <w:ind w:firstLine="0"/>
              <w:textAlignment w:val="auto"/>
              <w:rPr>
                <w:kern w:val="2"/>
                <w:sz w:val="21"/>
                <w:szCs w:val="24"/>
              </w:rPr>
            </w:pPr>
          </w:p>
          <w:p w14:paraId="374072C1">
            <w:pPr>
              <w:pStyle w:val="6"/>
              <w:snapToGrid w:val="0"/>
              <w:spacing w:line="240" w:lineRule="auto"/>
              <w:ind w:firstLine="0"/>
              <w:textAlignment w:val="auto"/>
              <w:rPr>
                <w:kern w:val="2"/>
                <w:sz w:val="21"/>
                <w:szCs w:val="24"/>
              </w:rPr>
            </w:pPr>
          </w:p>
          <w:p w14:paraId="1A554005">
            <w:pPr>
              <w:pStyle w:val="6"/>
              <w:snapToGrid w:val="0"/>
              <w:spacing w:line="240" w:lineRule="auto"/>
              <w:ind w:firstLine="0"/>
              <w:textAlignment w:val="auto"/>
              <w:rPr>
                <w:kern w:val="2"/>
                <w:sz w:val="21"/>
                <w:szCs w:val="24"/>
              </w:rPr>
            </w:pPr>
          </w:p>
          <w:p w14:paraId="1C9E7845">
            <w:pPr>
              <w:pStyle w:val="6"/>
              <w:snapToGrid w:val="0"/>
              <w:spacing w:line="240" w:lineRule="auto"/>
              <w:ind w:firstLine="0"/>
              <w:textAlignment w:val="auto"/>
              <w:rPr>
                <w:kern w:val="2"/>
                <w:sz w:val="21"/>
                <w:szCs w:val="24"/>
              </w:rPr>
            </w:pPr>
          </w:p>
          <w:p w14:paraId="34552444">
            <w:pPr>
              <w:pStyle w:val="6"/>
              <w:snapToGrid w:val="0"/>
              <w:spacing w:line="240" w:lineRule="auto"/>
              <w:ind w:firstLine="0"/>
              <w:textAlignment w:val="auto"/>
              <w:rPr>
                <w:kern w:val="2"/>
                <w:sz w:val="21"/>
                <w:szCs w:val="24"/>
              </w:rPr>
            </w:pPr>
          </w:p>
          <w:p w14:paraId="319616CB">
            <w:pPr>
              <w:pStyle w:val="6"/>
              <w:snapToGrid w:val="0"/>
              <w:spacing w:line="240" w:lineRule="auto"/>
              <w:ind w:firstLine="0"/>
              <w:textAlignment w:val="auto"/>
              <w:rPr>
                <w:kern w:val="2"/>
                <w:sz w:val="21"/>
                <w:szCs w:val="24"/>
              </w:rPr>
            </w:pPr>
          </w:p>
        </w:tc>
      </w:tr>
    </w:tbl>
    <w:p w14:paraId="6200C1E8">
      <w:pPr>
        <w:pStyle w:val="17"/>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FEDB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DCDDDAB">
            <w:pPr>
              <w:spacing w:line="348" w:lineRule="auto"/>
              <w:ind w:firstLine="482" w:firstLineChars="200"/>
              <w:rPr>
                <w:b/>
                <w:sz w:val="24"/>
                <w:szCs w:val="22"/>
              </w:rPr>
            </w:pPr>
            <w:r>
              <w:rPr>
                <w:b/>
                <w:bCs/>
                <w:sz w:val="24"/>
              </w:rPr>
              <w:t>本项目符合国家产业政策，选址合理。工程在建设和运行过程中产生废水、废气、噪声以及固体废物等，依照本环评中提出的防治措施对项目运行所产生的各类污染物进行处理后能够达到放标准，对周围环境影响较小。因此，</w:t>
            </w:r>
            <w:r>
              <w:rPr>
                <w:rFonts w:hint="eastAsia"/>
                <w:b/>
                <w:bCs/>
                <w:sz w:val="24"/>
              </w:rPr>
              <w:t>建设项目环境影响可行</w:t>
            </w:r>
            <w:r>
              <w:rPr>
                <w:b/>
                <w:bCs/>
                <w:sz w:val="24"/>
              </w:rPr>
              <w:t>。</w:t>
            </w:r>
          </w:p>
          <w:p w14:paraId="70F27B6F">
            <w:pPr>
              <w:adjustRightInd w:val="0"/>
              <w:snapToGrid w:val="0"/>
              <w:spacing w:line="360" w:lineRule="auto"/>
              <w:ind w:firstLine="482" w:firstLineChars="200"/>
              <w:rPr>
                <w:b/>
                <w:sz w:val="24"/>
              </w:rPr>
            </w:pPr>
          </w:p>
          <w:p w14:paraId="3E49918E">
            <w:pPr>
              <w:spacing w:line="360" w:lineRule="auto"/>
              <w:ind w:firstLine="480" w:firstLineChars="200"/>
              <w:rPr>
                <w:rFonts w:ascii="宋体" w:cs="宋体"/>
                <w:sz w:val="24"/>
              </w:rPr>
            </w:pPr>
          </w:p>
        </w:tc>
      </w:tr>
    </w:tbl>
    <w:p w14:paraId="3E2B68DA">
      <w:pPr>
        <w:rPr>
          <w:rFonts w:ascii="宋体"/>
        </w:rPr>
        <w:sectPr>
          <w:pgSz w:w="11906" w:h="16838"/>
          <w:pgMar w:top="1701" w:right="1531" w:bottom="1701" w:left="1531" w:header="851" w:footer="851" w:gutter="0"/>
          <w:cols w:space="720" w:num="1"/>
          <w:docGrid w:linePitch="312" w:charSpace="0"/>
        </w:sectPr>
      </w:pPr>
    </w:p>
    <w:p w14:paraId="31F4EC36">
      <w:pPr>
        <w:pStyle w:val="17"/>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1704EEE8">
      <w:pPr>
        <w:pStyle w:val="17"/>
        <w:adjustRightInd w:val="0"/>
        <w:snapToGrid w:val="0"/>
        <w:spacing w:before="0" w:beforeAutospacing="0" w:after="0" w:afterAutospacing="0" w:line="420"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857"/>
        <w:gridCol w:w="1559"/>
        <w:gridCol w:w="1276"/>
        <w:gridCol w:w="1701"/>
        <w:gridCol w:w="1559"/>
        <w:gridCol w:w="1761"/>
        <w:gridCol w:w="1959"/>
        <w:gridCol w:w="826"/>
      </w:tblGrid>
      <w:tr w14:paraId="1A84E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90" w:type="dxa"/>
            <w:tcBorders>
              <w:tl2br w:val="single" w:color="auto" w:sz="4" w:space="0"/>
            </w:tcBorders>
            <w:tcMar>
              <w:left w:w="28" w:type="dxa"/>
              <w:right w:w="28" w:type="dxa"/>
            </w:tcMar>
            <w:vAlign w:val="center"/>
          </w:tcPr>
          <w:p w14:paraId="320EDF41">
            <w:pPr>
              <w:pStyle w:val="39"/>
              <w:spacing w:beforeLines="0" w:afterLines="0" w:line="240" w:lineRule="auto"/>
              <w:jc w:val="right"/>
              <w:rPr>
                <w:rFonts w:ascii="Times New Roman" w:eastAsia="黑体"/>
                <w:snapToGrid w:val="0"/>
                <w:spacing w:val="-6"/>
                <w:kern w:val="21"/>
                <w:szCs w:val="21"/>
              </w:rPr>
            </w:pPr>
            <w:r>
              <w:rPr>
                <w:rFonts w:ascii="Times New Roman" w:hAnsi="黑体" w:eastAsia="黑体"/>
                <w:snapToGrid w:val="0"/>
                <w:spacing w:val="-6"/>
                <w:kern w:val="21"/>
                <w:szCs w:val="21"/>
              </w:rPr>
              <w:t>项目</w:t>
            </w:r>
          </w:p>
          <w:p w14:paraId="4F307CAD">
            <w:pPr>
              <w:pStyle w:val="39"/>
              <w:spacing w:beforeLines="0" w:afterLines="0" w:line="240" w:lineRule="auto"/>
              <w:jc w:val="left"/>
              <w:rPr>
                <w:rFonts w:ascii="Times New Roman" w:eastAsia="黑体"/>
                <w:snapToGrid w:val="0"/>
                <w:spacing w:val="-6"/>
                <w:kern w:val="21"/>
                <w:szCs w:val="21"/>
              </w:rPr>
            </w:pPr>
            <w:r>
              <w:rPr>
                <w:rFonts w:ascii="Times New Roman" w:hAnsi="黑体" w:eastAsia="黑体"/>
                <w:snapToGrid w:val="0"/>
                <w:spacing w:val="-6"/>
                <w:kern w:val="21"/>
                <w:szCs w:val="21"/>
              </w:rPr>
              <w:t>分类</w:t>
            </w:r>
          </w:p>
        </w:tc>
        <w:tc>
          <w:tcPr>
            <w:tcW w:w="1857" w:type="dxa"/>
            <w:tcMar>
              <w:left w:w="28" w:type="dxa"/>
              <w:right w:w="28" w:type="dxa"/>
            </w:tcMar>
            <w:vAlign w:val="center"/>
          </w:tcPr>
          <w:p w14:paraId="38B43E50">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污染物名称</w:t>
            </w:r>
          </w:p>
        </w:tc>
        <w:tc>
          <w:tcPr>
            <w:tcW w:w="1559" w:type="dxa"/>
            <w:tcMar>
              <w:left w:w="28" w:type="dxa"/>
              <w:right w:w="28" w:type="dxa"/>
            </w:tcMar>
            <w:vAlign w:val="center"/>
          </w:tcPr>
          <w:p w14:paraId="2EE5771C">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现有工程</w:t>
            </w:r>
          </w:p>
          <w:p w14:paraId="13EAE87C">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hAnsi="黑体" w:eastAsia="黑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14:paraId="6EFCA593">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现有工程</w:t>
            </w:r>
          </w:p>
          <w:p w14:paraId="71CDA7DB">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许可排放量</w:t>
            </w:r>
          </w:p>
          <w:p w14:paraId="4F9ADC51">
            <w:pPr>
              <w:pStyle w:val="39"/>
              <w:spacing w:beforeLines="0" w:afterLines="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hAnsi="黑体"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14:paraId="60159748">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在建工程</w:t>
            </w:r>
          </w:p>
          <w:p w14:paraId="544CC4F2">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hAnsi="黑体"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14:paraId="750A5A79">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本项目</w:t>
            </w:r>
          </w:p>
          <w:p w14:paraId="083E4449">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hAnsi="黑体" w:eastAsia="黑体"/>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14:paraId="18B9246B">
            <w:pPr>
              <w:pStyle w:val="39"/>
              <w:spacing w:beforeLines="0" w:afterLines="0" w:line="240" w:lineRule="auto"/>
              <w:rPr>
                <w:rFonts w:ascii="Times New Roman" w:eastAsia="黑体"/>
                <w:snapToGrid w:val="0"/>
                <w:spacing w:val="-16"/>
                <w:kern w:val="21"/>
                <w:szCs w:val="21"/>
              </w:rPr>
            </w:pPr>
            <w:r>
              <w:rPr>
                <w:rFonts w:ascii="Times New Roman" w:hAnsi="黑体" w:eastAsia="黑体"/>
                <w:snapToGrid w:val="0"/>
                <w:spacing w:val="-16"/>
                <w:kern w:val="21"/>
                <w:szCs w:val="21"/>
              </w:rPr>
              <w:t>以新带老削减量</w:t>
            </w:r>
          </w:p>
          <w:p w14:paraId="0CE9ADF5">
            <w:pPr>
              <w:pStyle w:val="39"/>
              <w:spacing w:beforeLines="0" w:afterLines="0" w:line="240" w:lineRule="auto"/>
              <w:rPr>
                <w:rFonts w:ascii="Times New Roman" w:eastAsia="黑体"/>
                <w:snapToGrid w:val="0"/>
                <w:spacing w:val="-16"/>
                <w:kern w:val="21"/>
                <w:szCs w:val="21"/>
              </w:rPr>
            </w:pPr>
            <w:r>
              <w:rPr>
                <w:rFonts w:ascii="Times New Roman" w:hAnsi="黑体"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hAnsi="黑体" w:eastAsia="黑体"/>
                <w:kern w:val="2"/>
                <w:szCs w:val="21"/>
              </w:rPr>
              <w:t>⑤</w:t>
            </w:r>
            <w:r>
              <w:rPr>
                <w:rFonts w:ascii="Times New Roman" w:eastAsia="黑体"/>
                <w:snapToGrid w:val="0"/>
                <w:spacing w:val="-16"/>
                <w:kern w:val="21"/>
                <w:szCs w:val="21"/>
              </w:rPr>
              <w:fldChar w:fldCharType="end"/>
            </w:r>
          </w:p>
        </w:tc>
        <w:tc>
          <w:tcPr>
            <w:tcW w:w="1959" w:type="dxa"/>
            <w:tcMar>
              <w:left w:w="28" w:type="dxa"/>
              <w:right w:w="28" w:type="dxa"/>
            </w:tcMar>
            <w:vAlign w:val="center"/>
          </w:tcPr>
          <w:p w14:paraId="331BDA59">
            <w:pPr>
              <w:pStyle w:val="39"/>
              <w:spacing w:beforeLines="0" w:afterLines="0" w:line="240" w:lineRule="auto"/>
              <w:rPr>
                <w:rFonts w:ascii="Times New Roman" w:eastAsia="黑体"/>
                <w:snapToGrid w:val="0"/>
                <w:spacing w:val="-16"/>
                <w:kern w:val="21"/>
                <w:szCs w:val="21"/>
              </w:rPr>
            </w:pPr>
            <w:r>
              <w:rPr>
                <w:rFonts w:ascii="Times New Roman" w:hAnsi="黑体" w:eastAsia="黑体"/>
                <w:snapToGrid w:val="0"/>
                <w:spacing w:val="-16"/>
                <w:kern w:val="21"/>
                <w:szCs w:val="21"/>
              </w:rPr>
              <w:t>本项目建成后</w:t>
            </w:r>
          </w:p>
          <w:p w14:paraId="731F2837">
            <w:pPr>
              <w:pStyle w:val="39"/>
              <w:spacing w:beforeLines="0" w:afterLines="0" w:line="240" w:lineRule="auto"/>
              <w:rPr>
                <w:rFonts w:ascii="Times New Roman" w:eastAsia="黑体"/>
                <w:snapToGrid w:val="0"/>
                <w:spacing w:val="-16"/>
                <w:kern w:val="21"/>
                <w:szCs w:val="21"/>
              </w:rPr>
            </w:pPr>
            <w:r>
              <w:rPr>
                <w:rFonts w:ascii="Times New Roman" w:hAnsi="黑体"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hAnsi="黑体" w:eastAsia="黑体"/>
                <w:kern w:val="2"/>
                <w:szCs w:val="21"/>
              </w:rPr>
              <w:t>⑥</w:t>
            </w:r>
            <w:r>
              <w:rPr>
                <w:rFonts w:ascii="Times New Roman" w:eastAsia="黑体"/>
                <w:snapToGrid w:val="0"/>
                <w:spacing w:val="-16"/>
                <w:kern w:val="21"/>
                <w:szCs w:val="21"/>
              </w:rPr>
              <w:fldChar w:fldCharType="end"/>
            </w:r>
          </w:p>
        </w:tc>
        <w:tc>
          <w:tcPr>
            <w:tcW w:w="826" w:type="dxa"/>
            <w:tcMar>
              <w:left w:w="28" w:type="dxa"/>
              <w:right w:w="28" w:type="dxa"/>
            </w:tcMar>
            <w:vAlign w:val="center"/>
          </w:tcPr>
          <w:p w14:paraId="535B3023">
            <w:pPr>
              <w:pStyle w:val="39"/>
              <w:spacing w:beforeLines="0" w:afterLines="0" w:line="240" w:lineRule="auto"/>
              <w:rPr>
                <w:rFonts w:ascii="Times New Roman" w:eastAsia="黑体"/>
                <w:snapToGrid w:val="0"/>
                <w:spacing w:val="-6"/>
                <w:kern w:val="21"/>
                <w:szCs w:val="21"/>
              </w:rPr>
            </w:pPr>
            <w:r>
              <w:rPr>
                <w:rFonts w:ascii="Times New Roman" w:hAnsi="黑体" w:eastAsia="黑体"/>
                <w:snapToGrid w:val="0"/>
                <w:spacing w:val="-6"/>
                <w:kern w:val="21"/>
                <w:szCs w:val="21"/>
              </w:rPr>
              <w:t>变化量</w:t>
            </w:r>
          </w:p>
          <w:p w14:paraId="7389D0A9">
            <w:pPr>
              <w:pStyle w:val="3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hAnsi="黑体" w:eastAsia="黑体"/>
                <w:kern w:val="2"/>
                <w:szCs w:val="21"/>
              </w:rPr>
              <w:t>⑦</w:t>
            </w:r>
            <w:r>
              <w:rPr>
                <w:rFonts w:ascii="Times New Roman" w:eastAsia="黑体"/>
                <w:snapToGrid w:val="0"/>
                <w:spacing w:val="-6"/>
                <w:kern w:val="21"/>
                <w:szCs w:val="21"/>
              </w:rPr>
              <w:fldChar w:fldCharType="end"/>
            </w:r>
          </w:p>
        </w:tc>
      </w:tr>
      <w:tr w14:paraId="14C95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restart"/>
            <w:vAlign w:val="center"/>
          </w:tcPr>
          <w:p w14:paraId="3B5434EF">
            <w:pPr>
              <w:pStyle w:val="39"/>
              <w:spacing w:beforeLines="0" w:afterLines="0" w:line="240" w:lineRule="auto"/>
              <w:rPr>
                <w:rFonts w:ascii="Times New Roman"/>
                <w:snapToGrid w:val="0"/>
                <w:kern w:val="21"/>
                <w:szCs w:val="21"/>
              </w:rPr>
            </w:pPr>
            <w:r>
              <w:rPr>
                <w:rFonts w:ascii="Times New Roman" w:hAnsi="宋体"/>
                <w:snapToGrid w:val="0"/>
                <w:kern w:val="21"/>
                <w:szCs w:val="21"/>
              </w:rPr>
              <w:t>废气</w:t>
            </w:r>
          </w:p>
        </w:tc>
        <w:tc>
          <w:tcPr>
            <w:tcW w:w="1857" w:type="dxa"/>
            <w:vAlign w:val="center"/>
          </w:tcPr>
          <w:p w14:paraId="11091407">
            <w:pPr>
              <w:pStyle w:val="39"/>
              <w:spacing w:beforeLines="0" w:afterLines="0" w:line="240" w:lineRule="auto"/>
              <w:rPr>
                <w:rFonts w:ascii="Times New Roman"/>
                <w:snapToGrid w:val="0"/>
                <w:kern w:val="21"/>
                <w:szCs w:val="21"/>
              </w:rPr>
            </w:pPr>
            <w:r>
              <w:rPr>
                <w:rFonts w:ascii="Times New Roman" w:hAnsi="宋体"/>
                <w:snapToGrid w:val="0"/>
                <w:kern w:val="21"/>
                <w:szCs w:val="21"/>
              </w:rPr>
              <w:t>颗粒物</w:t>
            </w:r>
          </w:p>
        </w:tc>
        <w:tc>
          <w:tcPr>
            <w:tcW w:w="1559" w:type="dxa"/>
            <w:vAlign w:val="center"/>
          </w:tcPr>
          <w:p w14:paraId="1A9845C7">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19045E51">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28EA0F9B">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3525716A">
            <w:pPr>
              <w:pStyle w:val="39"/>
              <w:spacing w:beforeLines="0" w:afterLines="0" w:line="240" w:lineRule="auto"/>
              <w:rPr>
                <w:rFonts w:ascii="Times New Roman"/>
                <w:snapToGrid w:val="0"/>
                <w:kern w:val="21"/>
                <w:szCs w:val="21"/>
              </w:rPr>
            </w:pPr>
            <w:r>
              <w:rPr>
                <w:rFonts w:ascii="Times New Roman"/>
                <w:snapToGrid w:val="0"/>
                <w:kern w:val="21"/>
                <w:szCs w:val="21"/>
              </w:rPr>
              <w:t>3.435t/a</w:t>
            </w:r>
          </w:p>
        </w:tc>
        <w:tc>
          <w:tcPr>
            <w:tcW w:w="1761" w:type="dxa"/>
            <w:vAlign w:val="center"/>
          </w:tcPr>
          <w:p w14:paraId="6D02682F">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208F43A1">
            <w:pPr>
              <w:pStyle w:val="39"/>
              <w:spacing w:beforeLines="0" w:afterLines="0" w:line="240" w:lineRule="auto"/>
              <w:rPr>
                <w:rFonts w:ascii="Times New Roman"/>
                <w:snapToGrid w:val="0"/>
                <w:kern w:val="21"/>
                <w:szCs w:val="21"/>
              </w:rPr>
            </w:pPr>
            <w:r>
              <w:rPr>
                <w:rFonts w:ascii="Times New Roman"/>
                <w:snapToGrid w:val="0"/>
                <w:kern w:val="21"/>
                <w:szCs w:val="21"/>
              </w:rPr>
              <w:t>3.435t/a</w:t>
            </w:r>
          </w:p>
        </w:tc>
        <w:tc>
          <w:tcPr>
            <w:tcW w:w="826" w:type="dxa"/>
            <w:vAlign w:val="center"/>
          </w:tcPr>
          <w:p w14:paraId="49320D53">
            <w:pPr>
              <w:pStyle w:val="39"/>
              <w:spacing w:beforeLines="0" w:afterLines="0" w:line="240" w:lineRule="auto"/>
              <w:rPr>
                <w:rFonts w:ascii="Times New Roman"/>
                <w:snapToGrid w:val="0"/>
                <w:color w:val="00B0F0"/>
                <w:kern w:val="21"/>
                <w:szCs w:val="21"/>
              </w:rPr>
            </w:pPr>
            <w:r>
              <w:rPr>
                <w:rFonts w:ascii="Times New Roman"/>
                <w:snapToGrid w:val="0"/>
                <w:color w:val="00B0F0"/>
                <w:kern w:val="21"/>
                <w:szCs w:val="21"/>
              </w:rPr>
              <w:t>/</w:t>
            </w:r>
          </w:p>
        </w:tc>
      </w:tr>
      <w:tr w14:paraId="5955F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4C814D1A">
            <w:pPr>
              <w:pStyle w:val="39"/>
              <w:spacing w:beforeLines="0" w:afterLines="0" w:line="240" w:lineRule="auto"/>
              <w:rPr>
                <w:rFonts w:ascii="Times New Roman"/>
                <w:snapToGrid w:val="0"/>
                <w:kern w:val="21"/>
                <w:szCs w:val="21"/>
              </w:rPr>
            </w:pPr>
          </w:p>
        </w:tc>
        <w:tc>
          <w:tcPr>
            <w:tcW w:w="1857" w:type="dxa"/>
            <w:vAlign w:val="center"/>
          </w:tcPr>
          <w:p w14:paraId="3F3826A4">
            <w:pPr>
              <w:pStyle w:val="39"/>
              <w:spacing w:beforeLines="0" w:afterLines="0" w:line="240" w:lineRule="auto"/>
              <w:rPr>
                <w:rFonts w:ascii="Times New Roman"/>
                <w:snapToGrid w:val="0"/>
                <w:kern w:val="21"/>
                <w:szCs w:val="21"/>
              </w:rPr>
            </w:pPr>
            <w:r>
              <w:rPr>
                <w:rFonts w:ascii="Times New Roman" w:hAnsi="宋体"/>
                <w:snapToGrid w:val="0"/>
                <w:kern w:val="21"/>
                <w:szCs w:val="21"/>
              </w:rPr>
              <w:t>非甲烷总烃</w:t>
            </w:r>
          </w:p>
        </w:tc>
        <w:tc>
          <w:tcPr>
            <w:tcW w:w="1559" w:type="dxa"/>
            <w:vAlign w:val="center"/>
          </w:tcPr>
          <w:p w14:paraId="0330CAF0">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64FC7C85">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4E0F586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594ED6A3">
            <w:pPr>
              <w:pStyle w:val="39"/>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27</w:t>
            </w:r>
            <w:r>
              <w:rPr>
                <w:rFonts w:ascii="Times New Roman"/>
                <w:snapToGrid w:val="0"/>
                <w:kern w:val="21"/>
                <w:szCs w:val="21"/>
              </w:rPr>
              <w:t>t/a</w:t>
            </w:r>
          </w:p>
        </w:tc>
        <w:tc>
          <w:tcPr>
            <w:tcW w:w="1761" w:type="dxa"/>
            <w:vAlign w:val="center"/>
          </w:tcPr>
          <w:p w14:paraId="799A3373">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7C255DD3">
            <w:pPr>
              <w:pStyle w:val="39"/>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27</w:t>
            </w:r>
            <w:r>
              <w:rPr>
                <w:rFonts w:ascii="Times New Roman"/>
                <w:snapToGrid w:val="0"/>
                <w:kern w:val="21"/>
                <w:szCs w:val="21"/>
              </w:rPr>
              <w:t>t/a</w:t>
            </w:r>
          </w:p>
        </w:tc>
        <w:tc>
          <w:tcPr>
            <w:tcW w:w="826" w:type="dxa"/>
            <w:vAlign w:val="center"/>
          </w:tcPr>
          <w:p w14:paraId="3DC59FEB">
            <w:pPr>
              <w:pStyle w:val="39"/>
              <w:spacing w:beforeLines="0" w:afterLines="0" w:line="240" w:lineRule="auto"/>
              <w:rPr>
                <w:rFonts w:ascii="Times New Roman"/>
                <w:snapToGrid w:val="0"/>
                <w:color w:val="00B0F0"/>
                <w:kern w:val="21"/>
                <w:szCs w:val="21"/>
              </w:rPr>
            </w:pPr>
            <w:r>
              <w:rPr>
                <w:rFonts w:ascii="Times New Roman"/>
                <w:snapToGrid w:val="0"/>
                <w:color w:val="00B0F0"/>
                <w:kern w:val="21"/>
                <w:szCs w:val="21"/>
              </w:rPr>
              <w:t>/</w:t>
            </w:r>
          </w:p>
        </w:tc>
      </w:tr>
      <w:tr w14:paraId="2BF4F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9B31DCF">
            <w:pPr>
              <w:pStyle w:val="39"/>
              <w:spacing w:beforeLines="0" w:afterLines="0" w:line="240" w:lineRule="auto"/>
              <w:rPr>
                <w:rFonts w:ascii="Times New Roman"/>
                <w:snapToGrid w:val="0"/>
                <w:kern w:val="21"/>
                <w:szCs w:val="21"/>
              </w:rPr>
            </w:pPr>
          </w:p>
        </w:tc>
        <w:tc>
          <w:tcPr>
            <w:tcW w:w="12498" w:type="dxa"/>
            <w:gridSpan w:val="8"/>
            <w:vAlign w:val="center"/>
          </w:tcPr>
          <w:p w14:paraId="02FCF1B9">
            <w:pPr>
              <w:pStyle w:val="39"/>
              <w:spacing w:beforeLines="0" w:afterLines="0" w:line="240" w:lineRule="auto"/>
              <w:rPr>
                <w:rFonts w:ascii="Times New Roman"/>
                <w:snapToGrid w:val="0"/>
                <w:kern w:val="21"/>
                <w:szCs w:val="21"/>
              </w:rPr>
            </w:pPr>
            <w:r>
              <w:rPr>
                <w:rFonts w:ascii="Times New Roman" w:hAnsi="宋体"/>
                <w:snapToGrid w:val="0"/>
                <w:kern w:val="21"/>
                <w:szCs w:val="21"/>
              </w:rPr>
              <w:t>当燃料为液化石油气时</w:t>
            </w:r>
          </w:p>
        </w:tc>
      </w:tr>
      <w:tr w14:paraId="1EB7B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6A440B7">
            <w:pPr>
              <w:pStyle w:val="39"/>
              <w:spacing w:beforeLines="0" w:afterLines="0" w:line="240" w:lineRule="auto"/>
              <w:rPr>
                <w:rFonts w:ascii="Times New Roman"/>
                <w:snapToGrid w:val="0"/>
                <w:kern w:val="21"/>
                <w:szCs w:val="21"/>
              </w:rPr>
            </w:pPr>
          </w:p>
        </w:tc>
        <w:tc>
          <w:tcPr>
            <w:tcW w:w="1857" w:type="dxa"/>
            <w:vAlign w:val="center"/>
          </w:tcPr>
          <w:p w14:paraId="7F544592">
            <w:pPr>
              <w:pStyle w:val="39"/>
              <w:spacing w:beforeLines="0" w:afterLines="0" w:line="240" w:lineRule="auto"/>
              <w:rPr>
                <w:rFonts w:ascii="Times New Roman"/>
                <w:snapToGrid w:val="0"/>
                <w:kern w:val="21"/>
                <w:szCs w:val="21"/>
              </w:rPr>
            </w:pPr>
            <w:r>
              <w:rPr>
                <w:rFonts w:ascii="Times New Roman" w:hAnsi="宋体"/>
                <w:snapToGrid w:val="0"/>
                <w:kern w:val="21"/>
                <w:szCs w:val="21"/>
              </w:rPr>
              <w:t>二氧化硫</w:t>
            </w:r>
          </w:p>
        </w:tc>
        <w:tc>
          <w:tcPr>
            <w:tcW w:w="1559" w:type="dxa"/>
            <w:vAlign w:val="center"/>
          </w:tcPr>
          <w:p w14:paraId="099723DE">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2726E938">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221C0947">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18EA45CB">
            <w:pPr>
              <w:jc w:val="center"/>
              <w:rPr>
                <w:kern w:val="0"/>
                <w:szCs w:val="21"/>
              </w:rPr>
            </w:pPr>
            <w:r>
              <w:t>25.6kg/a</w:t>
            </w:r>
          </w:p>
        </w:tc>
        <w:tc>
          <w:tcPr>
            <w:tcW w:w="1761" w:type="dxa"/>
            <w:vAlign w:val="center"/>
          </w:tcPr>
          <w:p w14:paraId="7CE204C0">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71D16CFA">
            <w:pPr>
              <w:jc w:val="center"/>
              <w:rPr>
                <w:kern w:val="0"/>
                <w:szCs w:val="21"/>
              </w:rPr>
            </w:pPr>
            <w:r>
              <w:t>25.6kg/a</w:t>
            </w:r>
          </w:p>
        </w:tc>
        <w:tc>
          <w:tcPr>
            <w:tcW w:w="826" w:type="dxa"/>
            <w:vAlign w:val="center"/>
          </w:tcPr>
          <w:p w14:paraId="55AE8EB2">
            <w:pPr>
              <w:pStyle w:val="39"/>
              <w:spacing w:beforeLines="0" w:afterLines="0" w:line="240" w:lineRule="auto"/>
              <w:rPr>
                <w:rFonts w:ascii="Times New Roman"/>
                <w:snapToGrid w:val="0"/>
                <w:color w:val="92D050"/>
                <w:kern w:val="21"/>
                <w:szCs w:val="21"/>
              </w:rPr>
            </w:pPr>
            <w:r>
              <w:rPr>
                <w:rFonts w:ascii="Times New Roman"/>
                <w:snapToGrid w:val="0"/>
                <w:color w:val="92D050"/>
                <w:kern w:val="21"/>
                <w:szCs w:val="21"/>
              </w:rPr>
              <w:t>/</w:t>
            </w:r>
          </w:p>
        </w:tc>
      </w:tr>
      <w:tr w14:paraId="23601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A378343">
            <w:pPr>
              <w:pStyle w:val="39"/>
              <w:spacing w:beforeLines="0" w:afterLines="0" w:line="240" w:lineRule="auto"/>
              <w:rPr>
                <w:rFonts w:ascii="Times New Roman"/>
                <w:snapToGrid w:val="0"/>
                <w:kern w:val="21"/>
                <w:szCs w:val="21"/>
              </w:rPr>
            </w:pPr>
          </w:p>
        </w:tc>
        <w:tc>
          <w:tcPr>
            <w:tcW w:w="1857" w:type="dxa"/>
            <w:vAlign w:val="center"/>
          </w:tcPr>
          <w:p w14:paraId="7EDBC720">
            <w:pPr>
              <w:pStyle w:val="39"/>
              <w:spacing w:beforeLines="0" w:afterLines="0" w:line="240" w:lineRule="auto"/>
              <w:rPr>
                <w:rFonts w:ascii="Times New Roman"/>
                <w:snapToGrid w:val="0"/>
                <w:kern w:val="21"/>
                <w:szCs w:val="21"/>
              </w:rPr>
            </w:pPr>
            <w:r>
              <w:rPr>
                <w:rFonts w:ascii="Times New Roman" w:hAnsi="宋体"/>
                <w:snapToGrid w:val="0"/>
                <w:kern w:val="21"/>
                <w:szCs w:val="21"/>
              </w:rPr>
              <w:t>氮氧化物</w:t>
            </w:r>
          </w:p>
        </w:tc>
        <w:tc>
          <w:tcPr>
            <w:tcW w:w="1559" w:type="dxa"/>
            <w:vAlign w:val="center"/>
          </w:tcPr>
          <w:p w14:paraId="575CF6F0">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1662E1AD">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4FC6A52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54099490">
            <w:pPr>
              <w:jc w:val="center"/>
              <w:rPr>
                <w:kern w:val="0"/>
                <w:szCs w:val="21"/>
              </w:rPr>
            </w:pPr>
            <w:r>
              <w:t>381.504kg/a</w:t>
            </w:r>
          </w:p>
        </w:tc>
        <w:tc>
          <w:tcPr>
            <w:tcW w:w="1761" w:type="dxa"/>
            <w:vAlign w:val="center"/>
          </w:tcPr>
          <w:p w14:paraId="2E0CE718">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21463E93">
            <w:pPr>
              <w:jc w:val="center"/>
              <w:rPr>
                <w:kern w:val="0"/>
                <w:szCs w:val="21"/>
              </w:rPr>
            </w:pPr>
            <w:r>
              <w:t>381.504kg/a</w:t>
            </w:r>
          </w:p>
        </w:tc>
        <w:tc>
          <w:tcPr>
            <w:tcW w:w="826" w:type="dxa"/>
            <w:vAlign w:val="center"/>
          </w:tcPr>
          <w:p w14:paraId="129472DD">
            <w:pPr>
              <w:pStyle w:val="39"/>
              <w:spacing w:beforeLines="0" w:afterLines="0" w:line="240" w:lineRule="auto"/>
              <w:rPr>
                <w:rFonts w:ascii="Times New Roman"/>
                <w:snapToGrid w:val="0"/>
                <w:color w:val="92D050"/>
                <w:kern w:val="21"/>
                <w:szCs w:val="21"/>
              </w:rPr>
            </w:pPr>
            <w:r>
              <w:rPr>
                <w:rFonts w:ascii="Times New Roman"/>
                <w:snapToGrid w:val="0"/>
                <w:color w:val="92D050"/>
                <w:kern w:val="21"/>
                <w:szCs w:val="21"/>
              </w:rPr>
              <w:t>/</w:t>
            </w:r>
          </w:p>
        </w:tc>
      </w:tr>
      <w:tr w14:paraId="19C6E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466AF6BA">
            <w:pPr>
              <w:pStyle w:val="39"/>
              <w:spacing w:beforeLines="0" w:afterLines="0" w:line="240" w:lineRule="auto"/>
              <w:rPr>
                <w:rFonts w:ascii="Times New Roman"/>
                <w:snapToGrid w:val="0"/>
                <w:kern w:val="21"/>
                <w:szCs w:val="21"/>
              </w:rPr>
            </w:pPr>
          </w:p>
        </w:tc>
        <w:tc>
          <w:tcPr>
            <w:tcW w:w="1857" w:type="dxa"/>
            <w:vAlign w:val="center"/>
          </w:tcPr>
          <w:p w14:paraId="3923E3E5">
            <w:pPr>
              <w:pStyle w:val="39"/>
              <w:spacing w:beforeLines="0" w:afterLines="0" w:line="240" w:lineRule="auto"/>
              <w:rPr>
                <w:rFonts w:ascii="Times New Roman"/>
                <w:snapToGrid w:val="0"/>
                <w:kern w:val="21"/>
                <w:szCs w:val="21"/>
              </w:rPr>
            </w:pPr>
            <w:r>
              <w:rPr>
                <w:rFonts w:ascii="Times New Roman" w:hAnsi="宋体"/>
                <w:snapToGrid w:val="0"/>
                <w:kern w:val="21"/>
                <w:szCs w:val="21"/>
              </w:rPr>
              <w:t>颗粒物</w:t>
            </w:r>
          </w:p>
        </w:tc>
        <w:tc>
          <w:tcPr>
            <w:tcW w:w="1559" w:type="dxa"/>
            <w:vAlign w:val="center"/>
          </w:tcPr>
          <w:p w14:paraId="621DE55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5795116C">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08D3658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7D8378E6">
            <w:pPr>
              <w:jc w:val="center"/>
            </w:pPr>
            <w:r>
              <w:t>18.3kg/a</w:t>
            </w:r>
          </w:p>
        </w:tc>
        <w:tc>
          <w:tcPr>
            <w:tcW w:w="1761" w:type="dxa"/>
            <w:vAlign w:val="center"/>
          </w:tcPr>
          <w:p w14:paraId="4A668EF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0D3BA7B0">
            <w:pPr>
              <w:jc w:val="center"/>
            </w:pPr>
            <w:r>
              <w:t>18.3kg/a</w:t>
            </w:r>
          </w:p>
        </w:tc>
        <w:tc>
          <w:tcPr>
            <w:tcW w:w="826" w:type="dxa"/>
            <w:vAlign w:val="center"/>
          </w:tcPr>
          <w:p w14:paraId="5170EB4E">
            <w:pPr>
              <w:jc w:val="center"/>
              <w:rPr>
                <w:color w:val="92D050"/>
              </w:rPr>
            </w:pPr>
            <w:r>
              <w:rPr>
                <w:rFonts w:hint="eastAsia"/>
                <w:color w:val="92D050"/>
              </w:rPr>
              <w:t>/</w:t>
            </w:r>
          </w:p>
        </w:tc>
      </w:tr>
      <w:tr w14:paraId="0613B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DBF9917">
            <w:pPr>
              <w:pStyle w:val="39"/>
              <w:spacing w:beforeLines="0" w:afterLines="0" w:line="240" w:lineRule="auto"/>
              <w:rPr>
                <w:rFonts w:ascii="Times New Roman"/>
                <w:snapToGrid w:val="0"/>
                <w:kern w:val="21"/>
                <w:szCs w:val="21"/>
              </w:rPr>
            </w:pPr>
          </w:p>
        </w:tc>
        <w:tc>
          <w:tcPr>
            <w:tcW w:w="12498" w:type="dxa"/>
            <w:gridSpan w:val="8"/>
            <w:vAlign w:val="center"/>
          </w:tcPr>
          <w:p w14:paraId="75FE1972">
            <w:pPr>
              <w:pStyle w:val="39"/>
              <w:spacing w:beforeLines="0" w:afterLines="0" w:line="240" w:lineRule="auto"/>
              <w:rPr>
                <w:rFonts w:ascii="Times New Roman"/>
                <w:snapToGrid w:val="0"/>
                <w:kern w:val="21"/>
                <w:szCs w:val="21"/>
              </w:rPr>
            </w:pPr>
            <w:r>
              <w:rPr>
                <w:rFonts w:ascii="Times New Roman" w:hAnsi="宋体"/>
                <w:snapToGrid w:val="0"/>
                <w:kern w:val="21"/>
                <w:szCs w:val="21"/>
              </w:rPr>
              <w:t>当燃料为天然气时</w:t>
            </w:r>
          </w:p>
        </w:tc>
      </w:tr>
      <w:tr w14:paraId="62817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09F0496B">
            <w:pPr>
              <w:pStyle w:val="39"/>
              <w:spacing w:beforeLines="0" w:afterLines="0" w:line="240" w:lineRule="auto"/>
              <w:rPr>
                <w:rFonts w:ascii="Times New Roman"/>
                <w:snapToGrid w:val="0"/>
                <w:kern w:val="21"/>
                <w:szCs w:val="21"/>
              </w:rPr>
            </w:pPr>
          </w:p>
        </w:tc>
        <w:tc>
          <w:tcPr>
            <w:tcW w:w="1857" w:type="dxa"/>
            <w:vAlign w:val="center"/>
          </w:tcPr>
          <w:p w14:paraId="1BE8E45E">
            <w:pPr>
              <w:pStyle w:val="39"/>
              <w:spacing w:beforeLines="0" w:afterLines="0" w:line="240" w:lineRule="auto"/>
              <w:rPr>
                <w:rFonts w:ascii="Times New Roman"/>
                <w:snapToGrid w:val="0"/>
                <w:kern w:val="21"/>
                <w:szCs w:val="21"/>
              </w:rPr>
            </w:pPr>
            <w:r>
              <w:rPr>
                <w:rFonts w:ascii="Times New Roman" w:hAnsi="宋体"/>
                <w:snapToGrid w:val="0"/>
                <w:kern w:val="21"/>
                <w:szCs w:val="21"/>
              </w:rPr>
              <w:t>二氧化硫</w:t>
            </w:r>
          </w:p>
        </w:tc>
        <w:tc>
          <w:tcPr>
            <w:tcW w:w="1559" w:type="dxa"/>
            <w:vAlign w:val="center"/>
          </w:tcPr>
          <w:p w14:paraId="3AB74E70">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11AD0203">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2C215BA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1CAA1EE0">
            <w:pPr>
              <w:jc w:val="center"/>
              <w:rPr>
                <w:kern w:val="0"/>
                <w:szCs w:val="21"/>
              </w:rPr>
            </w:pPr>
            <w:r>
              <w:t>32kg/a</w:t>
            </w:r>
          </w:p>
        </w:tc>
        <w:tc>
          <w:tcPr>
            <w:tcW w:w="1761" w:type="dxa"/>
            <w:vAlign w:val="center"/>
          </w:tcPr>
          <w:p w14:paraId="284911B4">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2EF2A28B">
            <w:pPr>
              <w:jc w:val="center"/>
              <w:rPr>
                <w:kern w:val="0"/>
                <w:szCs w:val="21"/>
              </w:rPr>
            </w:pPr>
            <w:r>
              <w:t>32kg/a</w:t>
            </w:r>
          </w:p>
        </w:tc>
        <w:tc>
          <w:tcPr>
            <w:tcW w:w="826" w:type="dxa"/>
            <w:vAlign w:val="center"/>
          </w:tcPr>
          <w:p w14:paraId="6AD9F5B9">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389B7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4D1932A">
            <w:pPr>
              <w:pStyle w:val="39"/>
              <w:spacing w:beforeLines="0" w:afterLines="0" w:line="240" w:lineRule="auto"/>
              <w:rPr>
                <w:rFonts w:ascii="Times New Roman"/>
                <w:snapToGrid w:val="0"/>
                <w:kern w:val="21"/>
                <w:szCs w:val="21"/>
              </w:rPr>
            </w:pPr>
          </w:p>
        </w:tc>
        <w:tc>
          <w:tcPr>
            <w:tcW w:w="1857" w:type="dxa"/>
            <w:vAlign w:val="center"/>
          </w:tcPr>
          <w:p w14:paraId="2C9605BE">
            <w:pPr>
              <w:pStyle w:val="39"/>
              <w:spacing w:beforeLines="0" w:afterLines="0" w:line="240" w:lineRule="auto"/>
              <w:rPr>
                <w:rFonts w:ascii="Times New Roman"/>
                <w:snapToGrid w:val="0"/>
                <w:kern w:val="21"/>
                <w:szCs w:val="21"/>
              </w:rPr>
            </w:pPr>
            <w:r>
              <w:rPr>
                <w:rFonts w:ascii="Times New Roman" w:hAnsi="宋体"/>
                <w:snapToGrid w:val="0"/>
                <w:kern w:val="21"/>
                <w:szCs w:val="21"/>
              </w:rPr>
              <w:t>氮氧化物</w:t>
            </w:r>
          </w:p>
        </w:tc>
        <w:tc>
          <w:tcPr>
            <w:tcW w:w="1559" w:type="dxa"/>
            <w:vAlign w:val="center"/>
          </w:tcPr>
          <w:p w14:paraId="3045CF32">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62FE5502">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531EE24D">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030C20DF">
            <w:pPr>
              <w:jc w:val="center"/>
              <w:rPr>
                <w:kern w:val="0"/>
                <w:szCs w:val="21"/>
              </w:rPr>
            </w:pPr>
            <w:r>
              <w:t>74.88kg/a</w:t>
            </w:r>
          </w:p>
        </w:tc>
        <w:tc>
          <w:tcPr>
            <w:tcW w:w="1761" w:type="dxa"/>
            <w:vAlign w:val="center"/>
          </w:tcPr>
          <w:p w14:paraId="6DB11B25">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54D808BF">
            <w:pPr>
              <w:jc w:val="center"/>
              <w:rPr>
                <w:kern w:val="0"/>
                <w:szCs w:val="21"/>
              </w:rPr>
            </w:pPr>
            <w:r>
              <w:t>74.88kg/a</w:t>
            </w:r>
          </w:p>
        </w:tc>
        <w:tc>
          <w:tcPr>
            <w:tcW w:w="826" w:type="dxa"/>
            <w:vAlign w:val="center"/>
          </w:tcPr>
          <w:p w14:paraId="510E620A">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1E04D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7B3A6F55">
            <w:pPr>
              <w:pStyle w:val="39"/>
              <w:spacing w:beforeLines="0" w:afterLines="0" w:line="240" w:lineRule="auto"/>
              <w:rPr>
                <w:rFonts w:ascii="Times New Roman"/>
                <w:snapToGrid w:val="0"/>
                <w:kern w:val="21"/>
                <w:szCs w:val="21"/>
              </w:rPr>
            </w:pPr>
          </w:p>
        </w:tc>
        <w:tc>
          <w:tcPr>
            <w:tcW w:w="1857" w:type="dxa"/>
            <w:vAlign w:val="center"/>
          </w:tcPr>
          <w:p w14:paraId="2D563AEE">
            <w:pPr>
              <w:pStyle w:val="39"/>
              <w:spacing w:beforeLines="0" w:afterLines="0" w:line="240" w:lineRule="auto"/>
              <w:rPr>
                <w:rFonts w:ascii="Times New Roman"/>
                <w:snapToGrid w:val="0"/>
                <w:kern w:val="21"/>
                <w:szCs w:val="21"/>
              </w:rPr>
            </w:pPr>
            <w:r>
              <w:rPr>
                <w:rFonts w:ascii="Times New Roman" w:hAnsi="宋体"/>
                <w:snapToGrid w:val="0"/>
                <w:kern w:val="21"/>
                <w:szCs w:val="21"/>
              </w:rPr>
              <w:t>颗粒物</w:t>
            </w:r>
          </w:p>
        </w:tc>
        <w:tc>
          <w:tcPr>
            <w:tcW w:w="1559" w:type="dxa"/>
            <w:vAlign w:val="center"/>
          </w:tcPr>
          <w:p w14:paraId="2013C48B">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7EBD9A84">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0E29235A">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73EC561E">
            <w:pPr>
              <w:jc w:val="center"/>
            </w:pPr>
            <w:r>
              <w:t>22.88kg/a</w:t>
            </w:r>
          </w:p>
        </w:tc>
        <w:tc>
          <w:tcPr>
            <w:tcW w:w="1761" w:type="dxa"/>
            <w:vAlign w:val="center"/>
          </w:tcPr>
          <w:p w14:paraId="548246DC">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37DBB770">
            <w:pPr>
              <w:jc w:val="center"/>
            </w:pPr>
            <w:r>
              <w:t>22.88kg/a</w:t>
            </w:r>
          </w:p>
        </w:tc>
        <w:tc>
          <w:tcPr>
            <w:tcW w:w="826" w:type="dxa"/>
            <w:vAlign w:val="center"/>
          </w:tcPr>
          <w:p w14:paraId="5060F927">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69C2F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restart"/>
            <w:vAlign w:val="center"/>
          </w:tcPr>
          <w:p w14:paraId="4168984D">
            <w:pPr>
              <w:pStyle w:val="39"/>
              <w:spacing w:beforeLines="0" w:afterLines="0" w:line="240" w:lineRule="auto"/>
              <w:rPr>
                <w:rFonts w:ascii="Times New Roman"/>
                <w:snapToGrid w:val="0"/>
                <w:kern w:val="21"/>
                <w:szCs w:val="21"/>
              </w:rPr>
            </w:pPr>
            <w:r>
              <w:rPr>
                <w:rFonts w:ascii="Times New Roman" w:hAnsi="宋体"/>
                <w:snapToGrid w:val="0"/>
                <w:kern w:val="21"/>
                <w:szCs w:val="21"/>
              </w:rPr>
              <w:t>废水</w:t>
            </w:r>
          </w:p>
        </w:tc>
        <w:tc>
          <w:tcPr>
            <w:tcW w:w="1857" w:type="dxa"/>
            <w:vAlign w:val="center"/>
          </w:tcPr>
          <w:p w14:paraId="01BE463A">
            <w:pPr>
              <w:pStyle w:val="39"/>
              <w:spacing w:beforeLines="0" w:afterLines="0" w:line="240" w:lineRule="auto"/>
              <w:rPr>
                <w:rFonts w:ascii="Times New Roman"/>
                <w:snapToGrid w:val="0"/>
                <w:kern w:val="21"/>
                <w:szCs w:val="21"/>
              </w:rPr>
            </w:pPr>
            <w:r>
              <w:rPr>
                <w:rFonts w:ascii="Times New Roman"/>
                <w:snapToGrid w:val="0"/>
                <w:kern w:val="21"/>
                <w:szCs w:val="21"/>
              </w:rPr>
              <w:t>COD</w:t>
            </w:r>
          </w:p>
        </w:tc>
        <w:tc>
          <w:tcPr>
            <w:tcW w:w="1559" w:type="dxa"/>
            <w:vAlign w:val="center"/>
          </w:tcPr>
          <w:p w14:paraId="29BA45E4">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37636361">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051500AD">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4779809D">
            <w:pPr>
              <w:pStyle w:val="39"/>
              <w:spacing w:beforeLines="0" w:afterLines="0" w:line="240" w:lineRule="auto"/>
              <w:rPr>
                <w:rFonts w:ascii="Times New Roman"/>
                <w:snapToGrid w:val="0"/>
                <w:kern w:val="21"/>
                <w:szCs w:val="21"/>
              </w:rPr>
            </w:pPr>
            <w:r>
              <w:rPr>
                <w:rFonts w:ascii="Times New Roman"/>
                <w:snapToGrid w:val="0"/>
                <w:kern w:val="21"/>
                <w:szCs w:val="21"/>
              </w:rPr>
              <w:t>0.3028</w:t>
            </w:r>
            <w:r>
              <w:rPr>
                <w:rFonts w:ascii="Times New Roman"/>
              </w:rPr>
              <w:t>t/a</w:t>
            </w:r>
          </w:p>
        </w:tc>
        <w:tc>
          <w:tcPr>
            <w:tcW w:w="1761" w:type="dxa"/>
            <w:vAlign w:val="center"/>
          </w:tcPr>
          <w:p w14:paraId="153F2BFD">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179FC79E">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826" w:type="dxa"/>
            <w:vAlign w:val="center"/>
          </w:tcPr>
          <w:p w14:paraId="312D6AD8">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61A0C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90" w:type="dxa"/>
            <w:vMerge w:val="continue"/>
            <w:vAlign w:val="center"/>
          </w:tcPr>
          <w:p w14:paraId="76FE8A3C">
            <w:pPr>
              <w:pStyle w:val="39"/>
              <w:spacing w:beforeLines="0" w:afterLines="0" w:line="240" w:lineRule="auto"/>
              <w:rPr>
                <w:rFonts w:ascii="Times New Roman"/>
                <w:snapToGrid w:val="0"/>
                <w:kern w:val="21"/>
                <w:szCs w:val="21"/>
              </w:rPr>
            </w:pPr>
          </w:p>
        </w:tc>
        <w:tc>
          <w:tcPr>
            <w:tcW w:w="1857" w:type="dxa"/>
            <w:vAlign w:val="center"/>
          </w:tcPr>
          <w:p w14:paraId="434DE16B">
            <w:pPr>
              <w:pStyle w:val="39"/>
              <w:spacing w:beforeLines="0" w:afterLines="0" w:line="240" w:lineRule="auto"/>
              <w:rPr>
                <w:rFonts w:ascii="Times New Roman"/>
                <w:snapToGrid w:val="0"/>
                <w:kern w:val="21"/>
                <w:szCs w:val="21"/>
              </w:rPr>
            </w:pPr>
            <w:r>
              <w:rPr>
                <w:rFonts w:ascii="Times New Roman"/>
                <w:snapToGrid w:val="0"/>
                <w:kern w:val="21"/>
                <w:szCs w:val="21"/>
              </w:rPr>
              <w:t>BOD</w:t>
            </w:r>
            <w:r>
              <w:rPr>
                <w:rFonts w:ascii="Times New Roman"/>
                <w:snapToGrid w:val="0"/>
                <w:kern w:val="21"/>
                <w:szCs w:val="21"/>
                <w:vertAlign w:val="subscript"/>
              </w:rPr>
              <w:t>5</w:t>
            </w:r>
          </w:p>
        </w:tc>
        <w:tc>
          <w:tcPr>
            <w:tcW w:w="1559" w:type="dxa"/>
            <w:vAlign w:val="center"/>
          </w:tcPr>
          <w:p w14:paraId="658BCD17">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138168BE">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77C3AC47">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469F468E">
            <w:pPr>
              <w:pStyle w:val="39"/>
              <w:spacing w:beforeLines="0" w:afterLines="0" w:line="240" w:lineRule="auto"/>
              <w:rPr>
                <w:rFonts w:ascii="Times New Roman"/>
                <w:snapToGrid w:val="0"/>
                <w:kern w:val="21"/>
                <w:szCs w:val="21"/>
              </w:rPr>
            </w:pPr>
            <w:r>
              <w:rPr>
                <w:rFonts w:ascii="Times New Roman"/>
                <w:snapToGrid w:val="0"/>
                <w:kern w:val="21"/>
                <w:szCs w:val="21"/>
              </w:rPr>
              <w:t>0.1557</w:t>
            </w:r>
            <w:r>
              <w:rPr>
                <w:rFonts w:ascii="Times New Roman"/>
              </w:rPr>
              <w:t>t/a</w:t>
            </w:r>
          </w:p>
        </w:tc>
        <w:tc>
          <w:tcPr>
            <w:tcW w:w="1761" w:type="dxa"/>
            <w:vAlign w:val="center"/>
          </w:tcPr>
          <w:p w14:paraId="16E372E6">
            <w:pPr>
              <w:pStyle w:val="39"/>
              <w:spacing w:beforeLines="0" w:afterLines="0" w:line="240" w:lineRule="auto"/>
              <w:rPr>
                <w:rFonts w:ascii="Times New Roman"/>
                <w:snapToGrid w:val="0"/>
                <w:kern w:val="21"/>
                <w:szCs w:val="21"/>
              </w:rPr>
            </w:pPr>
          </w:p>
        </w:tc>
        <w:tc>
          <w:tcPr>
            <w:tcW w:w="1959" w:type="dxa"/>
            <w:vAlign w:val="center"/>
          </w:tcPr>
          <w:p w14:paraId="31184B2D">
            <w:pPr>
              <w:pStyle w:val="39"/>
              <w:spacing w:beforeLines="0" w:afterLines="0" w:line="240" w:lineRule="auto"/>
              <w:rPr>
                <w:rFonts w:ascii="Times New Roman"/>
                <w:snapToGrid w:val="0"/>
                <w:kern w:val="21"/>
                <w:szCs w:val="21"/>
              </w:rPr>
            </w:pPr>
            <w:r>
              <w:rPr>
                <w:rFonts w:ascii="Times New Roman"/>
                <w:snapToGrid w:val="0"/>
                <w:kern w:val="21"/>
                <w:szCs w:val="21"/>
              </w:rPr>
              <w:t>0.3028</w:t>
            </w:r>
            <w:r>
              <w:rPr>
                <w:rFonts w:ascii="Times New Roman"/>
              </w:rPr>
              <w:t>t/a</w:t>
            </w:r>
          </w:p>
        </w:tc>
        <w:tc>
          <w:tcPr>
            <w:tcW w:w="826" w:type="dxa"/>
            <w:vAlign w:val="center"/>
          </w:tcPr>
          <w:p w14:paraId="1F124698">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4EA60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5AC64149">
            <w:pPr>
              <w:pStyle w:val="39"/>
              <w:spacing w:beforeLines="0" w:afterLines="0" w:line="240" w:lineRule="auto"/>
              <w:rPr>
                <w:rFonts w:ascii="Times New Roman"/>
                <w:snapToGrid w:val="0"/>
                <w:kern w:val="21"/>
                <w:szCs w:val="21"/>
              </w:rPr>
            </w:pPr>
          </w:p>
        </w:tc>
        <w:tc>
          <w:tcPr>
            <w:tcW w:w="1857" w:type="dxa"/>
            <w:vAlign w:val="center"/>
          </w:tcPr>
          <w:p w14:paraId="10754E67">
            <w:pPr>
              <w:pStyle w:val="39"/>
              <w:spacing w:beforeLines="0" w:afterLines="0" w:line="240" w:lineRule="auto"/>
              <w:rPr>
                <w:rFonts w:ascii="Times New Roman"/>
                <w:snapToGrid w:val="0"/>
                <w:kern w:val="21"/>
                <w:szCs w:val="21"/>
              </w:rPr>
            </w:pPr>
            <w:r>
              <w:rPr>
                <w:rFonts w:ascii="Times New Roman"/>
                <w:snapToGrid w:val="0"/>
                <w:kern w:val="21"/>
                <w:szCs w:val="21"/>
              </w:rPr>
              <w:t>SS</w:t>
            </w:r>
          </w:p>
        </w:tc>
        <w:tc>
          <w:tcPr>
            <w:tcW w:w="1559" w:type="dxa"/>
            <w:vAlign w:val="center"/>
          </w:tcPr>
          <w:p w14:paraId="4F1BB0BE">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3770A7AD">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72279F89">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1C96627D">
            <w:pPr>
              <w:pStyle w:val="39"/>
              <w:spacing w:beforeLines="0" w:afterLines="0" w:line="240" w:lineRule="auto"/>
              <w:rPr>
                <w:rFonts w:ascii="Times New Roman"/>
                <w:snapToGrid w:val="0"/>
                <w:kern w:val="21"/>
                <w:szCs w:val="21"/>
              </w:rPr>
            </w:pPr>
            <w:r>
              <w:rPr>
                <w:rFonts w:ascii="Times New Roman"/>
                <w:snapToGrid w:val="0"/>
                <w:kern w:val="21"/>
                <w:szCs w:val="21"/>
              </w:rPr>
              <w:t>0.1665</w:t>
            </w:r>
            <w:r>
              <w:rPr>
                <w:rFonts w:ascii="Times New Roman"/>
              </w:rPr>
              <w:t>t/a</w:t>
            </w:r>
          </w:p>
        </w:tc>
        <w:tc>
          <w:tcPr>
            <w:tcW w:w="1761" w:type="dxa"/>
            <w:vAlign w:val="center"/>
          </w:tcPr>
          <w:p w14:paraId="7E9F2BF8">
            <w:pPr>
              <w:pStyle w:val="39"/>
              <w:spacing w:beforeLines="0" w:afterLines="0" w:line="240" w:lineRule="auto"/>
              <w:rPr>
                <w:rFonts w:ascii="Times New Roman"/>
                <w:snapToGrid w:val="0"/>
                <w:kern w:val="21"/>
                <w:szCs w:val="21"/>
              </w:rPr>
            </w:pPr>
          </w:p>
        </w:tc>
        <w:tc>
          <w:tcPr>
            <w:tcW w:w="1959" w:type="dxa"/>
            <w:vAlign w:val="center"/>
          </w:tcPr>
          <w:p w14:paraId="1262E03E">
            <w:pPr>
              <w:pStyle w:val="39"/>
              <w:spacing w:beforeLines="0" w:afterLines="0" w:line="240" w:lineRule="auto"/>
              <w:rPr>
                <w:rFonts w:ascii="Times New Roman"/>
                <w:snapToGrid w:val="0"/>
                <w:kern w:val="21"/>
                <w:szCs w:val="21"/>
              </w:rPr>
            </w:pPr>
            <w:r>
              <w:rPr>
                <w:rFonts w:ascii="Times New Roman"/>
                <w:snapToGrid w:val="0"/>
                <w:kern w:val="21"/>
                <w:szCs w:val="21"/>
              </w:rPr>
              <w:t>0.1557</w:t>
            </w:r>
            <w:r>
              <w:rPr>
                <w:rFonts w:ascii="Times New Roman"/>
              </w:rPr>
              <w:t>t/a</w:t>
            </w:r>
          </w:p>
        </w:tc>
        <w:tc>
          <w:tcPr>
            <w:tcW w:w="826" w:type="dxa"/>
            <w:vAlign w:val="center"/>
          </w:tcPr>
          <w:p w14:paraId="266F32B2">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24E7B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0945D92F">
            <w:pPr>
              <w:pStyle w:val="39"/>
              <w:spacing w:beforeLines="0" w:afterLines="0" w:line="240" w:lineRule="auto"/>
              <w:rPr>
                <w:rFonts w:ascii="Times New Roman"/>
                <w:snapToGrid w:val="0"/>
                <w:kern w:val="21"/>
                <w:szCs w:val="21"/>
              </w:rPr>
            </w:pPr>
          </w:p>
        </w:tc>
        <w:tc>
          <w:tcPr>
            <w:tcW w:w="1857" w:type="dxa"/>
            <w:vAlign w:val="center"/>
          </w:tcPr>
          <w:p w14:paraId="5DB931BB">
            <w:pPr>
              <w:pStyle w:val="39"/>
              <w:spacing w:beforeLines="0" w:afterLines="0" w:line="240" w:lineRule="auto"/>
              <w:rPr>
                <w:rFonts w:ascii="Times New Roman"/>
                <w:snapToGrid w:val="0"/>
                <w:kern w:val="21"/>
                <w:szCs w:val="21"/>
              </w:rPr>
            </w:pPr>
            <w:r>
              <w:rPr>
                <w:rFonts w:ascii="Times New Roman" w:hAnsi="宋体"/>
                <w:snapToGrid w:val="0"/>
                <w:kern w:val="21"/>
                <w:szCs w:val="21"/>
              </w:rPr>
              <w:t>氨氮</w:t>
            </w:r>
          </w:p>
        </w:tc>
        <w:tc>
          <w:tcPr>
            <w:tcW w:w="1559" w:type="dxa"/>
            <w:vAlign w:val="center"/>
          </w:tcPr>
          <w:p w14:paraId="23EF2F96">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45FE9554">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773835EA">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6EEDA074">
            <w:pPr>
              <w:pStyle w:val="39"/>
              <w:spacing w:beforeLines="0" w:afterLines="0" w:line="240" w:lineRule="auto"/>
              <w:rPr>
                <w:rFonts w:ascii="Times New Roman"/>
                <w:snapToGrid w:val="0"/>
                <w:kern w:val="21"/>
                <w:szCs w:val="21"/>
              </w:rPr>
            </w:pPr>
            <w:r>
              <w:rPr>
                <w:rFonts w:ascii="Times New Roman"/>
                <w:snapToGrid w:val="0"/>
                <w:kern w:val="21"/>
                <w:szCs w:val="21"/>
              </w:rPr>
              <w:t>0.0378</w:t>
            </w:r>
            <w:r>
              <w:rPr>
                <w:rFonts w:ascii="Times New Roman"/>
              </w:rPr>
              <w:t>t/a</w:t>
            </w:r>
          </w:p>
        </w:tc>
        <w:tc>
          <w:tcPr>
            <w:tcW w:w="1761" w:type="dxa"/>
            <w:vAlign w:val="center"/>
          </w:tcPr>
          <w:p w14:paraId="23F8CD3D">
            <w:pPr>
              <w:pStyle w:val="39"/>
              <w:spacing w:beforeLines="0" w:afterLines="0" w:line="240" w:lineRule="auto"/>
              <w:rPr>
                <w:rFonts w:ascii="Times New Roman"/>
                <w:snapToGrid w:val="0"/>
                <w:kern w:val="21"/>
                <w:szCs w:val="21"/>
              </w:rPr>
            </w:pPr>
          </w:p>
        </w:tc>
        <w:tc>
          <w:tcPr>
            <w:tcW w:w="1959" w:type="dxa"/>
            <w:vAlign w:val="center"/>
          </w:tcPr>
          <w:p w14:paraId="3ADFC1B1">
            <w:pPr>
              <w:pStyle w:val="39"/>
              <w:spacing w:beforeLines="0" w:afterLines="0" w:line="240" w:lineRule="auto"/>
              <w:rPr>
                <w:rFonts w:ascii="Times New Roman"/>
                <w:snapToGrid w:val="0"/>
                <w:kern w:val="21"/>
                <w:szCs w:val="21"/>
              </w:rPr>
            </w:pPr>
            <w:r>
              <w:rPr>
                <w:rFonts w:ascii="Times New Roman"/>
                <w:snapToGrid w:val="0"/>
                <w:kern w:val="21"/>
                <w:szCs w:val="21"/>
              </w:rPr>
              <w:t>0.1665</w:t>
            </w:r>
            <w:r>
              <w:rPr>
                <w:rFonts w:ascii="Times New Roman"/>
              </w:rPr>
              <w:t>t/a</w:t>
            </w:r>
          </w:p>
        </w:tc>
        <w:tc>
          <w:tcPr>
            <w:tcW w:w="826" w:type="dxa"/>
            <w:vAlign w:val="center"/>
          </w:tcPr>
          <w:p w14:paraId="3E6FF60A">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29108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36DE2E3A">
            <w:pPr>
              <w:pStyle w:val="39"/>
              <w:spacing w:beforeLines="0" w:afterLines="0" w:line="240" w:lineRule="auto"/>
              <w:rPr>
                <w:rFonts w:ascii="Times New Roman"/>
                <w:snapToGrid w:val="0"/>
                <w:kern w:val="21"/>
                <w:szCs w:val="21"/>
              </w:rPr>
            </w:pPr>
          </w:p>
        </w:tc>
        <w:tc>
          <w:tcPr>
            <w:tcW w:w="1857" w:type="dxa"/>
            <w:vAlign w:val="center"/>
          </w:tcPr>
          <w:p w14:paraId="0583B140">
            <w:pPr>
              <w:pStyle w:val="39"/>
              <w:spacing w:beforeLines="0" w:afterLines="0" w:line="240" w:lineRule="auto"/>
              <w:rPr>
                <w:rFonts w:ascii="Times New Roman"/>
                <w:snapToGrid w:val="0"/>
                <w:kern w:val="21"/>
                <w:szCs w:val="21"/>
              </w:rPr>
            </w:pPr>
            <w:r>
              <w:rPr>
                <w:rFonts w:ascii="Times New Roman"/>
                <w:snapToGrid w:val="0"/>
                <w:kern w:val="21"/>
                <w:szCs w:val="21"/>
              </w:rPr>
              <w:t>TN</w:t>
            </w:r>
          </w:p>
        </w:tc>
        <w:tc>
          <w:tcPr>
            <w:tcW w:w="1559" w:type="dxa"/>
            <w:vAlign w:val="center"/>
          </w:tcPr>
          <w:p w14:paraId="736E445B">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14D11EB5">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414E9215">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1D88B741">
            <w:pPr>
              <w:pStyle w:val="39"/>
              <w:spacing w:beforeLines="0" w:afterLines="0" w:line="240" w:lineRule="auto"/>
              <w:rPr>
                <w:rFonts w:ascii="Times New Roman"/>
                <w:snapToGrid w:val="0"/>
                <w:kern w:val="21"/>
                <w:szCs w:val="21"/>
              </w:rPr>
            </w:pPr>
            <w:r>
              <w:rPr>
                <w:rFonts w:ascii="Times New Roman"/>
                <w:snapToGrid w:val="0"/>
                <w:kern w:val="21"/>
                <w:szCs w:val="21"/>
              </w:rPr>
              <w:t>0.0649</w:t>
            </w:r>
            <w:r>
              <w:rPr>
                <w:rFonts w:ascii="Times New Roman"/>
              </w:rPr>
              <w:t>t/a</w:t>
            </w:r>
          </w:p>
        </w:tc>
        <w:tc>
          <w:tcPr>
            <w:tcW w:w="1761" w:type="dxa"/>
            <w:vAlign w:val="center"/>
          </w:tcPr>
          <w:p w14:paraId="4C7A3FA5">
            <w:pPr>
              <w:pStyle w:val="39"/>
              <w:spacing w:beforeLines="0" w:afterLines="0" w:line="240" w:lineRule="auto"/>
              <w:rPr>
                <w:rFonts w:ascii="Times New Roman"/>
                <w:snapToGrid w:val="0"/>
                <w:kern w:val="21"/>
                <w:szCs w:val="21"/>
              </w:rPr>
            </w:pPr>
          </w:p>
        </w:tc>
        <w:tc>
          <w:tcPr>
            <w:tcW w:w="1959" w:type="dxa"/>
            <w:vAlign w:val="center"/>
          </w:tcPr>
          <w:p w14:paraId="7F944FC2">
            <w:pPr>
              <w:pStyle w:val="39"/>
              <w:spacing w:beforeLines="0" w:afterLines="0" w:line="240" w:lineRule="auto"/>
              <w:rPr>
                <w:rFonts w:ascii="Times New Roman"/>
                <w:snapToGrid w:val="0"/>
                <w:kern w:val="21"/>
                <w:szCs w:val="21"/>
              </w:rPr>
            </w:pPr>
            <w:r>
              <w:rPr>
                <w:rFonts w:ascii="Times New Roman"/>
                <w:snapToGrid w:val="0"/>
                <w:kern w:val="21"/>
                <w:szCs w:val="21"/>
              </w:rPr>
              <w:t>0.0378</w:t>
            </w:r>
            <w:r>
              <w:rPr>
                <w:rFonts w:ascii="Times New Roman"/>
              </w:rPr>
              <w:t>t/a</w:t>
            </w:r>
          </w:p>
        </w:tc>
        <w:tc>
          <w:tcPr>
            <w:tcW w:w="826" w:type="dxa"/>
            <w:vAlign w:val="center"/>
          </w:tcPr>
          <w:p w14:paraId="0E63C46F">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088B1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393EE5B7">
            <w:pPr>
              <w:pStyle w:val="39"/>
              <w:spacing w:beforeLines="0" w:afterLines="0" w:line="240" w:lineRule="auto"/>
              <w:rPr>
                <w:rFonts w:ascii="Times New Roman"/>
                <w:snapToGrid w:val="0"/>
                <w:kern w:val="21"/>
                <w:szCs w:val="21"/>
              </w:rPr>
            </w:pPr>
          </w:p>
        </w:tc>
        <w:tc>
          <w:tcPr>
            <w:tcW w:w="1857" w:type="dxa"/>
            <w:vAlign w:val="center"/>
          </w:tcPr>
          <w:p w14:paraId="5426C687">
            <w:pPr>
              <w:pStyle w:val="39"/>
              <w:spacing w:beforeLines="0" w:afterLines="0" w:line="240" w:lineRule="auto"/>
              <w:rPr>
                <w:rFonts w:ascii="Times New Roman"/>
                <w:snapToGrid w:val="0"/>
                <w:kern w:val="21"/>
                <w:szCs w:val="21"/>
              </w:rPr>
            </w:pPr>
            <w:r>
              <w:rPr>
                <w:rFonts w:ascii="Times New Roman"/>
                <w:snapToGrid w:val="0"/>
                <w:kern w:val="21"/>
                <w:szCs w:val="21"/>
              </w:rPr>
              <w:t>TP</w:t>
            </w:r>
          </w:p>
        </w:tc>
        <w:tc>
          <w:tcPr>
            <w:tcW w:w="1559" w:type="dxa"/>
            <w:vAlign w:val="center"/>
          </w:tcPr>
          <w:p w14:paraId="14322B7C">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2EED959D">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3A0CC7DA">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0D78C8B8">
            <w:pPr>
              <w:pStyle w:val="39"/>
              <w:spacing w:beforeLines="0" w:afterLines="0" w:line="240" w:lineRule="auto"/>
              <w:rPr>
                <w:rFonts w:ascii="Times New Roman"/>
                <w:snapToGrid w:val="0"/>
                <w:kern w:val="21"/>
                <w:szCs w:val="21"/>
              </w:rPr>
            </w:pPr>
            <w:r>
              <w:rPr>
                <w:rFonts w:ascii="Times New Roman"/>
                <w:snapToGrid w:val="0"/>
                <w:kern w:val="21"/>
                <w:szCs w:val="21"/>
              </w:rPr>
              <w:t>0.0004</w:t>
            </w:r>
            <w:r>
              <w:rPr>
                <w:rFonts w:ascii="Times New Roman"/>
              </w:rPr>
              <w:t>t/a</w:t>
            </w:r>
          </w:p>
        </w:tc>
        <w:tc>
          <w:tcPr>
            <w:tcW w:w="1761" w:type="dxa"/>
            <w:vAlign w:val="center"/>
          </w:tcPr>
          <w:p w14:paraId="62CCFCBC">
            <w:pPr>
              <w:pStyle w:val="39"/>
              <w:spacing w:beforeLines="0" w:afterLines="0" w:line="240" w:lineRule="auto"/>
              <w:rPr>
                <w:rFonts w:ascii="Times New Roman"/>
                <w:snapToGrid w:val="0"/>
                <w:kern w:val="21"/>
                <w:szCs w:val="21"/>
              </w:rPr>
            </w:pPr>
          </w:p>
        </w:tc>
        <w:tc>
          <w:tcPr>
            <w:tcW w:w="1959" w:type="dxa"/>
            <w:vAlign w:val="center"/>
          </w:tcPr>
          <w:p w14:paraId="52A956C8">
            <w:pPr>
              <w:pStyle w:val="39"/>
              <w:spacing w:beforeLines="0" w:afterLines="0" w:line="240" w:lineRule="auto"/>
              <w:rPr>
                <w:rFonts w:ascii="Times New Roman"/>
                <w:snapToGrid w:val="0"/>
                <w:kern w:val="21"/>
                <w:szCs w:val="21"/>
              </w:rPr>
            </w:pPr>
            <w:r>
              <w:rPr>
                <w:rFonts w:ascii="Times New Roman"/>
                <w:snapToGrid w:val="0"/>
                <w:kern w:val="21"/>
                <w:szCs w:val="21"/>
              </w:rPr>
              <w:t>0.0649</w:t>
            </w:r>
            <w:r>
              <w:rPr>
                <w:rFonts w:ascii="Times New Roman"/>
              </w:rPr>
              <w:t>t/a</w:t>
            </w:r>
          </w:p>
        </w:tc>
        <w:tc>
          <w:tcPr>
            <w:tcW w:w="826" w:type="dxa"/>
            <w:vAlign w:val="center"/>
          </w:tcPr>
          <w:p w14:paraId="4AA68506">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4D2E9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Align w:val="center"/>
          </w:tcPr>
          <w:p w14:paraId="1005A71E">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857" w:type="dxa"/>
            <w:vAlign w:val="center"/>
          </w:tcPr>
          <w:p w14:paraId="07D7C09C">
            <w:pPr>
              <w:jc w:val="center"/>
            </w:pPr>
            <w:r>
              <w:t>生活垃圾</w:t>
            </w:r>
          </w:p>
        </w:tc>
        <w:tc>
          <w:tcPr>
            <w:tcW w:w="1559" w:type="dxa"/>
            <w:vAlign w:val="center"/>
          </w:tcPr>
          <w:p w14:paraId="320F1770">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768E0152">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7D91FB7C">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60D02477">
            <w:pPr>
              <w:jc w:val="center"/>
            </w:pPr>
            <w:r>
              <w:t>7.75t/a</w:t>
            </w:r>
          </w:p>
        </w:tc>
        <w:tc>
          <w:tcPr>
            <w:tcW w:w="1761" w:type="dxa"/>
            <w:vAlign w:val="center"/>
          </w:tcPr>
          <w:p w14:paraId="4B4D1E83">
            <w:pPr>
              <w:pStyle w:val="39"/>
              <w:spacing w:beforeLines="0" w:afterLines="0" w:line="240" w:lineRule="auto"/>
              <w:rPr>
                <w:rFonts w:ascii="Times New Roman"/>
                <w:snapToGrid w:val="0"/>
                <w:kern w:val="21"/>
                <w:szCs w:val="21"/>
              </w:rPr>
            </w:pPr>
            <w:r>
              <w:rPr>
                <w:rFonts w:ascii="Times New Roman"/>
                <w:snapToGrid w:val="0"/>
                <w:kern w:val="21"/>
                <w:szCs w:val="21"/>
              </w:rPr>
              <w:t>/</w:t>
            </w:r>
          </w:p>
        </w:tc>
        <w:tc>
          <w:tcPr>
            <w:tcW w:w="1959" w:type="dxa"/>
            <w:vAlign w:val="center"/>
          </w:tcPr>
          <w:p w14:paraId="246211A7">
            <w:pPr>
              <w:pStyle w:val="39"/>
              <w:spacing w:beforeLines="0" w:afterLines="0" w:line="240" w:lineRule="auto"/>
              <w:rPr>
                <w:rFonts w:ascii="Times New Roman"/>
                <w:snapToGrid w:val="0"/>
                <w:kern w:val="21"/>
                <w:szCs w:val="21"/>
              </w:rPr>
            </w:pPr>
            <w:r>
              <w:rPr>
                <w:rFonts w:ascii="Times New Roman"/>
                <w:snapToGrid w:val="0"/>
                <w:kern w:val="21"/>
                <w:szCs w:val="21"/>
              </w:rPr>
              <w:t>0.0004</w:t>
            </w:r>
            <w:r>
              <w:rPr>
                <w:rFonts w:ascii="Times New Roman"/>
              </w:rPr>
              <w:t>t/a</w:t>
            </w:r>
          </w:p>
        </w:tc>
        <w:tc>
          <w:tcPr>
            <w:tcW w:w="826" w:type="dxa"/>
            <w:vAlign w:val="center"/>
          </w:tcPr>
          <w:p w14:paraId="6E64D691">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0D9EA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restart"/>
            <w:vAlign w:val="center"/>
          </w:tcPr>
          <w:p w14:paraId="745EA35E">
            <w:pPr>
              <w:pStyle w:val="39"/>
              <w:spacing w:beforeLines="0" w:afterLines="0" w:line="240" w:lineRule="auto"/>
              <w:rPr>
                <w:rFonts w:hAnsi="宋体" w:cs="宋体"/>
                <w:snapToGrid w:val="0"/>
                <w:kern w:val="21"/>
                <w:szCs w:val="21"/>
              </w:rPr>
            </w:pPr>
            <w:r>
              <w:rPr>
                <w:rFonts w:hint="eastAsia" w:hAnsi="宋体" w:cs="宋体"/>
                <w:snapToGrid w:val="0"/>
                <w:kern w:val="21"/>
                <w:szCs w:val="21"/>
              </w:rPr>
              <w:t>一般工业</w:t>
            </w:r>
          </w:p>
          <w:p w14:paraId="2A64E004">
            <w:pPr>
              <w:pStyle w:val="39"/>
              <w:spacing w:beforeLines="0" w:afterLines="0" w:line="240" w:lineRule="auto"/>
              <w:rPr>
                <w:rFonts w:hAnsi="宋体" w:cs="宋体"/>
                <w:snapToGrid w:val="0"/>
                <w:kern w:val="21"/>
                <w:szCs w:val="21"/>
              </w:rPr>
            </w:pPr>
            <w:r>
              <w:rPr>
                <w:rFonts w:hint="eastAsia" w:hAnsi="宋体" w:cs="宋体"/>
                <w:snapToGrid w:val="0"/>
                <w:kern w:val="21"/>
                <w:szCs w:val="21"/>
              </w:rPr>
              <w:t>固体废物</w:t>
            </w:r>
          </w:p>
        </w:tc>
        <w:tc>
          <w:tcPr>
            <w:tcW w:w="1857" w:type="dxa"/>
            <w:vAlign w:val="center"/>
          </w:tcPr>
          <w:p w14:paraId="522AC126">
            <w:pPr>
              <w:jc w:val="center"/>
            </w:pPr>
            <w:r>
              <w:rPr>
                <w:rFonts w:hint="eastAsia"/>
              </w:rPr>
              <w:t>废金属边角料</w:t>
            </w:r>
          </w:p>
        </w:tc>
        <w:tc>
          <w:tcPr>
            <w:tcW w:w="1559" w:type="dxa"/>
            <w:vAlign w:val="center"/>
          </w:tcPr>
          <w:p w14:paraId="54CFAE58">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081098E5">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037F3EF0">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6392322C">
            <w:pPr>
              <w:jc w:val="center"/>
            </w:pPr>
            <w:r>
              <w:rPr>
                <w:rFonts w:hint="eastAsia"/>
              </w:rPr>
              <w:t>10t/a</w:t>
            </w:r>
          </w:p>
        </w:tc>
        <w:tc>
          <w:tcPr>
            <w:tcW w:w="1761" w:type="dxa"/>
            <w:vAlign w:val="center"/>
          </w:tcPr>
          <w:p w14:paraId="6B5949DF">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6AF84347">
            <w:pPr>
              <w:jc w:val="center"/>
            </w:pPr>
            <w:r>
              <w:rPr>
                <w:rFonts w:hint="eastAsia"/>
              </w:rPr>
              <w:t>10t/a</w:t>
            </w:r>
          </w:p>
        </w:tc>
        <w:tc>
          <w:tcPr>
            <w:tcW w:w="826" w:type="dxa"/>
            <w:vAlign w:val="center"/>
          </w:tcPr>
          <w:p w14:paraId="35103436">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080BD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06427BCA">
            <w:pPr>
              <w:pStyle w:val="39"/>
              <w:spacing w:beforeLines="0" w:afterLines="0" w:line="240" w:lineRule="auto"/>
              <w:rPr>
                <w:rFonts w:hAnsi="宋体" w:cs="宋体"/>
                <w:snapToGrid w:val="0"/>
                <w:kern w:val="21"/>
                <w:szCs w:val="21"/>
              </w:rPr>
            </w:pPr>
          </w:p>
        </w:tc>
        <w:tc>
          <w:tcPr>
            <w:tcW w:w="1857" w:type="dxa"/>
            <w:vAlign w:val="center"/>
          </w:tcPr>
          <w:p w14:paraId="33CDBFA0">
            <w:pPr>
              <w:jc w:val="center"/>
            </w:pPr>
            <w:r>
              <w:rPr>
                <w:rFonts w:hint="eastAsia"/>
              </w:rPr>
              <w:t>废焊渣</w:t>
            </w:r>
          </w:p>
        </w:tc>
        <w:tc>
          <w:tcPr>
            <w:tcW w:w="1559" w:type="dxa"/>
            <w:vAlign w:val="center"/>
          </w:tcPr>
          <w:p w14:paraId="0256A229">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10FEA6C8">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4AA7FF30">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279E50B1">
            <w:pPr>
              <w:jc w:val="center"/>
            </w:pPr>
            <w:r>
              <w:rPr>
                <w:rFonts w:hint="eastAsia"/>
              </w:rPr>
              <w:t>0.071t/a</w:t>
            </w:r>
          </w:p>
        </w:tc>
        <w:tc>
          <w:tcPr>
            <w:tcW w:w="1761" w:type="dxa"/>
            <w:vAlign w:val="center"/>
          </w:tcPr>
          <w:p w14:paraId="14FE73C0">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62BF330B">
            <w:pPr>
              <w:jc w:val="center"/>
            </w:pPr>
            <w:r>
              <w:rPr>
                <w:rFonts w:hint="eastAsia"/>
              </w:rPr>
              <w:t>0.071t/a</w:t>
            </w:r>
          </w:p>
        </w:tc>
        <w:tc>
          <w:tcPr>
            <w:tcW w:w="826" w:type="dxa"/>
            <w:vAlign w:val="center"/>
          </w:tcPr>
          <w:p w14:paraId="6C9D3A33">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45111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429CB1B4">
            <w:pPr>
              <w:pStyle w:val="39"/>
              <w:spacing w:beforeLines="0" w:afterLines="0" w:line="240" w:lineRule="auto"/>
              <w:rPr>
                <w:rFonts w:hAnsi="宋体" w:cs="宋体"/>
                <w:snapToGrid w:val="0"/>
                <w:kern w:val="21"/>
                <w:szCs w:val="21"/>
              </w:rPr>
            </w:pPr>
          </w:p>
        </w:tc>
        <w:tc>
          <w:tcPr>
            <w:tcW w:w="1857" w:type="dxa"/>
            <w:vAlign w:val="center"/>
          </w:tcPr>
          <w:p w14:paraId="26CFD7C9">
            <w:pPr>
              <w:jc w:val="center"/>
            </w:pPr>
            <w:r>
              <w:rPr>
                <w:rFonts w:hint="eastAsia"/>
              </w:rPr>
              <w:t>喷粉收集的粉尘</w:t>
            </w:r>
          </w:p>
        </w:tc>
        <w:tc>
          <w:tcPr>
            <w:tcW w:w="1559" w:type="dxa"/>
            <w:vAlign w:val="center"/>
          </w:tcPr>
          <w:p w14:paraId="7E817567">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3C9C2CBA">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7E09EDF7">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3CC36F04">
            <w:pPr>
              <w:jc w:val="center"/>
            </w:pPr>
            <w:r>
              <w:rPr>
                <w:rFonts w:hint="eastAsia"/>
              </w:rPr>
              <w:t>12.1125t/a</w:t>
            </w:r>
          </w:p>
        </w:tc>
        <w:tc>
          <w:tcPr>
            <w:tcW w:w="1761" w:type="dxa"/>
            <w:vAlign w:val="center"/>
          </w:tcPr>
          <w:p w14:paraId="48069979">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5607D120">
            <w:pPr>
              <w:jc w:val="center"/>
            </w:pPr>
            <w:r>
              <w:rPr>
                <w:rFonts w:hint="eastAsia"/>
              </w:rPr>
              <w:t>12.1125t/a</w:t>
            </w:r>
          </w:p>
        </w:tc>
        <w:tc>
          <w:tcPr>
            <w:tcW w:w="826" w:type="dxa"/>
            <w:vAlign w:val="center"/>
          </w:tcPr>
          <w:p w14:paraId="5E04097D">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52980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18821ACA">
            <w:pPr>
              <w:pStyle w:val="39"/>
              <w:spacing w:beforeLines="0" w:afterLines="0" w:line="240" w:lineRule="auto"/>
              <w:rPr>
                <w:rFonts w:hAnsi="宋体" w:cs="宋体"/>
                <w:snapToGrid w:val="0"/>
                <w:kern w:val="21"/>
                <w:szCs w:val="21"/>
              </w:rPr>
            </w:pPr>
          </w:p>
        </w:tc>
        <w:tc>
          <w:tcPr>
            <w:tcW w:w="1857" w:type="dxa"/>
            <w:vAlign w:val="center"/>
          </w:tcPr>
          <w:p w14:paraId="3CF3FD64">
            <w:pPr>
              <w:jc w:val="center"/>
            </w:pPr>
            <w:r>
              <w:rPr>
                <w:rFonts w:hint="eastAsia"/>
              </w:rPr>
              <w:t>废包装材料</w:t>
            </w:r>
          </w:p>
        </w:tc>
        <w:tc>
          <w:tcPr>
            <w:tcW w:w="1559" w:type="dxa"/>
            <w:vAlign w:val="center"/>
          </w:tcPr>
          <w:p w14:paraId="30198215">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558C935A">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2713AE49">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033E8CB2">
            <w:pPr>
              <w:jc w:val="center"/>
            </w:pPr>
            <w:r>
              <w:rPr>
                <w:rFonts w:hint="eastAsia"/>
              </w:rPr>
              <w:t>0.5t/a</w:t>
            </w:r>
          </w:p>
        </w:tc>
        <w:tc>
          <w:tcPr>
            <w:tcW w:w="1761" w:type="dxa"/>
            <w:vAlign w:val="center"/>
          </w:tcPr>
          <w:p w14:paraId="7753392B">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7BE5DA3E">
            <w:pPr>
              <w:jc w:val="center"/>
            </w:pPr>
            <w:r>
              <w:rPr>
                <w:rFonts w:hint="eastAsia"/>
              </w:rPr>
              <w:t>0.5t/a</w:t>
            </w:r>
          </w:p>
        </w:tc>
        <w:tc>
          <w:tcPr>
            <w:tcW w:w="826" w:type="dxa"/>
            <w:vAlign w:val="center"/>
          </w:tcPr>
          <w:p w14:paraId="4BE4EF84">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25DE8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452897D">
            <w:pPr>
              <w:pStyle w:val="39"/>
              <w:spacing w:beforeLines="0" w:afterLines="0" w:line="240" w:lineRule="auto"/>
              <w:rPr>
                <w:rFonts w:hAnsi="宋体" w:cs="宋体"/>
                <w:snapToGrid w:val="0"/>
                <w:kern w:val="21"/>
                <w:szCs w:val="21"/>
              </w:rPr>
            </w:pPr>
          </w:p>
        </w:tc>
        <w:tc>
          <w:tcPr>
            <w:tcW w:w="1857" w:type="dxa"/>
            <w:vAlign w:val="center"/>
          </w:tcPr>
          <w:p w14:paraId="236BBDFE">
            <w:pPr>
              <w:jc w:val="center"/>
            </w:pPr>
            <w:r>
              <w:rPr>
                <w:rFonts w:hint="eastAsia"/>
              </w:rPr>
              <w:t>废水性漆桶、水性漆渣</w:t>
            </w:r>
          </w:p>
        </w:tc>
        <w:tc>
          <w:tcPr>
            <w:tcW w:w="1559" w:type="dxa"/>
            <w:vAlign w:val="center"/>
          </w:tcPr>
          <w:p w14:paraId="65D8468B">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344FCFF4">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4EF083AD">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0BA491D0">
            <w:pPr>
              <w:jc w:val="center"/>
            </w:pPr>
            <w:r>
              <w:rPr>
                <w:rFonts w:hint="eastAsia"/>
              </w:rPr>
              <w:t>0.273t/a</w:t>
            </w:r>
          </w:p>
        </w:tc>
        <w:tc>
          <w:tcPr>
            <w:tcW w:w="1761" w:type="dxa"/>
            <w:vAlign w:val="center"/>
          </w:tcPr>
          <w:p w14:paraId="5D377457">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3EF6458E">
            <w:pPr>
              <w:jc w:val="center"/>
            </w:pPr>
            <w:r>
              <w:rPr>
                <w:rFonts w:hint="eastAsia"/>
              </w:rPr>
              <w:t>0.273t/a</w:t>
            </w:r>
          </w:p>
        </w:tc>
        <w:tc>
          <w:tcPr>
            <w:tcW w:w="826" w:type="dxa"/>
            <w:vAlign w:val="center"/>
          </w:tcPr>
          <w:p w14:paraId="0C4AD7A0">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1CA60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restart"/>
            <w:vAlign w:val="center"/>
          </w:tcPr>
          <w:p w14:paraId="32F424C9">
            <w:pPr>
              <w:pStyle w:val="39"/>
              <w:spacing w:beforeLines="0" w:afterLines="0" w:line="240" w:lineRule="auto"/>
              <w:rPr>
                <w:rFonts w:hAnsi="宋体" w:cs="宋体"/>
                <w:snapToGrid w:val="0"/>
                <w:kern w:val="21"/>
                <w:szCs w:val="21"/>
              </w:rPr>
            </w:pPr>
            <w:r>
              <w:rPr>
                <w:rFonts w:hint="eastAsia" w:hAnsi="宋体" w:cs="宋体"/>
                <w:snapToGrid w:val="0"/>
                <w:kern w:val="21"/>
                <w:szCs w:val="21"/>
              </w:rPr>
              <w:t>危险废物</w:t>
            </w:r>
          </w:p>
        </w:tc>
        <w:tc>
          <w:tcPr>
            <w:tcW w:w="1857" w:type="dxa"/>
            <w:vAlign w:val="center"/>
          </w:tcPr>
          <w:p w14:paraId="10DDE79B">
            <w:pPr>
              <w:jc w:val="center"/>
            </w:pPr>
            <w:r>
              <w:rPr>
                <w:rFonts w:hint="eastAsia"/>
              </w:rPr>
              <w:t>废机油</w:t>
            </w:r>
          </w:p>
        </w:tc>
        <w:tc>
          <w:tcPr>
            <w:tcW w:w="1559" w:type="dxa"/>
            <w:vAlign w:val="center"/>
          </w:tcPr>
          <w:p w14:paraId="48F6747C">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740E5468">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06080F68">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2B7904D9">
            <w:pPr>
              <w:jc w:val="center"/>
            </w:pPr>
            <w:r>
              <w:rPr>
                <w:rFonts w:hint="eastAsia"/>
              </w:rPr>
              <w:t>0.2t/a</w:t>
            </w:r>
          </w:p>
        </w:tc>
        <w:tc>
          <w:tcPr>
            <w:tcW w:w="1761" w:type="dxa"/>
            <w:vAlign w:val="center"/>
          </w:tcPr>
          <w:p w14:paraId="2DA5542A">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2C248E20">
            <w:pPr>
              <w:jc w:val="center"/>
            </w:pPr>
            <w:r>
              <w:rPr>
                <w:rFonts w:hint="eastAsia"/>
              </w:rPr>
              <w:t>0.2t/a</w:t>
            </w:r>
          </w:p>
        </w:tc>
        <w:tc>
          <w:tcPr>
            <w:tcW w:w="826" w:type="dxa"/>
            <w:vAlign w:val="center"/>
          </w:tcPr>
          <w:p w14:paraId="698D4301">
            <w:pPr>
              <w:pStyle w:val="39"/>
              <w:spacing w:beforeLines="0" w:afterLines="0" w:line="240" w:lineRule="auto"/>
              <w:rPr>
                <w:rFonts w:ascii="Times New Roman"/>
                <w:snapToGrid w:val="0"/>
                <w:color w:val="7030A0"/>
                <w:kern w:val="21"/>
                <w:szCs w:val="21"/>
              </w:rPr>
            </w:pPr>
            <w:r>
              <w:rPr>
                <w:rFonts w:ascii="Times New Roman"/>
                <w:snapToGrid w:val="0"/>
                <w:color w:val="7030A0"/>
                <w:kern w:val="21"/>
                <w:szCs w:val="21"/>
              </w:rPr>
              <w:t>/</w:t>
            </w:r>
          </w:p>
        </w:tc>
      </w:tr>
      <w:tr w14:paraId="19285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3BCCD60E">
            <w:pPr>
              <w:pStyle w:val="39"/>
              <w:spacing w:beforeLines="0" w:afterLines="0" w:line="240" w:lineRule="auto"/>
              <w:rPr>
                <w:rFonts w:hAnsi="宋体" w:cs="宋体"/>
                <w:snapToGrid w:val="0"/>
                <w:kern w:val="21"/>
                <w:szCs w:val="21"/>
              </w:rPr>
            </w:pPr>
          </w:p>
        </w:tc>
        <w:tc>
          <w:tcPr>
            <w:tcW w:w="1857" w:type="dxa"/>
            <w:vAlign w:val="center"/>
          </w:tcPr>
          <w:p w14:paraId="54ED94A5">
            <w:pPr>
              <w:jc w:val="center"/>
            </w:pPr>
            <w:r>
              <w:rPr>
                <w:rFonts w:hint="eastAsia"/>
              </w:rPr>
              <w:t>含油手套、抹布</w:t>
            </w:r>
          </w:p>
        </w:tc>
        <w:tc>
          <w:tcPr>
            <w:tcW w:w="1559" w:type="dxa"/>
            <w:vAlign w:val="center"/>
          </w:tcPr>
          <w:p w14:paraId="16FF3DA7">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4479D94B">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252D63A4">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6F360959">
            <w:pPr>
              <w:jc w:val="center"/>
            </w:pPr>
            <w:r>
              <w:rPr>
                <w:rFonts w:hint="eastAsia"/>
              </w:rPr>
              <w:t>0.2t/a</w:t>
            </w:r>
          </w:p>
        </w:tc>
        <w:tc>
          <w:tcPr>
            <w:tcW w:w="1761" w:type="dxa"/>
            <w:vAlign w:val="center"/>
          </w:tcPr>
          <w:p w14:paraId="1C56CB52">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688F3106">
            <w:pPr>
              <w:jc w:val="center"/>
            </w:pPr>
            <w:r>
              <w:rPr>
                <w:rFonts w:hint="eastAsia"/>
              </w:rPr>
              <w:t>0.2t/a</w:t>
            </w:r>
          </w:p>
        </w:tc>
        <w:tc>
          <w:tcPr>
            <w:tcW w:w="826" w:type="dxa"/>
            <w:vAlign w:val="center"/>
          </w:tcPr>
          <w:p w14:paraId="2CEA2607">
            <w:pPr>
              <w:jc w:val="center"/>
              <w:rPr>
                <w:color w:val="7030A0"/>
              </w:rPr>
            </w:pPr>
            <w:r>
              <w:rPr>
                <w:rFonts w:hint="eastAsia"/>
                <w:color w:val="7030A0"/>
              </w:rPr>
              <w:t>/</w:t>
            </w:r>
          </w:p>
        </w:tc>
      </w:tr>
      <w:tr w14:paraId="2084A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B9510F0">
            <w:pPr>
              <w:pStyle w:val="39"/>
              <w:spacing w:beforeLines="0" w:afterLines="0" w:line="240" w:lineRule="auto"/>
              <w:rPr>
                <w:rFonts w:hAnsi="宋体" w:cs="宋体"/>
                <w:snapToGrid w:val="0"/>
                <w:kern w:val="21"/>
                <w:szCs w:val="21"/>
              </w:rPr>
            </w:pPr>
          </w:p>
        </w:tc>
        <w:tc>
          <w:tcPr>
            <w:tcW w:w="1857" w:type="dxa"/>
            <w:vAlign w:val="center"/>
          </w:tcPr>
          <w:p w14:paraId="1A4A5A7E">
            <w:pPr>
              <w:jc w:val="center"/>
            </w:pPr>
            <w:r>
              <w:rPr>
                <w:rFonts w:hint="eastAsia"/>
              </w:rPr>
              <w:t>废活性炭</w:t>
            </w:r>
          </w:p>
        </w:tc>
        <w:tc>
          <w:tcPr>
            <w:tcW w:w="1559" w:type="dxa"/>
            <w:vAlign w:val="center"/>
          </w:tcPr>
          <w:p w14:paraId="7D71AD17">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3664E16E">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231D6DE4">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24BA098A">
            <w:pPr>
              <w:jc w:val="center"/>
            </w:pPr>
            <w:r>
              <w:rPr>
                <w:rFonts w:hint="eastAsia"/>
              </w:rPr>
              <w:t>0.8t/a</w:t>
            </w:r>
          </w:p>
        </w:tc>
        <w:tc>
          <w:tcPr>
            <w:tcW w:w="1761" w:type="dxa"/>
            <w:vAlign w:val="center"/>
          </w:tcPr>
          <w:p w14:paraId="2B26C7F0">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1EC8BBED">
            <w:pPr>
              <w:jc w:val="center"/>
            </w:pPr>
            <w:r>
              <w:rPr>
                <w:rFonts w:hint="eastAsia"/>
              </w:rPr>
              <w:t>0.8t/a</w:t>
            </w:r>
          </w:p>
        </w:tc>
        <w:tc>
          <w:tcPr>
            <w:tcW w:w="826" w:type="dxa"/>
            <w:vAlign w:val="center"/>
          </w:tcPr>
          <w:p w14:paraId="3C6BFB63">
            <w:pPr>
              <w:jc w:val="center"/>
              <w:rPr>
                <w:color w:val="7030A0"/>
              </w:rPr>
            </w:pPr>
            <w:r>
              <w:rPr>
                <w:rFonts w:hint="eastAsia"/>
                <w:color w:val="7030A0"/>
              </w:rPr>
              <w:t>/</w:t>
            </w:r>
          </w:p>
        </w:tc>
      </w:tr>
      <w:tr w14:paraId="064DF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90" w:type="dxa"/>
            <w:vMerge w:val="continue"/>
            <w:vAlign w:val="center"/>
          </w:tcPr>
          <w:p w14:paraId="6746D56C">
            <w:pPr>
              <w:pStyle w:val="39"/>
              <w:spacing w:beforeLines="0" w:afterLines="0" w:line="240" w:lineRule="auto"/>
              <w:rPr>
                <w:rFonts w:hAnsi="宋体" w:cs="宋体"/>
                <w:snapToGrid w:val="0"/>
                <w:kern w:val="21"/>
                <w:szCs w:val="21"/>
              </w:rPr>
            </w:pPr>
          </w:p>
        </w:tc>
        <w:tc>
          <w:tcPr>
            <w:tcW w:w="1857" w:type="dxa"/>
            <w:vAlign w:val="center"/>
          </w:tcPr>
          <w:p w14:paraId="62035B08">
            <w:pPr>
              <w:jc w:val="center"/>
            </w:pPr>
            <w:r>
              <w:rPr>
                <w:rFonts w:hint="eastAsia"/>
              </w:rPr>
              <w:t>废过滤棉、废油桶</w:t>
            </w:r>
          </w:p>
        </w:tc>
        <w:tc>
          <w:tcPr>
            <w:tcW w:w="1559" w:type="dxa"/>
            <w:vAlign w:val="center"/>
          </w:tcPr>
          <w:p w14:paraId="33C22C58">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14:paraId="0D33D426">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14:paraId="00D99CDD">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14:paraId="3523A305">
            <w:pPr>
              <w:jc w:val="center"/>
            </w:pPr>
            <w:r>
              <w:rPr>
                <w:rFonts w:hint="eastAsia"/>
              </w:rPr>
              <w:t>0.3t/a</w:t>
            </w:r>
          </w:p>
        </w:tc>
        <w:tc>
          <w:tcPr>
            <w:tcW w:w="1761" w:type="dxa"/>
            <w:vAlign w:val="center"/>
          </w:tcPr>
          <w:p w14:paraId="3621C8F2">
            <w:pPr>
              <w:pStyle w:val="39"/>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959" w:type="dxa"/>
            <w:vAlign w:val="center"/>
          </w:tcPr>
          <w:p w14:paraId="437F3FE2">
            <w:pPr>
              <w:jc w:val="center"/>
            </w:pPr>
            <w:r>
              <w:rPr>
                <w:rFonts w:hint="eastAsia"/>
              </w:rPr>
              <w:t>0.3t/a</w:t>
            </w:r>
          </w:p>
        </w:tc>
        <w:tc>
          <w:tcPr>
            <w:tcW w:w="826" w:type="dxa"/>
            <w:vAlign w:val="center"/>
          </w:tcPr>
          <w:p w14:paraId="0B49D701">
            <w:pPr>
              <w:jc w:val="center"/>
              <w:rPr>
                <w:color w:val="7030A0"/>
              </w:rPr>
            </w:pPr>
            <w:r>
              <w:rPr>
                <w:rFonts w:hint="eastAsia"/>
                <w:color w:val="7030A0"/>
              </w:rPr>
              <w:t>/</w:t>
            </w:r>
          </w:p>
        </w:tc>
      </w:tr>
    </w:tbl>
    <w:p w14:paraId="59D44E0D">
      <w:pPr>
        <w:pStyle w:val="17"/>
        <w:widowControl w:val="0"/>
        <w:adjustRightInd w:val="0"/>
        <w:snapToGrid w:val="0"/>
        <w:spacing w:beforeLines="10" w:beforeAutospacing="0" w:afterLines="10" w:afterAutospacing="0" w:line="259" w:lineRule="auto"/>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szCs w:val="21"/>
        </w:rPr>
        <w:t>①</w:t>
      </w:r>
      <w:r>
        <w:rPr>
          <w:snapToGrid w:val="0"/>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4F8D0E4-92F2-4700-B2B7-6AD98361DA92}"/>
  </w:font>
  <w:font w:name="黑体">
    <w:panose1 w:val="02010609060101010101"/>
    <w:charset w:val="86"/>
    <w:family w:val="auto"/>
    <w:pitch w:val="default"/>
    <w:sig w:usb0="800002BF" w:usb1="38CF7CFA" w:usb2="00000016" w:usb3="00000000" w:csb0="00040001" w:csb1="00000000"/>
    <w:embedRegular r:id="rId2" w:fontKey="{859C81DB-CC0F-4884-A68D-52BF39D2FB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6B7FD3D8-05FC-4E6F-8C9B-7DDFF374ABD9}"/>
  </w:font>
  <w:font w:name="仿宋_GB2312">
    <w:panose1 w:val="02010609030101010101"/>
    <w:charset w:val="86"/>
    <w:family w:val="modern"/>
    <w:pitch w:val="default"/>
    <w:sig w:usb0="00000001" w:usb1="080E0000" w:usb2="00000000" w:usb3="00000000" w:csb0="00040000" w:csb1="00000000"/>
    <w:embedRegular r:id="rId4" w:fontKey="{AA5D12F4-6975-474F-B3D8-D121725CD1B2}"/>
  </w:font>
  <w:font w:name="方正小标宋_GBK">
    <w:panose1 w:val="03000509000000000000"/>
    <w:charset w:val="86"/>
    <w:family w:val="script"/>
    <w:pitch w:val="default"/>
    <w:sig w:usb0="00000001" w:usb1="080E0000" w:usb2="00000000" w:usb3="00000000" w:csb0="00040000" w:csb1="00000000"/>
    <w:embedRegular r:id="rId5" w:fontKey="{2DC6C937-E02A-4D3F-B8AE-9BD8577652F7}"/>
  </w:font>
  <w:font w:name="楷体_GB2312">
    <w:panose1 w:val="02010609030101010101"/>
    <w:charset w:val="86"/>
    <w:family w:val="modern"/>
    <w:pitch w:val="default"/>
    <w:sig w:usb0="00000001" w:usb1="080E0000" w:usb2="00000000" w:usb3="00000000" w:csb0="00040000" w:csb1="00000000"/>
    <w:embedRegular r:id="rId6" w:fontKey="{3B4FAB36-EA38-4DA6-8C54-32547723E9E3}"/>
  </w:font>
  <w:font w:name="华文仿宋">
    <w:panose1 w:val="02010600040101010101"/>
    <w:charset w:val="86"/>
    <w:family w:val="auto"/>
    <w:pitch w:val="default"/>
    <w:sig w:usb0="00000287" w:usb1="080F0000" w:usb2="00000000" w:usb3="00000000" w:csb0="0004009F" w:csb1="DFD70000"/>
    <w:embedRegular r:id="rId7" w:fontKey="{4050CE55-7758-4617-B63D-46500494BDF0}"/>
  </w:font>
  <w:font w:name="Wingdings 2">
    <w:panose1 w:val="05020102010507070707"/>
    <w:charset w:val="02"/>
    <w:family w:val="roman"/>
    <w:pitch w:val="default"/>
    <w:sig w:usb0="00000000" w:usb1="00000000" w:usb2="00000000" w:usb3="00000000" w:csb0="80000000" w:csb1="00000000"/>
    <w:embedRegular r:id="rId8" w:fontKey="{15D0C96D-BB62-4A9B-8331-3F10699DEA95}"/>
  </w:font>
  <w:font w:name="等线">
    <w:panose1 w:val="02010600030101010101"/>
    <w:charset w:val="86"/>
    <w:family w:val="auto"/>
    <w:pitch w:val="default"/>
    <w:sig w:usb0="A00002BF" w:usb1="38CF7CFA" w:usb2="00000016" w:usb3="00000000" w:csb0="0004000F" w:csb1="00000000"/>
    <w:embedRegular r:id="rId9" w:fontKey="{FA23DC74-5718-4C47-B941-C159116F6833}"/>
  </w:font>
  <w:font w:name="MS Mincho">
    <w:altName w:val="Yu Gothic UI"/>
    <w:panose1 w:val="02020609040205080304"/>
    <w:charset w:val="80"/>
    <w:family w:val="modern"/>
    <w:pitch w:val="default"/>
    <w:sig w:usb0="00000000" w:usb1="00000000" w:usb2="00000012" w:usb3="00000000" w:csb0="4002009F" w:csb1="DFD70000"/>
    <w:embedRegular r:id="rId10" w:fontKey="{CC1A7F97-FC1A-4D68-B867-A54BC36B8EE7}"/>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47ECB">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48BD4">
    <w:pPr>
      <w:pStyle w:val="13"/>
      <w:framePr w:wrap="around" w:vAnchor="text" w:hAnchor="margin" w:xAlign="center" w:y="1"/>
      <w:rPr>
        <w:rStyle w:val="22"/>
      </w:rPr>
    </w:pPr>
    <w:r>
      <w:fldChar w:fldCharType="begin"/>
    </w:r>
    <w:r>
      <w:rPr>
        <w:rStyle w:val="22"/>
      </w:rPr>
      <w:instrText xml:space="preserve">PAGE  </w:instrText>
    </w:r>
    <w:r>
      <w:fldChar w:fldCharType="end"/>
    </w:r>
  </w:p>
  <w:p w14:paraId="65C1A17A">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E0059">
    <w:pPr>
      <w:pStyle w:val="13"/>
      <w:jc w:val="center"/>
    </w:pPr>
    <w:r>
      <w:fldChar w:fldCharType="begin"/>
    </w:r>
    <w:r>
      <w:instrText xml:space="preserve"> PAGE   \* MERGEFORMAT </w:instrText>
    </w:r>
    <w:r>
      <w:fldChar w:fldCharType="separate"/>
    </w:r>
    <w:r>
      <w:rPr>
        <w:lang w:val="zh-CN"/>
      </w:rPr>
      <w:t>59</w:t>
    </w:r>
    <w:r>
      <w:rPr>
        <w:lang w:val="zh-CN"/>
      </w:rPr>
      <w:fldChar w:fldCharType="end"/>
    </w:r>
  </w:p>
  <w:p w14:paraId="1D0FE01B">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38A00">
    <w:pPr>
      <w:pStyle w:val="13"/>
      <w:framePr w:wrap="around" w:vAnchor="text" w:hAnchor="margin" w:xAlign="outside" w:y="1"/>
      <w:rPr>
        <w:rStyle w:val="22"/>
        <w:rFonts w:ascii="宋体" w:hAnsi="宋体"/>
        <w:sz w:val="28"/>
        <w:szCs w:val="28"/>
      </w:rPr>
    </w:pPr>
    <w:r>
      <w:rPr>
        <w:rStyle w:val="22"/>
        <w:rFonts w:hint="eastAsia" w:ascii="宋体" w:hAnsi="宋体"/>
        <w:sz w:val="28"/>
        <w:szCs w:val="28"/>
      </w:rPr>
      <w:t>—</w:t>
    </w:r>
    <w:r>
      <w:rPr>
        <w:rStyle w:val="22"/>
        <w:rFonts w:ascii="宋体" w:hAnsi="宋体"/>
        <w:sz w:val="26"/>
        <w:szCs w:val="26"/>
      </w:rPr>
      <w:fldChar w:fldCharType="begin"/>
    </w:r>
    <w:r>
      <w:rPr>
        <w:rStyle w:val="22"/>
        <w:rFonts w:ascii="宋体" w:hAnsi="宋体"/>
        <w:sz w:val="26"/>
        <w:szCs w:val="26"/>
      </w:rPr>
      <w:instrText xml:space="preserve">PAGE  </w:instrText>
    </w:r>
    <w:r>
      <w:rPr>
        <w:rStyle w:val="22"/>
        <w:rFonts w:ascii="宋体" w:hAnsi="宋体"/>
        <w:sz w:val="26"/>
        <w:szCs w:val="26"/>
      </w:rPr>
      <w:fldChar w:fldCharType="separate"/>
    </w:r>
    <w:r>
      <w:rPr>
        <w:rStyle w:val="22"/>
        <w:rFonts w:ascii="宋体" w:hAnsi="宋体"/>
        <w:sz w:val="26"/>
        <w:szCs w:val="26"/>
      </w:rPr>
      <w:t>64</w:t>
    </w:r>
    <w:r>
      <w:rPr>
        <w:rStyle w:val="22"/>
        <w:rFonts w:ascii="宋体" w:hAnsi="宋体"/>
        <w:sz w:val="26"/>
        <w:szCs w:val="26"/>
      </w:rPr>
      <w:fldChar w:fldCharType="end"/>
    </w:r>
    <w:r>
      <w:rPr>
        <w:rStyle w:val="22"/>
        <w:rFonts w:hint="eastAsia" w:ascii="宋体" w:hAnsi="宋体"/>
        <w:sz w:val="28"/>
        <w:szCs w:val="28"/>
      </w:rPr>
      <w:t>—</w:t>
    </w:r>
  </w:p>
  <w:p w14:paraId="44F9E1B4">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F1115"/>
    <w:multiLevelType w:val="multilevel"/>
    <w:tmpl w:val="1FCF1115"/>
    <w:lvl w:ilvl="0" w:tentative="0">
      <w:start w:val="1"/>
      <w:numFmt w:val="decimal"/>
      <w:pStyle w:val="47"/>
      <w:lvlText w:val="表%1"/>
      <w:lvlJc w:val="left"/>
      <w:pPr>
        <w:ind w:left="420" w:hanging="420"/>
      </w:pPr>
      <w:rPr>
        <w:rFonts w:hint="default" w:ascii="Times New Roman" w:hAnsi="Times New Roman" w:eastAsia="宋体"/>
        <w:b/>
        <w:i w:val="0"/>
        <w:color w:val="000000"/>
        <w:sz w:val="21"/>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表%7"/>
      <w:lvlJc w:val="center"/>
      <w:pPr>
        <w:ind w:left="2940" w:hanging="420"/>
      </w:pPr>
      <w:rPr>
        <w:rFonts w:hint="eastAsia"/>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8EF1528"/>
    <w:multiLevelType w:val="multilevel"/>
    <w:tmpl w:val="58EF1528"/>
    <w:lvl w:ilvl="0" w:tentative="0">
      <w:start w:val="1"/>
      <w:numFmt w:val="decimal"/>
      <w:lvlText w:val="图%1"/>
      <w:lvlJc w:val="left"/>
      <w:pPr>
        <w:ind w:left="420" w:hanging="420"/>
      </w:pPr>
      <w:rPr>
        <w:rFonts w:hint="default" w:ascii="Times New Roman" w:hAnsi="Times New Roman" w:eastAsia="宋体"/>
        <w:b/>
        <w:i w:val="0"/>
        <w:sz w:val="21"/>
        <w:szCs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attachedTemplate r:id="rId1"/>
  <w:documentProtection w:edit="trackedChanges" w:enforcement="0"/>
  <w:defaultTabStop w:val="420"/>
  <w:doNotHyphenateCaps/>
  <w:drawingGridHorizontalSpacing w:val="105"/>
  <w:drawingGridVerticalSpacing w:val="156"/>
  <w:displayHorizont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jMDA4MmZiN2E3OTE1NWVhNmFkY2NhZjE3ZDcyYjAifQ=="/>
  </w:docVars>
  <w:rsids>
    <w:rsidRoot w:val="00A14947"/>
    <w:rsid w:val="0000099F"/>
    <w:rsid w:val="00000B12"/>
    <w:rsid w:val="0000236B"/>
    <w:rsid w:val="000030A7"/>
    <w:rsid w:val="00003893"/>
    <w:rsid w:val="00004083"/>
    <w:rsid w:val="00005365"/>
    <w:rsid w:val="00005B8A"/>
    <w:rsid w:val="00006074"/>
    <w:rsid w:val="000060B3"/>
    <w:rsid w:val="00006B81"/>
    <w:rsid w:val="00006D2C"/>
    <w:rsid w:val="00010D72"/>
    <w:rsid w:val="00011298"/>
    <w:rsid w:val="0001173B"/>
    <w:rsid w:val="00011D67"/>
    <w:rsid w:val="00011FC0"/>
    <w:rsid w:val="00011FF7"/>
    <w:rsid w:val="000121A2"/>
    <w:rsid w:val="000132C2"/>
    <w:rsid w:val="000138F0"/>
    <w:rsid w:val="00013FEA"/>
    <w:rsid w:val="000145C0"/>
    <w:rsid w:val="00014AC8"/>
    <w:rsid w:val="00014CF7"/>
    <w:rsid w:val="00015090"/>
    <w:rsid w:val="000152D4"/>
    <w:rsid w:val="00015525"/>
    <w:rsid w:val="00015A0B"/>
    <w:rsid w:val="00015D2B"/>
    <w:rsid w:val="00016601"/>
    <w:rsid w:val="00016C4F"/>
    <w:rsid w:val="00016EC3"/>
    <w:rsid w:val="00017002"/>
    <w:rsid w:val="000204FD"/>
    <w:rsid w:val="00020A96"/>
    <w:rsid w:val="00020AE8"/>
    <w:rsid w:val="00020D6B"/>
    <w:rsid w:val="00020E02"/>
    <w:rsid w:val="00020E7B"/>
    <w:rsid w:val="00021AE7"/>
    <w:rsid w:val="00021D7D"/>
    <w:rsid w:val="00021FC7"/>
    <w:rsid w:val="000220C0"/>
    <w:rsid w:val="00022A78"/>
    <w:rsid w:val="00022ADD"/>
    <w:rsid w:val="000231D8"/>
    <w:rsid w:val="0002330D"/>
    <w:rsid w:val="000233AE"/>
    <w:rsid w:val="000233BD"/>
    <w:rsid w:val="0002395E"/>
    <w:rsid w:val="00023B76"/>
    <w:rsid w:val="00023E7E"/>
    <w:rsid w:val="00024F30"/>
    <w:rsid w:val="00024FE8"/>
    <w:rsid w:val="00025091"/>
    <w:rsid w:val="00025953"/>
    <w:rsid w:val="00025ECE"/>
    <w:rsid w:val="000264BD"/>
    <w:rsid w:val="00026603"/>
    <w:rsid w:val="00026C87"/>
    <w:rsid w:val="0002713E"/>
    <w:rsid w:val="000273C3"/>
    <w:rsid w:val="000302BC"/>
    <w:rsid w:val="00030E1C"/>
    <w:rsid w:val="00031312"/>
    <w:rsid w:val="00031E79"/>
    <w:rsid w:val="00031E84"/>
    <w:rsid w:val="000323F2"/>
    <w:rsid w:val="000330F6"/>
    <w:rsid w:val="00033233"/>
    <w:rsid w:val="00033327"/>
    <w:rsid w:val="000349E3"/>
    <w:rsid w:val="00035567"/>
    <w:rsid w:val="00035727"/>
    <w:rsid w:val="00035869"/>
    <w:rsid w:val="00035B01"/>
    <w:rsid w:val="00035EE4"/>
    <w:rsid w:val="0003746A"/>
    <w:rsid w:val="0003754D"/>
    <w:rsid w:val="000378B6"/>
    <w:rsid w:val="00037A3F"/>
    <w:rsid w:val="00037CD5"/>
    <w:rsid w:val="000400B9"/>
    <w:rsid w:val="000402F3"/>
    <w:rsid w:val="00040589"/>
    <w:rsid w:val="00040789"/>
    <w:rsid w:val="00040F8C"/>
    <w:rsid w:val="00040FAF"/>
    <w:rsid w:val="000422CC"/>
    <w:rsid w:val="0004364B"/>
    <w:rsid w:val="00043820"/>
    <w:rsid w:val="00043E1A"/>
    <w:rsid w:val="000447D5"/>
    <w:rsid w:val="000456C8"/>
    <w:rsid w:val="0004592A"/>
    <w:rsid w:val="00046C06"/>
    <w:rsid w:val="00046D82"/>
    <w:rsid w:val="000470C6"/>
    <w:rsid w:val="00047DA8"/>
    <w:rsid w:val="00050A82"/>
    <w:rsid w:val="00050A83"/>
    <w:rsid w:val="000512A3"/>
    <w:rsid w:val="00051461"/>
    <w:rsid w:val="0005155B"/>
    <w:rsid w:val="000515A4"/>
    <w:rsid w:val="0005168C"/>
    <w:rsid w:val="00051AB3"/>
    <w:rsid w:val="00051B55"/>
    <w:rsid w:val="00051CC8"/>
    <w:rsid w:val="00052915"/>
    <w:rsid w:val="00052B29"/>
    <w:rsid w:val="00052E5E"/>
    <w:rsid w:val="00053064"/>
    <w:rsid w:val="00053E25"/>
    <w:rsid w:val="000544E5"/>
    <w:rsid w:val="00054810"/>
    <w:rsid w:val="0005545D"/>
    <w:rsid w:val="00055DCF"/>
    <w:rsid w:val="000560E7"/>
    <w:rsid w:val="00056454"/>
    <w:rsid w:val="0005672A"/>
    <w:rsid w:val="00057805"/>
    <w:rsid w:val="00057F9B"/>
    <w:rsid w:val="00057FBF"/>
    <w:rsid w:val="000602CF"/>
    <w:rsid w:val="000612F8"/>
    <w:rsid w:val="00061854"/>
    <w:rsid w:val="000619D6"/>
    <w:rsid w:val="00061B1F"/>
    <w:rsid w:val="000620B6"/>
    <w:rsid w:val="00062666"/>
    <w:rsid w:val="0006292B"/>
    <w:rsid w:val="00062951"/>
    <w:rsid w:val="00064F0A"/>
    <w:rsid w:val="00065543"/>
    <w:rsid w:val="00065C39"/>
    <w:rsid w:val="00066D33"/>
    <w:rsid w:val="00066E24"/>
    <w:rsid w:val="000670DE"/>
    <w:rsid w:val="000677C1"/>
    <w:rsid w:val="000679CE"/>
    <w:rsid w:val="00067D1D"/>
    <w:rsid w:val="00067F06"/>
    <w:rsid w:val="0007010C"/>
    <w:rsid w:val="0007047A"/>
    <w:rsid w:val="00070F21"/>
    <w:rsid w:val="000714BF"/>
    <w:rsid w:val="00071CC1"/>
    <w:rsid w:val="00072113"/>
    <w:rsid w:val="00072715"/>
    <w:rsid w:val="00072C00"/>
    <w:rsid w:val="000733C4"/>
    <w:rsid w:val="00073590"/>
    <w:rsid w:val="0007445A"/>
    <w:rsid w:val="00074783"/>
    <w:rsid w:val="0007575B"/>
    <w:rsid w:val="00075DF0"/>
    <w:rsid w:val="00076858"/>
    <w:rsid w:val="00076DD9"/>
    <w:rsid w:val="00076F24"/>
    <w:rsid w:val="0007727A"/>
    <w:rsid w:val="00077A70"/>
    <w:rsid w:val="000806B1"/>
    <w:rsid w:val="0008070B"/>
    <w:rsid w:val="000810AC"/>
    <w:rsid w:val="00081288"/>
    <w:rsid w:val="0008170B"/>
    <w:rsid w:val="000819BB"/>
    <w:rsid w:val="00081A02"/>
    <w:rsid w:val="00081EC9"/>
    <w:rsid w:val="00082231"/>
    <w:rsid w:val="000826A8"/>
    <w:rsid w:val="00082704"/>
    <w:rsid w:val="000830EC"/>
    <w:rsid w:val="00083467"/>
    <w:rsid w:val="00083AD1"/>
    <w:rsid w:val="00083EE3"/>
    <w:rsid w:val="00085C64"/>
    <w:rsid w:val="00085D40"/>
    <w:rsid w:val="000861CC"/>
    <w:rsid w:val="000861D7"/>
    <w:rsid w:val="000864A5"/>
    <w:rsid w:val="00086A5E"/>
    <w:rsid w:val="00086B99"/>
    <w:rsid w:val="00087F4B"/>
    <w:rsid w:val="00090153"/>
    <w:rsid w:val="000908A1"/>
    <w:rsid w:val="00090938"/>
    <w:rsid w:val="00091641"/>
    <w:rsid w:val="000916E6"/>
    <w:rsid w:val="00091DF5"/>
    <w:rsid w:val="00092AF7"/>
    <w:rsid w:val="00092D38"/>
    <w:rsid w:val="0009315D"/>
    <w:rsid w:val="0009377B"/>
    <w:rsid w:val="00093E84"/>
    <w:rsid w:val="0009456E"/>
    <w:rsid w:val="00094871"/>
    <w:rsid w:val="000951F9"/>
    <w:rsid w:val="00095647"/>
    <w:rsid w:val="00096124"/>
    <w:rsid w:val="000967D9"/>
    <w:rsid w:val="00096C9F"/>
    <w:rsid w:val="00097629"/>
    <w:rsid w:val="000978A6"/>
    <w:rsid w:val="00097F07"/>
    <w:rsid w:val="00097FF5"/>
    <w:rsid w:val="000A03AA"/>
    <w:rsid w:val="000A0A51"/>
    <w:rsid w:val="000A19CC"/>
    <w:rsid w:val="000A19D3"/>
    <w:rsid w:val="000A1DA0"/>
    <w:rsid w:val="000A1E48"/>
    <w:rsid w:val="000A20C9"/>
    <w:rsid w:val="000A29FF"/>
    <w:rsid w:val="000A2F96"/>
    <w:rsid w:val="000A348E"/>
    <w:rsid w:val="000A37C5"/>
    <w:rsid w:val="000A38D4"/>
    <w:rsid w:val="000A3FA3"/>
    <w:rsid w:val="000A3FEF"/>
    <w:rsid w:val="000A4433"/>
    <w:rsid w:val="000A4B53"/>
    <w:rsid w:val="000A4DA6"/>
    <w:rsid w:val="000A651D"/>
    <w:rsid w:val="000A671E"/>
    <w:rsid w:val="000A7A7C"/>
    <w:rsid w:val="000A7C1D"/>
    <w:rsid w:val="000B02EF"/>
    <w:rsid w:val="000B058F"/>
    <w:rsid w:val="000B1242"/>
    <w:rsid w:val="000B187E"/>
    <w:rsid w:val="000B1C4A"/>
    <w:rsid w:val="000B29DE"/>
    <w:rsid w:val="000B368C"/>
    <w:rsid w:val="000B3744"/>
    <w:rsid w:val="000B3AAF"/>
    <w:rsid w:val="000B3C28"/>
    <w:rsid w:val="000B3E08"/>
    <w:rsid w:val="000B415C"/>
    <w:rsid w:val="000B41B5"/>
    <w:rsid w:val="000B4467"/>
    <w:rsid w:val="000B4DB9"/>
    <w:rsid w:val="000B4E1D"/>
    <w:rsid w:val="000B5129"/>
    <w:rsid w:val="000B5438"/>
    <w:rsid w:val="000B55F3"/>
    <w:rsid w:val="000B6667"/>
    <w:rsid w:val="000B6EAB"/>
    <w:rsid w:val="000B7185"/>
    <w:rsid w:val="000B7186"/>
    <w:rsid w:val="000B73F9"/>
    <w:rsid w:val="000B79AB"/>
    <w:rsid w:val="000C09AC"/>
    <w:rsid w:val="000C114F"/>
    <w:rsid w:val="000C141B"/>
    <w:rsid w:val="000C149D"/>
    <w:rsid w:val="000C18FA"/>
    <w:rsid w:val="000C28EF"/>
    <w:rsid w:val="000C3DEF"/>
    <w:rsid w:val="000C428C"/>
    <w:rsid w:val="000C5078"/>
    <w:rsid w:val="000C5192"/>
    <w:rsid w:val="000C559E"/>
    <w:rsid w:val="000C574D"/>
    <w:rsid w:val="000C5A68"/>
    <w:rsid w:val="000C663A"/>
    <w:rsid w:val="000C6E81"/>
    <w:rsid w:val="000C7251"/>
    <w:rsid w:val="000C74E0"/>
    <w:rsid w:val="000C74FD"/>
    <w:rsid w:val="000C75CA"/>
    <w:rsid w:val="000C767F"/>
    <w:rsid w:val="000C76D4"/>
    <w:rsid w:val="000C7A1A"/>
    <w:rsid w:val="000D00B4"/>
    <w:rsid w:val="000D032E"/>
    <w:rsid w:val="000D03CC"/>
    <w:rsid w:val="000D0B0B"/>
    <w:rsid w:val="000D14CB"/>
    <w:rsid w:val="000D169E"/>
    <w:rsid w:val="000D1A6D"/>
    <w:rsid w:val="000D1AF6"/>
    <w:rsid w:val="000D25A7"/>
    <w:rsid w:val="000D28A3"/>
    <w:rsid w:val="000D3741"/>
    <w:rsid w:val="000D3DB1"/>
    <w:rsid w:val="000D4B87"/>
    <w:rsid w:val="000D5411"/>
    <w:rsid w:val="000D571C"/>
    <w:rsid w:val="000D57FB"/>
    <w:rsid w:val="000D5A44"/>
    <w:rsid w:val="000D5C38"/>
    <w:rsid w:val="000D5C86"/>
    <w:rsid w:val="000D6A2E"/>
    <w:rsid w:val="000D6BB1"/>
    <w:rsid w:val="000D6D6D"/>
    <w:rsid w:val="000E006F"/>
    <w:rsid w:val="000E0446"/>
    <w:rsid w:val="000E1FE0"/>
    <w:rsid w:val="000E21FF"/>
    <w:rsid w:val="000E28C3"/>
    <w:rsid w:val="000E30A3"/>
    <w:rsid w:val="000E3ED2"/>
    <w:rsid w:val="000E4050"/>
    <w:rsid w:val="000E4200"/>
    <w:rsid w:val="000E4220"/>
    <w:rsid w:val="000E4C2C"/>
    <w:rsid w:val="000E6028"/>
    <w:rsid w:val="000E6293"/>
    <w:rsid w:val="000E64E0"/>
    <w:rsid w:val="000F01DE"/>
    <w:rsid w:val="000F0B3C"/>
    <w:rsid w:val="000F1028"/>
    <w:rsid w:val="000F20A9"/>
    <w:rsid w:val="000F20D6"/>
    <w:rsid w:val="000F2AF4"/>
    <w:rsid w:val="000F2E23"/>
    <w:rsid w:val="000F3B2B"/>
    <w:rsid w:val="000F40BD"/>
    <w:rsid w:val="000F4186"/>
    <w:rsid w:val="000F4B3B"/>
    <w:rsid w:val="000F5ECA"/>
    <w:rsid w:val="000F62CB"/>
    <w:rsid w:val="000F676C"/>
    <w:rsid w:val="000F693F"/>
    <w:rsid w:val="000F6F99"/>
    <w:rsid w:val="000F7993"/>
    <w:rsid w:val="000F7DEC"/>
    <w:rsid w:val="000F7F30"/>
    <w:rsid w:val="001005DB"/>
    <w:rsid w:val="001009CB"/>
    <w:rsid w:val="00100D08"/>
    <w:rsid w:val="00100DE4"/>
    <w:rsid w:val="0010120B"/>
    <w:rsid w:val="00101868"/>
    <w:rsid w:val="00101A50"/>
    <w:rsid w:val="00102747"/>
    <w:rsid w:val="00102C71"/>
    <w:rsid w:val="00102CBC"/>
    <w:rsid w:val="0010407A"/>
    <w:rsid w:val="001043E5"/>
    <w:rsid w:val="00104A86"/>
    <w:rsid w:val="0010538A"/>
    <w:rsid w:val="001053FE"/>
    <w:rsid w:val="00105600"/>
    <w:rsid w:val="0010560F"/>
    <w:rsid w:val="00106C4B"/>
    <w:rsid w:val="00107344"/>
    <w:rsid w:val="00107354"/>
    <w:rsid w:val="00107AEA"/>
    <w:rsid w:val="00110467"/>
    <w:rsid w:val="001114F6"/>
    <w:rsid w:val="001117ED"/>
    <w:rsid w:val="0011188F"/>
    <w:rsid w:val="00111C27"/>
    <w:rsid w:val="00111EC8"/>
    <w:rsid w:val="00112035"/>
    <w:rsid w:val="00112410"/>
    <w:rsid w:val="00112746"/>
    <w:rsid w:val="0011276D"/>
    <w:rsid w:val="00112C28"/>
    <w:rsid w:val="00113727"/>
    <w:rsid w:val="00113A00"/>
    <w:rsid w:val="00113FB1"/>
    <w:rsid w:val="001145A3"/>
    <w:rsid w:val="001145ED"/>
    <w:rsid w:val="00114C0C"/>
    <w:rsid w:val="00114FFF"/>
    <w:rsid w:val="0011543A"/>
    <w:rsid w:val="00115AC5"/>
    <w:rsid w:val="00115CE4"/>
    <w:rsid w:val="00115E3E"/>
    <w:rsid w:val="00116028"/>
    <w:rsid w:val="001161D9"/>
    <w:rsid w:val="00116B32"/>
    <w:rsid w:val="00116DA8"/>
    <w:rsid w:val="0011721F"/>
    <w:rsid w:val="00117891"/>
    <w:rsid w:val="001179F0"/>
    <w:rsid w:val="0012009A"/>
    <w:rsid w:val="0012023A"/>
    <w:rsid w:val="001204FB"/>
    <w:rsid w:val="00120CFD"/>
    <w:rsid w:val="00120D66"/>
    <w:rsid w:val="00120E30"/>
    <w:rsid w:val="0012314F"/>
    <w:rsid w:val="0012327F"/>
    <w:rsid w:val="00123769"/>
    <w:rsid w:val="00123BE3"/>
    <w:rsid w:val="00123F8F"/>
    <w:rsid w:val="001242D9"/>
    <w:rsid w:val="00124C16"/>
    <w:rsid w:val="001258C0"/>
    <w:rsid w:val="00125ED8"/>
    <w:rsid w:val="00125EDA"/>
    <w:rsid w:val="00126826"/>
    <w:rsid w:val="00126DAF"/>
    <w:rsid w:val="001270D9"/>
    <w:rsid w:val="0012768F"/>
    <w:rsid w:val="0012772E"/>
    <w:rsid w:val="001278F5"/>
    <w:rsid w:val="00127ADE"/>
    <w:rsid w:val="00127DD6"/>
    <w:rsid w:val="0013013B"/>
    <w:rsid w:val="00130420"/>
    <w:rsid w:val="00130E01"/>
    <w:rsid w:val="0013102B"/>
    <w:rsid w:val="001313E7"/>
    <w:rsid w:val="001313FE"/>
    <w:rsid w:val="00131F42"/>
    <w:rsid w:val="00132177"/>
    <w:rsid w:val="0013249F"/>
    <w:rsid w:val="0013286B"/>
    <w:rsid w:val="00132A2A"/>
    <w:rsid w:val="001330C7"/>
    <w:rsid w:val="00133390"/>
    <w:rsid w:val="00133562"/>
    <w:rsid w:val="001337A2"/>
    <w:rsid w:val="001338C5"/>
    <w:rsid w:val="001346E3"/>
    <w:rsid w:val="001348B0"/>
    <w:rsid w:val="0013493D"/>
    <w:rsid w:val="00135153"/>
    <w:rsid w:val="0013540B"/>
    <w:rsid w:val="001357F1"/>
    <w:rsid w:val="00135B69"/>
    <w:rsid w:val="00135BB5"/>
    <w:rsid w:val="00135E4D"/>
    <w:rsid w:val="00135F53"/>
    <w:rsid w:val="001363A5"/>
    <w:rsid w:val="00136D89"/>
    <w:rsid w:val="001372C7"/>
    <w:rsid w:val="001376E3"/>
    <w:rsid w:val="00137D21"/>
    <w:rsid w:val="00137FD6"/>
    <w:rsid w:val="00140FA8"/>
    <w:rsid w:val="001413E4"/>
    <w:rsid w:val="00141413"/>
    <w:rsid w:val="0014180F"/>
    <w:rsid w:val="00141F9D"/>
    <w:rsid w:val="00142085"/>
    <w:rsid w:val="00142FEB"/>
    <w:rsid w:val="00143117"/>
    <w:rsid w:val="001431A0"/>
    <w:rsid w:val="001432A6"/>
    <w:rsid w:val="0014379C"/>
    <w:rsid w:val="00143844"/>
    <w:rsid w:val="001439F4"/>
    <w:rsid w:val="00143A2D"/>
    <w:rsid w:val="00143A5A"/>
    <w:rsid w:val="00143B0D"/>
    <w:rsid w:val="00143BB5"/>
    <w:rsid w:val="00143C96"/>
    <w:rsid w:val="001443F7"/>
    <w:rsid w:val="00144BED"/>
    <w:rsid w:val="00144D43"/>
    <w:rsid w:val="0014506C"/>
    <w:rsid w:val="00145271"/>
    <w:rsid w:val="00145869"/>
    <w:rsid w:val="0014589B"/>
    <w:rsid w:val="00145A41"/>
    <w:rsid w:val="00145ACF"/>
    <w:rsid w:val="00146C92"/>
    <w:rsid w:val="00147E0A"/>
    <w:rsid w:val="0015048E"/>
    <w:rsid w:val="00151675"/>
    <w:rsid w:val="00151B8F"/>
    <w:rsid w:val="0015269A"/>
    <w:rsid w:val="0015366D"/>
    <w:rsid w:val="00153BFE"/>
    <w:rsid w:val="001548EF"/>
    <w:rsid w:val="0015496F"/>
    <w:rsid w:val="00154B52"/>
    <w:rsid w:val="00154E35"/>
    <w:rsid w:val="0015501B"/>
    <w:rsid w:val="001553A9"/>
    <w:rsid w:val="00155B36"/>
    <w:rsid w:val="00155B4B"/>
    <w:rsid w:val="00155D2A"/>
    <w:rsid w:val="001563ED"/>
    <w:rsid w:val="00156AA9"/>
    <w:rsid w:val="00157435"/>
    <w:rsid w:val="00157C1A"/>
    <w:rsid w:val="001601A9"/>
    <w:rsid w:val="00160694"/>
    <w:rsid w:val="00160A8C"/>
    <w:rsid w:val="00160BBE"/>
    <w:rsid w:val="00160D40"/>
    <w:rsid w:val="00160E19"/>
    <w:rsid w:val="0016112B"/>
    <w:rsid w:val="00161167"/>
    <w:rsid w:val="00161E30"/>
    <w:rsid w:val="001621E2"/>
    <w:rsid w:val="00162619"/>
    <w:rsid w:val="00162CF7"/>
    <w:rsid w:val="001632F0"/>
    <w:rsid w:val="00163373"/>
    <w:rsid w:val="00163605"/>
    <w:rsid w:val="0016373F"/>
    <w:rsid w:val="00163A2B"/>
    <w:rsid w:val="00163AF8"/>
    <w:rsid w:val="00164256"/>
    <w:rsid w:val="00164B4C"/>
    <w:rsid w:val="001653E6"/>
    <w:rsid w:val="00165525"/>
    <w:rsid w:val="00166B28"/>
    <w:rsid w:val="00170291"/>
    <w:rsid w:val="00170858"/>
    <w:rsid w:val="00170D2A"/>
    <w:rsid w:val="00171E49"/>
    <w:rsid w:val="00172400"/>
    <w:rsid w:val="00172774"/>
    <w:rsid w:val="00172E46"/>
    <w:rsid w:val="001738B7"/>
    <w:rsid w:val="001739C5"/>
    <w:rsid w:val="00173B4E"/>
    <w:rsid w:val="001749B6"/>
    <w:rsid w:val="00174AE4"/>
    <w:rsid w:val="00174B5C"/>
    <w:rsid w:val="00174D8D"/>
    <w:rsid w:val="0017504D"/>
    <w:rsid w:val="00175A69"/>
    <w:rsid w:val="00175D33"/>
    <w:rsid w:val="0017671A"/>
    <w:rsid w:val="00177422"/>
    <w:rsid w:val="0017767B"/>
    <w:rsid w:val="00177775"/>
    <w:rsid w:val="0018036F"/>
    <w:rsid w:val="00180D96"/>
    <w:rsid w:val="0018129C"/>
    <w:rsid w:val="00181EF0"/>
    <w:rsid w:val="00183237"/>
    <w:rsid w:val="00183289"/>
    <w:rsid w:val="00183366"/>
    <w:rsid w:val="00183462"/>
    <w:rsid w:val="00183A00"/>
    <w:rsid w:val="00183BA7"/>
    <w:rsid w:val="00184061"/>
    <w:rsid w:val="001840C4"/>
    <w:rsid w:val="0018431A"/>
    <w:rsid w:val="00184590"/>
    <w:rsid w:val="001847E4"/>
    <w:rsid w:val="00184E82"/>
    <w:rsid w:val="00185009"/>
    <w:rsid w:val="001850A3"/>
    <w:rsid w:val="001858AD"/>
    <w:rsid w:val="00186423"/>
    <w:rsid w:val="001870BD"/>
    <w:rsid w:val="001870D1"/>
    <w:rsid w:val="001873E4"/>
    <w:rsid w:val="0018781E"/>
    <w:rsid w:val="00190070"/>
    <w:rsid w:val="001900B5"/>
    <w:rsid w:val="0019077D"/>
    <w:rsid w:val="00190EE3"/>
    <w:rsid w:val="00190F10"/>
    <w:rsid w:val="00191226"/>
    <w:rsid w:val="0019129D"/>
    <w:rsid w:val="001913EA"/>
    <w:rsid w:val="001914E7"/>
    <w:rsid w:val="001914EA"/>
    <w:rsid w:val="00191FE8"/>
    <w:rsid w:val="001924A1"/>
    <w:rsid w:val="0019262D"/>
    <w:rsid w:val="00193504"/>
    <w:rsid w:val="00193650"/>
    <w:rsid w:val="00193A26"/>
    <w:rsid w:val="00193C37"/>
    <w:rsid w:val="00193E4E"/>
    <w:rsid w:val="00194021"/>
    <w:rsid w:val="001941C5"/>
    <w:rsid w:val="00194841"/>
    <w:rsid w:val="00194D72"/>
    <w:rsid w:val="0019581D"/>
    <w:rsid w:val="001963F3"/>
    <w:rsid w:val="00196663"/>
    <w:rsid w:val="0019689B"/>
    <w:rsid w:val="00196E95"/>
    <w:rsid w:val="00197E5A"/>
    <w:rsid w:val="001A00E9"/>
    <w:rsid w:val="001A011B"/>
    <w:rsid w:val="001A07E5"/>
    <w:rsid w:val="001A0BDE"/>
    <w:rsid w:val="001A1519"/>
    <w:rsid w:val="001A17CA"/>
    <w:rsid w:val="001A1B35"/>
    <w:rsid w:val="001A1F2B"/>
    <w:rsid w:val="001A1F44"/>
    <w:rsid w:val="001A2253"/>
    <w:rsid w:val="001A32E2"/>
    <w:rsid w:val="001A334A"/>
    <w:rsid w:val="001A3457"/>
    <w:rsid w:val="001A351B"/>
    <w:rsid w:val="001A377C"/>
    <w:rsid w:val="001A48A2"/>
    <w:rsid w:val="001A54FA"/>
    <w:rsid w:val="001A56BA"/>
    <w:rsid w:val="001A5748"/>
    <w:rsid w:val="001A5999"/>
    <w:rsid w:val="001A5CDB"/>
    <w:rsid w:val="001A6AA0"/>
    <w:rsid w:val="001A6C1C"/>
    <w:rsid w:val="001A6C9A"/>
    <w:rsid w:val="001A6CA3"/>
    <w:rsid w:val="001A6D13"/>
    <w:rsid w:val="001A6F61"/>
    <w:rsid w:val="001A745A"/>
    <w:rsid w:val="001A7F44"/>
    <w:rsid w:val="001B10AD"/>
    <w:rsid w:val="001B199A"/>
    <w:rsid w:val="001B1E8C"/>
    <w:rsid w:val="001B1FEE"/>
    <w:rsid w:val="001B2028"/>
    <w:rsid w:val="001B248F"/>
    <w:rsid w:val="001B25A4"/>
    <w:rsid w:val="001B2C40"/>
    <w:rsid w:val="001B2D67"/>
    <w:rsid w:val="001B2F0A"/>
    <w:rsid w:val="001B3075"/>
    <w:rsid w:val="001B3695"/>
    <w:rsid w:val="001B393A"/>
    <w:rsid w:val="001B39A1"/>
    <w:rsid w:val="001B3F53"/>
    <w:rsid w:val="001B3F65"/>
    <w:rsid w:val="001B4009"/>
    <w:rsid w:val="001B4352"/>
    <w:rsid w:val="001B649D"/>
    <w:rsid w:val="001B6786"/>
    <w:rsid w:val="001B69C2"/>
    <w:rsid w:val="001B6FA8"/>
    <w:rsid w:val="001B72B8"/>
    <w:rsid w:val="001B7BCB"/>
    <w:rsid w:val="001C0108"/>
    <w:rsid w:val="001C0A55"/>
    <w:rsid w:val="001C19DE"/>
    <w:rsid w:val="001C1B30"/>
    <w:rsid w:val="001C2162"/>
    <w:rsid w:val="001C2212"/>
    <w:rsid w:val="001C2C15"/>
    <w:rsid w:val="001C2F69"/>
    <w:rsid w:val="001C3200"/>
    <w:rsid w:val="001C3223"/>
    <w:rsid w:val="001C336E"/>
    <w:rsid w:val="001C34F1"/>
    <w:rsid w:val="001C3AF5"/>
    <w:rsid w:val="001C3B7C"/>
    <w:rsid w:val="001C4395"/>
    <w:rsid w:val="001C540C"/>
    <w:rsid w:val="001C575D"/>
    <w:rsid w:val="001C5C96"/>
    <w:rsid w:val="001C5CA1"/>
    <w:rsid w:val="001C69B3"/>
    <w:rsid w:val="001C6B02"/>
    <w:rsid w:val="001C6B5B"/>
    <w:rsid w:val="001C6FEB"/>
    <w:rsid w:val="001C7687"/>
    <w:rsid w:val="001C78EA"/>
    <w:rsid w:val="001C7FDB"/>
    <w:rsid w:val="001D07AB"/>
    <w:rsid w:val="001D0ADB"/>
    <w:rsid w:val="001D1211"/>
    <w:rsid w:val="001D1716"/>
    <w:rsid w:val="001D177D"/>
    <w:rsid w:val="001D1B3B"/>
    <w:rsid w:val="001D2B8A"/>
    <w:rsid w:val="001D2D5A"/>
    <w:rsid w:val="001D2F65"/>
    <w:rsid w:val="001D3C70"/>
    <w:rsid w:val="001D3CF6"/>
    <w:rsid w:val="001D3DAD"/>
    <w:rsid w:val="001D406C"/>
    <w:rsid w:val="001D40CD"/>
    <w:rsid w:val="001D42FD"/>
    <w:rsid w:val="001D5314"/>
    <w:rsid w:val="001D5595"/>
    <w:rsid w:val="001D58EE"/>
    <w:rsid w:val="001D5F95"/>
    <w:rsid w:val="001D6060"/>
    <w:rsid w:val="001D6070"/>
    <w:rsid w:val="001D64D5"/>
    <w:rsid w:val="001D650C"/>
    <w:rsid w:val="001D6E35"/>
    <w:rsid w:val="001D7588"/>
    <w:rsid w:val="001D7874"/>
    <w:rsid w:val="001D7D39"/>
    <w:rsid w:val="001D7F22"/>
    <w:rsid w:val="001E03D5"/>
    <w:rsid w:val="001E16D3"/>
    <w:rsid w:val="001E248B"/>
    <w:rsid w:val="001E2C68"/>
    <w:rsid w:val="001E3D43"/>
    <w:rsid w:val="001E4AD1"/>
    <w:rsid w:val="001E4D2C"/>
    <w:rsid w:val="001E56B5"/>
    <w:rsid w:val="001E5A2A"/>
    <w:rsid w:val="001E5E84"/>
    <w:rsid w:val="001E68A3"/>
    <w:rsid w:val="001E6FED"/>
    <w:rsid w:val="001E704B"/>
    <w:rsid w:val="001E7095"/>
    <w:rsid w:val="001E737C"/>
    <w:rsid w:val="001E7446"/>
    <w:rsid w:val="001F0301"/>
    <w:rsid w:val="001F0346"/>
    <w:rsid w:val="001F0BAB"/>
    <w:rsid w:val="001F0F17"/>
    <w:rsid w:val="001F0F57"/>
    <w:rsid w:val="001F1329"/>
    <w:rsid w:val="001F26AD"/>
    <w:rsid w:val="001F2913"/>
    <w:rsid w:val="001F3347"/>
    <w:rsid w:val="001F3392"/>
    <w:rsid w:val="001F431A"/>
    <w:rsid w:val="001F46ED"/>
    <w:rsid w:val="001F52CE"/>
    <w:rsid w:val="001F53BD"/>
    <w:rsid w:val="001F675E"/>
    <w:rsid w:val="001F69E4"/>
    <w:rsid w:val="001F7159"/>
    <w:rsid w:val="001F7499"/>
    <w:rsid w:val="001F75CC"/>
    <w:rsid w:val="00200057"/>
    <w:rsid w:val="002001FE"/>
    <w:rsid w:val="00200721"/>
    <w:rsid w:val="00201987"/>
    <w:rsid w:val="0020199A"/>
    <w:rsid w:val="00201EE2"/>
    <w:rsid w:val="00203882"/>
    <w:rsid w:val="0020433A"/>
    <w:rsid w:val="002044C6"/>
    <w:rsid w:val="0020469D"/>
    <w:rsid w:val="00204CB1"/>
    <w:rsid w:val="00204D29"/>
    <w:rsid w:val="00204DAE"/>
    <w:rsid w:val="0020522C"/>
    <w:rsid w:val="00206057"/>
    <w:rsid w:val="0020630F"/>
    <w:rsid w:val="00206446"/>
    <w:rsid w:val="00206F18"/>
    <w:rsid w:val="00207D69"/>
    <w:rsid w:val="0021082A"/>
    <w:rsid w:val="00210DB5"/>
    <w:rsid w:val="00210EC1"/>
    <w:rsid w:val="00211044"/>
    <w:rsid w:val="0021176E"/>
    <w:rsid w:val="00211777"/>
    <w:rsid w:val="002125B4"/>
    <w:rsid w:val="002127D6"/>
    <w:rsid w:val="00212908"/>
    <w:rsid w:val="00212F4F"/>
    <w:rsid w:val="002130BC"/>
    <w:rsid w:val="0021395D"/>
    <w:rsid w:val="002148B3"/>
    <w:rsid w:val="002148EB"/>
    <w:rsid w:val="00214CF6"/>
    <w:rsid w:val="002150B7"/>
    <w:rsid w:val="00215143"/>
    <w:rsid w:val="002155B8"/>
    <w:rsid w:val="00216970"/>
    <w:rsid w:val="00217385"/>
    <w:rsid w:val="002177B2"/>
    <w:rsid w:val="00217AED"/>
    <w:rsid w:val="00217E04"/>
    <w:rsid w:val="002204FA"/>
    <w:rsid w:val="0022105E"/>
    <w:rsid w:val="0022155A"/>
    <w:rsid w:val="00221A76"/>
    <w:rsid w:val="00222F2B"/>
    <w:rsid w:val="00224741"/>
    <w:rsid w:val="00224839"/>
    <w:rsid w:val="002249B2"/>
    <w:rsid w:val="00224A8E"/>
    <w:rsid w:val="00224BC3"/>
    <w:rsid w:val="0022557C"/>
    <w:rsid w:val="00225786"/>
    <w:rsid w:val="00225F28"/>
    <w:rsid w:val="00226574"/>
    <w:rsid w:val="002268AA"/>
    <w:rsid w:val="00226A3E"/>
    <w:rsid w:val="00226A63"/>
    <w:rsid w:val="00227767"/>
    <w:rsid w:val="002278EC"/>
    <w:rsid w:val="00227DD1"/>
    <w:rsid w:val="00230027"/>
    <w:rsid w:val="00230225"/>
    <w:rsid w:val="002303DA"/>
    <w:rsid w:val="00230A7A"/>
    <w:rsid w:val="002310E3"/>
    <w:rsid w:val="002318C3"/>
    <w:rsid w:val="00231ADB"/>
    <w:rsid w:val="0023280E"/>
    <w:rsid w:val="00233439"/>
    <w:rsid w:val="00233569"/>
    <w:rsid w:val="002336CE"/>
    <w:rsid w:val="00234B6B"/>
    <w:rsid w:val="002351E0"/>
    <w:rsid w:val="00235ACB"/>
    <w:rsid w:val="00235D82"/>
    <w:rsid w:val="00235FA1"/>
    <w:rsid w:val="00236043"/>
    <w:rsid w:val="0023618A"/>
    <w:rsid w:val="0023680F"/>
    <w:rsid w:val="00236967"/>
    <w:rsid w:val="002369A2"/>
    <w:rsid w:val="002373AF"/>
    <w:rsid w:val="002377D1"/>
    <w:rsid w:val="00237AB7"/>
    <w:rsid w:val="002404E5"/>
    <w:rsid w:val="002412E6"/>
    <w:rsid w:val="0024155D"/>
    <w:rsid w:val="002415B8"/>
    <w:rsid w:val="00241608"/>
    <w:rsid w:val="00241B76"/>
    <w:rsid w:val="002424FC"/>
    <w:rsid w:val="00242F6B"/>
    <w:rsid w:val="00242FB2"/>
    <w:rsid w:val="0024346A"/>
    <w:rsid w:val="00243CD9"/>
    <w:rsid w:val="00243F99"/>
    <w:rsid w:val="002450B6"/>
    <w:rsid w:val="002456B0"/>
    <w:rsid w:val="0024573A"/>
    <w:rsid w:val="00245E8E"/>
    <w:rsid w:val="00245F5B"/>
    <w:rsid w:val="00246C05"/>
    <w:rsid w:val="00246F65"/>
    <w:rsid w:val="002474F3"/>
    <w:rsid w:val="00247B18"/>
    <w:rsid w:val="00247CDA"/>
    <w:rsid w:val="002506BC"/>
    <w:rsid w:val="00250787"/>
    <w:rsid w:val="0025183F"/>
    <w:rsid w:val="00251938"/>
    <w:rsid w:val="00251DFC"/>
    <w:rsid w:val="002522F5"/>
    <w:rsid w:val="00252696"/>
    <w:rsid w:val="00253A74"/>
    <w:rsid w:val="00253EA9"/>
    <w:rsid w:val="00254345"/>
    <w:rsid w:val="00254776"/>
    <w:rsid w:val="00254781"/>
    <w:rsid w:val="00254A82"/>
    <w:rsid w:val="00254A8E"/>
    <w:rsid w:val="00254CE3"/>
    <w:rsid w:val="00254E08"/>
    <w:rsid w:val="0025603D"/>
    <w:rsid w:val="0025642D"/>
    <w:rsid w:val="00256705"/>
    <w:rsid w:val="0025758F"/>
    <w:rsid w:val="00257A30"/>
    <w:rsid w:val="00257CAA"/>
    <w:rsid w:val="00257CD0"/>
    <w:rsid w:val="00257D4C"/>
    <w:rsid w:val="00260289"/>
    <w:rsid w:val="00261106"/>
    <w:rsid w:val="00261973"/>
    <w:rsid w:val="00262F2E"/>
    <w:rsid w:val="00263427"/>
    <w:rsid w:val="00263F99"/>
    <w:rsid w:val="002641A8"/>
    <w:rsid w:val="002641CF"/>
    <w:rsid w:val="002644FA"/>
    <w:rsid w:val="00264531"/>
    <w:rsid w:val="00264557"/>
    <w:rsid w:val="00264B00"/>
    <w:rsid w:val="002652D8"/>
    <w:rsid w:val="002653FA"/>
    <w:rsid w:val="00265B6D"/>
    <w:rsid w:val="00265F20"/>
    <w:rsid w:val="00266B42"/>
    <w:rsid w:val="00267238"/>
    <w:rsid w:val="002679AC"/>
    <w:rsid w:val="00267AF2"/>
    <w:rsid w:val="002700C5"/>
    <w:rsid w:val="00270276"/>
    <w:rsid w:val="00270B8C"/>
    <w:rsid w:val="00271231"/>
    <w:rsid w:val="002719CA"/>
    <w:rsid w:val="00271B39"/>
    <w:rsid w:val="00271BEB"/>
    <w:rsid w:val="0027231D"/>
    <w:rsid w:val="0027238E"/>
    <w:rsid w:val="00272C61"/>
    <w:rsid w:val="00272F3F"/>
    <w:rsid w:val="00272FEB"/>
    <w:rsid w:val="00273397"/>
    <w:rsid w:val="00273540"/>
    <w:rsid w:val="00274F46"/>
    <w:rsid w:val="00275400"/>
    <w:rsid w:val="00275704"/>
    <w:rsid w:val="00275A1A"/>
    <w:rsid w:val="00275EC5"/>
    <w:rsid w:val="00276AA3"/>
    <w:rsid w:val="00276BDD"/>
    <w:rsid w:val="00276D97"/>
    <w:rsid w:val="00276F43"/>
    <w:rsid w:val="00277813"/>
    <w:rsid w:val="00277866"/>
    <w:rsid w:val="002779F2"/>
    <w:rsid w:val="0028003B"/>
    <w:rsid w:val="002805AB"/>
    <w:rsid w:val="00280D7B"/>
    <w:rsid w:val="00280DF3"/>
    <w:rsid w:val="00281347"/>
    <w:rsid w:val="002816C4"/>
    <w:rsid w:val="0028172F"/>
    <w:rsid w:val="00282664"/>
    <w:rsid w:val="00282898"/>
    <w:rsid w:val="00282BB4"/>
    <w:rsid w:val="00284204"/>
    <w:rsid w:val="00284F26"/>
    <w:rsid w:val="0028577A"/>
    <w:rsid w:val="00285A45"/>
    <w:rsid w:val="00285DD6"/>
    <w:rsid w:val="002861D5"/>
    <w:rsid w:val="00286A09"/>
    <w:rsid w:val="00286AF0"/>
    <w:rsid w:val="00286B3E"/>
    <w:rsid w:val="0028766F"/>
    <w:rsid w:val="00287A8F"/>
    <w:rsid w:val="00287E89"/>
    <w:rsid w:val="00290100"/>
    <w:rsid w:val="00290550"/>
    <w:rsid w:val="00290BD2"/>
    <w:rsid w:val="00291109"/>
    <w:rsid w:val="002915ED"/>
    <w:rsid w:val="00291773"/>
    <w:rsid w:val="00291DDB"/>
    <w:rsid w:val="002921FC"/>
    <w:rsid w:val="0029292D"/>
    <w:rsid w:val="00292989"/>
    <w:rsid w:val="0029320A"/>
    <w:rsid w:val="00293EA2"/>
    <w:rsid w:val="002945EA"/>
    <w:rsid w:val="00294FC3"/>
    <w:rsid w:val="0029512B"/>
    <w:rsid w:val="00295B70"/>
    <w:rsid w:val="00295CAB"/>
    <w:rsid w:val="00295D03"/>
    <w:rsid w:val="00296118"/>
    <w:rsid w:val="002965FE"/>
    <w:rsid w:val="00296C7A"/>
    <w:rsid w:val="00296DCD"/>
    <w:rsid w:val="00296FBE"/>
    <w:rsid w:val="0029735E"/>
    <w:rsid w:val="002975E1"/>
    <w:rsid w:val="002A09E3"/>
    <w:rsid w:val="002A0A87"/>
    <w:rsid w:val="002A1629"/>
    <w:rsid w:val="002A168C"/>
    <w:rsid w:val="002A29BE"/>
    <w:rsid w:val="002A2CF9"/>
    <w:rsid w:val="002A2F23"/>
    <w:rsid w:val="002A3B32"/>
    <w:rsid w:val="002A3CCF"/>
    <w:rsid w:val="002A3DC7"/>
    <w:rsid w:val="002A3E3D"/>
    <w:rsid w:val="002A42DB"/>
    <w:rsid w:val="002A44DF"/>
    <w:rsid w:val="002A466F"/>
    <w:rsid w:val="002A5EB0"/>
    <w:rsid w:val="002A70F3"/>
    <w:rsid w:val="002A78E7"/>
    <w:rsid w:val="002A7ACF"/>
    <w:rsid w:val="002A7C0B"/>
    <w:rsid w:val="002B0937"/>
    <w:rsid w:val="002B09D7"/>
    <w:rsid w:val="002B0E3A"/>
    <w:rsid w:val="002B0E51"/>
    <w:rsid w:val="002B17F3"/>
    <w:rsid w:val="002B1BD0"/>
    <w:rsid w:val="002B1E03"/>
    <w:rsid w:val="002B231C"/>
    <w:rsid w:val="002B2326"/>
    <w:rsid w:val="002B2712"/>
    <w:rsid w:val="002B3870"/>
    <w:rsid w:val="002B3B7F"/>
    <w:rsid w:val="002B3EE4"/>
    <w:rsid w:val="002B4472"/>
    <w:rsid w:val="002B461F"/>
    <w:rsid w:val="002B49E2"/>
    <w:rsid w:val="002B4A1A"/>
    <w:rsid w:val="002B5F47"/>
    <w:rsid w:val="002B6084"/>
    <w:rsid w:val="002B65A1"/>
    <w:rsid w:val="002B6E1A"/>
    <w:rsid w:val="002B773A"/>
    <w:rsid w:val="002B7B00"/>
    <w:rsid w:val="002B7C44"/>
    <w:rsid w:val="002B7F1B"/>
    <w:rsid w:val="002C040B"/>
    <w:rsid w:val="002C04D4"/>
    <w:rsid w:val="002C0DA1"/>
    <w:rsid w:val="002C1823"/>
    <w:rsid w:val="002C1F63"/>
    <w:rsid w:val="002C2196"/>
    <w:rsid w:val="002C2B17"/>
    <w:rsid w:val="002C35C3"/>
    <w:rsid w:val="002C3922"/>
    <w:rsid w:val="002C4A06"/>
    <w:rsid w:val="002C5036"/>
    <w:rsid w:val="002C54BA"/>
    <w:rsid w:val="002C6A98"/>
    <w:rsid w:val="002C7249"/>
    <w:rsid w:val="002C7ACC"/>
    <w:rsid w:val="002C7BC0"/>
    <w:rsid w:val="002C7FFD"/>
    <w:rsid w:val="002D014F"/>
    <w:rsid w:val="002D03DA"/>
    <w:rsid w:val="002D0465"/>
    <w:rsid w:val="002D0C97"/>
    <w:rsid w:val="002D0F55"/>
    <w:rsid w:val="002D10FC"/>
    <w:rsid w:val="002D146A"/>
    <w:rsid w:val="002D1E05"/>
    <w:rsid w:val="002D1F40"/>
    <w:rsid w:val="002D230B"/>
    <w:rsid w:val="002D25BF"/>
    <w:rsid w:val="002D2974"/>
    <w:rsid w:val="002D2E65"/>
    <w:rsid w:val="002D3128"/>
    <w:rsid w:val="002D3DD0"/>
    <w:rsid w:val="002D648C"/>
    <w:rsid w:val="002D67EC"/>
    <w:rsid w:val="002D7218"/>
    <w:rsid w:val="002E0A77"/>
    <w:rsid w:val="002E13F7"/>
    <w:rsid w:val="002E148F"/>
    <w:rsid w:val="002E157A"/>
    <w:rsid w:val="002E178C"/>
    <w:rsid w:val="002E1C9D"/>
    <w:rsid w:val="002E1D73"/>
    <w:rsid w:val="002E1F3A"/>
    <w:rsid w:val="002E2163"/>
    <w:rsid w:val="002E2539"/>
    <w:rsid w:val="002E257C"/>
    <w:rsid w:val="002E298A"/>
    <w:rsid w:val="002E2998"/>
    <w:rsid w:val="002E33E0"/>
    <w:rsid w:val="002E3D79"/>
    <w:rsid w:val="002E420E"/>
    <w:rsid w:val="002E4287"/>
    <w:rsid w:val="002E4ECA"/>
    <w:rsid w:val="002E628D"/>
    <w:rsid w:val="002E712C"/>
    <w:rsid w:val="002E7235"/>
    <w:rsid w:val="002E7609"/>
    <w:rsid w:val="002F0489"/>
    <w:rsid w:val="002F11E3"/>
    <w:rsid w:val="002F169B"/>
    <w:rsid w:val="002F1B43"/>
    <w:rsid w:val="002F1CBC"/>
    <w:rsid w:val="002F1D2E"/>
    <w:rsid w:val="002F2215"/>
    <w:rsid w:val="002F2664"/>
    <w:rsid w:val="002F3702"/>
    <w:rsid w:val="002F4750"/>
    <w:rsid w:val="002F5479"/>
    <w:rsid w:val="002F5B6F"/>
    <w:rsid w:val="0030055D"/>
    <w:rsid w:val="00300998"/>
    <w:rsid w:val="00300B03"/>
    <w:rsid w:val="00300D51"/>
    <w:rsid w:val="00300DBA"/>
    <w:rsid w:val="00301978"/>
    <w:rsid w:val="0030226B"/>
    <w:rsid w:val="00302C40"/>
    <w:rsid w:val="0030332C"/>
    <w:rsid w:val="003033D0"/>
    <w:rsid w:val="00303717"/>
    <w:rsid w:val="00303B6C"/>
    <w:rsid w:val="00303E83"/>
    <w:rsid w:val="00304177"/>
    <w:rsid w:val="00304701"/>
    <w:rsid w:val="003049FF"/>
    <w:rsid w:val="00304D33"/>
    <w:rsid w:val="00304DD4"/>
    <w:rsid w:val="003050C6"/>
    <w:rsid w:val="003051C2"/>
    <w:rsid w:val="003054BD"/>
    <w:rsid w:val="003056A0"/>
    <w:rsid w:val="00305CC0"/>
    <w:rsid w:val="00306058"/>
    <w:rsid w:val="00306076"/>
    <w:rsid w:val="00306954"/>
    <w:rsid w:val="00306E96"/>
    <w:rsid w:val="0030753C"/>
    <w:rsid w:val="00310B0A"/>
    <w:rsid w:val="0031176A"/>
    <w:rsid w:val="0031186C"/>
    <w:rsid w:val="00312296"/>
    <w:rsid w:val="003123B2"/>
    <w:rsid w:val="003127D2"/>
    <w:rsid w:val="00312C27"/>
    <w:rsid w:val="00312E74"/>
    <w:rsid w:val="00313016"/>
    <w:rsid w:val="00313FC2"/>
    <w:rsid w:val="00314D5C"/>
    <w:rsid w:val="00314F0E"/>
    <w:rsid w:val="00316858"/>
    <w:rsid w:val="00316987"/>
    <w:rsid w:val="00316B9F"/>
    <w:rsid w:val="003170C5"/>
    <w:rsid w:val="00317236"/>
    <w:rsid w:val="00317A06"/>
    <w:rsid w:val="00320C7A"/>
    <w:rsid w:val="0032112A"/>
    <w:rsid w:val="00321D8E"/>
    <w:rsid w:val="00322673"/>
    <w:rsid w:val="00324326"/>
    <w:rsid w:val="00324EE5"/>
    <w:rsid w:val="00325928"/>
    <w:rsid w:val="00326149"/>
    <w:rsid w:val="00326300"/>
    <w:rsid w:val="0032661A"/>
    <w:rsid w:val="0033006E"/>
    <w:rsid w:val="003304C3"/>
    <w:rsid w:val="003307C7"/>
    <w:rsid w:val="00330C5C"/>
    <w:rsid w:val="00330C92"/>
    <w:rsid w:val="00330DE2"/>
    <w:rsid w:val="003321B9"/>
    <w:rsid w:val="003322B9"/>
    <w:rsid w:val="003326D8"/>
    <w:rsid w:val="00332744"/>
    <w:rsid w:val="00332863"/>
    <w:rsid w:val="00333197"/>
    <w:rsid w:val="00333A69"/>
    <w:rsid w:val="00333E2A"/>
    <w:rsid w:val="0033406A"/>
    <w:rsid w:val="0033455D"/>
    <w:rsid w:val="00335731"/>
    <w:rsid w:val="0033581A"/>
    <w:rsid w:val="00335E3D"/>
    <w:rsid w:val="00335F35"/>
    <w:rsid w:val="00335FC4"/>
    <w:rsid w:val="00336020"/>
    <w:rsid w:val="003364A1"/>
    <w:rsid w:val="0033684D"/>
    <w:rsid w:val="003369F3"/>
    <w:rsid w:val="00336E10"/>
    <w:rsid w:val="0033746D"/>
    <w:rsid w:val="00337A6B"/>
    <w:rsid w:val="00337B42"/>
    <w:rsid w:val="00337D26"/>
    <w:rsid w:val="0034041F"/>
    <w:rsid w:val="00341B42"/>
    <w:rsid w:val="00342344"/>
    <w:rsid w:val="003424AC"/>
    <w:rsid w:val="00342831"/>
    <w:rsid w:val="00342B31"/>
    <w:rsid w:val="00342CAB"/>
    <w:rsid w:val="00342EC4"/>
    <w:rsid w:val="0034348F"/>
    <w:rsid w:val="0034351B"/>
    <w:rsid w:val="00343800"/>
    <w:rsid w:val="00343815"/>
    <w:rsid w:val="00343BE8"/>
    <w:rsid w:val="00343EC4"/>
    <w:rsid w:val="00344616"/>
    <w:rsid w:val="00344A34"/>
    <w:rsid w:val="00344CBC"/>
    <w:rsid w:val="003450D2"/>
    <w:rsid w:val="00345270"/>
    <w:rsid w:val="00345C59"/>
    <w:rsid w:val="0034617B"/>
    <w:rsid w:val="003464CC"/>
    <w:rsid w:val="00346784"/>
    <w:rsid w:val="00346BA6"/>
    <w:rsid w:val="00346DAD"/>
    <w:rsid w:val="003471ED"/>
    <w:rsid w:val="00347733"/>
    <w:rsid w:val="00347B9E"/>
    <w:rsid w:val="00347D62"/>
    <w:rsid w:val="003503EE"/>
    <w:rsid w:val="003506C3"/>
    <w:rsid w:val="00350931"/>
    <w:rsid w:val="0035192D"/>
    <w:rsid w:val="003519D0"/>
    <w:rsid w:val="00351E04"/>
    <w:rsid w:val="0035246A"/>
    <w:rsid w:val="003528F3"/>
    <w:rsid w:val="00352D89"/>
    <w:rsid w:val="003530B9"/>
    <w:rsid w:val="003535F8"/>
    <w:rsid w:val="003538B1"/>
    <w:rsid w:val="00354207"/>
    <w:rsid w:val="0035447F"/>
    <w:rsid w:val="00355315"/>
    <w:rsid w:val="00355B5B"/>
    <w:rsid w:val="00356653"/>
    <w:rsid w:val="00356BCE"/>
    <w:rsid w:val="0035743F"/>
    <w:rsid w:val="00357446"/>
    <w:rsid w:val="00357599"/>
    <w:rsid w:val="00357BE2"/>
    <w:rsid w:val="00360697"/>
    <w:rsid w:val="00360DDD"/>
    <w:rsid w:val="0036143C"/>
    <w:rsid w:val="0036170C"/>
    <w:rsid w:val="003618AB"/>
    <w:rsid w:val="003622E4"/>
    <w:rsid w:val="003622EB"/>
    <w:rsid w:val="0036231A"/>
    <w:rsid w:val="00362C5F"/>
    <w:rsid w:val="00362E55"/>
    <w:rsid w:val="00362F1B"/>
    <w:rsid w:val="00363010"/>
    <w:rsid w:val="00363DDB"/>
    <w:rsid w:val="003647CA"/>
    <w:rsid w:val="00364D64"/>
    <w:rsid w:val="00365043"/>
    <w:rsid w:val="0036542B"/>
    <w:rsid w:val="0036584C"/>
    <w:rsid w:val="00365BE9"/>
    <w:rsid w:val="00365CA9"/>
    <w:rsid w:val="003666C8"/>
    <w:rsid w:val="00366E0F"/>
    <w:rsid w:val="00367207"/>
    <w:rsid w:val="00367A71"/>
    <w:rsid w:val="00367DC1"/>
    <w:rsid w:val="003701B6"/>
    <w:rsid w:val="003701BC"/>
    <w:rsid w:val="0037074A"/>
    <w:rsid w:val="003709F3"/>
    <w:rsid w:val="0037155A"/>
    <w:rsid w:val="00372117"/>
    <w:rsid w:val="00372CB4"/>
    <w:rsid w:val="00373590"/>
    <w:rsid w:val="003736BD"/>
    <w:rsid w:val="00373D06"/>
    <w:rsid w:val="003743B6"/>
    <w:rsid w:val="00374A58"/>
    <w:rsid w:val="00374B48"/>
    <w:rsid w:val="00374C1A"/>
    <w:rsid w:val="00374EB9"/>
    <w:rsid w:val="003754A7"/>
    <w:rsid w:val="0037593C"/>
    <w:rsid w:val="00376003"/>
    <w:rsid w:val="00376994"/>
    <w:rsid w:val="00377148"/>
    <w:rsid w:val="003773E7"/>
    <w:rsid w:val="00380069"/>
    <w:rsid w:val="00380184"/>
    <w:rsid w:val="0038031F"/>
    <w:rsid w:val="00380C32"/>
    <w:rsid w:val="00381044"/>
    <w:rsid w:val="003815A8"/>
    <w:rsid w:val="00381808"/>
    <w:rsid w:val="00381A72"/>
    <w:rsid w:val="00381EEB"/>
    <w:rsid w:val="0038215C"/>
    <w:rsid w:val="00384676"/>
    <w:rsid w:val="0038467F"/>
    <w:rsid w:val="003849AD"/>
    <w:rsid w:val="00384A72"/>
    <w:rsid w:val="0038566E"/>
    <w:rsid w:val="003872AF"/>
    <w:rsid w:val="003905AE"/>
    <w:rsid w:val="00390857"/>
    <w:rsid w:val="00390B7E"/>
    <w:rsid w:val="003916B2"/>
    <w:rsid w:val="00391CF3"/>
    <w:rsid w:val="0039227E"/>
    <w:rsid w:val="00392770"/>
    <w:rsid w:val="0039349D"/>
    <w:rsid w:val="00393B8D"/>
    <w:rsid w:val="00394540"/>
    <w:rsid w:val="00394C13"/>
    <w:rsid w:val="00394CB9"/>
    <w:rsid w:val="0039509C"/>
    <w:rsid w:val="003955D3"/>
    <w:rsid w:val="00395B9B"/>
    <w:rsid w:val="003967BB"/>
    <w:rsid w:val="003969E3"/>
    <w:rsid w:val="00396BA8"/>
    <w:rsid w:val="00397029"/>
    <w:rsid w:val="00397370"/>
    <w:rsid w:val="00397407"/>
    <w:rsid w:val="003A0276"/>
    <w:rsid w:val="003A0685"/>
    <w:rsid w:val="003A16BB"/>
    <w:rsid w:val="003A1DDD"/>
    <w:rsid w:val="003A1E62"/>
    <w:rsid w:val="003A2562"/>
    <w:rsid w:val="003A2675"/>
    <w:rsid w:val="003A2E8E"/>
    <w:rsid w:val="003A2FE5"/>
    <w:rsid w:val="003A3175"/>
    <w:rsid w:val="003A32EC"/>
    <w:rsid w:val="003A383F"/>
    <w:rsid w:val="003A395A"/>
    <w:rsid w:val="003A3D07"/>
    <w:rsid w:val="003A4BF3"/>
    <w:rsid w:val="003A4C90"/>
    <w:rsid w:val="003A515E"/>
    <w:rsid w:val="003A528F"/>
    <w:rsid w:val="003A54DB"/>
    <w:rsid w:val="003A57B5"/>
    <w:rsid w:val="003A5ECB"/>
    <w:rsid w:val="003A5F28"/>
    <w:rsid w:val="003A6EBD"/>
    <w:rsid w:val="003A7982"/>
    <w:rsid w:val="003A7B8D"/>
    <w:rsid w:val="003A7DCC"/>
    <w:rsid w:val="003B1569"/>
    <w:rsid w:val="003B1C4D"/>
    <w:rsid w:val="003B1E44"/>
    <w:rsid w:val="003B2DEF"/>
    <w:rsid w:val="003B32A6"/>
    <w:rsid w:val="003B3658"/>
    <w:rsid w:val="003B3BB8"/>
    <w:rsid w:val="003B3D8E"/>
    <w:rsid w:val="003B420D"/>
    <w:rsid w:val="003B4811"/>
    <w:rsid w:val="003B4CBA"/>
    <w:rsid w:val="003B4FA1"/>
    <w:rsid w:val="003B5034"/>
    <w:rsid w:val="003B6649"/>
    <w:rsid w:val="003B6657"/>
    <w:rsid w:val="003B6FEF"/>
    <w:rsid w:val="003B7792"/>
    <w:rsid w:val="003B78B0"/>
    <w:rsid w:val="003B7DCB"/>
    <w:rsid w:val="003C02A0"/>
    <w:rsid w:val="003C1393"/>
    <w:rsid w:val="003C1BAC"/>
    <w:rsid w:val="003C1FCE"/>
    <w:rsid w:val="003C33A8"/>
    <w:rsid w:val="003C35D1"/>
    <w:rsid w:val="003C35D6"/>
    <w:rsid w:val="003C368E"/>
    <w:rsid w:val="003C37E9"/>
    <w:rsid w:val="003C3975"/>
    <w:rsid w:val="003C3D24"/>
    <w:rsid w:val="003C48B0"/>
    <w:rsid w:val="003C4F67"/>
    <w:rsid w:val="003C5093"/>
    <w:rsid w:val="003C51EF"/>
    <w:rsid w:val="003C61BA"/>
    <w:rsid w:val="003C62E6"/>
    <w:rsid w:val="003C6889"/>
    <w:rsid w:val="003C6C16"/>
    <w:rsid w:val="003C6FA3"/>
    <w:rsid w:val="003C775D"/>
    <w:rsid w:val="003C7BE7"/>
    <w:rsid w:val="003D05BD"/>
    <w:rsid w:val="003D0BCC"/>
    <w:rsid w:val="003D1044"/>
    <w:rsid w:val="003D1466"/>
    <w:rsid w:val="003D198A"/>
    <w:rsid w:val="003D20D5"/>
    <w:rsid w:val="003D2344"/>
    <w:rsid w:val="003D2C48"/>
    <w:rsid w:val="003D2CB2"/>
    <w:rsid w:val="003D30D3"/>
    <w:rsid w:val="003D337A"/>
    <w:rsid w:val="003D3D72"/>
    <w:rsid w:val="003D4091"/>
    <w:rsid w:val="003D4A16"/>
    <w:rsid w:val="003D4ADA"/>
    <w:rsid w:val="003D4F76"/>
    <w:rsid w:val="003D57B6"/>
    <w:rsid w:val="003D57E3"/>
    <w:rsid w:val="003D5AEE"/>
    <w:rsid w:val="003D5EC9"/>
    <w:rsid w:val="003D66BF"/>
    <w:rsid w:val="003D690B"/>
    <w:rsid w:val="003D794D"/>
    <w:rsid w:val="003D7B66"/>
    <w:rsid w:val="003D7E85"/>
    <w:rsid w:val="003D7F59"/>
    <w:rsid w:val="003E0E64"/>
    <w:rsid w:val="003E1159"/>
    <w:rsid w:val="003E17AD"/>
    <w:rsid w:val="003E2B23"/>
    <w:rsid w:val="003E2B30"/>
    <w:rsid w:val="003E3058"/>
    <w:rsid w:val="003E3317"/>
    <w:rsid w:val="003E3A74"/>
    <w:rsid w:val="003E4081"/>
    <w:rsid w:val="003E45F0"/>
    <w:rsid w:val="003E46B8"/>
    <w:rsid w:val="003E47DB"/>
    <w:rsid w:val="003E510F"/>
    <w:rsid w:val="003E5B8B"/>
    <w:rsid w:val="003E6EDF"/>
    <w:rsid w:val="003E752D"/>
    <w:rsid w:val="003E76A9"/>
    <w:rsid w:val="003E79D3"/>
    <w:rsid w:val="003E7A0A"/>
    <w:rsid w:val="003F00E6"/>
    <w:rsid w:val="003F0381"/>
    <w:rsid w:val="003F0809"/>
    <w:rsid w:val="003F0851"/>
    <w:rsid w:val="003F0B17"/>
    <w:rsid w:val="003F110A"/>
    <w:rsid w:val="003F1C7A"/>
    <w:rsid w:val="003F1F21"/>
    <w:rsid w:val="003F2122"/>
    <w:rsid w:val="003F282F"/>
    <w:rsid w:val="003F40A3"/>
    <w:rsid w:val="003F4303"/>
    <w:rsid w:val="003F48A4"/>
    <w:rsid w:val="003F528F"/>
    <w:rsid w:val="003F5482"/>
    <w:rsid w:val="003F5652"/>
    <w:rsid w:val="003F5920"/>
    <w:rsid w:val="003F6245"/>
    <w:rsid w:val="003F6A8C"/>
    <w:rsid w:val="003F6B4B"/>
    <w:rsid w:val="003F6B9C"/>
    <w:rsid w:val="003F755C"/>
    <w:rsid w:val="003F75B3"/>
    <w:rsid w:val="003F7985"/>
    <w:rsid w:val="003F7BA5"/>
    <w:rsid w:val="003F7C68"/>
    <w:rsid w:val="00402B02"/>
    <w:rsid w:val="00402D43"/>
    <w:rsid w:val="004036DC"/>
    <w:rsid w:val="00403D50"/>
    <w:rsid w:val="004042CD"/>
    <w:rsid w:val="00404783"/>
    <w:rsid w:val="00404C8D"/>
    <w:rsid w:val="00404DB8"/>
    <w:rsid w:val="00404FB5"/>
    <w:rsid w:val="00405E21"/>
    <w:rsid w:val="004069C4"/>
    <w:rsid w:val="00406F01"/>
    <w:rsid w:val="004070A9"/>
    <w:rsid w:val="00407883"/>
    <w:rsid w:val="004078F4"/>
    <w:rsid w:val="00407E14"/>
    <w:rsid w:val="00407EC3"/>
    <w:rsid w:val="00410076"/>
    <w:rsid w:val="00411263"/>
    <w:rsid w:val="004117BD"/>
    <w:rsid w:val="00411B94"/>
    <w:rsid w:val="00411C25"/>
    <w:rsid w:val="0041352F"/>
    <w:rsid w:val="00413ACF"/>
    <w:rsid w:val="004142CC"/>
    <w:rsid w:val="00415523"/>
    <w:rsid w:val="00415B4F"/>
    <w:rsid w:val="00415EB6"/>
    <w:rsid w:val="00415EDA"/>
    <w:rsid w:val="00416540"/>
    <w:rsid w:val="00416D50"/>
    <w:rsid w:val="00416FD5"/>
    <w:rsid w:val="004170F0"/>
    <w:rsid w:val="00417772"/>
    <w:rsid w:val="004203DE"/>
    <w:rsid w:val="00420E6A"/>
    <w:rsid w:val="00421A92"/>
    <w:rsid w:val="00421D09"/>
    <w:rsid w:val="00421F32"/>
    <w:rsid w:val="00422028"/>
    <w:rsid w:val="00423DE0"/>
    <w:rsid w:val="004244B2"/>
    <w:rsid w:val="00424EB2"/>
    <w:rsid w:val="00424ED4"/>
    <w:rsid w:val="004252F6"/>
    <w:rsid w:val="00425675"/>
    <w:rsid w:val="00425A9E"/>
    <w:rsid w:val="00426156"/>
    <w:rsid w:val="00426969"/>
    <w:rsid w:val="00426D6B"/>
    <w:rsid w:val="0042795F"/>
    <w:rsid w:val="00427C23"/>
    <w:rsid w:val="00427D1F"/>
    <w:rsid w:val="00427D80"/>
    <w:rsid w:val="004301E9"/>
    <w:rsid w:val="00430213"/>
    <w:rsid w:val="00430592"/>
    <w:rsid w:val="00431E6C"/>
    <w:rsid w:val="00432224"/>
    <w:rsid w:val="00432320"/>
    <w:rsid w:val="004325AF"/>
    <w:rsid w:val="00432743"/>
    <w:rsid w:val="0043291C"/>
    <w:rsid w:val="004331DC"/>
    <w:rsid w:val="00433876"/>
    <w:rsid w:val="00433980"/>
    <w:rsid w:val="00433CE7"/>
    <w:rsid w:val="00433E18"/>
    <w:rsid w:val="00434D95"/>
    <w:rsid w:val="0043586E"/>
    <w:rsid w:val="004359FC"/>
    <w:rsid w:val="00436063"/>
    <w:rsid w:val="004366F2"/>
    <w:rsid w:val="0043681F"/>
    <w:rsid w:val="00436B9F"/>
    <w:rsid w:val="00436D15"/>
    <w:rsid w:val="004372BC"/>
    <w:rsid w:val="00440071"/>
    <w:rsid w:val="004408E3"/>
    <w:rsid w:val="00441003"/>
    <w:rsid w:val="004427D4"/>
    <w:rsid w:val="00442EC6"/>
    <w:rsid w:val="00443021"/>
    <w:rsid w:val="0044354C"/>
    <w:rsid w:val="00443649"/>
    <w:rsid w:val="004440A2"/>
    <w:rsid w:val="00444676"/>
    <w:rsid w:val="004446FE"/>
    <w:rsid w:val="00444DB1"/>
    <w:rsid w:val="00445C6A"/>
    <w:rsid w:val="0044650E"/>
    <w:rsid w:val="00446CCE"/>
    <w:rsid w:val="00446CDE"/>
    <w:rsid w:val="00446E8A"/>
    <w:rsid w:val="004504AA"/>
    <w:rsid w:val="00450DBA"/>
    <w:rsid w:val="004511A3"/>
    <w:rsid w:val="00451903"/>
    <w:rsid w:val="00451A18"/>
    <w:rsid w:val="00452272"/>
    <w:rsid w:val="0045237C"/>
    <w:rsid w:val="00452738"/>
    <w:rsid w:val="004535D8"/>
    <w:rsid w:val="004537F4"/>
    <w:rsid w:val="004540AB"/>
    <w:rsid w:val="0045580C"/>
    <w:rsid w:val="00456091"/>
    <w:rsid w:val="004574A6"/>
    <w:rsid w:val="004575E5"/>
    <w:rsid w:val="00457690"/>
    <w:rsid w:val="00457934"/>
    <w:rsid w:val="00460345"/>
    <w:rsid w:val="00460787"/>
    <w:rsid w:val="00463AF5"/>
    <w:rsid w:val="00464627"/>
    <w:rsid w:val="00464826"/>
    <w:rsid w:val="0046594E"/>
    <w:rsid w:val="00465BC7"/>
    <w:rsid w:val="00466321"/>
    <w:rsid w:val="004663BD"/>
    <w:rsid w:val="00466436"/>
    <w:rsid w:val="004670F9"/>
    <w:rsid w:val="0046786F"/>
    <w:rsid w:val="00467F3E"/>
    <w:rsid w:val="00467F66"/>
    <w:rsid w:val="004701DB"/>
    <w:rsid w:val="004702AE"/>
    <w:rsid w:val="0047042C"/>
    <w:rsid w:val="0047044A"/>
    <w:rsid w:val="0047086B"/>
    <w:rsid w:val="00471845"/>
    <w:rsid w:val="004726F1"/>
    <w:rsid w:val="00472C8E"/>
    <w:rsid w:val="00473FAE"/>
    <w:rsid w:val="0047431F"/>
    <w:rsid w:val="004747BA"/>
    <w:rsid w:val="00474A63"/>
    <w:rsid w:val="00474D8F"/>
    <w:rsid w:val="004752EF"/>
    <w:rsid w:val="004755DC"/>
    <w:rsid w:val="00475BA4"/>
    <w:rsid w:val="00475DB5"/>
    <w:rsid w:val="00475EDE"/>
    <w:rsid w:val="00476A20"/>
    <w:rsid w:val="00476AF2"/>
    <w:rsid w:val="004770CB"/>
    <w:rsid w:val="00477836"/>
    <w:rsid w:val="004778D1"/>
    <w:rsid w:val="00477B8E"/>
    <w:rsid w:val="00477E99"/>
    <w:rsid w:val="004804B8"/>
    <w:rsid w:val="004808DB"/>
    <w:rsid w:val="00480990"/>
    <w:rsid w:val="00482368"/>
    <w:rsid w:val="00482449"/>
    <w:rsid w:val="004825F0"/>
    <w:rsid w:val="00482C29"/>
    <w:rsid w:val="004833E8"/>
    <w:rsid w:val="004837D7"/>
    <w:rsid w:val="0048437F"/>
    <w:rsid w:val="0048464E"/>
    <w:rsid w:val="00484B9B"/>
    <w:rsid w:val="004850E2"/>
    <w:rsid w:val="004855F6"/>
    <w:rsid w:val="00485ADB"/>
    <w:rsid w:val="00486248"/>
    <w:rsid w:val="0048647D"/>
    <w:rsid w:val="0048661E"/>
    <w:rsid w:val="00486F36"/>
    <w:rsid w:val="00486F41"/>
    <w:rsid w:val="00486FDF"/>
    <w:rsid w:val="00486FF9"/>
    <w:rsid w:val="00490784"/>
    <w:rsid w:val="00490B3E"/>
    <w:rsid w:val="00490EF2"/>
    <w:rsid w:val="004917AB"/>
    <w:rsid w:val="00491B42"/>
    <w:rsid w:val="00491FEB"/>
    <w:rsid w:val="00492A97"/>
    <w:rsid w:val="00492AA3"/>
    <w:rsid w:val="00492C0F"/>
    <w:rsid w:val="00492CE5"/>
    <w:rsid w:val="00493761"/>
    <w:rsid w:val="00493AC2"/>
    <w:rsid w:val="004944DD"/>
    <w:rsid w:val="00494670"/>
    <w:rsid w:val="004952CC"/>
    <w:rsid w:val="004956DE"/>
    <w:rsid w:val="00495A9C"/>
    <w:rsid w:val="00495FC4"/>
    <w:rsid w:val="00496815"/>
    <w:rsid w:val="004968C1"/>
    <w:rsid w:val="00496A9F"/>
    <w:rsid w:val="00496C4A"/>
    <w:rsid w:val="00497532"/>
    <w:rsid w:val="004975A0"/>
    <w:rsid w:val="004978F7"/>
    <w:rsid w:val="00497D21"/>
    <w:rsid w:val="004A19B7"/>
    <w:rsid w:val="004A2374"/>
    <w:rsid w:val="004A2F44"/>
    <w:rsid w:val="004A3823"/>
    <w:rsid w:val="004A3B45"/>
    <w:rsid w:val="004A4B11"/>
    <w:rsid w:val="004A4B7A"/>
    <w:rsid w:val="004A4C48"/>
    <w:rsid w:val="004A4EC9"/>
    <w:rsid w:val="004A4F6E"/>
    <w:rsid w:val="004A5AC6"/>
    <w:rsid w:val="004A61C9"/>
    <w:rsid w:val="004A6544"/>
    <w:rsid w:val="004A6984"/>
    <w:rsid w:val="004A6C30"/>
    <w:rsid w:val="004A6C8B"/>
    <w:rsid w:val="004A708D"/>
    <w:rsid w:val="004A7745"/>
    <w:rsid w:val="004B05E4"/>
    <w:rsid w:val="004B0B20"/>
    <w:rsid w:val="004B0C68"/>
    <w:rsid w:val="004B0CC8"/>
    <w:rsid w:val="004B21F3"/>
    <w:rsid w:val="004B24F0"/>
    <w:rsid w:val="004B2887"/>
    <w:rsid w:val="004B2C3A"/>
    <w:rsid w:val="004B3268"/>
    <w:rsid w:val="004B32DF"/>
    <w:rsid w:val="004B333F"/>
    <w:rsid w:val="004B34F3"/>
    <w:rsid w:val="004B38A6"/>
    <w:rsid w:val="004B3A23"/>
    <w:rsid w:val="004B3D4E"/>
    <w:rsid w:val="004B45D6"/>
    <w:rsid w:val="004B46D3"/>
    <w:rsid w:val="004B478A"/>
    <w:rsid w:val="004B5511"/>
    <w:rsid w:val="004B6219"/>
    <w:rsid w:val="004B6270"/>
    <w:rsid w:val="004B6583"/>
    <w:rsid w:val="004B68E6"/>
    <w:rsid w:val="004B6A54"/>
    <w:rsid w:val="004B73EF"/>
    <w:rsid w:val="004B7B19"/>
    <w:rsid w:val="004B7F4F"/>
    <w:rsid w:val="004C01CD"/>
    <w:rsid w:val="004C06A9"/>
    <w:rsid w:val="004C0E1C"/>
    <w:rsid w:val="004C102B"/>
    <w:rsid w:val="004C1396"/>
    <w:rsid w:val="004C170C"/>
    <w:rsid w:val="004C1E0A"/>
    <w:rsid w:val="004C2D3C"/>
    <w:rsid w:val="004C3408"/>
    <w:rsid w:val="004C3720"/>
    <w:rsid w:val="004C4038"/>
    <w:rsid w:val="004C4A51"/>
    <w:rsid w:val="004C5C2C"/>
    <w:rsid w:val="004C6234"/>
    <w:rsid w:val="004C6665"/>
    <w:rsid w:val="004C6743"/>
    <w:rsid w:val="004C67BB"/>
    <w:rsid w:val="004C7452"/>
    <w:rsid w:val="004C7756"/>
    <w:rsid w:val="004C7AB8"/>
    <w:rsid w:val="004D0C79"/>
    <w:rsid w:val="004D0D3F"/>
    <w:rsid w:val="004D1351"/>
    <w:rsid w:val="004D13D7"/>
    <w:rsid w:val="004D15B0"/>
    <w:rsid w:val="004D173A"/>
    <w:rsid w:val="004D208C"/>
    <w:rsid w:val="004D22CF"/>
    <w:rsid w:val="004D2552"/>
    <w:rsid w:val="004D28FA"/>
    <w:rsid w:val="004D29FE"/>
    <w:rsid w:val="004D2D18"/>
    <w:rsid w:val="004D311A"/>
    <w:rsid w:val="004D3EDA"/>
    <w:rsid w:val="004D4039"/>
    <w:rsid w:val="004D435E"/>
    <w:rsid w:val="004D43C1"/>
    <w:rsid w:val="004D4DB5"/>
    <w:rsid w:val="004D4E27"/>
    <w:rsid w:val="004D4E62"/>
    <w:rsid w:val="004D52DF"/>
    <w:rsid w:val="004D5EC9"/>
    <w:rsid w:val="004D6EBE"/>
    <w:rsid w:val="004D7878"/>
    <w:rsid w:val="004D78BB"/>
    <w:rsid w:val="004E0056"/>
    <w:rsid w:val="004E0A13"/>
    <w:rsid w:val="004E0A94"/>
    <w:rsid w:val="004E0D94"/>
    <w:rsid w:val="004E0EAE"/>
    <w:rsid w:val="004E1776"/>
    <w:rsid w:val="004E1B69"/>
    <w:rsid w:val="004E1F0D"/>
    <w:rsid w:val="004E28F7"/>
    <w:rsid w:val="004E2E05"/>
    <w:rsid w:val="004E3367"/>
    <w:rsid w:val="004E3A33"/>
    <w:rsid w:val="004E3BD8"/>
    <w:rsid w:val="004E3F7D"/>
    <w:rsid w:val="004E4420"/>
    <w:rsid w:val="004E450F"/>
    <w:rsid w:val="004E5800"/>
    <w:rsid w:val="004E67BB"/>
    <w:rsid w:val="004E6946"/>
    <w:rsid w:val="004E6C6F"/>
    <w:rsid w:val="004E7142"/>
    <w:rsid w:val="004E7447"/>
    <w:rsid w:val="004E7D32"/>
    <w:rsid w:val="004F1034"/>
    <w:rsid w:val="004F126B"/>
    <w:rsid w:val="004F171A"/>
    <w:rsid w:val="004F19FE"/>
    <w:rsid w:val="004F1AD8"/>
    <w:rsid w:val="004F1B7F"/>
    <w:rsid w:val="004F220D"/>
    <w:rsid w:val="004F2681"/>
    <w:rsid w:val="004F34F8"/>
    <w:rsid w:val="004F386B"/>
    <w:rsid w:val="004F386E"/>
    <w:rsid w:val="004F39B5"/>
    <w:rsid w:val="004F3A61"/>
    <w:rsid w:val="004F3D3B"/>
    <w:rsid w:val="004F416F"/>
    <w:rsid w:val="004F4800"/>
    <w:rsid w:val="004F5129"/>
    <w:rsid w:val="004F56DC"/>
    <w:rsid w:val="004F57BD"/>
    <w:rsid w:val="004F5876"/>
    <w:rsid w:val="004F58C8"/>
    <w:rsid w:val="004F5DEB"/>
    <w:rsid w:val="004F7A7E"/>
    <w:rsid w:val="004F7D9D"/>
    <w:rsid w:val="00500399"/>
    <w:rsid w:val="00500786"/>
    <w:rsid w:val="005008C9"/>
    <w:rsid w:val="00500FB6"/>
    <w:rsid w:val="00501232"/>
    <w:rsid w:val="0050189A"/>
    <w:rsid w:val="00501BC5"/>
    <w:rsid w:val="00501F14"/>
    <w:rsid w:val="0050263E"/>
    <w:rsid w:val="005034AE"/>
    <w:rsid w:val="005038C4"/>
    <w:rsid w:val="005039CB"/>
    <w:rsid w:val="00503D93"/>
    <w:rsid w:val="005045AA"/>
    <w:rsid w:val="0050482B"/>
    <w:rsid w:val="00504B97"/>
    <w:rsid w:val="00504C8D"/>
    <w:rsid w:val="00505479"/>
    <w:rsid w:val="0050558F"/>
    <w:rsid w:val="00505F73"/>
    <w:rsid w:val="0050604C"/>
    <w:rsid w:val="00506286"/>
    <w:rsid w:val="00506C4B"/>
    <w:rsid w:val="00506E99"/>
    <w:rsid w:val="005075A1"/>
    <w:rsid w:val="005107C0"/>
    <w:rsid w:val="00510813"/>
    <w:rsid w:val="00510A4C"/>
    <w:rsid w:val="00510FC0"/>
    <w:rsid w:val="00511912"/>
    <w:rsid w:val="00511990"/>
    <w:rsid w:val="00511DE0"/>
    <w:rsid w:val="00512714"/>
    <w:rsid w:val="0051297A"/>
    <w:rsid w:val="00513ACB"/>
    <w:rsid w:val="00514870"/>
    <w:rsid w:val="00514B9B"/>
    <w:rsid w:val="005151D8"/>
    <w:rsid w:val="005159CA"/>
    <w:rsid w:val="00515A22"/>
    <w:rsid w:val="005160C6"/>
    <w:rsid w:val="00516215"/>
    <w:rsid w:val="00516242"/>
    <w:rsid w:val="0051626B"/>
    <w:rsid w:val="00516854"/>
    <w:rsid w:val="00517002"/>
    <w:rsid w:val="0051724B"/>
    <w:rsid w:val="00517271"/>
    <w:rsid w:val="0051778B"/>
    <w:rsid w:val="00517C6A"/>
    <w:rsid w:val="00517F02"/>
    <w:rsid w:val="005204C6"/>
    <w:rsid w:val="00520798"/>
    <w:rsid w:val="005209AA"/>
    <w:rsid w:val="005211F2"/>
    <w:rsid w:val="00522A58"/>
    <w:rsid w:val="005233D4"/>
    <w:rsid w:val="00523503"/>
    <w:rsid w:val="00524303"/>
    <w:rsid w:val="005247B9"/>
    <w:rsid w:val="00524856"/>
    <w:rsid w:val="0052574D"/>
    <w:rsid w:val="00525891"/>
    <w:rsid w:val="005258A2"/>
    <w:rsid w:val="00525B8A"/>
    <w:rsid w:val="00525D91"/>
    <w:rsid w:val="00525E57"/>
    <w:rsid w:val="00526B28"/>
    <w:rsid w:val="00527077"/>
    <w:rsid w:val="005275F3"/>
    <w:rsid w:val="00527755"/>
    <w:rsid w:val="0052783D"/>
    <w:rsid w:val="0053072E"/>
    <w:rsid w:val="00530746"/>
    <w:rsid w:val="00530758"/>
    <w:rsid w:val="005309E5"/>
    <w:rsid w:val="00530FE0"/>
    <w:rsid w:val="0053114C"/>
    <w:rsid w:val="0053128A"/>
    <w:rsid w:val="005317C6"/>
    <w:rsid w:val="00531EBF"/>
    <w:rsid w:val="005321E5"/>
    <w:rsid w:val="0053347D"/>
    <w:rsid w:val="0053494A"/>
    <w:rsid w:val="00535549"/>
    <w:rsid w:val="0053575A"/>
    <w:rsid w:val="00536718"/>
    <w:rsid w:val="00536C1C"/>
    <w:rsid w:val="00536C6E"/>
    <w:rsid w:val="005375A0"/>
    <w:rsid w:val="00537B05"/>
    <w:rsid w:val="005401AE"/>
    <w:rsid w:val="005401ED"/>
    <w:rsid w:val="00541F5A"/>
    <w:rsid w:val="005426F4"/>
    <w:rsid w:val="00542866"/>
    <w:rsid w:val="005429BC"/>
    <w:rsid w:val="00542E07"/>
    <w:rsid w:val="005430D2"/>
    <w:rsid w:val="00543258"/>
    <w:rsid w:val="005437F5"/>
    <w:rsid w:val="00543942"/>
    <w:rsid w:val="005447FF"/>
    <w:rsid w:val="00545104"/>
    <w:rsid w:val="00545424"/>
    <w:rsid w:val="00545957"/>
    <w:rsid w:val="00545BB0"/>
    <w:rsid w:val="00545D4D"/>
    <w:rsid w:val="005473E8"/>
    <w:rsid w:val="00547AEA"/>
    <w:rsid w:val="00547DF7"/>
    <w:rsid w:val="005505C8"/>
    <w:rsid w:val="0055060E"/>
    <w:rsid w:val="005506DB"/>
    <w:rsid w:val="00550B38"/>
    <w:rsid w:val="005514C1"/>
    <w:rsid w:val="0055156A"/>
    <w:rsid w:val="00551A10"/>
    <w:rsid w:val="00553D56"/>
    <w:rsid w:val="00554851"/>
    <w:rsid w:val="00554A7B"/>
    <w:rsid w:val="00554C2F"/>
    <w:rsid w:val="00554C4F"/>
    <w:rsid w:val="005554BC"/>
    <w:rsid w:val="0055552F"/>
    <w:rsid w:val="0055572C"/>
    <w:rsid w:val="005572A5"/>
    <w:rsid w:val="00557EC6"/>
    <w:rsid w:val="005607BF"/>
    <w:rsid w:val="00560B6D"/>
    <w:rsid w:val="0056106A"/>
    <w:rsid w:val="005613BD"/>
    <w:rsid w:val="0056188E"/>
    <w:rsid w:val="00561BAA"/>
    <w:rsid w:val="0056271E"/>
    <w:rsid w:val="00562D6A"/>
    <w:rsid w:val="005634CB"/>
    <w:rsid w:val="00563AB8"/>
    <w:rsid w:val="00563B44"/>
    <w:rsid w:val="00563BEF"/>
    <w:rsid w:val="00564B6C"/>
    <w:rsid w:val="005650B3"/>
    <w:rsid w:val="005655AE"/>
    <w:rsid w:val="00565853"/>
    <w:rsid w:val="00565960"/>
    <w:rsid w:val="00565A61"/>
    <w:rsid w:val="00565A70"/>
    <w:rsid w:val="00565BA5"/>
    <w:rsid w:val="00565D6B"/>
    <w:rsid w:val="00565FC0"/>
    <w:rsid w:val="00566270"/>
    <w:rsid w:val="00566460"/>
    <w:rsid w:val="0056664E"/>
    <w:rsid w:val="00566DA6"/>
    <w:rsid w:val="00567451"/>
    <w:rsid w:val="005674FA"/>
    <w:rsid w:val="005675AC"/>
    <w:rsid w:val="00570CE5"/>
    <w:rsid w:val="005720AE"/>
    <w:rsid w:val="005724E2"/>
    <w:rsid w:val="005727EB"/>
    <w:rsid w:val="00572855"/>
    <w:rsid w:val="005729B6"/>
    <w:rsid w:val="00572ED7"/>
    <w:rsid w:val="005733A1"/>
    <w:rsid w:val="0057354F"/>
    <w:rsid w:val="005737C4"/>
    <w:rsid w:val="005743EF"/>
    <w:rsid w:val="005751A3"/>
    <w:rsid w:val="005753C5"/>
    <w:rsid w:val="00575461"/>
    <w:rsid w:val="0057605A"/>
    <w:rsid w:val="00576886"/>
    <w:rsid w:val="0057726D"/>
    <w:rsid w:val="00577822"/>
    <w:rsid w:val="00577825"/>
    <w:rsid w:val="00580368"/>
    <w:rsid w:val="005816A7"/>
    <w:rsid w:val="00581C16"/>
    <w:rsid w:val="005824DC"/>
    <w:rsid w:val="00582A6C"/>
    <w:rsid w:val="0058343F"/>
    <w:rsid w:val="0058376A"/>
    <w:rsid w:val="005838AE"/>
    <w:rsid w:val="00584513"/>
    <w:rsid w:val="005848CA"/>
    <w:rsid w:val="005852DA"/>
    <w:rsid w:val="005860CA"/>
    <w:rsid w:val="00586204"/>
    <w:rsid w:val="00586D57"/>
    <w:rsid w:val="005871F5"/>
    <w:rsid w:val="00587395"/>
    <w:rsid w:val="00587C5A"/>
    <w:rsid w:val="005903A4"/>
    <w:rsid w:val="00590966"/>
    <w:rsid w:val="0059135B"/>
    <w:rsid w:val="00591394"/>
    <w:rsid w:val="00591B3E"/>
    <w:rsid w:val="005922F1"/>
    <w:rsid w:val="005926A6"/>
    <w:rsid w:val="00592730"/>
    <w:rsid w:val="00592B4D"/>
    <w:rsid w:val="00592FF7"/>
    <w:rsid w:val="0059360D"/>
    <w:rsid w:val="00593A3F"/>
    <w:rsid w:val="00593E21"/>
    <w:rsid w:val="00594341"/>
    <w:rsid w:val="00594D04"/>
    <w:rsid w:val="00594D77"/>
    <w:rsid w:val="005957C3"/>
    <w:rsid w:val="005960EB"/>
    <w:rsid w:val="00596382"/>
    <w:rsid w:val="005969E4"/>
    <w:rsid w:val="00596C06"/>
    <w:rsid w:val="00597097"/>
    <w:rsid w:val="005972CA"/>
    <w:rsid w:val="00597366"/>
    <w:rsid w:val="005974B4"/>
    <w:rsid w:val="00597AC8"/>
    <w:rsid w:val="005A06B7"/>
    <w:rsid w:val="005A07CA"/>
    <w:rsid w:val="005A1177"/>
    <w:rsid w:val="005A16F8"/>
    <w:rsid w:val="005A1759"/>
    <w:rsid w:val="005A17F7"/>
    <w:rsid w:val="005A182C"/>
    <w:rsid w:val="005A1A7F"/>
    <w:rsid w:val="005A1F2F"/>
    <w:rsid w:val="005A2DCD"/>
    <w:rsid w:val="005A2FE3"/>
    <w:rsid w:val="005A3378"/>
    <w:rsid w:val="005A34E2"/>
    <w:rsid w:val="005A3697"/>
    <w:rsid w:val="005A382A"/>
    <w:rsid w:val="005A38CD"/>
    <w:rsid w:val="005A3D1B"/>
    <w:rsid w:val="005A403B"/>
    <w:rsid w:val="005A4510"/>
    <w:rsid w:val="005A4EBE"/>
    <w:rsid w:val="005A507B"/>
    <w:rsid w:val="005A54A8"/>
    <w:rsid w:val="005A592D"/>
    <w:rsid w:val="005A661F"/>
    <w:rsid w:val="005A687D"/>
    <w:rsid w:val="005A68A7"/>
    <w:rsid w:val="005A6A82"/>
    <w:rsid w:val="005A6CCB"/>
    <w:rsid w:val="005A7155"/>
    <w:rsid w:val="005A78C6"/>
    <w:rsid w:val="005A7EF5"/>
    <w:rsid w:val="005B0A53"/>
    <w:rsid w:val="005B0DAB"/>
    <w:rsid w:val="005B16A5"/>
    <w:rsid w:val="005B1E52"/>
    <w:rsid w:val="005B1E96"/>
    <w:rsid w:val="005B2151"/>
    <w:rsid w:val="005B2AB7"/>
    <w:rsid w:val="005B2B13"/>
    <w:rsid w:val="005B2B4D"/>
    <w:rsid w:val="005B3073"/>
    <w:rsid w:val="005B4265"/>
    <w:rsid w:val="005B47AA"/>
    <w:rsid w:val="005B514B"/>
    <w:rsid w:val="005B5499"/>
    <w:rsid w:val="005B5982"/>
    <w:rsid w:val="005B61A3"/>
    <w:rsid w:val="005B634A"/>
    <w:rsid w:val="005B6BA3"/>
    <w:rsid w:val="005B6E03"/>
    <w:rsid w:val="005B75EE"/>
    <w:rsid w:val="005B7D8A"/>
    <w:rsid w:val="005C012B"/>
    <w:rsid w:val="005C01D0"/>
    <w:rsid w:val="005C04C7"/>
    <w:rsid w:val="005C0C7F"/>
    <w:rsid w:val="005C0CAA"/>
    <w:rsid w:val="005C1156"/>
    <w:rsid w:val="005C167A"/>
    <w:rsid w:val="005C194E"/>
    <w:rsid w:val="005C28A0"/>
    <w:rsid w:val="005C2B54"/>
    <w:rsid w:val="005C31AB"/>
    <w:rsid w:val="005C3429"/>
    <w:rsid w:val="005C39DD"/>
    <w:rsid w:val="005C44A5"/>
    <w:rsid w:val="005C5D5C"/>
    <w:rsid w:val="005C61BF"/>
    <w:rsid w:val="005C6933"/>
    <w:rsid w:val="005D0076"/>
    <w:rsid w:val="005D01C8"/>
    <w:rsid w:val="005D0D72"/>
    <w:rsid w:val="005D0FEF"/>
    <w:rsid w:val="005D104E"/>
    <w:rsid w:val="005D1600"/>
    <w:rsid w:val="005D1F54"/>
    <w:rsid w:val="005D26B7"/>
    <w:rsid w:val="005D2C4D"/>
    <w:rsid w:val="005D2CD7"/>
    <w:rsid w:val="005D33A7"/>
    <w:rsid w:val="005D35DB"/>
    <w:rsid w:val="005D3631"/>
    <w:rsid w:val="005D36AB"/>
    <w:rsid w:val="005D3820"/>
    <w:rsid w:val="005D3E8C"/>
    <w:rsid w:val="005D3E9C"/>
    <w:rsid w:val="005D508E"/>
    <w:rsid w:val="005D58E0"/>
    <w:rsid w:val="005D6037"/>
    <w:rsid w:val="005D6481"/>
    <w:rsid w:val="005D6775"/>
    <w:rsid w:val="005D6CB6"/>
    <w:rsid w:val="005D7033"/>
    <w:rsid w:val="005D7636"/>
    <w:rsid w:val="005D763A"/>
    <w:rsid w:val="005E00A7"/>
    <w:rsid w:val="005E0457"/>
    <w:rsid w:val="005E06E2"/>
    <w:rsid w:val="005E0F60"/>
    <w:rsid w:val="005E1294"/>
    <w:rsid w:val="005E1872"/>
    <w:rsid w:val="005E1B0C"/>
    <w:rsid w:val="005E1BDB"/>
    <w:rsid w:val="005E2199"/>
    <w:rsid w:val="005E23FB"/>
    <w:rsid w:val="005E25D9"/>
    <w:rsid w:val="005E3159"/>
    <w:rsid w:val="005E3186"/>
    <w:rsid w:val="005E3B4A"/>
    <w:rsid w:val="005E4326"/>
    <w:rsid w:val="005E4884"/>
    <w:rsid w:val="005E4A64"/>
    <w:rsid w:val="005E5033"/>
    <w:rsid w:val="005E510E"/>
    <w:rsid w:val="005E5148"/>
    <w:rsid w:val="005E51B7"/>
    <w:rsid w:val="005E58F7"/>
    <w:rsid w:val="005E5996"/>
    <w:rsid w:val="005E5DC5"/>
    <w:rsid w:val="005E6091"/>
    <w:rsid w:val="005E6996"/>
    <w:rsid w:val="005E6A35"/>
    <w:rsid w:val="005E7C5A"/>
    <w:rsid w:val="005E7DE4"/>
    <w:rsid w:val="005F0071"/>
    <w:rsid w:val="005F05CD"/>
    <w:rsid w:val="005F0D50"/>
    <w:rsid w:val="005F10F4"/>
    <w:rsid w:val="005F1713"/>
    <w:rsid w:val="005F18B4"/>
    <w:rsid w:val="005F1E77"/>
    <w:rsid w:val="005F2AD2"/>
    <w:rsid w:val="005F2F17"/>
    <w:rsid w:val="005F30CE"/>
    <w:rsid w:val="005F30ED"/>
    <w:rsid w:val="005F349B"/>
    <w:rsid w:val="005F35DA"/>
    <w:rsid w:val="005F3884"/>
    <w:rsid w:val="005F3958"/>
    <w:rsid w:val="005F3E16"/>
    <w:rsid w:val="005F419C"/>
    <w:rsid w:val="005F4B72"/>
    <w:rsid w:val="005F4FCA"/>
    <w:rsid w:val="005F5E93"/>
    <w:rsid w:val="005F63ED"/>
    <w:rsid w:val="005F7592"/>
    <w:rsid w:val="005F76AF"/>
    <w:rsid w:val="005F772F"/>
    <w:rsid w:val="005F78D6"/>
    <w:rsid w:val="00600009"/>
    <w:rsid w:val="006001AB"/>
    <w:rsid w:val="00600576"/>
    <w:rsid w:val="00600DAD"/>
    <w:rsid w:val="00600F7A"/>
    <w:rsid w:val="00601452"/>
    <w:rsid w:val="00602458"/>
    <w:rsid w:val="006024D8"/>
    <w:rsid w:val="006027EF"/>
    <w:rsid w:val="006028E0"/>
    <w:rsid w:val="00602DE4"/>
    <w:rsid w:val="006030F9"/>
    <w:rsid w:val="006036D8"/>
    <w:rsid w:val="00603886"/>
    <w:rsid w:val="00604886"/>
    <w:rsid w:val="0060496E"/>
    <w:rsid w:val="00604E5F"/>
    <w:rsid w:val="00604F91"/>
    <w:rsid w:val="00605261"/>
    <w:rsid w:val="0060541E"/>
    <w:rsid w:val="00605FA3"/>
    <w:rsid w:val="00606D56"/>
    <w:rsid w:val="00606D75"/>
    <w:rsid w:val="006072DE"/>
    <w:rsid w:val="006073B5"/>
    <w:rsid w:val="00607555"/>
    <w:rsid w:val="00610E04"/>
    <w:rsid w:val="00610EC4"/>
    <w:rsid w:val="00611605"/>
    <w:rsid w:val="00611F1C"/>
    <w:rsid w:val="00611F7C"/>
    <w:rsid w:val="00612028"/>
    <w:rsid w:val="00612201"/>
    <w:rsid w:val="006123E2"/>
    <w:rsid w:val="00612614"/>
    <w:rsid w:val="00612F80"/>
    <w:rsid w:val="00613791"/>
    <w:rsid w:val="0061408A"/>
    <w:rsid w:val="00614267"/>
    <w:rsid w:val="00614419"/>
    <w:rsid w:val="00614843"/>
    <w:rsid w:val="006155D5"/>
    <w:rsid w:val="00616301"/>
    <w:rsid w:val="00616451"/>
    <w:rsid w:val="006167DF"/>
    <w:rsid w:val="00616A1E"/>
    <w:rsid w:val="00616A2C"/>
    <w:rsid w:val="00616E05"/>
    <w:rsid w:val="00617BEB"/>
    <w:rsid w:val="00617CC3"/>
    <w:rsid w:val="006200AE"/>
    <w:rsid w:val="00620DE0"/>
    <w:rsid w:val="006223E8"/>
    <w:rsid w:val="00622B95"/>
    <w:rsid w:val="00622FF4"/>
    <w:rsid w:val="00623108"/>
    <w:rsid w:val="00623365"/>
    <w:rsid w:val="0062346B"/>
    <w:rsid w:val="006235FB"/>
    <w:rsid w:val="0062363B"/>
    <w:rsid w:val="00624033"/>
    <w:rsid w:val="0062453E"/>
    <w:rsid w:val="00624850"/>
    <w:rsid w:val="00624C76"/>
    <w:rsid w:val="00624D55"/>
    <w:rsid w:val="006264F4"/>
    <w:rsid w:val="00626FFE"/>
    <w:rsid w:val="00627836"/>
    <w:rsid w:val="00627EF3"/>
    <w:rsid w:val="00627F93"/>
    <w:rsid w:val="00630D86"/>
    <w:rsid w:val="00631046"/>
    <w:rsid w:val="0063136F"/>
    <w:rsid w:val="00631433"/>
    <w:rsid w:val="0063189E"/>
    <w:rsid w:val="00631903"/>
    <w:rsid w:val="0063206A"/>
    <w:rsid w:val="00632B17"/>
    <w:rsid w:val="00632BAD"/>
    <w:rsid w:val="00632C05"/>
    <w:rsid w:val="00632F6E"/>
    <w:rsid w:val="00633465"/>
    <w:rsid w:val="006335A3"/>
    <w:rsid w:val="006335C7"/>
    <w:rsid w:val="00633B64"/>
    <w:rsid w:val="00633EC2"/>
    <w:rsid w:val="00634061"/>
    <w:rsid w:val="00634489"/>
    <w:rsid w:val="00634B0F"/>
    <w:rsid w:val="00635136"/>
    <w:rsid w:val="0063542F"/>
    <w:rsid w:val="006357C3"/>
    <w:rsid w:val="0063581E"/>
    <w:rsid w:val="00635890"/>
    <w:rsid w:val="006359B3"/>
    <w:rsid w:val="00636D63"/>
    <w:rsid w:val="006377A6"/>
    <w:rsid w:val="00637956"/>
    <w:rsid w:val="00637A3D"/>
    <w:rsid w:val="00637ABB"/>
    <w:rsid w:val="00640622"/>
    <w:rsid w:val="00640990"/>
    <w:rsid w:val="006409E6"/>
    <w:rsid w:val="00640FCC"/>
    <w:rsid w:val="006410F5"/>
    <w:rsid w:val="006411EF"/>
    <w:rsid w:val="006413A9"/>
    <w:rsid w:val="00641A0A"/>
    <w:rsid w:val="00641F61"/>
    <w:rsid w:val="006425AC"/>
    <w:rsid w:val="00642933"/>
    <w:rsid w:val="00642AA0"/>
    <w:rsid w:val="00642BC0"/>
    <w:rsid w:val="00642E75"/>
    <w:rsid w:val="006434F2"/>
    <w:rsid w:val="0064367C"/>
    <w:rsid w:val="0064378A"/>
    <w:rsid w:val="00643B09"/>
    <w:rsid w:val="00643B4B"/>
    <w:rsid w:val="0064451C"/>
    <w:rsid w:val="006457DE"/>
    <w:rsid w:val="00646E21"/>
    <w:rsid w:val="00646EB6"/>
    <w:rsid w:val="006470D6"/>
    <w:rsid w:val="00647754"/>
    <w:rsid w:val="006478D2"/>
    <w:rsid w:val="00647A09"/>
    <w:rsid w:val="00647B21"/>
    <w:rsid w:val="006502D8"/>
    <w:rsid w:val="0065061A"/>
    <w:rsid w:val="00650B7C"/>
    <w:rsid w:val="00650EF9"/>
    <w:rsid w:val="00651133"/>
    <w:rsid w:val="0065132D"/>
    <w:rsid w:val="00651740"/>
    <w:rsid w:val="0065191F"/>
    <w:rsid w:val="0065204B"/>
    <w:rsid w:val="00652223"/>
    <w:rsid w:val="00653F45"/>
    <w:rsid w:val="00654BE7"/>
    <w:rsid w:val="00654FC9"/>
    <w:rsid w:val="006566F0"/>
    <w:rsid w:val="00656705"/>
    <w:rsid w:val="00656C5B"/>
    <w:rsid w:val="0065714B"/>
    <w:rsid w:val="00657EFB"/>
    <w:rsid w:val="00660132"/>
    <w:rsid w:val="006609BF"/>
    <w:rsid w:val="00661713"/>
    <w:rsid w:val="00661948"/>
    <w:rsid w:val="006619C3"/>
    <w:rsid w:val="00661AA4"/>
    <w:rsid w:val="00661CDF"/>
    <w:rsid w:val="00662637"/>
    <w:rsid w:val="00662729"/>
    <w:rsid w:val="00662F11"/>
    <w:rsid w:val="00663905"/>
    <w:rsid w:val="00663998"/>
    <w:rsid w:val="00663E29"/>
    <w:rsid w:val="0066411E"/>
    <w:rsid w:val="0066420A"/>
    <w:rsid w:val="006657C3"/>
    <w:rsid w:val="00666274"/>
    <w:rsid w:val="006675F7"/>
    <w:rsid w:val="006700BD"/>
    <w:rsid w:val="00670237"/>
    <w:rsid w:val="00671DEC"/>
    <w:rsid w:val="0067207A"/>
    <w:rsid w:val="00672F31"/>
    <w:rsid w:val="006731C0"/>
    <w:rsid w:val="006732AC"/>
    <w:rsid w:val="00673314"/>
    <w:rsid w:val="00673461"/>
    <w:rsid w:val="00673EF2"/>
    <w:rsid w:val="006748B8"/>
    <w:rsid w:val="00675045"/>
    <w:rsid w:val="00675406"/>
    <w:rsid w:val="006762DA"/>
    <w:rsid w:val="00676C23"/>
    <w:rsid w:val="00676CFA"/>
    <w:rsid w:val="006772F3"/>
    <w:rsid w:val="0067748D"/>
    <w:rsid w:val="00677533"/>
    <w:rsid w:val="006775C3"/>
    <w:rsid w:val="00677F32"/>
    <w:rsid w:val="00680911"/>
    <w:rsid w:val="00680BE8"/>
    <w:rsid w:val="0068117D"/>
    <w:rsid w:val="006813FD"/>
    <w:rsid w:val="006818D2"/>
    <w:rsid w:val="0068195B"/>
    <w:rsid w:val="00681985"/>
    <w:rsid w:val="00681C15"/>
    <w:rsid w:val="00681D2A"/>
    <w:rsid w:val="00682038"/>
    <w:rsid w:val="00682788"/>
    <w:rsid w:val="006829D7"/>
    <w:rsid w:val="00682EB1"/>
    <w:rsid w:val="00683843"/>
    <w:rsid w:val="00684324"/>
    <w:rsid w:val="006844D5"/>
    <w:rsid w:val="006851C4"/>
    <w:rsid w:val="00685855"/>
    <w:rsid w:val="00685A27"/>
    <w:rsid w:val="00685B06"/>
    <w:rsid w:val="00687A25"/>
    <w:rsid w:val="00690285"/>
    <w:rsid w:val="0069093E"/>
    <w:rsid w:val="0069171C"/>
    <w:rsid w:val="00691AD0"/>
    <w:rsid w:val="00691E18"/>
    <w:rsid w:val="0069290A"/>
    <w:rsid w:val="00692CB8"/>
    <w:rsid w:val="00693108"/>
    <w:rsid w:val="0069362B"/>
    <w:rsid w:val="00694669"/>
    <w:rsid w:val="00695A38"/>
    <w:rsid w:val="00695B8F"/>
    <w:rsid w:val="006967E3"/>
    <w:rsid w:val="00697457"/>
    <w:rsid w:val="0069775A"/>
    <w:rsid w:val="00697813"/>
    <w:rsid w:val="00697FA1"/>
    <w:rsid w:val="006A03CB"/>
    <w:rsid w:val="006A089C"/>
    <w:rsid w:val="006A0D6B"/>
    <w:rsid w:val="006A0DC4"/>
    <w:rsid w:val="006A1088"/>
    <w:rsid w:val="006A10D0"/>
    <w:rsid w:val="006A12C0"/>
    <w:rsid w:val="006A13D8"/>
    <w:rsid w:val="006A1C1E"/>
    <w:rsid w:val="006A25CE"/>
    <w:rsid w:val="006A30EE"/>
    <w:rsid w:val="006A3EE8"/>
    <w:rsid w:val="006A464B"/>
    <w:rsid w:val="006A4D2A"/>
    <w:rsid w:val="006A4D40"/>
    <w:rsid w:val="006A5034"/>
    <w:rsid w:val="006A5047"/>
    <w:rsid w:val="006A55F8"/>
    <w:rsid w:val="006A5794"/>
    <w:rsid w:val="006A5FE7"/>
    <w:rsid w:val="006A6022"/>
    <w:rsid w:val="006A622E"/>
    <w:rsid w:val="006A6788"/>
    <w:rsid w:val="006A688D"/>
    <w:rsid w:val="006A6A19"/>
    <w:rsid w:val="006A6AAF"/>
    <w:rsid w:val="006A6AE5"/>
    <w:rsid w:val="006A6BB1"/>
    <w:rsid w:val="006A72BF"/>
    <w:rsid w:val="006A7303"/>
    <w:rsid w:val="006A749E"/>
    <w:rsid w:val="006B03F2"/>
    <w:rsid w:val="006B0FAA"/>
    <w:rsid w:val="006B1170"/>
    <w:rsid w:val="006B15BF"/>
    <w:rsid w:val="006B160F"/>
    <w:rsid w:val="006B19D4"/>
    <w:rsid w:val="006B2444"/>
    <w:rsid w:val="006B29EC"/>
    <w:rsid w:val="006B2A35"/>
    <w:rsid w:val="006B2DF6"/>
    <w:rsid w:val="006B2F3B"/>
    <w:rsid w:val="006B3629"/>
    <w:rsid w:val="006B37DC"/>
    <w:rsid w:val="006B4709"/>
    <w:rsid w:val="006B4840"/>
    <w:rsid w:val="006B4F68"/>
    <w:rsid w:val="006B5562"/>
    <w:rsid w:val="006B56F0"/>
    <w:rsid w:val="006B5CBF"/>
    <w:rsid w:val="006B6504"/>
    <w:rsid w:val="006B7D64"/>
    <w:rsid w:val="006B7E58"/>
    <w:rsid w:val="006C0054"/>
    <w:rsid w:val="006C0592"/>
    <w:rsid w:val="006C0FBC"/>
    <w:rsid w:val="006C1877"/>
    <w:rsid w:val="006C1E33"/>
    <w:rsid w:val="006C272E"/>
    <w:rsid w:val="006C2C21"/>
    <w:rsid w:val="006C2C77"/>
    <w:rsid w:val="006C3579"/>
    <w:rsid w:val="006C3614"/>
    <w:rsid w:val="006C3FEB"/>
    <w:rsid w:val="006C420F"/>
    <w:rsid w:val="006C45FC"/>
    <w:rsid w:val="006C4649"/>
    <w:rsid w:val="006C4852"/>
    <w:rsid w:val="006C5011"/>
    <w:rsid w:val="006C51BA"/>
    <w:rsid w:val="006C51D8"/>
    <w:rsid w:val="006C5479"/>
    <w:rsid w:val="006C5E30"/>
    <w:rsid w:val="006C601A"/>
    <w:rsid w:val="006C61A3"/>
    <w:rsid w:val="006C648A"/>
    <w:rsid w:val="006C67E7"/>
    <w:rsid w:val="006C69BA"/>
    <w:rsid w:val="006C7003"/>
    <w:rsid w:val="006C70C2"/>
    <w:rsid w:val="006C72E1"/>
    <w:rsid w:val="006C7F4D"/>
    <w:rsid w:val="006D007F"/>
    <w:rsid w:val="006D0724"/>
    <w:rsid w:val="006D0986"/>
    <w:rsid w:val="006D09C6"/>
    <w:rsid w:val="006D0FBE"/>
    <w:rsid w:val="006D0FE6"/>
    <w:rsid w:val="006D1363"/>
    <w:rsid w:val="006D13B5"/>
    <w:rsid w:val="006D1D82"/>
    <w:rsid w:val="006D22AA"/>
    <w:rsid w:val="006D2AB9"/>
    <w:rsid w:val="006D2C5F"/>
    <w:rsid w:val="006D2DDC"/>
    <w:rsid w:val="006D3283"/>
    <w:rsid w:val="006D3F67"/>
    <w:rsid w:val="006D500B"/>
    <w:rsid w:val="006D5C0D"/>
    <w:rsid w:val="006D5C83"/>
    <w:rsid w:val="006D5CF1"/>
    <w:rsid w:val="006D5D50"/>
    <w:rsid w:val="006D5DD8"/>
    <w:rsid w:val="006D620F"/>
    <w:rsid w:val="006D648C"/>
    <w:rsid w:val="006D78F7"/>
    <w:rsid w:val="006D79B4"/>
    <w:rsid w:val="006E0069"/>
    <w:rsid w:val="006E0ABD"/>
    <w:rsid w:val="006E0CE2"/>
    <w:rsid w:val="006E0E77"/>
    <w:rsid w:val="006E12FF"/>
    <w:rsid w:val="006E13A4"/>
    <w:rsid w:val="006E14E5"/>
    <w:rsid w:val="006E21B3"/>
    <w:rsid w:val="006E23F5"/>
    <w:rsid w:val="006E2921"/>
    <w:rsid w:val="006E2D5B"/>
    <w:rsid w:val="006E39A9"/>
    <w:rsid w:val="006E4211"/>
    <w:rsid w:val="006E4764"/>
    <w:rsid w:val="006E487D"/>
    <w:rsid w:val="006E4A67"/>
    <w:rsid w:val="006E5157"/>
    <w:rsid w:val="006E56D4"/>
    <w:rsid w:val="006E5838"/>
    <w:rsid w:val="006E5B77"/>
    <w:rsid w:val="006E5CDE"/>
    <w:rsid w:val="006E607E"/>
    <w:rsid w:val="006E6500"/>
    <w:rsid w:val="006E65C1"/>
    <w:rsid w:val="006E65C5"/>
    <w:rsid w:val="006E6633"/>
    <w:rsid w:val="006E6712"/>
    <w:rsid w:val="006E6AB8"/>
    <w:rsid w:val="006E6AEA"/>
    <w:rsid w:val="006E6BBF"/>
    <w:rsid w:val="006E6F13"/>
    <w:rsid w:val="006E75A2"/>
    <w:rsid w:val="006E7776"/>
    <w:rsid w:val="006E7856"/>
    <w:rsid w:val="006E7A24"/>
    <w:rsid w:val="006E7FAD"/>
    <w:rsid w:val="006F00DF"/>
    <w:rsid w:val="006F01FC"/>
    <w:rsid w:val="006F0519"/>
    <w:rsid w:val="006F0EC8"/>
    <w:rsid w:val="006F133F"/>
    <w:rsid w:val="006F13FF"/>
    <w:rsid w:val="006F1612"/>
    <w:rsid w:val="006F177A"/>
    <w:rsid w:val="006F1C89"/>
    <w:rsid w:val="006F21A3"/>
    <w:rsid w:val="006F2842"/>
    <w:rsid w:val="006F2A4B"/>
    <w:rsid w:val="006F2C83"/>
    <w:rsid w:val="006F2D56"/>
    <w:rsid w:val="006F32AE"/>
    <w:rsid w:val="006F39DD"/>
    <w:rsid w:val="006F42B8"/>
    <w:rsid w:val="006F4444"/>
    <w:rsid w:val="006F475F"/>
    <w:rsid w:val="006F48DF"/>
    <w:rsid w:val="006F5616"/>
    <w:rsid w:val="006F571C"/>
    <w:rsid w:val="006F5E79"/>
    <w:rsid w:val="006F5EBA"/>
    <w:rsid w:val="006F5EEB"/>
    <w:rsid w:val="006F727A"/>
    <w:rsid w:val="006F734B"/>
    <w:rsid w:val="006F749E"/>
    <w:rsid w:val="006F7789"/>
    <w:rsid w:val="006F7F36"/>
    <w:rsid w:val="007001EB"/>
    <w:rsid w:val="00701B22"/>
    <w:rsid w:val="00701D8E"/>
    <w:rsid w:val="00701E50"/>
    <w:rsid w:val="00702142"/>
    <w:rsid w:val="00703996"/>
    <w:rsid w:val="00703CA3"/>
    <w:rsid w:val="00704292"/>
    <w:rsid w:val="00704694"/>
    <w:rsid w:val="00704F3C"/>
    <w:rsid w:val="00705DB8"/>
    <w:rsid w:val="00706C0B"/>
    <w:rsid w:val="00706C5D"/>
    <w:rsid w:val="0070739E"/>
    <w:rsid w:val="00710CC3"/>
    <w:rsid w:val="007110DB"/>
    <w:rsid w:val="00711B6A"/>
    <w:rsid w:val="007123DB"/>
    <w:rsid w:val="0071245C"/>
    <w:rsid w:val="0071261A"/>
    <w:rsid w:val="00712C72"/>
    <w:rsid w:val="007130ED"/>
    <w:rsid w:val="00713D50"/>
    <w:rsid w:val="0071424C"/>
    <w:rsid w:val="007147E8"/>
    <w:rsid w:val="00714887"/>
    <w:rsid w:val="00714B16"/>
    <w:rsid w:val="00714B4D"/>
    <w:rsid w:val="00715ABF"/>
    <w:rsid w:val="007168A9"/>
    <w:rsid w:val="00717999"/>
    <w:rsid w:val="00717D64"/>
    <w:rsid w:val="00717EB3"/>
    <w:rsid w:val="007225AE"/>
    <w:rsid w:val="00722851"/>
    <w:rsid w:val="00722DEA"/>
    <w:rsid w:val="0072382F"/>
    <w:rsid w:val="0072420B"/>
    <w:rsid w:val="00724EF9"/>
    <w:rsid w:val="0072501D"/>
    <w:rsid w:val="007251A1"/>
    <w:rsid w:val="007253A2"/>
    <w:rsid w:val="00725FEC"/>
    <w:rsid w:val="00726147"/>
    <w:rsid w:val="00726AB1"/>
    <w:rsid w:val="0072744E"/>
    <w:rsid w:val="00727828"/>
    <w:rsid w:val="00730219"/>
    <w:rsid w:val="00730A57"/>
    <w:rsid w:val="00730B6C"/>
    <w:rsid w:val="00731BD0"/>
    <w:rsid w:val="00732922"/>
    <w:rsid w:val="00732CA4"/>
    <w:rsid w:val="00732F43"/>
    <w:rsid w:val="00733E4D"/>
    <w:rsid w:val="00734AC3"/>
    <w:rsid w:val="00734B02"/>
    <w:rsid w:val="00735491"/>
    <w:rsid w:val="0073565B"/>
    <w:rsid w:val="0073575D"/>
    <w:rsid w:val="00735779"/>
    <w:rsid w:val="00736120"/>
    <w:rsid w:val="00736D05"/>
    <w:rsid w:val="0073756F"/>
    <w:rsid w:val="0073780F"/>
    <w:rsid w:val="00737E78"/>
    <w:rsid w:val="00740746"/>
    <w:rsid w:val="00740A84"/>
    <w:rsid w:val="00741358"/>
    <w:rsid w:val="007413D5"/>
    <w:rsid w:val="007417C5"/>
    <w:rsid w:val="007418F6"/>
    <w:rsid w:val="00741C72"/>
    <w:rsid w:val="00741DDB"/>
    <w:rsid w:val="00741E6C"/>
    <w:rsid w:val="00742FF5"/>
    <w:rsid w:val="00743AF2"/>
    <w:rsid w:val="007444B5"/>
    <w:rsid w:val="0074489B"/>
    <w:rsid w:val="00745186"/>
    <w:rsid w:val="0074569E"/>
    <w:rsid w:val="00745B00"/>
    <w:rsid w:val="00745DD8"/>
    <w:rsid w:val="00745F33"/>
    <w:rsid w:val="00746DEB"/>
    <w:rsid w:val="00746EDA"/>
    <w:rsid w:val="007470C6"/>
    <w:rsid w:val="00747164"/>
    <w:rsid w:val="0075082C"/>
    <w:rsid w:val="00751531"/>
    <w:rsid w:val="0075156D"/>
    <w:rsid w:val="0075162E"/>
    <w:rsid w:val="00751BA8"/>
    <w:rsid w:val="00751D57"/>
    <w:rsid w:val="00751F6A"/>
    <w:rsid w:val="00752843"/>
    <w:rsid w:val="00752B55"/>
    <w:rsid w:val="00752D6C"/>
    <w:rsid w:val="00753014"/>
    <w:rsid w:val="0075322C"/>
    <w:rsid w:val="007532A1"/>
    <w:rsid w:val="00753310"/>
    <w:rsid w:val="00754034"/>
    <w:rsid w:val="007549C6"/>
    <w:rsid w:val="00754DD0"/>
    <w:rsid w:val="00754DFE"/>
    <w:rsid w:val="00754ECD"/>
    <w:rsid w:val="0075502E"/>
    <w:rsid w:val="0075503B"/>
    <w:rsid w:val="00755135"/>
    <w:rsid w:val="0075539C"/>
    <w:rsid w:val="007562EC"/>
    <w:rsid w:val="00756556"/>
    <w:rsid w:val="007568A6"/>
    <w:rsid w:val="00756D53"/>
    <w:rsid w:val="00757392"/>
    <w:rsid w:val="007576CC"/>
    <w:rsid w:val="00757C41"/>
    <w:rsid w:val="00757C9B"/>
    <w:rsid w:val="00760691"/>
    <w:rsid w:val="00760749"/>
    <w:rsid w:val="00760B85"/>
    <w:rsid w:val="00761392"/>
    <w:rsid w:val="007618C4"/>
    <w:rsid w:val="00761999"/>
    <w:rsid w:val="00761FDD"/>
    <w:rsid w:val="007623E1"/>
    <w:rsid w:val="0076322A"/>
    <w:rsid w:val="007640C8"/>
    <w:rsid w:val="007647F9"/>
    <w:rsid w:val="00764BCF"/>
    <w:rsid w:val="0076538C"/>
    <w:rsid w:val="007653AC"/>
    <w:rsid w:val="007653C8"/>
    <w:rsid w:val="00765466"/>
    <w:rsid w:val="0076597A"/>
    <w:rsid w:val="007659BF"/>
    <w:rsid w:val="00765F97"/>
    <w:rsid w:val="007660F0"/>
    <w:rsid w:val="0076655C"/>
    <w:rsid w:val="00766623"/>
    <w:rsid w:val="00766B84"/>
    <w:rsid w:val="00766CC2"/>
    <w:rsid w:val="00766CDE"/>
    <w:rsid w:val="00767980"/>
    <w:rsid w:val="00770B19"/>
    <w:rsid w:val="00770F41"/>
    <w:rsid w:val="007717A7"/>
    <w:rsid w:val="00771D6C"/>
    <w:rsid w:val="00771F69"/>
    <w:rsid w:val="00772321"/>
    <w:rsid w:val="0077263F"/>
    <w:rsid w:val="00772980"/>
    <w:rsid w:val="00772B63"/>
    <w:rsid w:val="0077311C"/>
    <w:rsid w:val="00773E26"/>
    <w:rsid w:val="00774258"/>
    <w:rsid w:val="0077463F"/>
    <w:rsid w:val="00774FE0"/>
    <w:rsid w:val="007751D6"/>
    <w:rsid w:val="00775539"/>
    <w:rsid w:val="007755B8"/>
    <w:rsid w:val="007757AC"/>
    <w:rsid w:val="007760A6"/>
    <w:rsid w:val="007763DA"/>
    <w:rsid w:val="00776576"/>
    <w:rsid w:val="00777F5B"/>
    <w:rsid w:val="00780DD8"/>
    <w:rsid w:val="00780F8C"/>
    <w:rsid w:val="00781090"/>
    <w:rsid w:val="0078141E"/>
    <w:rsid w:val="00781C8C"/>
    <w:rsid w:val="00781EFA"/>
    <w:rsid w:val="007826AA"/>
    <w:rsid w:val="00782A20"/>
    <w:rsid w:val="00782AB9"/>
    <w:rsid w:val="007836EA"/>
    <w:rsid w:val="007840A6"/>
    <w:rsid w:val="007843C3"/>
    <w:rsid w:val="00784481"/>
    <w:rsid w:val="00784634"/>
    <w:rsid w:val="007847CC"/>
    <w:rsid w:val="0078492A"/>
    <w:rsid w:val="00784A6C"/>
    <w:rsid w:val="00784CDA"/>
    <w:rsid w:val="00785760"/>
    <w:rsid w:val="00786513"/>
    <w:rsid w:val="007870E0"/>
    <w:rsid w:val="00787C0C"/>
    <w:rsid w:val="00787CF0"/>
    <w:rsid w:val="007906C4"/>
    <w:rsid w:val="007917D1"/>
    <w:rsid w:val="007926D1"/>
    <w:rsid w:val="00792950"/>
    <w:rsid w:val="00792E70"/>
    <w:rsid w:val="007937D9"/>
    <w:rsid w:val="00793E3A"/>
    <w:rsid w:val="00794023"/>
    <w:rsid w:val="007940EA"/>
    <w:rsid w:val="007949B1"/>
    <w:rsid w:val="00795205"/>
    <w:rsid w:val="0079594B"/>
    <w:rsid w:val="00795A08"/>
    <w:rsid w:val="00796552"/>
    <w:rsid w:val="00796571"/>
    <w:rsid w:val="007967E8"/>
    <w:rsid w:val="00797341"/>
    <w:rsid w:val="00797CF2"/>
    <w:rsid w:val="00797DFB"/>
    <w:rsid w:val="007A0841"/>
    <w:rsid w:val="007A0A12"/>
    <w:rsid w:val="007A0AEF"/>
    <w:rsid w:val="007A0F5B"/>
    <w:rsid w:val="007A1334"/>
    <w:rsid w:val="007A2170"/>
    <w:rsid w:val="007A22BF"/>
    <w:rsid w:val="007A2A04"/>
    <w:rsid w:val="007A2A10"/>
    <w:rsid w:val="007A2F4A"/>
    <w:rsid w:val="007A3323"/>
    <w:rsid w:val="007A522D"/>
    <w:rsid w:val="007A5609"/>
    <w:rsid w:val="007A56FA"/>
    <w:rsid w:val="007A635D"/>
    <w:rsid w:val="007A6432"/>
    <w:rsid w:val="007A6F35"/>
    <w:rsid w:val="007A7126"/>
    <w:rsid w:val="007A779A"/>
    <w:rsid w:val="007A7850"/>
    <w:rsid w:val="007A7F04"/>
    <w:rsid w:val="007B02A6"/>
    <w:rsid w:val="007B063D"/>
    <w:rsid w:val="007B0E4E"/>
    <w:rsid w:val="007B0F80"/>
    <w:rsid w:val="007B1182"/>
    <w:rsid w:val="007B1844"/>
    <w:rsid w:val="007B18EB"/>
    <w:rsid w:val="007B208C"/>
    <w:rsid w:val="007B265C"/>
    <w:rsid w:val="007B2E16"/>
    <w:rsid w:val="007B3515"/>
    <w:rsid w:val="007B3AB5"/>
    <w:rsid w:val="007B3E76"/>
    <w:rsid w:val="007B4CF0"/>
    <w:rsid w:val="007B5181"/>
    <w:rsid w:val="007B51A5"/>
    <w:rsid w:val="007B5711"/>
    <w:rsid w:val="007B5B0C"/>
    <w:rsid w:val="007B71B0"/>
    <w:rsid w:val="007B72B8"/>
    <w:rsid w:val="007B751A"/>
    <w:rsid w:val="007B7A58"/>
    <w:rsid w:val="007B7B51"/>
    <w:rsid w:val="007C0C3B"/>
    <w:rsid w:val="007C0D4A"/>
    <w:rsid w:val="007C0FBB"/>
    <w:rsid w:val="007C10A9"/>
    <w:rsid w:val="007C1D84"/>
    <w:rsid w:val="007C1E8C"/>
    <w:rsid w:val="007C21B5"/>
    <w:rsid w:val="007C24B4"/>
    <w:rsid w:val="007C344A"/>
    <w:rsid w:val="007C3865"/>
    <w:rsid w:val="007C59AB"/>
    <w:rsid w:val="007C59BB"/>
    <w:rsid w:val="007C60BE"/>
    <w:rsid w:val="007C6AA8"/>
    <w:rsid w:val="007C6CE3"/>
    <w:rsid w:val="007C7355"/>
    <w:rsid w:val="007C76A2"/>
    <w:rsid w:val="007D0EAF"/>
    <w:rsid w:val="007D10D0"/>
    <w:rsid w:val="007D134F"/>
    <w:rsid w:val="007D1455"/>
    <w:rsid w:val="007D1851"/>
    <w:rsid w:val="007D23CF"/>
    <w:rsid w:val="007D2BF2"/>
    <w:rsid w:val="007D2D71"/>
    <w:rsid w:val="007D39F3"/>
    <w:rsid w:val="007D5E19"/>
    <w:rsid w:val="007D5E32"/>
    <w:rsid w:val="007D5EBF"/>
    <w:rsid w:val="007D6139"/>
    <w:rsid w:val="007D61D1"/>
    <w:rsid w:val="007D62E8"/>
    <w:rsid w:val="007D6BA2"/>
    <w:rsid w:val="007D6CA8"/>
    <w:rsid w:val="007D6D63"/>
    <w:rsid w:val="007D75CC"/>
    <w:rsid w:val="007D7A9D"/>
    <w:rsid w:val="007E0080"/>
    <w:rsid w:val="007E0608"/>
    <w:rsid w:val="007E0BE2"/>
    <w:rsid w:val="007E1266"/>
    <w:rsid w:val="007E126D"/>
    <w:rsid w:val="007E141F"/>
    <w:rsid w:val="007E1E23"/>
    <w:rsid w:val="007E200E"/>
    <w:rsid w:val="007E226B"/>
    <w:rsid w:val="007E240F"/>
    <w:rsid w:val="007E2CD0"/>
    <w:rsid w:val="007E3929"/>
    <w:rsid w:val="007E45EC"/>
    <w:rsid w:val="007E4774"/>
    <w:rsid w:val="007E4A1B"/>
    <w:rsid w:val="007E4BD2"/>
    <w:rsid w:val="007E5184"/>
    <w:rsid w:val="007E562B"/>
    <w:rsid w:val="007E58BE"/>
    <w:rsid w:val="007E5B10"/>
    <w:rsid w:val="007E5E7D"/>
    <w:rsid w:val="007E6983"/>
    <w:rsid w:val="007E76DE"/>
    <w:rsid w:val="007E7A06"/>
    <w:rsid w:val="007F0532"/>
    <w:rsid w:val="007F09C1"/>
    <w:rsid w:val="007F1461"/>
    <w:rsid w:val="007F31F1"/>
    <w:rsid w:val="007F330A"/>
    <w:rsid w:val="007F3530"/>
    <w:rsid w:val="007F3C06"/>
    <w:rsid w:val="007F4844"/>
    <w:rsid w:val="007F4E63"/>
    <w:rsid w:val="007F613B"/>
    <w:rsid w:val="007F643F"/>
    <w:rsid w:val="007F6627"/>
    <w:rsid w:val="007F6CE9"/>
    <w:rsid w:val="007F6D06"/>
    <w:rsid w:val="007F6D32"/>
    <w:rsid w:val="007F6E1A"/>
    <w:rsid w:val="007F6FC8"/>
    <w:rsid w:val="007F7F2E"/>
    <w:rsid w:val="00800582"/>
    <w:rsid w:val="00800C51"/>
    <w:rsid w:val="00800F9A"/>
    <w:rsid w:val="00800FD8"/>
    <w:rsid w:val="00801393"/>
    <w:rsid w:val="00802220"/>
    <w:rsid w:val="00802DEA"/>
    <w:rsid w:val="00802F7B"/>
    <w:rsid w:val="00802F88"/>
    <w:rsid w:val="00803835"/>
    <w:rsid w:val="00803A99"/>
    <w:rsid w:val="0080683C"/>
    <w:rsid w:val="00806CAE"/>
    <w:rsid w:val="0080715E"/>
    <w:rsid w:val="00807800"/>
    <w:rsid w:val="0080798B"/>
    <w:rsid w:val="00807C40"/>
    <w:rsid w:val="008100BF"/>
    <w:rsid w:val="008105EF"/>
    <w:rsid w:val="00811068"/>
    <w:rsid w:val="008112C4"/>
    <w:rsid w:val="00811358"/>
    <w:rsid w:val="00811DBA"/>
    <w:rsid w:val="008121E5"/>
    <w:rsid w:val="0081293E"/>
    <w:rsid w:val="00812B61"/>
    <w:rsid w:val="00812C8C"/>
    <w:rsid w:val="00812DEC"/>
    <w:rsid w:val="0081357C"/>
    <w:rsid w:val="00813FC9"/>
    <w:rsid w:val="00815465"/>
    <w:rsid w:val="00815CAA"/>
    <w:rsid w:val="00815D32"/>
    <w:rsid w:val="00816AED"/>
    <w:rsid w:val="008171DC"/>
    <w:rsid w:val="00817958"/>
    <w:rsid w:val="00817BEF"/>
    <w:rsid w:val="00817C7D"/>
    <w:rsid w:val="00817CB5"/>
    <w:rsid w:val="00817DD3"/>
    <w:rsid w:val="00817E9A"/>
    <w:rsid w:val="008203FE"/>
    <w:rsid w:val="008205EC"/>
    <w:rsid w:val="008207BC"/>
    <w:rsid w:val="008208CA"/>
    <w:rsid w:val="00822E7C"/>
    <w:rsid w:val="00823921"/>
    <w:rsid w:val="0082464C"/>
    <w:rsid w:val="0082489F"/>
    <w:rsid w:val="0082622D"/>
    <w:rsid w:val="00826536"/>
    <w:rsid w:val="008272F7"/>
    <w:rsid w:val="0083036D"/>
    <w:rsid w:val="008305CC"/>
    <w:rsid w:val="008306BD"/>
    <w:rsid w:val="008306D4"/>
    <w:rsid w:val="00830730"/>
    <w:rsid w:val="0083194E"/>
    <w:rsid w:val="00831A80"/>
    <w:rsid w:val="00831D62"/>
    <w:rsid w:val="008325FA"/>
    <w:rsid w:val="00832AFD"/>
    <w:rsid w:val="00833743"/>
    <w:rsid w:val="00833DA0"/>
    <w:rsid w:val="008340A4"/>
    <w:rsid w:val="0083448C"/>
    <w:rsid w:val="008348F2"/>
    <w:rsid w:val="00834B29"/>
    <w:rsid w:val="00835158"/>
    <w:rsid w:val="008354F5"/>
    <w:rsid w:val="0083554E"/>
    <w:rsid w:val="008357D0"/>
    <w:rsid w:val="00836626"/>
    <w:rsid w:val="00836B01"/>
    <w:rsid w:val="00836D7F"/>
    <w:rsid w:val="00836DF2"/>
    <w:rsid w:val="00837208"/>
    <w:rsid w:val="008400EC"/>
    <w:rsid w:val="008403FC"/>
    <w:rsid w:val="008416C8"/>
    <w:rsid w:val="00841B27"/>
    <w:rsid w:val="008427A0"/>
    <w:rsid w:val="00843306"/>
    <w:rsid w:val="00843D3A"/>
    <w:rsid w:val="008443C5"/>
    <w:rsid w:val="008447CA"/>
    <w:rsid w:val="00845284"/>
    <w:rsid w:val="00847109"/>
    <w:rsid w:val="00847702"/>
    <w:rsid w:val="008478CE"/>
    <w:rsid w:val="0084790F"/>
    <w:rsid w:val="00847E87"/>
    <w:rsid w:val="00847F36"/>
    <w:rsid w:val="00850071"/>
    <w:rsid w:val="00850213"/>
    <w:rsid w:val="00850B23"/>
    <w:rsid w:val="00851145"/>
    <w:rsid w:val="00851550"/>
    <w:rsid w:val="0085166C"/>
    <w:rsid w:val="0085167E"/>
    <w:rsid w:val="008518F1"/>
    <w:rsid w:val="008522B1"/>
    <w:rsid w:val="00852A61"/>
    <w:rsid w:val="00852A69"/>
    <w:rsid w:val="0085417D"/>
    <w:rsid w:val="008542A3"/>
    <w:rsid w:val="0085496D"/>
    <w:rsid w:val="00854F27"/>
    <w:rsid w:val="0085556E"/>
    <w:rsid w:val="0085566E"/>
    <w:rsid w:val="0085567F"/>
    <w:rsid w:val="008559E7"/>
    <w:rsid w:val="0085666F"/>
    <w:rsid w:val="00856842"/>
    <w:rsid w:val="00856C83"/>
    <w:rsid w:val="00856FC3"/>
    <w:rsid w:val="0085787A"/>
    <w:rsid w:val="008578F7"/>
    <w:rsid w:val="00860798"/>
    <w:rsid w:val="00860A9B"/>
    <w:rsid w:val="00861110"/>
    <w:rsid w:val="00861988"/>
    <w:rsid w:val="008619CC"/>
    <w:rsid w:val="00861A05"/>
    <w:rsid w:val="00862149"/>
    <w:rsid w:val="008631A0"/>
    <w:rsid w:val="00864DA1"/>
    <w:rsid w:val="008652D1"/>
    <w:rsid w:val="008655DD"/>
    <w:rsid w:val="008657C1"/>
    <w:rsid w:val="008661C2"/>
    <w:rsid w:val="00866914"/>
    <w:rsid w:val="0086713D"/>
    <w:rsid w:val="00867204"/>
    <w:rsid w:val="008672E2"/>
    <w:rsid w:val="008675A5"/>
    <w:rsid w:val="00867720"/>
    <w:rsid w:val="008679D8"/>
    <w:rsid w:val="00867B19"/>
    <w:rsid w:val="00870968"/>
    <w:rsid w:val="00870A41"/>
    <w:rsid w:val="008711DF"/>
    <w:rsid w:val="0087135F"/>
    <w:rsid w:val="00871641"/>
    <w:rsid w:val="008717F6"/>
    <w:rsid w:val="00871C65"/>
    <w:rsid w:val="00871E73"/>
    <w:rsid w:val="00872A8C"/>
    <w:rsid w:val="00872BBD"/>
    <w:rsid w:val="00872D94"/>
    <w:rsid w:val="00874799"/>
    <w:rsid w:val="00874E45"/>
    <w:rsid w:val="00875180"/>
    <w:rsid w:val="00875549"/>
    <w:rsid w:val="00875907"/>
    <w:rsid w:val="00875A7B"/>
    <w:rsid w:val="00875DC7"/>
    <w:rsid w:val="00876BEB"/>
    <w:rsid w:val="00877124"/>
    <w:rsid w:val="0087763B"/>
    <w:rsid w:val="0087772A"/>
    <w:rsid w:val="00880364"/>
    <w:rsid w:val="00880B68"/>
    <w:rsid w:val="00880E5B"/>
    <w:rsid w:val="008812D4"/>
    <w:rsid w:val="00882039"/>
    <w:rsid w:val="00882216"/>
    <w:rsid w:val="0088232D"/>
    <w:rsid w:val="008824D1"/>
    <w:rsid w:val="00882C10"/>
    <w:rsid w:val="00882D7E"/>
    <w:rsid w:val="008830B1"/>
    <w:rsid w:val="008831BC"/>
    <w:rsid w:val="00883720"/>
    <w:rsid w:val="0088449F"/>
    <w:rsid w:val="008858C1"/>
    <w:rsid w:val="00885AB9"/>
    <w:rsid w:val="00885F92"/>
    <w:rsid w:val="00886077"/>
    <w:rsid w:val="0088709F"/>
    <w:rsid w:val="00887424"/>
    <w:rsid w:val="00887531"/>
    <w:rsid w:val="00887532"/>
    <w:rsid w:val="0088773C"/>
    <w:rsid w:val="008877D8"/>
    <w:rsid w:val="00890DB5"/>
    <w:rsid w:val="008913E4"/>
    <w:rsid w:val="00891592"/>
    <w:rsid w:val="0089161D"/>
    <w:rsid w:val="00891A5D"/>
    <w:rsid w:val="00891E9E"/>
    <w:rsid w:val="0089211F"/>
    <w:rsid w:val="00892BCF"/>
    <w:rsid w:val="00893C78"/>
    <w:rsid w:val="00893D62"/>
    <w:rsid w:val="00893FA5"/>
    <w:rsid w:val="00894232"/>
    <w:rsid w:val="008947A5"/>
    <w:rsid w:val="00894BBF"/>
    <w:rsid w:val="0089508F"/>
    <w:rsid w:val="00895AF3"/>
    <w:rsid w:val="00895EB7"/>
    <w:rsid w:val="00895FB1"/>
    <w:rsid w:val="00895FD1"/>
    <w:rsid w:val="00896205"/>
    <w:rsid w:val="008976A9"/>
    <w:rsid w:val="008977B0"/>
    <w:rsid w:val="00897EDE"/>
    <w:rsid w:val="008A01A3"/>
    <w:rsid w:val="008A073B"/>
    <w:rsid w:val="008A0790"/>
    <w:rsid w:val="008A0A87"/>
    <w:rsid w:val="008A0B7F"/>
    <w:rsid w:val="008A1435"/>
    <w:rsid w:val="008A16A2"/>
    <w:rsid w:val="008A2096"/>
    <w:rsid w:val="008A23C8"/>
    <w:rsid w:val="008A25C2"/>
    <w:rsid w:val="008A2B57"/>
    <w:rsid w:val="008A2E51"/>
    <w:rsid w:val="008A2F68"/>
    <w:rsid w:val="008A3217"/>
    <w:rsid w:val="008A36BF"/>
    <w:rsid w:val="008A3ED7"/>
    <w:rsid w:val="008A4064"/>
    <w:rsid w:val="008A439A"/>
    <w:rsid w:val="008A455C"/>
    <w:rsid w:val="008A48A7"/>
    <w:rsid w:val="008A4BE6"/>
    <w:rsid w:val="008A5505"/>
    <w:rsid w:val="008A5E11"/>
    <w:rsid w:val="008A6491"/>
    <w:rsid w:val="008A6C7D"/>
    <w:rsid w:val="008A7F67"/>
    <w:rsid w:val="008B080D"/>
    <w:rsid w:val="008B0BFD"/>
    <w:rsid w:val="008B16B8"/>
    <w:rsid w:val="008B25D6"/>
    <w:rsid w:val="008B2A4E"/>
    <w:rsid w:val="008B2C72"/>
    <w:rsid w:val="008B349E"/>
    <w:rsid w:val="008B36AE"/>
    <w:rsid w:val="008B3A9A"/>
    <w:rsid w:val="008B4C2A"/>
    <w:rsid w:val="008B4FA6"/>
    <w:rsid w:val="008B5282"/>
    <w:rsid w:val="008B5399"/>
    <w:rsid w:val="008B5B55"/>
    <w:rsid w:val="008B5C00"/>
    <w:rsid w:val="008B5ECD"/>
    <w:rsid w:val="008B5F8E"/>
    <w:rsid w:val="008B6E0D"/>
    <w:rsid w:val="008B7A33"/>
    <w:rsid w:val="008B7C17"/>
    <w:rsid w:val="008C0397"/>
    <w:rsid w:val="008C0474"/>
    <w:rsid w:val="008C1C78"/>
    <w:rsid w:val="008C22AE"/>
    <w:rsid w:val="008C2D01"/>
    <w:rsid w:val="008C2E11"/>
    <w:rsid w:val="008C3408"/>
    <w:rsid w:val="008C40E6"/>
    <w:rsid w:val="008C46C4"/>
    <w:rsid w:val="008C4B2B"/>
    <w:rsid w:val="008C50E0"/>
    <w:rsid w:val="008C5E6E"/>
    <w:rsid w:val="008C6EC9"/>
    <w:rsid w:val="008C79CE"/>
    <w:rsid w:val="008C7D6D"/>
    <w:rsid w:val="008D0263"/>
    <w:rsid w:val="008D0317"/>
    <w:rsid w:val="008D0940"/>
    <w:rsid w:val="008D0C1A"/>
    <w:rsid w:val="008D0D55"/>
    <w:rsid w:val="008D0F7A"/>
    <w:rsid w:val="008D1AB7"/>
    <w:rsid w:val="008D1E6A"/>
    <w:rsid w:val="008D22E4"/>
    <w:rsid w:val="008D232A"/>
    <w:rsid w:val="008D2446"/>
    <w:rsid w:val="008D2D8A"/>
    <w:rsid w:val="008D2D8F"/>
    <w:rsid w:val="008D2F68"/>
    <w:rsid w:val="008D3330"/>
    <w:rsid w:val="008D359E"/>
    <w:rsid w:val="008D4413"/>
    <w:rsid w:val="008D4E9A"/>
    <w:rsid w:val="008D4FC5"/>
    <w:rsid w:val="008D5F75"/>
    <w:rsid w:val="008D5FBD"/>
    <w:rsid w:val="008D60C5"/>
    <w:rsid w:val="008D68CC"/>
    <w:rsid w:val="008D68E4"/>
    <w:rsid w:val="008D7316"/>
    <w:rsid w:val="008D7BC1"/>
    <w:rsid w:val="008E038C"/>
    <w:rsid w:val="008E0506"/>
    <w:rsid w:val="008E0A8E"/>
    <w:rsid w:val="008E0AE9"/>
    <w:rsid w:val="008E0AFA"/>
    <w:rsid w:val="008E0CFF"/>
    <w:rsid w:val="008E1379"/>
    <w:rsid w:val="008E1A24"/>
    <w:rsid w:val="008E1B92"/>
    <w:rsid w:val="008E1CD6"/>
    <w:rsid w:val="008E238B"/>
    <w:rsid w:val="008E28E1"/>
    <w:rsid w:val="008E2E99"/>
    <w:rsid w:val="008E2EAF"/>
    <w:rsid w:val="008E31B7"/>
    <w:rsid w:val="008E3519"/>
    <w:rsid w:val="008E3676"/>
    <w:rsid w:val="008E385B"/>
    <w:rsid w:val="008E38CD"/>
    <w:rsid w:val="008E3926"/>
    <w:rsid w:val="008E3D56"/>
    <w:rsid w:val="008E3E7C"/>
    <w:rsid w:val="008E4EBB"/>
    <w:rsid w:val="008E4FE6"/>
    <w:rsid w:val="008E59A9"/>
    <w:rsid w:val="008E5D3D"/>
    <w:rsid w:val="008E5D6B"/>
    <w:rsid w:val="008E5ED0"/>
    <w:rsid w:val="008E6296"/>
    <w:rsid w:val="008E6B67"/>
    <w:rsid w:val="008E6EAE"/>
    <w:rsid w:val="008E75EE"/>
    <w:rsid w:val="008E76F0"/>
    <w:rsid w:val="008E7C9A"/>
    <w:rsid w:val="008F004B"/>
    <w:rsid w:val="008F1103"/>
    <w:rsid w:val="008F15FE"/>
    <w:rsid w:val="008F17D4"/>
    <w:rsid w:val="008F19DE"/>
    <w:rsid w:val="008F2690"/>
    <w:rsid w:val="008F2D23"/>
    <w:rsid w:val="008F2D29"/>
    <w:rsid w:val="008F2ED5"/>
    <w:rsid w:val="008F3042"/>
    <w:rsid w:val="008F38B5"/>
    <w:rsid w:val="008F39D3"/>
    <w:rsid w:val="008F405A"/>
    <w:rsid w:val="008F416C"/>
    <w:rsid w:val="008F42B3"/>
    <w:rsid w:val="008F46BE"/>
    <w:rsid w:val="008F4759"/>
    <w:rsid w:val="008F478F"/>
    <w:rsid w:val="008F4B4B"/>
    <w:rsid w:val="008F5187"/>
    <w:rsid w:val="008F55DE"/>
    <w:rsid w:val="008F58EA"/>
    <w:rsid w:val="008F5B7E"/>
    <w:rsid w:val="008F60D8"/>
    <w:rsid w:val="008F6972"/>
    <w:rsid w:val="008F6A0C"/>
    <w:rsid w:val="008F7613"/>
    <w:rsid w:val="008F7CD4"/>
    <w:rsid w:val="009015F4"/>
    <w:rsid w:val="00902727"/>
    <w:rsid w:val="00902932"/>
    <w:rsid w:val="00902F9C"/>
    <w:rsid w:val="0090312B"/>
    <w:rsid w:val="009044B8"/>
    <w:rsid w:val="0090507A"/>
    <w:rsid w:val="009050CF"/>
    <w:rsid w:val="0090588D"/>
    <w:rsid w:val="009058F3"/>
    <w:rsid w:val="009064C3"/>
    <w:rsid w:val="009068BB"/>
    <w:rsid w:val="00907740"/>
    <w:rsid w:val="00907A89"/>
    <w:rsid w:val="009103F8"/>
    <w:rsid w:val="00910B92"/>
    <w:rsid w:val="00910FCD"/>
    <w:rsid w:val="00911159"/>
    <w:rsid w:val="00912852"/>
    <w:rsid w:val="0091298B"/>
    <w:rsid w:val="00912EC2"/>
    <w:rsid w:val="009131A0"/>
    <w:rsid w:val="00913406"/>
    <w:rsid w:val="00913661"/>
    <w:rsid w:val="00913851"/>
    <w:rsid w:val="00915EA0"/>
    <w:rsid w:val="00916153"/>
    <w:rsid w:val="009162D1"/>
    <w:rsid w:val="0091655A"/>
    <w:rsid w:val="00916AF8"/>
    <w:rsid w:val="0091736D"/>
    <w:rsid w:val="00920382"/>
    <w:rsid w:val="009206D2"/>
    <w:rsid w:val="009209C1"/>
    <w:rsid w:val="00921017"/>
    <w:rsid w:val="009210CC"/>
    <w:rsid w:val="009214B1"/>
    <w:rsid w:val="009225FA"/>
    <w:rsid w:val="00922AF4"/>
    <w:rsid w:val="00922ED9"/>
    <w:rsid w:val="009240B6"/>
    <w:rsid w:val="009253EF"/>
    <w:rsid w:val="00925D0B"/>
    <w:rsid w:val="00925D43"/>
    <w:rsid w:val="00926039"/>
    <w:rsid w:val="009261C0"/>
    <w:rsid w:val="00926717"/>
    <w:rsid w:val="00926B53"/>
    <w:rsid w:val="00926ED2"/>
    <w:rsid w:val="009275FB"/>
    <w:rsid w:val="00927A8A"/>
    <w:rsid w:val="0093037A"/>
    <w:rsid w:val="0093051B"/>
    <w:rsid w:val="00930F0C"/>
    <w:rsid w:val="00930F7A"/>
    <w:rsid w:val="009311F5"/>
    <w:rsid w:val="00931738"/>
    <w:rsid w:val="00932A18"/>
    <w:rsid w:val="00933352"/>
    <w:rsid w:val="0093342A"/>
    <w:rsid w:val="00933614"/>
    <w:rsid w:val="00933AEB"/>
    <w:rsid w:val="00933C4B"/>
    <w:rsid w:val="00934855"/>
    <w:rsid w:val="0093510C"/>
    <w:rsid w:val="00935154"/>
    <w:rsid w:val="00935B0F"/>
    <w:rsid w:val="00935BF1"/>
    <w:rsid w:val="00935C0E"/>
    <w:rsid w:val="00935CC5"/>
    <w:rsid w:val="00935DF2"/>
    <w:rsid w:val="00935E10"/>
    <w:rsid w:val="009361E5"/>
    <w:rsid w:val="00936474"/>
    <w:rsid w:val="009365CC"/>
    <w:rsid w:val="00936819"/>
    <w:rsid w:val="00936C6E"/>
    <w:rsid w:val="00936CA9"/>
    <w:rsid w:val="00936CAB"/>
    <w:rsid w:val="00936EE4"/>
    <w:rsid w:val="00937BB9"/>
    <w:rsid w:val="00937C78"/>
    <w:rsid w:val="00937DB8"/>
    <w:rsid w:val="009400EB"/>
    <w:rsid w:val="0094100E"/>
    <w:rsid w:val="00941147"/>
    <w:rsid w:val="0094154D"/>
    <w:rsid w:val="009418ED"/>
    <w:rsid w:val="00941F3F"/>
    <w:rsid w:val="0094226B"/>
    <w:rsid w:val="00942570"/>
    <w:rsid w:val="00942AB4"/>
    <w:rsid w:val="0094364F"/>
    <w:rsid w:val="00944059"/>
    <w:rsid w:val="009442C2"/>
    <w:rsid w:val="00944A76"/>
    <w:rsid w:val="00945345"/>
    <w:rsid w:val="0094657E"/>
    <w:rsid w:val="00946903"/>
    <w:rsid w:val="00947014"/>
    <w:rsid w:val="0094766E"/>
    <w:rsid w:val="009503FB"/>
    <w:rsid w:val="00950A7F"/>
    <w:rsid w:val="0095155F"/>
    <w:rsid w:val="00951C2B"/>
    <w:rsid w:val="00951CC4"/>
    <w:rsid w:val="00951F26"/>
    <w:rsid w:val="00952165"/>
    <w:rsid w:val="00952C11"/>
    <w:rsid w:val="00952E2B"/>
    <w:rsid w:val="009534AC"/>
    <w:rsid w:val="00953897"/>
    <w:rsid w:val="009538B8"/>
    <w:rsid w:val="00954203"/>
    <w:rsid w:val="00954429"/>
    <w:rsid w:val="00955121"/>
    <w:rsid w:val="0095539C"/>
    <w:rsid w:val="009555AA"/>
    <w:rsid w:val="009557DD"/>
    <w:rsid w:val="00956032"/>
    <w:rsid w:val="00956267"/>
    <w:rsid w:val="00956388"/>
    <w:rsid w:val="009563CE"/>
    <w:rsid w:val="0095662E"/>
    <w:rsid w:val="00956712"/>
    <w:rsid w:val="009577C4"/>
    <w:rsid w:val="00957FEF"/>
    <w:rsid w:val="00960006"/>
    <w:rsid w:val="00960487"/>
    <w:rsid w:val="00960A3C"/>
    <w:rsid w:val="0096142D"/>
    <w:rsid w:val="00961D54"/>
    <w:rsid w:val="00961EFC"/>
    <w:rsid w:val="009623AA"/>
    <w:rsid w:val="009624C7"/>
    <w:rsid w:val="00962B23"/>
    <w:rsid w:val="0096347C"/>
    <w:rsid w:val="00963530"/>
    <w:rsid w:val="0096357C"/>
    <w:rsid w:val="00963789"/>
    <w:rsid w:val="00963A84"/>
    <w:rsid w:val="00964123"/>
    <w:rsid w:val="00964156"/>
    <w:rsid w:val="0096465E"/>
    <w:rsid w:val="00964C36"/>
    <w:rsid w:val="00964D54"/>
    <w:rsid w:val="00964E6C"/>
    <w:rsid w:val="009652D0"/>
    <w:rsid w:val="0096558D"/>
    <w:rsid w:val="00965E22"/>
    <w:rsid w:val="009666F8"/>
    <w:rsid w:val="00966899"/>
    <w:rsid w:val="00966A6B"/>
    <w:rsid w:val="00966D56"/>
    <w:rsid w:val="00966FB4"/>
    <w:rsid w:val="009675F1"/>
    <w:rsid w:val="0096760C"/>
    <w:rsid w:val="009700BC"/>
    <w:rsid w:val="0097025F"/>
    <w:rsid w:val="009705FE"/>
    <w:rsid w:val="009708AD"/>
    <w:rsid w:val="00970D76"/>
    <w:rsid w:val="00970FDB"/>
    <w:rsid w:val="00971188"/>
    <w:rsid w:val="00971427"/>
    <w:rsid w:val="0097147D"/>
    <w:rsid w:val="00972011"/>
    <w:rsid w:val="00972952"/>
    <w:rsid w:val="00973264"/>
    <w:rsid w:val="00973624"/>
    <w:rsid w:val="009736F2"/>
    <w:rsid w:val="00973E64"/>
    <w:rsid w:val="0097481E"/>
    <w:rsid w:val="00974E0D"/>
    <w:rsid w:val="00974E21"/>
    <w:rsid w:val="00975763"/>
    <w:rsid w:val="00975A5B"/>
    <w:rsid w:val="00976328"/>
    <w:rsid w:val="00976589"/>
    <w:rsid w:val="0097680D"/>
    <w:rsid w:val="009772C5"/>
    <w:rsid w:val="00980071"/>
    <w:rsid w:val="00980126"/>
    <w:rsid w:val="0098065B"/>
    <w:rsid w:val="00980A4C"/>
    <w:rsid w:val="00980E57"/>
    <w:rsid w:val="00981784"/>
    <w:rsid w:val="00981BD8"/>
    <w:rsid w:val="00982438"/>
    <w:rsid w:val="009828E1"/>
    <w:rsid w:val="009834CB"/>
    <w:rsid w:val="00983DA3"/>
    <w:rsid w:val="00983E4B"/>
    <w:rsid w:val="00983F33"/>
    <w:rsid w:val="0098404C"/>
    <w:rsid w:val="009841A8"/>
    <w:rsid w:val="00984448"/>
    <w:rsid w:val="00984ACC"/>
    <w:rsid w:val="00985283"/>
    <w:rsid w:val="00985B14"/>
    <w:rsid w:val="00985B53"/>
    <w:rsid w:val="00986E4E"/>
    <w:rsid w:val="009876B7"/>
    <w:rsid w:val="00987BFA"/>
    <w:rsid w:val="0099096A"/>
    <w:rsid w:val="00990A1A"/>
    <w:rsid w:val="0099105E"/>
    <w:rsid w:val="00991627"/>
    <w:rsid w:val="0099178D"/>
    <w:rsid w:val="00991B5A"/>
    <w:rsid w:val="00991B7C"/>
    <w:rsid w:val="00991B9B"/>
    <w:rsid w:val="00992ADC"/>
    <w:rsid w:val="009932DD"/>
    <w:rsid w:val="009939FC"/>
    <w:rsid w:val="009946CA"/>
    <w:rsid w:val="00995583"/>
    <w:rsid w:val="00995992"/>
    <w:rsid w:val="00995B3E"/>
    <w:rsid w:val="00996A1C"/>
    <w:rsid w:val="00996A87"/>
    <w:rsid w:val="00996F7B"/>
    <w:rsid w:val="009973CF"/>
    <w:rsid w:val="009975AD"/>
    <w:rsid w:val="00997FF5"/>
    <w:rsid w:val="009A03E5"/>
    <w:rsid w:val="009A04DB"/>
    <w:rsid w:val="009A07BF"/>
    <w:rsid w:val="009A0882"/>
    <w:rsid w:val="009A0F3B"/>
    <w:rsid w:val="009A18D1"/>
    <w:rsid w:val="009A1B6A"/>
    <w:rsid w:val="009A1BB4"/>
    <w:rsid w:val="009A1E9B"/>
    <w:rsid w:val="009A1F3C"/>
    <w:rsid w:val="009A2628"/>
    <w:rsid w:val="009A267E"/>
    <w:rsid w:val="009A2992"/>
    <w:rsid w:val="009A2D37"/>
    <w:rsid w:val="009A309B"/>
    <w:rsid w:val="009A3200"/>
    <w:rsid w:val="009A338A"/>
    <w:rsid w:val="009A3506"/>
    <w:rsid w:val="009A3639"/>
    <w:rsid w:val="009A386B"/>
    <w:rsid w:val="009A4882"/>
    <w:rsid w:val="009A5588"/>
    <w:rsid w:val="009A6099"/>
    <w:rsid w:val="009A6782"/>
    <w:rsid w:val="009A6F6E"/>
    <w:rsid w:val="009A73B3"/>
    <w:rsid w:val="009A75E3"/>
    <w:rsid w:val="009A76BE"/>
    <w:rsid w:val="009B03AD"/>
    <w:rsid w:val="009B0430"/>
    <w:rsid w:val="009B044C"/>
    <w:rsid w:val="009B0635"/>
    <w:rsid w:val="009B0680"/>
    <w:rsid w:val="009B0897"/>
    <w:rsid w:val="009B0BA7"/>
    <w:rsid w:val="009B0D8F"/>
    <w:rsid w:val="009B0DD3"/>
    <w:rsid w:val="009B1510"/>
    <w:rsid w:val="009B2142"/>
    <w:rsid w:val="009B2510"/>
    <w:rsid w:val="009B255D"/>
    <w:rsid w:val="009B2CAD"/>
    <w:rsid w:val="009B2E72"/>
    <w:rsid w:val="009B338A"/>
    <w:rsid w:val="009B34EA"/>
    <w:rsid w:val="009B34F9"/>
    <w:rsid w:val="009B39E0"/>
    <w:rsid w:val="009B3DF9"/>
    <w:rsid w:val="009B47C1"/>
    <w:rsid w:val="009B4945"/>
    <w:rsid w:val="009B524C"/>
    <w:rsid w:val="009B5621"/>
    <w:rsid w:val="009B597C"/>
    <w:rsid w:val="009B5EA2"/>
    <w:rsid w:val="009B6E01"/>
    <w:rsid w:val="009B6F65"/>
    <w:rsid w:val="009B709E"/>
    <w:rsid w:val="009B74D1"/>
    <w:rsid w:val="009B7584"/>
    <w:rsid w:val="009B7BD9"/>
    <w:rsid w:val="009C004A"/>
    <w:rsid w:val="009C029B"/>
    <w:rsid w:val="009C0424"/>
    <w:rsid w:val="009C0773"/>
    <w:rsid w:val="009C1457"/>
    <w:rsid w:val="009C1D65"/>
    <w:rsid w:val="009C3318"/>
    <w:rsid w:val="009C3A45"/>
    <w:rsid w:val="009C3C39"/>
    <w:rsid w:val="009C3F74"/>
    <w:rsid w:val="009C42F5"/>
    <w:rsid w:val="009C4571"/>
    <w:rsid w:val="009C4950"/>
    <w:rsid w:val="009C4C55"/>
    <w:rsid w:val="009C529E"/>
    <w:rsid w:val="009C53E6"/>
    <w:rsid w:val="009C589C"/>
    <w:rsid w:val="009C5E18"/>
    <w:rsid w:val="009C6133"/>
    <w:rsid w:val="009C6299"/>
    <w:rsid w:val="009C65DD"/>
    <w:rsid w:val="009C6AB4"/>
    <w:rsid w:val="009C7DD5"/>
    <w:rsid w:val="009D0732"/>
    <w:rsid w:val="009D0A66"/>
    <w:rsid w:val="009D0E26"/>
    <w:rsid w:val="009D1222"/>
    <w:rsid w:val="009D1E0E"/>
    <w:rsid w:val="009D2866"/>
    <w:rsid w:val="009D2D7C"/>
    <w:rsid w:val="009D3CBF"/>
    <w:rsid w:val="009D564E"/>
    <w:rsid w:val="009D5D39"/>
    <w:rsid w:val="009D6548"/>
    <w:rsid w:val="009D6AC9"/>
    <w:rsid w:val="009D71E1"/>
    <w:rsid w:val="009D7AB9"/>
    <w:rsid w:val="009D7C93"/>
    <w:rsid w:val="009E0877"/>
    <w:rsid w:val="009E08AA"/>
    <w:rsid w:val="009E0DA5"/>
    <w:rsid w:val="009E191F"/>
    <w:rsid w:val="009E1A11"/>
    <w:rsid w:val="009E1A96"/>
    <w:rsid w:val="009E227D"/>
    <w:rsid w:val="009E2B68"/>
    <w:rsid w:val="009E31B4"/>
    <w:rsid w:val="009E35B7"/>
    <w:rsid w:val="009E3D4B"/>
    <w:rsid w:val="009E41C2"/>
    <w:rsid w:val="009E49BA"/>
    <w:rsid w:val="009E5019"/>
    <w:rsid w:val="009E5037"/>
    <w:rsid w:val="009E5061"/>
    <w:rsid w:val="009E5C4B"/>
    <w:rsid w:val="009E5ECB"/>
    <w:rsid w:val="009E62EB"/>
    <w:rsid w:val="009E68CD"/>
    <w:rsid w:val="009E76EE"/>
    <w:rsid w:val="009E7B66"/>
    <w:rsid w:val="009E7D46"/>
    <w:rsid w:val="009F0509"/>
    <w:rsid w:val="009F05B0"/>
    <w:rsid w:val="009F081F"/>
    <w:rsid w:val="009F0A71"/>
    <w:rsid w:val="009F0C6D"/>
    <w:rsid w:val="009F0E1F"/>
    <w:rsid w:val="009F22E9"/>
    <w:rsid w:val="009F25D4"/>
    <w:rsid w:val="009F29F9"/>
    <w:rsid w:val="009F2AEE"/>
    <w:rsid w:val="009F32FF"/>
    <w:rsid w:val="009F3340"/>
    <w:rsid w:val="009F36AD"/>
    <w:rsid w:val="009F4435"/>
    <w:rsid w:val="009F4B28"/>
    <w:rsid w:val="009F4DB2"/>
    <w:rsid w:val="009F5049"/>
    <w:rsid w:val="009F5200"/>
    <w:rsid w:val="009F5784"/>
    <w:rsid w:val="009F5886"/>
    <w:rsid w:val="009F5E5A"/>
    <w:rsid w:val="009F6059"/>
    <w:rsid w:val="009F65F2"/>
    <w:rsid w:val="009F771B"/>
    <w:rsid w:val="009F7E6B"/>
    <w:rsid w:val="00A0162A"/>
    <w:rsid w:val="00A01AE4"/>
    <w:rsid w:val="00A01CB3"/>
    <w:rsid w:val="00A025DE"/>
    <w:rsid w:val="00A03717"/>
    <w:rsid w:val="00A0461E"/>
    <w:rsid w:val="00A04DF4"/>
    <w:rsid w:val="00A04F1B"/>
    <w:rsid w:val="00A0501B"/>
    <w:rsid w:val="00A05189"/>
    <w:rsid w:val="00A05CAD"/>
    <w:rsid w:val="00A05E18"/>
    <w:rsid w:val="00A05E85"/>
    <w:rsid w:val="00A0604A"/>
    <w:rsid w:val="00A066F5"/>
    <w:rsid w:val="00A067C7"/>
    <w:rsid w:val="00A06A27"/>
    <w:rsid w:val="00A074B7"/>
    <w:rsid w:val="00A07610"/>
    <w:rsid w:val="00A07D5B"/>
    <w:rsid w:val="00A103A8"/>
    <w:rsid w:val="00A10868"/>
    <w:rsid w:val="00A10B53"/>
    <w:rsid w:val="00A10F25"/>
    <w:rsid w:val="00A1116B"/>
    <w:rsid w:val="00A115D2"/>
    <w:rsid w:val="00A117D7"/>
    <w:rsid w:val="00A11ED5"/>
    <w:rsid w:val="00A1204A"/>
    <w:rsid w:val="00A12965"/>
    <w:rsid w:val="00A13435"/>
    <w:rsid w:val="00A13C26"/>
    <w:rsid w:val="00A14947"/>
    <w:rsid w:val="00A14952"/>
    <w:rsid w:val="00A14D93"/>
    <w:rsid w:val="00A14EC4"/>
    <w:rsid w:val="00A15153"/>
    <w:rsid w:val="00A155F3"/>
    <w:rsid w:val="00A16257"/>
    <w:rsid w:val="00A162F2"/>
    <w:rsid w:val="00A172FA"/>
    <w:rsid w:val="00A1761D"/>
    <w:rsid w:val="00A200B1"/>
    <w:rsid w:val="00A203E4"/>
    <w:rsid w:val="00A2065C"/>
    <w:rsid w:val="00A20D7A"/>
    <w:rsid w:val="00A214E1"/>
    <w:rsid w:val="00A216C8"/>
    <w:rsid w:val="00A21896"/>
    <w:rsid w:val="00A21995"/>
    <w:rsid w:val="00A2233A"/>
    <w:rsid w:val="00A228E7"/>
    <w:rsid w:val="00A22D9F"/>
    <w:rsid w:val="00A23537"/>
    <w:rsid w:val="00A24097"/>
    <w:rsid w:val="00A2434B"/>
    <w:rsid w:val="00A243B7"/>
    <w:rsid w:val="00A244B7"/>
    <w:rsid w:val="00A25D64"/>
    <w:rsid w:val="00A25E53"/>
    <w:rsid w:val="00A26147"/>
    <w:rsid w:val="00A265DC"/>
    <w:rsid w:val="00A26B29"/>
    <w:rsid w:val="00A26DC1"/>
    <w:rsid w:val="00A313B2"/>
    <w:rsid w:val="00A32053"/>
    <w:rsid w:val="00A3270B"/>
    <w:rsid w:val="00A32A83"/>
    <w:rsid w:val="00A33061"/>
    <w:rsid w:val="00A337A3"/>
    <w:rsid w:val="00A338E3"/>
    <w:rsid w:val="00A33A86"/>
    <w:rsid w:val="00A33D87"/>
    <w:rsid w:val="00A3419E"/>
    <w:rsid w:val="00A3598A"/>
    <w:rsid w:val="00A35C79"/>
    <w:rsid w:val="00A3601A"/>
    <w:rsid w:val="00A3671F"/>
    <w:rsid w:val="00A368DB"/>
    <w:rsid w:val="00A36979"/>
    <w:rsid w:val="00A36E25"/>
    <w:rsid w:val="00A375D1"/>
    <w:rsid w:val="00A37A38"/>
    <w:rsid w:val="00A37D86"/>
    <w:rsid w:val="00A40687"/>
    <w:rsid w:val="00A40A44"/>
    <w:rsid w:val="00A40B7B"/>
    <w:rsid w:val="00A40FC4"/>
    <w:rsid w:val="00A4101E"/>
    <w:rsid w:val="00A4125B"/>
    <w:rsid w:val="00A41861"/>
    <w:rsid w:val="00A41875"/>
    <w:rsid w:val="00A418E3"/>
    <w:rsid w:val="00A4195D"/>
    <w:rsid w:val="00A423AA"/>
    <w:rsid w:val="00A4262F"/>
    <w:rsid w:val="00A4357A"/>
    <w:rsid w:val="00A43781"/>
    <w:rsid w:val="00A43B9F"/>
    <w:rsid w:val="00A447B8"/>
    <w:rsid w:val="00A44B0D"/>
    <w:rsid w:val="00A45173"/>
    <w:rsid w:val="00A4550F"/>
    <w:rsid w:val="00A458D6"/>
    <w:rsid w:val="00A45956"/>
    <w:rsid w:val="00A45C05"/>
    <w:rsid w:val="00A47855"/>
    <w:rsid w:val="00A47DA2"/>
    <w:rsid w:val="00A5003E"/>
    <w:rsid w:val="00A500A5"/>
    <w:rsid w:val="00A50A94"/>
    <w:rsid w:val="00A50D20"/>
    <w:rsid w:val="00A52044"/>
    <w:rsid w:val="00A521AF"/>
    <w:rsid w:val="00A532FD"/>
    <w:rsid w:val="00A53A97"/>
    <w:rsid w:val="00A53BA7"/>
    <w:rsid w:val="00A53E5F"/>
    <w:rsid w:val="00A53EC6"/>
    <w:rsid w:val="00A54592"/>
    <w:rsid w:val="00A54F4D"/>
    <w:rsid w:val="00A555F1"/>
    <w:rsid w:val="00A55C0F"/>
    <w:rsid w:val="00A55F38"/>
    <w:rsid w:val="00A5612B"/>
    <w:rsid w:val="00A562D3"/>
    <w:rsid w:val="00A56BE2"/>
    <w:rsid w:val="00A56FA7"/>
    <w:rsid w:val="00A5726C"/>
    <w:rsid w:val="00A60BFE"/>
    <w:rsid w:val="00A60E82"/>
    <w:rsid w:val="00A61021"/>
    <w:rsid w:val="00A62481"/>
    <w:rsid w:val="00A62A67"/>
    <w:rsid w:val="00A63699"/>
    <w:rsid w:val="00A63880"/>
    <w:rsid w:val="00A63A32"/>
    <w:rsid w:val="00A63CCF"/>
    <w:rsid w:val="00A63F01"/>
    <w:rsid w:val="00A641EF"/>
    <w:rsid w:val="00A644EB"/>
    <w:rsid w:val="00A6460A"/>
    <w:rsid w:val="00A64889"/>
    <w:rsid w:val="00A64A9A"/>
    <w:rsid w:val="00A64CA9"/>
    <w:rsid w:val="00A6532A"/>
    <w:rsid w:val="00A659F9"/>
    <w:rsid w:val="00A66078"/>
    <w:rsid w:val="00A66877"/>
    <w:rsid w:val="00A6747B"/>
    <w:rsid w:val="00A678C8"/>
    <w:rsid w:val="00A67A9A"/>
    <w:rsid w:val="00A67ABF"/>
    <w:rsid w:val="00A7036D"/>
    <w:rsid w:val="00A70618"/>
    <w:rsid w:val="00A70AAD"/>
    <w:rsid w:val="00A70CF2"/>
    <w:rsid w:val="00A71548"/>
    <w:rsid w:val="00A71629"/>
    <w:rsid w:val="00A71E5B"/>
    <w:rsid w:val="00A7244B"/>
    <w:rsid w:val="00A72861"/>
    <w:rsid w:val="00A72C12"/>
    <w:rsid w:val="00A73183"/>
    <w:rsid w:val="00A7339F"/>
    <w:rsid w:val="00A733D6"/>
    <w:rsid w:val="00A73544"/>
    <w:rsid w:val="00A736DC"/>
    <w:rsid w:val="00A74673"/>
    <w:rsid w:val="00A7514C"/>
    <w:rsid w:val="00A7534A"/>
    <w:rsid w:val="00A75436"/>
    <w:rsid w:val="00A756FC"/>
    <w:rsid w:val="00A75818"/>
    <w:rsid w:val="00A758FF"/>
    <w:rsid w:val="00A761D9"/>
    <w:rsid w:val="00A76409"/>
    <w:rsid w:val="00A76766"/>
    <w:rsid w:val="00A77AD2"/>
    <w:rsid w:val="00A77CF6"/>
    <w:rsid w:val="00A80415"/>
    <w:rsid w:val="00A80F37"/>
    <w:rsid w:val="00A81378"/>
    <w:rsid w:val="00A81402"/>
    <w:rsid w:val="00A81A41"/>
    <w:rsid w:val="00A81B16"/>
    <w:rsid w:val="00A81FB6"/>
    <w:rsid w:val="00A81FF2"/>
    <w:rsid w:val="00A82569"/>
    <w:rsid w:val="00A828AA"/>
    <w:rsid w:val="00A829C3"/>
    <w:rsid w:val="00A82EFF"/>
    <w:rsid w:val="00A83079"/>
    <w:rsid w:val="00A83160"/>
    <w:rsid w:val="00A85655"/>
    <w:rsid w:val="00A8713F"/>
    <w:rsid w:val="00A875BE"/>
    <w:rsid w:val="00A903EE"/>
    <w:rsid w:val="00A90BA1"/>
    <w:rsid w:val="00A91583"/>
    <w:rsid w:val="00A915D5"/>
    <w:rsid w:val="00A91CF8"/>
    <w:rsid w:val="00A920F7"/>
    <w:rsid w:val="00A92162"/>
    <w:rsid w:val="00A925D9"/>
    <w:rsid w:val="00A92774"/>
    <w:rsid w:val="00A92A29"/>
    <w:rsid w:val="00A92D24"/>
    <w:rsid w:val="00A9342D"/>
    <w:rsid w:val="00A93B56"/>
    <w:rsid w:val="00A945BA"/>
    <w:rsid w:val="00A94788"/>
    <w:rsid w:val="00A950D4"/>
    <w:rsid w:val="00A9514A"/>
    <w:rsid w:val="00A9599B"/>
    <w:rsid w:val="00A96759"/>
    <w:rsid w:val="00A9690A"/>
    <w:rsid w:val="00A96958"/>
    <w:rsid w:val="00A96CEC"/>
    <w:rsid w:val="00A96FF5"/>
    <w:rsid w:val="00A9786E"/>
    <w:rsid w:val="00A97A9A"/>
    <w:rsid w:val="00AA0664"/>
    <w:rsid w:val="00AA0671"/>
    <w:rsid w:val="00AA08AF"/>
    <w:rsid w:val="00AA09B9"/>
    <w:rsid w:val="00AA1183"/>
    <w:rsid w:val="00AA12AA"/>
    <w:rsid w:val="00AA12CF"/>
    <w:rsid w:val="00AA17E3"/>
    <w:rsid w:val="00AA1D54"/>
    <w:rsid w:val="00AA2531"/>
    <w:rsid w:val="00AA302C"/>
    <w:rsid w:val="00AA3AFD"/>
    <w:rsid w:val="00AA3B48"/>
    <w:rsid w:val="00AA4A63"/>
    <w:rsid w:val="00AA4C76"/>
    <w:rsid w:val="00AA4FE8"/>
    <w:rsid w:val="00AA5111"/>
    <w:rsid w:val="00AA5D26"/>
    <w:rsid w:val="00AA6074"/>
    <w:rsid w:val="00AA661E"/>
    <w:rsid w:val="00AA686F"/>
    <w:rsid w:val="00AA7B78"/>
    <w:rsid w:val="00AA7DFB"/>
    <w:rsid w:val="00AB0B5E"/>
    <w:rsid w:val="00AB1108"/>
    <w:rsid w:val="00AB1251"/>
    <w:rsid w:val="00AB1E09"/>
    <w:rsid w:val="00AB1F0F"/>
    <w:rsid w:val="00AB22E8"/>
    <w:rsid w:val="00AB23C6"/>
    <w:rsid w:val="00AB25A2"/>
    <w:rsid w:val="00AB271B"/>
    <w:rsid w:val="00AB283A"/>
    <w:rsid w:val="00AB28B4"/>
    <w:rsid w:val="00AB2EB0"/>
    <w:rsid w:val="00AB3551"/>
    <w:rsid w:val="00AB3A6A"/>
    <w:rsid w:val="00AB3B06"/>
    <w:rsid w:val="00AB3B75"/>
    <w:rsid w:val="00AB3FFA"/>
    <w:rsid w:val="00AB4044"/>
    <w:rsid w:val="00AB426F"/>
    <w:rsid w:val="00AB48C4"/>
    <w:rsid w:val="00AB4950"/>
    <w:rsid w:val="00AB4D5D"/>
    <w:rsid w:val="00AB5330"/>
    <w:rsid w:val="00AB5DD9"/>
    <w:rsid w:val="00AB622D"/>
    <w:rsid w:val="00AB6449"/>
    <w:rsid w:val="00AB695A"/>
    <w:rsid w:val="00AB6DAC"/>
    <w:rsid w:val="00AB6F8E"/>
    <w:rsid w:val="00AB75C3"/>
    <w:rsid w:val="00AB7747"/>
    <w:rsid w:val="00AC01DB"/>
    <w:rsid w:val="00AC13A0"/>
    <w:rsid w:val="00AC14CE"/>
    <w:rsid w:val="00AC20CE"/>
    <w:rsid w:val="00AC2242"/>
    <w:rsid w:val="00AC2A56"/>
    <w:rsid w:val="00AC2BC4"/>
    <w:rsid w:val="00AC3462"/>
    <w:rsid w:val="00AC3A33"/>
    <w:rsid w:val="00AC3DFC"/>
    <w:rsid w:val="00AC3E2B"/>
    <w:rsid w:val="00AC3E8D"/>
    <w:rsid w:val="00AC47C3"/>
    <w:rsid w:val="00AC4A6F"/>
    <w:rsid w:val="00AC6444"/>
    <w:rsid w:val="00AC6802"/>
    <w:rsid w:val="00AC6EC9"/>
    <w:rsid w:val="00AC7792"/>
    <w:rsid w:val="00AC7F03"/>
    <w:rsid w:val="00AD055E"/>
    <w:rsid w:val="00AD0C1D"/>
    <w:rsid w:val="00AD11F3"/>
    <w:rsid w:val="00AD1BED"/>
    <w:rsid w:val="00AD1C8B"/>
    <w:rsid w:val="00AD1CC3"/>
    <w:rsid w:val="00AD2775"/>
    <w:rsid w:val="00AD293A"/>
    <w:rsid w:val="00AD3312"/>
    <w:rsid w:val="00AD37C9"/>
    <w:rsid w:val="00AD3A4A"/>
    <w:rsid w:val="00AD3E83"/>
    <w:rsid w:val="00AD4060"/>
    <w:rsid w:val="00AD47A7"/>
    <w:rsid w:val="00AD4B81"/>
    <w:rsid w:val="00AD5322"/>
    <w:rsid w:val="00AD5740"/>
    <w:rsid w:val="00AD595C"/>
    <w:rsid w:val="00AD5C94"/>
    <w:rsid w:val="00AD6530"/>
    <w:rsid w:val="00AD7AC3"/>
    <w:rsid w:val="00AE0384"/>
    <w:rsid w:val="00AE09B6"/>
    <w:rsid w:val="00AE0BBC"/>
    <w:rsid w:val="00AE19E9"/>
    <w:rsid w:val="00AE1FEB"/>
    <w:rsid w:val="00AE2655"/>
    <w:rsid w:val="00AE2B28"/>
    <w:rsid w:val="00AE2F2F"/>
    <w:rsid w:val="00AE3D26"/>
    <w:rsid w:val="00AE4011"/>
    <w:rsid w:val="00AE4A29"/>
    <w:rsid w:val="00AE4B6F"/>
    <w:rsid w:val="00AE4D2F"/>
    <w:rsid w:val="00AE525E"/>
    <w:rsid w:val="00AE5389"/>
    <w:rsid w:val="00AE5D5C"/>
    <w:rsid w:val="00AE645C"/>
    <w:rsid w:val="00AE6B78"/>
    <w:rsid w:val="00AE7670"/>
    <w:rsid w:val="00AE7A3A"/>
    <w:rsid w:val="00AE7F2D"/>
    <w:rsid w:val="00AF015F"/>
    <w:rsid w:val="00AF0A9A"/>
    <w:rsid w:val="00AF0CBF"/>
    <w:rsid w:val="00AF0DC7"/>
    <w:rsid w:val="00AF0EC2"/>
    <w:rsid w:val="00AF1053"/>
    <w:rsid w:val="00AF1339"/>
    <w:rsid w:val="00AF13FB"/>
    <w:rsid w:val="00AF16F2"/>
    <w:rsid w:val="00AF198F"/>
    <w:rsid w:val="00AF1D47"/>
    <w:rsid w:val="00AF257F"/>
    <w:rsid w:val="00AF295D"/>
    <w:rsid w:val="00AF2D6D"/>
    <w:rsid w:val="00AF31E0"/>
    <w:rsid w:val="00AF33CF"/>
    <w:rsid w:val="00AF36FF"/>
    <w:rsid w:val="00AF3942"/>
    <w:rsid w:val="00AF39BF"/>
    <w:rsid w:val="00AF427C"/>
    <w:rsid w:val="00AF45EB"/>
    <w:rsid w:val="00AF4ABB"/>
    <w:rsid w:val="00AF4C29"/>
    <w:rsid w:val="00AF4D50"/>
    <w:rsid w:val="00AF524B"/>
    <w:rsid w:val="00AF5EA5"/>
    <w:rsid w:val="00AF6179"/>
    <w:rsid w:val="00AF618B"/>
    <w:rsid w:val="00AF6463"/>
    <w:rsid w:val="00AF658C"/>
    <w:rsid w:val="00AF65BB"/>
    <w:rsid w:val="00AF6BB1"/>
    <w:rsid w:val="00AF6CC1"/>
    <w:rsid w:val="00AF6DA0"/>
    <w:rsid w:val="00AF7059"/>
    <w:rsid w:val="00AF731D"/>
    <w:rsid w:val="00AF75D3"/>
    <w:rsid w:val="00AF7E98"/>
    <w:rsid w:val="00B0109B"/>
    <w:rsid w:val="00B01701"/>
    <w:rsid w:val="00B02568"/>
    <w:rsid w:val="00B02CFF"/>
    <w:rsid w:val="00B02EDC"/>
    <w:rsid w:val="00B03449"/>
    <w:rsid w:val="00B03AC3"/>
    <w:rsid w:val="00B03F92"/>
    <w:rsid w:val="00B04447"/>
    <w:rsid w:val="00B04C7E"/>
    <w:rsid w:val="00B05439"/>
    <w:rsid w:val="00B059B1"/>
    <w:rsid w:val="00B05A6F"/>
    <w:rsid w:val="00B064BF"/>
    <w:rsid w:val="00B068C2"/>
    <w:rsid w:val="00B06B44"/>
    <w:rsid w:val="00B07197"/>
    <w:rsid w:val="00B07BB0"/>
    <w:rsid w:val="00B07C1D"/>
    <w:rsid w:val="00B1067B"/>
    <w:rsid w:val="00B12054"/>
    <w:rsid w:val="00B12783"/>
    <w:rsid w:val="00B128D2"/>
    <w:rsid w:val="00B128DB"/>
    <w:rsid w:val="00B12917"/>
    <w:rsid w:val="00B1295A"/>
    <w:rsid w:val="00B12D2A"/>
    <w:rsid w:val="00B13A68"/>
    <w:rsid w:val="00B13E75"/>
    <w:rsid w:val="00B14581"/>
    <w:rsid w:val="00B14D12"/>
    <w:rsid w:val="00B15764"/>
    <w:rsid w:val="00B1596B"/>
    <w:rsid w:val="00B15EB5"/>
    <w:rsid w:val="00B163C5"/>
    <w:rsid w:val="00B16983"/>
    <w:rsid w:val="00B16BED"/>
    <w:rsid w:val="00B17744"/>
    <w:rsid w:val="00B17DE8"/>
    <w:rsid w:val="00B17E45"/>
    <w:rsid w:val="00B20291"/>
    <w:rsid w:val="00B205A3"/>
    <w:rsid w:val="00B209CE"/>
    <w:rsid w:val="00B20A45"/>
    <w:rsid w:val="00B2160B"/>
    <w:rsid w:val="00B21803"/>
    <w:rsid w:val="00B21FB4"/>
    <w:rsid w:val="00B22C5C"/>
    <w:rsid w:val="00B23550"/>
    <w:rsid w:val="00B2355F"/>
    <w:rsid w:val="00B237E0"/>
    <w:rsid w:val="00B24F30"/>
    <w:rsid w:val="00B254CE"/>
    <w:rsid w:val="00B25D26"/>
    <w:rsid w:val="00B264D5"/>
    <w:rsid w:val="00B265C4"/>
    <w:rsid w:val="00B27BEE"/>
    <w:rsid w:val="00B27E12"/>
    <w:rsid w:val="00B3066E"/>
    <w:rsid w:val="00B3069B"/>
    <w:rsid w:val="00B30D23"/>
    <w:rsid w:val="00B31ABF"/>
    <w:rsid w:val="00B32155"/>
    <w:rsid w:val="00B323E9"/>
    <w:rsid w:val="00B32576"/>
    <w:rsid w:val="00B32900"/>
    <w:rsid w:val="00B32A95"/>
    <w:rsid w:val="00B32B5A"/>
    <w:rsid w:val="00B32E2F"/>
    <w:rsid w:val="00B33B02"/>
    <w:rsid w:val="00B33BE3"/>
    <w:rsid w:val="00B34621"/>
    <w:rsid w:val="00B346C0"/>
    <w:rsid w:val="00B34E6E"/>
    <w:rsid w:val="00B354B7"/>
    <w:rsid w:val="00B360D9"/>
    <w:rsid w:val="00B36172"/>
    <w:rsid w:val="00B3655E"/>
    <w:rsid w:val="00B3659D"/>
    <w:rsid w:val="00B36D74"/>
    <w:rsid w:val="00B3755E"/>
    <w:rsid w:val="00B375B6"/>
    <w:rsid w:val="00B376F0"/>
    <w:rsid w:val="00B403AD"/>
    <w:rsid w:val="00B4061D"/>
    <w:rsid w:val="00B4078D"/>
    <w:rsid w:val="00B4085A"/>
    <w:rsid w:val="00B40AF1"/>
    <w:rsid w:val="00B40DE8"/>
    <w:rsid w:val="00B40F40"/>
    <w:rsid w:val="00B4254F"/>
    <w:rsid w:val="00B427DF"/>
    <w:rsid w:val="00B43259"/>
    <w:rsid w:val="00B4336B"/>
    <w:rsid w:val="00B43371"/>
    <w:rsid w:val="00B4383C"/>
    <w:rsid w:val="00B441BB"/>
    <w:rsid w:val="00B448EE"/>
    <w:rsid w:val="00B452CC"/>
    <w:rsid w:val="00B458D0"/>
    <w:rsid w:val="00B45917"/>
    <w:rsid w:val="00B463DE"/>
    <w:rsid w:val="00B46999"/>
    <w:rsid w:val="00B46E93"/>
    <w:rsid w:val="00B47882"/>
    <w:rsid w:val="00B4798D"/>
    <w:rsid w:val="00B503BA"/>
    <w:rsid w:val="00B50748"/>
    <w:rsid w:val="00B50FD2"/>
    <w:rsid w:val="00B518BB"/>
    <w:rsid w:val="00B51A16"/>
    <w:rsid w:val="00B51EA5"/>
    <w:rsid w:val="00B52AEB"/>
    <w:rsid w:val="00B52F66"/>
    <w:rsid w:val="00B53606"/>
    <w:rsid w:val="00B53B5D"/>
    <w:rsid w:val="00B54177"/>
    <w:rsid w:val="00B547F0"/>
    <w:rsid w:val="00B54EE3"/>
    <w:rsid w:val="00B55101"/>
    <w:rsid w:val="00B55383"/>
    <w:rsid w:val="00B55472"/>
    <w:rsid w:val="00B55AB7"/>
    <w:rsid w:val="00B560D8"/>
    <w:rsid w:val="00B565CB"/>
    <w:rsid w:val="00B56F46"/>
    <w:rsid w:val="00B57939"/>
    <w:rsid w:val="00B60204"/>
    <w:rsid w:val="00B6027B"/>
    <w:rsid w:val="00B6055E"/>
    <w:rsid w:val="00B6121F"/>
    <w:rsid w:val="00B61B34"/>
    <w:rsid w:val="00B621C2"/>
    <w:rsid w:val="00B628A7"/>
    <w:rsid w:val="00B62C56"/>
    <w:rsid w:val="00B63087"/>
    <w:rsid w:val="00B6317D"/>
    <w:rsid w:val="00B63441"/>
    <w:rsid w:val="00B64526"/>
    <w:rsid w:val="00B64746"/>
    <w:rsid w:val="00B64BD3"/>
    <w:rsid w:val="00B6516F"/>
    <w:rsid w:val="00B6540E"/>
    <w:rsid w:val="00B66CD2"/>
    <w:rsid w:val="00B700F9"/>
    <w:rsid w:val="00B7113F"/>
    <w:rsid w:val="00B71308"/>
    <w:rsid w:val="00B71512"/>
    <w:rsid w:val="00B71833"/>
    <w:rsid w:val="00B71E80"/>
    <w:rsid w:val="00B729DD"/>
    <w:rsid w:val="00B72B98"/>
    <w:rsid w:val="00B72BC4"/>
    <w:rsid w:val="00B732DA"/>
    <w:rsid w:val="00B73A53"/>
    <w:rsid w:val="00B741D7"/>
    <w:rsid w:val="00B7423A"/>
    <w:rsid w:val="00B746DE"/>
    <w:rsid w:val="00B74C75"/>
    <w:rsid w:val="00B74F71"/>
    <w:rsid w:val="00B74FB2"/>
    <w:rsid w:val="00B75351"/>
    <w:rsid w:val="00B75408"/>
    <w:rsid w:val="00B7547D"/>
    <w:rsid w:val="00B75C03"/>
    <w:rsid w:val="00B75C83"/>
    <w:rsid w:val="00B76989"/>
    <w:rsid w:val="00B76A91"/>
    <w:rsid w:val="00B76B09"/>
    <w:rsid w:val="00B76D0B"/>
    <w:rsid w:val="00B76E83"/>
    <w:rsid w:val="00B7723F"/>
    <w:rsid w:val="00B778E2"/>
    <w:rsid w:val="00B77911"/>
    <w:rsid w:val="00B77A08"/>
    <w:rsid w:val="00B77C47"/>
    <w:rsid w:val="00B80534"/>
    <w:rsid w:val="00B805CA"/>
    <w:rsid w:val="00B8089C"/>
    <w:rsid w:val="00B81FDD"/>
    <w:rsid w:val="00B829BF"/>
    <w:rsid w:val="00B82E52"/>
    <w:rsid w:val="00B83297"/>
    <w:rsid w:val="00B83C0B"/>
    <w:rsid w:val="00B8433C"/>
    <w:rsid w:val="00B84355"/>
    <w:rsid w:val="00B849DF"/>
    <w:rsid w:val="00B84D6C"/>
    <w:rsid w:val="00B85205"/>
    <w:rsid w:val="00B8599D"/>
    <w:rsid w:val="00B85B03"/>
    <w:rsid w:val="00B85C9B"/>
    <w:rsid w:val="00B86AEB"/>
    <w:rsid w:val="00B86E59"/>
    <w:rsid w:val="00B87491"/>
    <w:rsid w:val="00B9044A"/>
    <w:rsid w:val="00B90595"/>
    <w:rsid w:val="00B90AE9"/>
    <w:rsid w:val="00B913A2"/>
    <w:rsid w:val="00B91504"/>
    <w:rsid w:val="00B91DC1"/>
    <w:rsid w:val="00B9262E"/>
    <w:rsid w:val="00B926D3"/>
    <w:rsid w:val="00B932F1"/>
    <w:rsid w:val="00B936A2"/>
    <w:rsid w:val="00B93CC9"/>
    <w:rsid w:val="00B942A2"/>
    <w:rsid w:val="00B95043"/>
    <w:rsid w:val="00B95613"/>
    <w:rsid w:val="00B96864"/>
    <w:rsid w:val="00B96908"/>
    <w:rsid w:val="00B96F77"/>
    <w:rsid w:val="00B96FFF"/>
    <w:rsid w:val="00B97285"/>
    <w:rsid w:val="00B9791F"/>
    <w:rsid w:val="00B97A88"/>
    <w:rsid w:val="00BA0A7E"/>
    <w:rsid w:val="00BA0D77"/>
    <w:rsid w:val="00BA1176"/>
    <w:rsid w:val="00BA1254"/>
    <w:rsid w:val="00BA1342"/>
    <w:rsid w:val="00BA13FC"/>
    <w:rsid w:val="00BA2449"/>
    <w:rsid w:val="00BA28DD"/>
    <w:rsid w:val="00BA29E9"/>
    <w:rsid w:val="00BA2B6C"/>
    <w:rsid w:val="00BA2BE9"/>
    <w:rsid w:val="00BA3AB2"/>
    <w:rsid w:val="00BA3ED8"/>
    <w:rsid w:val="00BA4101"/>
    <w:rsid w:val="00BA414F"/>
    <w:rsid w:val="00BA4730"/>
    <w:rsid w:val="00BA4A9B"/>
    <w:rsid w:val="00BA4DCF"/>
    <w:rsid w:val="00BA4EDC"/>
    <w:rsid w:val="00BA526B"/>
    <w:rsid w:val="00BA6997"/>
    <w:rsid w:val="00BA6C54"/>
    <w:rsid w:val="00BA7142"/>
    <w:rsid w:val="00BA77A4"/>
    <w:rsid w:val="00BA7A01"/>
    <w:rsid w:val="00BB0328"/>
    <w:rsid w:val="00BB0BD6"/>
    <w:rsid w:val="00BB1230"/>
    <w:rsid w:val="00BB1487"/>
    <w:rsid w:val="00BB167E"/>
    <w:rsid w:val="00BB1EE4"/>
    <w:rsid w:val="00BB230A"/>
    <w:rsid w:val="00BB237C"/>
    <w:rsid w:val="00BB2843"/>
    <w:rsid w:val="00BB2A58"/>
    <w:rsid w:val="00BB2D6A"/>
    <w:rsid w:val="00BB33CD"/>
    <w:rsid w:val="00BB402A"/>
    <w:rsid w:val="00BB41A3"/>
    <w:rsid w:val="00BB42EB"/>
    <w:rsid w:val="00BB49C5"/>
    <w:rsid w:val="00BB554D"/>
    <w:rsid w:val="00BB5820"/>
    <w:rsid w:val="00BB5A17"/>
    <w:rsid w:val="00BB5A38"/>
    <w:rsid w:val="00BB5AAF"/>
    <w:rsid w:val="00BB5EFD"/>
    <w:rsid w:val="00BB6CC8"/>
    <w:rsid w:val="00BB7C24"/>
    <w:rsid w:val="00BC007C"/>
    <w:rsid w:val="00BC0116"/>
    <w:rsid w:val="00BC019A"/>
    <w:rsid w:val="00BC025B"/>
    <w:rsid w:val="00BC08AF"/>
    <w:rsid w:val="00BC093C"/>
    <w:rsid w:val="00BC0DE6"/>
    <w:rsid w:val="00BC10F2"/>
    <w:rsid w:val="00BC11EC"/>
    <w:rsid w:val="00BC1E70"/>
    <w:rsid w:val="00BC2986"/>
    <w:rsid w:val="00BC301C"/>
    <w:rsid w:val="00BC32DC"/>
    <w:rsid w:val="00BC35B6"/>
    <w:rsid w:val="00BC3971"/>
    <w:rsid w:val="00BC3989"/>
    <w:rsid w:val="00BC465E"/>
    <w:rsid w:val="00BC529A"/>
    <w:rsid w:val="00BC5AC7"/>
    <w:rsid w:val="00BC5EE6"/>
    <w:rsid w:val="00BC64A0"/>
    <w:rsid w:val="00BC67FE"/>
    <w:rsid w:val="00BC6803"/>
    <w:rsid w:val="00BC6DCD"/>
    <w:rsid w:val="00BC7FB8"/>
    <w:rsid w:val="00BD03F8"/>
    <w:rsid w:val="00BD09D3"/>
    <w:rsid w:val="00BD09EE"/>
    <w:rsid w:val="00BD196B"/>
    <w:rsid w:val="00BD1B51"/>
    <w:rsid w:val="00BD21CC"/>
    <w:rsid w:val="00BD2BDC"/>
    <w:rsid w:val="00BD2CE9"/>
    <w:rsid w:val="00BD37DF"/>
    <w:rsid w:val="00BD3826"/>
    <w:rsid w:val="00BD3DCC"/>
    <w:rsid w:val="00BD4596"/>
    <w:rsid w:val="00BD492E"/>
    <w:rsid w:val="00BD4C2F"/>
    <w:rsid w:val="00BD51FB"/>
    <w:rsid w:val="00BD55DE"/>
    <w:rsid w:val="00BD5EE4"/>
    <w:rsid w:val="00BD5EEA"/>
    <w:rsid w:val="00BD62B9"/>
    <w:rsid w:val="00BD6535"/>
    <w:rsid w:val="00BD66BC"/>
    <w:rsid w:val="00BD7162"/>
    <w:rsid w:val="00BD7EC7"/>
    <w:rsid w:val="00BD7F94"/>
    <w:rsid w:val="00BE11E9"/>
    <w:rsid w:val="00BE1405"/>
    <w:rsid w:val="00BE19AE"/>
    <w:rsid w:val="00BE1A7D"/>
    <w:rsid w:val="00BE1B34"/>
    <w:rsid w:val="00BE1FE3"/>
    <w:rsid w:val="00BE2120"/>
    <w:rsid w:val="00BE312D"/>
    <w:rsid w:val="00BE3950"/>
    <w:rsid w:val="00BE3B08"/>
    <w:rsid w:val="00BE41BB"/>
    <w:rsid w:val="00BE44D1"/>
    <w:rsid w:val="00BE4BAA"/>
    <w:rsid w:val="00BE4CB9"/>
    <w:rsid w:val="00BE5038"/>
    <w:rsid w:val="00BE5378"/>
    <w:rsid w:val="00BE5A47"/>
    <w:rsid w:val="00BE62F3"/>
    <w:rsid w:val="00BE66D4"/>
    <w:rsid w:val="00BE6B9D"/>
    <w:rsid w:val="00BE6BEA"/>
    <w:rsid w:val="00BE6EED"/>
    <w:rsid w:val="00BF02F0"/>
    <w:rsid w:val="00BF0723"/>
    <w:rsid w:val="00BF0B51"/>
    <w:rsid w:val="00BF0D86"/>
    <w:rsid w:val="00BF13B7"/>
    <w:rsid w:val="00BF1629"/>
    <w:rsid w:val="00BF18B5"/>
    <w:rsid w:val="00BF1B4A"/>
    <w:rsid w:val="00BF1C20"/>
    <w:rsid w:val="00BF1D99"/>
    <w:rsid w:val="00BF1DB4"/>
    <w:rsid w:val="00BF1E72"/>
    <w:rsid w:val="00BF2D93"/>
    <w:rsid w:val="00BF35CF"/>
    <w:rsid w:val="00BF36FB"/>
    <w:rsid w:val="00BF469D"/>
    <w:rsid w:val="00BF46DD"/>
    <w:rsid w:val="00BF48E0"/>
    <w:rsid w:val="00BF4A0F"/>
    <w:rsid w:val="00BF5592"/>
    <w:rsid w:val="00BF559D"/>
    <w:rsid w:val="00BF581C"/>
    <w:rsid w:val="00BF5C0A"/>
    <w:rsid w:val="00BF6EEB"/>
    <w:rsid w:val="00BF7417"/>
    <w:rsid w:val="00BF743E"/>
    <w:rsid w:val="00C0015C"/>
    <w:rsid w:val="00C009D5"/>
    <w:rsid w:val="00C0114D"/>
    <w:rsid w:val="00C01CA3"/>
    <w:rsid w:val="00C01CDD"/>
    <w:rsid w:val="00C02F48"/>
    <w:rsid w:val="00C03007"/>
    <w:rsid w:val="00C03071"/>
    <w:rsid w:val="00C03382"/>
    <w:rsid w:val="00C03DA0"/>
    <w:rsid w:val="00C03EE6"/>
    <w:rsid w:val="00C05922"/>
    <w:rsid w:val="00C05DBA"/>
    <w:rsid w:val="00C061C9"/>
    <w:rsid w:val="00C067FB"/>
    <w:rsid w:val="00C068A7"/>
    <w:rsid w:val="00C06DFD"/>
    <w:rsid w:val="00C0714A"/>
    <w:rsid w:val="00C1056B"/>
    <w:rsid w:val="00C10578"/>
    <w:rsid w:val="00C10860"/>
    <w:rsid w:val="00C11172"/>
    <w:rsid w:val="00C11830"/>
    <w:rsid w:val="00C12837"/>
    <w:rsid w:val="00C12B32"/>
    <w:rsid w:val="00C12EBE"/>
    <w:rsid w:val="00C135BC"/>
    <w:rsid w:val="00C13917"/>
    <w:rsid w:val="00C13D44"/>
    <w:rsid w:val="00C15538"/>
    <w:rsid w:val="00C15C95"/>
    <w:rsid w:val="00C15E41"/>
    <w:rsid w:val="00C171AA"/>
    <w:rsid w:val="00C176E0"/>
    <w:rsid w:val="00C176F3"/>
    <w:rsid w:val="00C2054F"/>
    <w:rsid w:val="00C211AD"/>
    <w:rsid w:val="00C2224F"/>
    <w:rsid w:val="00C22E34"/>
    <w:rsid w:val="00C23683"/>
    <w:rsid w:val="00C23736"/>
    <w:rsid w:val="00C238BD"/>
    <w:rsid w:val="00C238DD"/>
    <w:rsid w:val="00C23E98"/>
    <w:rsid w:val="00C24A88"/>
    <w:rsid w:val="00C24EBA"/>
    <w:rsid w:val="00C24FDC"/>
    <w:rsid w:val="00C25125"/>
    <w:rsid w:val="00C25336"/>
    <w:rsid w:val="00C2596A"/>
    <w:rsid w:val="00C25DA8"/>
    <w:rsid w:val="00C26733"/>
    <w:rsid w:val="00C2709D"/>
    <w:rsid w:val="00C27537"/>
    <w:rsid w:val="00C275A2"/>
    <w:rsid w:val="00C30669"/>
    <w:rsid w:val="00C3190F"/>
    <w:rsid w:val="00C32206"/>
    <w:rsid w:val="00C328FE"/>
    <w:rsid w:val="00C33277"/>
    <w:rsid w:val="00C33507"/>
    <w:rsid w:val="00C335D0"/>
    <w:rsid w:val="00C33A4B"/>
    <w:rsid w:val="00C34407"/>
    <w:rsid w:val="00C34BFF"/>
    <w:rsid w:val="00C34F9F"/>
    <w:rsid w:val="00C35006"/>
    <w:rsid w:val="00C351B9"/>
    <w:rsid w:val="00C3591D"/>
    <w:rsid w:val="00C35CBA"/>
    <w:rsid w:val="00C361C9"/>
    <w:rsid w:val="00C36B4B"/>
    <w:rsid w:val="00C36F5B"/>
    <w:rsid w:val="00C37406"/>
    <w:rsid w:val="00C37C7E"/>
    <w:rsid w:val="00C40426"/>
    <w:rsid w:val="00C40714"/>
    <w:rsid w:val="00C415A7"/>
    <w:rsid w:val="00C416DF"/>
    <w:rsid w:val="00C41F63"/>
    <w:rsid w:val="00C41FB3"/>
    <w:rsid w:val="00C42079"/>
    <w:rsid w:val="00C4211A"/>
    <w:rsid w:val="00C434A2"/>
    <w:rsid w:val="00C437BE"/>
    <w:rsid w:val="00C438AA"/>
    <w:rsid w:val="00C439E7"/>
    <w:rsid w:val="00C4409D"/>
    <w:rsid w:val="00C44768"/>
    <w:rsid w:val="00C44792"/>
    <w:rsid w:val="00C44D60"/>
    <w:rsid w:val="00C44E72"/>
    <w:rsid w:val="00C44F64"/>
    <w:rsid w:val="00C44FDC"/>
    <w:rsid w:val="00C45151"/>
    <w:rsid w:val="00C45A06"/>
    <w:rsid w:val="00C45E5A"/>
    <w:rsid w:val="00C45F1F"/>
    <w:rsid w:val="00C46654"/>
    <w:rsid w:val="00C4690D"/>
    <w:rsid w:val="00C46B09"/>
    <w:rsid w:val="00C4733F"/>
    <w:rsid w:val="00C47E5B"/>
    <w:rsid w:val="00C50370"/>
    <w:rsid w:val="00C50521"/>
    <w:rsid w:val="00C507DB"/>
    <w:rsid w:val="00C50950"/>
    <w:rsid w:val="00C50E99"/>
    <w:rsid w:val="00C510F7"/>
    <w:rsid w:val="00C51724"/>
    <w:rsid w:val="00C5176B"/>
    <w:rsid w:val="00C51A82"/>
    <w:rsid w:val="00C52828"/>
    <w:rsid w:val="00C52B8C"/>
    <w:rsid w:val="00C52C5C"/>
    <w:rsid w:val="00C52F74"/>
    <w:rsid w:val="00C542D7"/>
    <w:rsid w:val="00C54F6D"/>
    <w:rsid w:val="00C557EA"/>
    <w:rsid w:val="00C55A08"/>
    <w:rsid w:val="00C561B5"/>
    <w:rsid w:val="00C57071"/>
    <w:rsid w:val="00C60517"/>
    <w:rsid w:val="00C61474"/>
    <w:rsid w:val="00C61A1D"/>
    <w:rsid w:val="00C61E4B"/>
    <w:rsid w:val="00C623B3"/>
    <w:rsid w:val="00C62DE0"/>
    <w:rsid w:val="00C636AF"/>
    <w:rsid w:val="00C63AFC"/>
    <w:rsid w:val="00C64045"/>
    <w:rsid w:val="00C64072"/>
    <w:rsid w:val="00C649A4"/>
    <w:rsid w:val="00C64ABA"/>
    <w:rsid w:val="00C64BFF"/>
    <w:rsid w:val="00C64F6F"/>
    <w:rsid w:val="00C65466"/>
    <w:rsid w:val="00C655DA"/>
    <w:rsid w:val="00C65B0C"/>
    <w:rsid w:val="00C65F3C"/>
    <w:rsid w:val="00C665D9"/>
    <w:rsid w:val="00C670FF"/>
    <w:rsid w:val="00C675AD"/>
    <w:rsid w:val="00C67845"/>
    <w:rsid w:val="00C7025C"/>
    <w:rsid w:val="00C704E9"/>
    <w:rsid w:val="00C70874"/>
    <w:rsid w:val="00C7110C"/>
    <w:rsid w:val="00C713CC"/>
    <w:rsid w:val="00C7145D"/>
    <w:rsid w:val="00C716EC"/>
    <w:rsid w:val="00C721B4"/>
    <w:rsid w:val="00C7243E"/>
    <w:rsid w:val="00C724C1"/>
    <w:rsid w:val="00C73396"/>
    <w:rsid w:val="00C735D7"/>
    <w:rsid w:val="00C7380B"/>
    <w:rsid w:val="00C74606"/>
    <w:rsid w:val="00C74AC1"/>
    <w:rsid w:val="00C754E2"/>
    <w:rsid w:val="00C7577C"/>
    <w:rsid w:val="00C75D41"/>
    <w:rsid w:val="00C763C9"/>
    <w:rsid w:val="00C77339"/>
    <w:rsid w:val="00C77837"/>
    <w:rsid w:val="00C77BAC"/>
    <w:rsid w:val="00C77DE2"/>
    <w:rsid w:val="00C80057"/>
    <w:rsid w:val="00C803CC"/>
    <w:rsid w:val="00C80662"/>
    <w:rsid w:val="00C808C7"/>
    <w:rsid w:val="00C80C12"/>
    <w:rsid w:val="00C8165A"/>
    <w:rsid w:val="00C819DF"/>
    <w:rsid w:val="00C82232"/>
    <w:rsid w:val="00C82913"/>
    <w:rsid w:val="00C82D6D"/>
    <w:rsid w:val="00C8321D"/>
    <w:rsid w:val="00C83549"/>
    <w:rsid w:val="00C846FB"/>
    <w:rsid w:val="00C84B08"/>
    <w:rsid w:val="00C84CF0"/>
    <w:rsid w:val="00C85097"/>
    <w:rsid w:val="00C8539A"/>
    <w:rsid w:val="00C86378"/>
    <w:rsid w:val="00C86527"/>
    <w:rsid w:val="00C86769"/>
    <w:rsid w:val="00C86CF5"/>
    <w:rsid w:val="00C86FEA"/>
    <w:rsid w:val="00C8702B"/>
    <w:rsid w:val="00C8713B"/>
    <w:rsid w:val="00C87466"/>
    <w:rsid w:val="00C8751D"/>
    <w:rsid w:val="00C87BF7"/>
    <w:rsid w:val="00C87E17"/>
    <w:rsid w:val="00C906E1"/>
    <w:rsid w:val="00C90876"/>
    <w:rsid w:val="00C91A06"/>
    <w:rsid w:val="00C91BAD"/>
    <w:rsid w:val="00C926D3"/>
    <w:rsid w:val="00C92DCA"/>
    <w:rsid w:val="00C931D9"/>
    <w:rsid w:val="00C931DF"/>
    <w:rsid w:val="00C93A8D"/>
    <w:rsid w:val="00C93BFD"/>
    <w:rsid w:val="00C946EF"/>
    <w:rsid w:val="00C9497E"/>
    <w:rsid w:val="00C94A4E"/>
    <w:rsid w:val="00C94E99"/>
    <w:rsid w:val="00C958FB"/>
    <w:rsid w:val="00C9643A"/>
    <w:rsid w:val="00C972B1"/>
    <w:rsid w:val="00C97935"/>
    <w:rsid w:val="00C97AF7"/>
    <w:rsid w:val="00C97C71"/>
    <w:rsid w:val="00CA05A4"/>
    <w:rsid w:val="00CA078D"/>
    <w:rsid w:val="00CA0AD0"/>
    <w:rsid w:val="00CA142C"/>
    <w:rsid w:val="00CA161B"/>
    <w:rsid w:val="00CA1ADC"/>
    <w:rsid w:val="00CA236B"/>
    <w:rsid w:val="00CA250E"/>
    <w:rsid w:val="00CA2CCE"/>
    <w:rsid w:val="00CA2D30"/>
    <w:rsid w:val="00CA3056"/>
    <w:rsid w:val="00CA31F6"/>
    <w:rsid w:val="00CA39C1"/>
    <w:rsid w:val="00CA3CD6"/>
    <w:rsid w:val="00CA43FD"/>
    <w:rsid w:val="00CA47B6"/>
    <w:rsid w:val="00CA6044"/>
    <w:rsid w:val="00CA63AA"/>
    <w:rsid w:val="00CA64A1"/>
    <w:rsid w:val="00CA71D4"/>
    <w:rsid w:val="00CA75F1"/>
    <w:rsid w:val="00CA7669"/>
    <w:rsid w:val="00CA7EF8"/>
    <w:rsid w:val="00CB0132"/>
    <w:rsid w:val="00CB03F8"/>
    <w:rsid w:val="00CB0A0C"/>
    <w:rsid w:val="00CB28CF"/>
    <w:rsid w:val="00CB297D"/>
    <w:rsid w:val="00CB2ACD"/>
    <w:rsid w:val="00CB332B"/>
    <w:rsid w:val="00CB33A8"/>
    <w:rsid w:val="00CB38D2"/>
    <w:rsid w:val="00CB413E"/>
    <w:rsid w:val="00CB4A70"/>
    <w:rsid w:val="00CB5104"/>
    <w:rsid w:val="00CB5D00"/>
    <w:rsid w:val="00CB63BA"/>
    <w:rsid w:val="00CB679B"/>
    <w:rsid w:val="00CB77DF"/>
    <w:rsid w:val="00CB7A46"/>
    <w:rsid w:val="00CB7DDC"/>
    <w:rsid w:val="00CB7FF4"/>
    <w:rsid w:val="00CC0DDB"/>
    <w:rsid w:val="00CC0E51"/>
    <w:rsid w:val="00CC11AD"/>
    <w:rsid w:val="00CC1814"/>
    <w:rsid w:val="00CC1921"/>
    <w:rsid w:val="00CC2155"/>
    <w:rsid w:val="00CC22B4"/>
    <w:rsid w:val="00CC28F9"/>
    <w:rsid w:val="00CC3F32"/>
    <w:rsid w:val="00CC3FB9"/>
    <w:rsid w:val="00CC407B"/>
    <w:rsid w:val="00CC4181"/>
    <w:rsid w:val="00CC429E"/>
    <w:rsid w:val="00CC489B"/>
    <w:rsid w:val="00CC4C7E"/>
    <w:rsid w:val="00CC51DC"/>
    <w:rsid w:val="00CC546B"/>
    <w:rsid w:val="00CC55E3"/>
    <w:rsid w:val="00CC5C36"/>
    <w:rsid w:val="00CC5CF4"/>
    <w:rsid w:val="00CC5E60"/>
    <w:rsid w:val="00CC6829"/>
    <w:rsid w:val="00CC725D"/>
    <w:rsid w:val="00CC7881"/>
    <w:rsid w:val="00CD082A"/>
    <w:rsid w:val="00CD0910"/>
    <w:rsid w:val="00CD0E8E"/>
    <w:rsid w:val="00CD1335"/>
    <w:rsid w:val="00CD1C3E"/>
    <w:rsid w:val="00CD2BC6"/>
    <w:rsid w:val="00CD2BCD"/>
    <w:rsid w:val="00CD3730"/>
    <w:rsid w:val="00CD3A4C"/>
    <w:rsid w:val="00CD3B7B"/>
    <w:rsid w:val="00CD3BC5"/>
    <w:rsid w:val="00CD3D27"/>
    <w:rsid w:val="00CD3DCA"/>
    <w:rsid w:val="00CD4075"/>
    <w:rsid w:val="00CD4F85"/>
    <w:rsid w:val="00CD51B7"/>
    <w:rsid w:val="00CD5BC0"/>
    <w:rsid w:val="00CD5F3D"/>
    <w:rsid w:val="00CD6C76"/>
    <w:rsid w:val="00CD6ED6"/>
    <w:rsid w:val="00CD7016"/>
    <w:rsid w:val="00CD7139"/>
    <w:rsid w:val="00CD79F1"/>
    <w:rsid w:val="00CE01B4"/>
    <w:rsid w:val="00CE02A4"/>
    <w:rsid w:val="00CE04DD"/>
    <w:rsid w:val="00CE077B"/>
    <w:rsid w:val="00CE10E9"/>
    <w:rsid w:val="00CE14B2"/>
    <w:rsid w:val="00CE1DC4"/>
    <w:rsid w:val="00CE1F7E"/>
    <w:rsid w:val="00CE25DF"/>
    <w:rsid w:val="00CE2910"/>
    <w:rsid w:val="00CE2DF1"/>
    <w:rsid w:val="00CE3335"/>
    <w:rsid w:val="00CE34C3"/>
    <w:rsid w:val="00CE3FA8"/>
    <w:rsid w:val="00CE4A53"/>
    <w:rsid w:val="00CE506E"/>
    <w:rsid w:val="00CE5393"/>
    <w:rsid w:val="00CE56E0"/>
    <w:rsid w:val="00CE5821"/>
    <w:rsid w:val="00CE5CFC"/>
    <w:rsid w:val="00CE6476"/>
    <w:rsid w:val="00CE667C"/>
    <w:rsid w:val="00CE6DE2"/>
    <w:rsid w:val="00CE7842"/>
    <w:rsid w:val="00CF025D"/>
    <w:rsid w:val="00CF0762"/>
    <w:rsid w:val="00CF0853"/>
    <w:rsid w:val="00CF1E59"/>
    <w:rsid w:val="00CF1F73"/>
    <w:rsid w:val="00CF2396"/>
    <w:rsid w:val="00CF2598"/>
    <w:rsid w:val="00CF26CF"/>
    <w:rsid w:val="00CF272C"/>
    <w:rsid w:val="00CF27EA"/>
    <w:rsid w:val="00CF29E1"/>
    <w:rsid w:val="00CF2A3E"/>
    <w:rsid w:val="00CF2A95"/>
    <w:rsid w:val="00CF2DAD"/>
    <w:rsid w:val="00CF32BA"/>
    <w:rsid w:val="00CF34A4"/>
    <w:rsid w:val="00CF36BE"/>
    <w:rsid w:val="00CF3710"/>
    <w:rsid w:val="00CF3A1F"/>
    <w:rsid w:val="00CF440D"/>
    <w:rsid w:val="00CF4EED"/>
    <w:rsid w:val="00CF4F58"/>
    <w:rsid w:val="00CF51CD"/>
    <w:rsid w:val="00CF6000"/>
    <w:rsid w:val="00CF61FA"/>
    <w:rsid w:val="00CF6682"/>
    <w:rsid w:val="00CF6718"/>
    <w:rsid w:val="00CF6D62"/>
    <w:rsid w:val="00CF6D6D"/>
    <w:rsid w:val="00CF6E31"/>
    <w:rsid w:val="00D003F3"/>
    <w:rsid w:val="00D009B8"/>
    <w:rsid w:val="00D00CFD"/>
    <w:rsid w:val="00D00DEB"/>
    <w:rsid w:val="00D01037"/>
    <w:rsid w:val="00D023BA"/>
    <w:rsid w:val="00D0250D"/>
    <w:rsid w:val="00D0283C"/>
    <w:rsid w:val="00D02BB9"/>
    <w:rsid w:val="00D02E5D"/>
    <w:rsid w:val="00D032B7"/>
    <w:rsid w:val="00D0360C"/>
    <w:rsid w:val="00D0364F"/>
    <w:rsid w:val="00D03B39"/>
    <w:rsid w:val="00D053EA"/>
    <w:rsid w:val="00D056F9"/>
    <w:rsid w:val="00D057D7"/>
    <w:rsid w:val="00D05873"/>
    <w:rsid w:val="00D058D0"/>
    <w:rsid w:val="00D05AE8"/>
    <w:rsid w:val="00D05FAC"/>
    <w:rsid w:val="00D06083"/>
    <w:rsid w:val="00D0630E"/>
    <w:rsid w:val="00D065EA"/>
    <w:rsid w:val="00D06834"/>
    <w:rsid w:val="00D06DB1"/>
    <w:rsid w:val="00D0749C"/>
    <w:rsid w:val="00D07758"/>
    <w:rsid w:val="00D077EA"/>
    <w:rsid w:val="00D079C6"/>
    <w:rsid w:val="00D10D17"/>
    <w:rsid w:val="00D113FD"/>
    <w:rsid w:val="00D115ED"/>
    <w:rsid w:val="00D12693"/>
    <w:rsid w:val="00D12920"/>
    <w:rsid w:val="00D12950"/>
    <w:rsid w:val="00D129E1"/>
    <w:rsid w:val="00D12BF9"/>
    <w:rsid w:val="00D130E8"/>
    <w:rsid w:val="00D13235"/>
    <w:rsid w:val="00D13E17"/>
    <w:rsid w:val="00D14586"/>
    <w:rsid w:val="00D149E2"/>
    <w:rsid w:val="00D1554B"/>
    <w:rsid w:val="00D156C7"/>
    <w:rsid w:val="00D15942"/>
    <w:rsid w:val="00D15B3A"/>
    <w:rsid w:val="00D161D8"/>
    <w:rsid w:val="00D16A12"/>
    <w:rsid w:val="00D20DC7"/>
    <w:rsid w:val="00D214FE"/>
    <w:rsid w:val="00D21891"/>
    <w:rsid w:val="00D232ED"/>
    <w:rsid w:val="00D23ADD"/>
    <w:rsid w:val="00D23D03"/>
    <w:rsid w:val="00D23F49"/>
    <w:rsid w:val="00D241D4"/>
    <w:rsid w:val="00D24592"/>
    <w:rsid w:val="00D2493E"/>
    <w:rsid w:val="00D24D5E"/>
    <w:rsid w:val="00D25843"/>
    <w:rsid w:val="00D260A5"/>
    <w:rsid w:val="00D264EB"/>
    <w:rsid w:val="00D26677"/>
    <w:rsid w:val="00D27501"/>
    <w:rsid w:val="00D3022E"/>
    <w:rsid w:val="00D308ED"/>
    <w:rsid w:val="00D30A6E"/>
    <w:rsid w:val="00D30B24"/>
    <w:rsid w:val="00D30BA6"/>
    <w:rsid w:val="00D31857"/>
    <w:rsid w:val="00D31A8E"/>
    <w:rsid w:val="00D31B61"/>
    <w:rsid w:val="00D32358"/>
    <w:rsid w:val="00D32429"/>
    <w:rsid w:val="00D32786"/>
    <w:rsid w:val="00D32A8E"/>
    <w:rsid w:val="00D32C1A"/>
    <w:rsid w:val="00D32EFD"/>
    <w:rsid w:val="00D33602"/>
    <w:rsid w:val="00D33768"/>
    <w:rsid w:val="00D344AE"/>
    <w:rsid w:val="00D34833"/>
    <w:rsid w:val="00D34E5A"/>
    <w:rsid w:val="00D3502C"/>
    <w:rsid w:val="00D356B3"/>
    <w:rsid w:val="00D35C00"/>
    <w:rsid w:val="00D36836"/>
    <w:rsid w:val="00D36D86"/>
    <w:rsid w:val="00D36E0D"/>
    <w:rsid w:val="00D376B5"/>
    <w:rsid w:val="00D4009B"/>
    <w:rsid w:val="00D40469"/>
    <w:rsid w:val="00D40798"/>
    <w:rsid w:val="00D40FA9"/>
    <w:rsid w:val="00D41057"/>
    <w:rsid w:val="00D41476"/>
    <w:rsid w:val="00D41D2F"/>
    <w:rsid w:val="00D428AA"/>
    <w:rsid w:val="00D4305B"/>
    <w:rsid w:val="00D430FE"/>
    <w:rsid w:val="00D4389E"/>
    <w:rsid w:val="00D44981"/>
    <w:rsid w:val="00D45480"/>
    <w:rsid w:val="00D45DE6"/>
    <w:rsid w:val="00D45FE7"/>
    <w:rsid w:val="00D46131"/>
    <w:rsid w:val="00D46DDB"/>
    <w:rsid w:val="00D46EC5"/>
    <w:rsid w:val="00D47409"/>
    <w:rsid w:val="00D47A02"/>
    <w:rsid w:val="00D5066D"/>
    <w:rsid w:val="00D507D0"/>
    <w:rsid w:val="00D50A34"/>
    <w:rsid w:val="00D50FE0"/>
    <w:rsid w:val="00D512C9"/>
    <w:rsid w:val="00D51E1D"/>
    <w:rsid w:val="00D52E66"/>
    <w:rsid w:val="00D53EFA"/>
    <w:rsid w:val="00D547EE"/>
    <w:rsid w:val="00D54885"/>
    <w:rsid w:val="00D54A3F"/>
    <w:rsid w:val="00D55483"/>
    <w:rsid w:val="00D559A7"/>
    <w:rsid w:val="00D55B4C"/>
    <w:rsid w:val="00D55C34"/>
    <w:rsid w:val="00D55D00"/>
    <w:rsid w:val="00D5659F"/>
    <w:rsid w:val="00D56679"/>
    <w:rsid w:val="00D56B8E"/>
    <w:rsid w:val="00D57812"/>
    <w:rsid w:val="00D5789B"/>
    <w:rsid w:val="00D57912"/>
    <w:rsid w:val="00D57CBF"/>
    <w:rsid w:val="00D57EB8"/>
    <w:rsid w:val="00D61870"/>
    <w:rsid w:val="00D6203F"/>
    <w:rsid w:val="00D621DB"/>
    <w:rsid w:val="00D62B4B"/>
    <w:rsid w:val="00D63674"/>
    <w:rsid w:val="00D63946"/>
    <w:rsid w:val="00D6456D"/>
    <w:rsid w:val="00D64795"/>
    <w:rsid w:val="00D65328"/>
    <w:rsid w:val="00D65854"/>
    <w:rsid w:val="00D65911"/>
    <w:rsid w:val="00D66235"/>
    <w:rsid w:val="00D66917"/>
    <w:rsid w:val="00D66A06"/>
    <w:rsid w:val="00D66E2D"/>
    <w:rsid w:val="00D66E4D"/>
    <w:rsid w:val="00D66FB1"/>
    <w:rsid w:val="00D67030"/>
    <w:rsid w:val="00D67888"/>
    <w:rsid w:val="00D6795D"/>
    <w:rsid w:val="00D67A25"/>
    <w:rsid w:val="00D70046"/>
    <w:rsid w:val="00D708A0"/>
    <w:rsid w:val="00D709EF"/>
    <w:rsid w:val="00D70D1E"/>
    <w:rsid w:val="00D7104C"/>
    <w:rsid w:val="00D712F1"/>
    <w:rsid w:val="00D714C1"/>
    <w:rsid w:val="00D71A1A"/>
    <w:rsid w:val="00D71E24"/>
    <w:rsid w:val="00D72C95"/>
    <w:rsid w:val="00D7328D"/>
    <w:rsid w:val="00D73307"/>
    <w:rsid w:val="00D73851"/>
    <w:rsid w:val="00D73E94"/>
    <w:rsid w:val="00D74129"/>
    <w:rsid w:val="00D7558E"/>
    <w:rsid w:val="00D755C2"/>
    <w:rsid w:val="00D7573E"/>
    <w:rsid w:val="00D763BE"/>
    <w:rsid w:val="00D76EFD"/>
    <w:rsid w:val="00D77CF0"/>
    <w:rsid w:val="00D77E13"/>
    <w:rsid w:val="00D8072A"/>
    <w:rsid w:val="00D80B7C"/>
    <w:rsid w:val="00D80CDA"/>
    <w:rsid w:val="00D81AE9"/>
    <w:rsid w:val="00D81E60"/>
    <w:rsid w:val="00D820F0"/>
    <w:rsid w:val="00D83C29"/>
    <w:rsid w:val="00D84029"/>
    <w:rsid w:val="00D84094"/>
    <w:rsid w:val="00D84886"/>
    <w:rsid w:val="00D84AB7"/>
    <w:rsid w:val="00D84D66"/>
    <w:rsid w:val="00D85291"/>
    <w:rsid w:val="00D8560D"/>
    <w:rsid w:val="00D8587F"/>
    <w:rsid w:val="00D85AC9"/>
    <w:rsid w:val="00D85D16"/>
    <w:rsid w:val="00D85F62"/>
    <w:rsid w:val="00D8674F"/>
    <w:rsid w:val="00D8710B"/>
    <w:rsid w:val="00D877D4"/>
    <w:rsid w:val="00D90BC7"/>
    <w:rsid w:val="00D91A1E"/>
    <w:rsid w:val="00D925E4"/>
    <w:rsid w:val="00D927A4"/>
    <w:rsid w:val="00D92C37"/>
    <w:rsid w:val="00D9438A"/>
    <w:rsid w:val="00D94A7C"/>
    <w:rsid w:val="00D95727"/>
    <w:rsid w:val="00D95896"/>
    <w:rsid w:val="00D95998"/>
    <w:rsid w:val="00D95D68"/>
    <w:rsid w:val="00D96140"/>
    <w:rsid w:val="00D9620F"/>
    <w:rsid w:val="00D96281"/>
    <w:rsid w:val="00D968BA"/>
    <w:rsid w:val="00D96CFD"/>
    <w:rsid w:val="00D96F1D"/>
    <w:rsid w:val="00D97894"/>
    <w:rsid w:val="00D97FF7"/>
    <w:rsid w:val="00DA06E3"/>
    <w:rsid w:val="00DA0F4B"/>
    <w:rsid w:val="00DA1D37"/>
    <w:rsid w:val="00DA20E2"/>
    <w:rsid w:val="00DA2BC7"/>
    <w:rsid w:val="00DA2F87"/>
    <w:rsid w:val="00DA2FD2"/>
    <w:rsid w:val="00DA38FC"/>
    <w:rsid w:val="00DA4891"/>
    <w:rsid w:val="00DA4A45"/>
    <w:rsid w:val="00DA55D3"/>
    <w:rsid w:val="00DA57DB"/>
    <w:rsid w:val="00DA584C"/>
    <w:rsid w:val="00DA5D3D"/>
    <w:rsid w:val="00DA6241"/>
    <w:rsid w:val="00DA6817"/>
    <w:rsid w:val="00DA6BBF"/>
    <w:rsid w:val="00DA6D92"/>
    <w:rsid w:val="00DA70AD"/>
    <w:rsid w:val="00DA7138"/>
    <w:rsid w:val="00DA7283"/>
    <w:rsid w:val="00DA7A8E"/>
    <w:rsid w:val="00DB0DCA"/>
    <w:rsid w:val="00DB118D"/>
    <w:rsid w:val="00DB289A"/>
    <w:rsid w:val="00DB2983"/>
    <w:rsid w:val="00DB2F39"/>
    <w:rsid w:val="00DB325B"/>
    <w:rsid w:val="00DB3333"/>
    <w:rsid w:val="00DB36E1"/>
    <w:rsid w:val="00DB4A81"/>
    <w:rsid w:val="00DB5330"/>
    <w:rsid w:val="00DB5494"/>
    <w:rsid w:val="00DB560F"/>
    <w:rsid w:val="00DB5E40"/>
    <w:rsid w:val="00DB60D0"/>
    <w:rsid w:val="00DB6AF3"/>
    <w:rsid w:val="00DB6C3D"/>
    <w:rsid w:val="00DB6D51"/>
    <w:rsid w:val="00DB736E"/>
    <w:rsid w:val="00DB73AC"/>
    <w:rsid w:val="00DB778E"/>
    <w:rsid w:val="00DB7A82"/>
    <w:rsid w:val="00DC0016"/>
    <w:rsid w:val="00DC006B"/>
    <w:rsid w:val="00DC023D"/>
    <w:rsid w:val="00DC02F5"/>
    <w:rsid w:val="00DC07B9"/>
    <w:rsid w:val="00DC0963"/>
    <w:rsid w:val="00DC0984"/>
    <w:rsid w:val="00DC0C29"/>
    <w:rsid w:val="00DC0F33"/>
    <w:rsid w:val="00DC10EF"/>
    <w:rsid w:val="00DC1257"/>
    <w:rsid w:val="00DC18C3"/>
    <w:rsid w:val="00DC2900"/>
    <w:rsid w:val="00DC29A6"/>
    <w:rsid w:val="00DC361C"/>
    <w:rsid w:val="00DC3DC0"/>
    <w:rsid w:val="00DC3F7D"/>
    <w:rsid w:val="00DC4054"/>
    <w:rsid w:val="00DC4871"/>
    <w:rsid w:val="00DC4978"/>
    <w:rsid w:val="00DC54C9"/>
    <w:rsid w:val="00DC5B2B"/>
    <w:rsid w:val="00DC5E72"/>
    <w:rsid w:val="00DC6855"/>
    <w:rsid w:val="00DC68F1"/>
    <w:rsid w:val="00DC6927"/>
    <w:rsid w:val="00DC6EE9"/>
    <w:rsid w:val="00DC7967"/>
    <w:rsid w:val="00DC7CEE"/>
    <w:rsid w:val="00DC7EF0"/>
    <w:rsid w:val="00DD030C"/>
    <w:rsid w:val="00DD0718"/>
    <w:rsid w:val="00DD07EE"/>
    <w:rsid w:val="00DD0B42"/>
    <w:rsid w:val="00DD1550"/>
    <w:rsid w:val="00DD1BC1"/>
    <w:rsid w:val="00DD1E9B"/>
    <w:rsid w:val="00DD2701"/>
    <w:rsid w:val="00DD2ACA"/>
    <w:rsid w:val="00DD318D"/>
    <w:rsid w:val="00DD3CD7"/>
    <w:rsid w:val="00DD4030"/>
    <w:rsid w:val="00DD4115"/>
    <w:rsid w:val="00DD4E8E"/>
    <w:rsid w:val="00DD5411"/>
    <w:rsid w:val="00DD55B6"/>
    <w:rsid w:val="00DD5768"/>
    <w:rsid w:val="00DD5A29"/>
    <w:rsid w:val="00DD5E59"/>
    <w:rsid w:val="00DD5FCC"/>
    <w:rsid w:val="00DD63FA"/>
    <w:rsid w:val="00DD6896"/>
    <w:rsid w:val="00DD7717"/>
    <w:rsid w:val="00DE02C7"/>
    <w:rsid w:val="00DE0794"/>
    <w:rsid w:val="00DE0ACF"/>
    <w:rsid w:val="00DE0B3F"/>
    <w:rsid w:val="00DE10B7"/>
    <w:rsid w:val="00DE1389"/>
    <w:rsid w:val="00DE1920"/>
    <w:rsid w:val="00DE198B"/>
    <w:rsid w:val="00DE1A47"/>
    <w:rsid w:val="00DE1B0A"/>
    <w:rsid w:val="00DE1E1B"/>
    <w:rsid w:val="00DE1EC4"/>
    <w:rsid w:val="00DE1EC9"/>
    <w:rsid w:val="00DE2173"/>
    <w:rsid w:val="00DE2B0B"/>
    <w:rsid w:val="00DE2E0C"/>
    <w:rsid w:val="00DE37DE"/>
    <w:rsid w:val="00DE3B8F"/>
    <w:rsid w:val="00DE48F7"/>
    <w:rsid w:val="00DE55DB"/>
    <w:rsid w:val="00DE58CF"/>
    <w:rsid w:val="00DE6952"/>
    <w:rsid w:val="00DE746D"/>
    <w:rsid w:val="00DE78D6"/>
    <w:rsid w:val="00DF05A9"/>
    <w:rsid w:val="00DF16FE"/>
    <w:rsid w:val="00DF2130"/>
    <w:rsid w:val="00DF2214"/>
    <w:rsid w:val="00DF2E12"/>
    <w:rsid w:val="00DF3E4F"/>
    <w:rsid w:val="00DF405E"/>
    <w:rsid w:val="00DF45E0"/>
    <w:rsid w:val="00DF514A"/>
    <w:rsid w:val="00DF55AA"/>
    <w:rsid w:val="00DF5857"/>
    <w:rsid w:val="00DF6690"/>
    <w:rsid w:val="00DF6804"/>
    <w:rsid w:val="00DF69C9"/>
    <w:rsid w:val="00DF6E53"/>
    <w:rsid w:val="00DF6F83"/>
    <w:rsid w:val="00DF71A7"/>
    <w:rsid w:val="00DF7413"/>
    <w:rsid w:val="00DF75EB"/>
    <w:rsid w:val="00DF7855"/>
    <w:rsid w:val="00E000C9"/>
    <w:rsid w:val="00E00493"/>
    <w:rsid w:val="00E01567"/>
    <w:rsid w:val="00E019F9"/>
    <w:rsid w:val="00E0233D"/>
    <w:rsid w:val="00E0252B"/>
    <w:rsid w:val="00E0358D"/>
    <w:rsid w:val="00E039FE"/>
    <w:rsid w:val="00E03E5F"/>
    <w:rsid w:val="00E04323"/>
    <w:rsid w:val="00E04822"/>
    <w:rsid w:val="00E049C3"/>
    <w:rsid w:val="00E050DD"/>
    <w:rsid w:val="00E055F7"/>
    <w:rsid w:val="00E058EA"/>
    <w:rsid w:val="00E061AA"/>
    <w:rsid w:val="00E06484"/>
    <w:rsid w:val="00E0701E"/>
    <w:rsid w:val="00E070A2"/>
    <w:rsid w:val="00E071F6"/>
    <w:rsid w:val="00E0730F"/>
    <w:rsid w:val="00E109F6"/>
    <w:rsid w:val="00E10FB3"/>
    <w:rsid w:val="00E11627"/>
    <w:rsid w:val="00E1199C"/>
    <w:rsid w:val="00E11A20"/>
    <w:rsid w:val="00E11E0F"/>
    <w:rsid w:val="00E12451"/>
    <w:rsid w:val="00E12530"/>
    <w:rsid w:val="00E1286A"/>
    <w:rsid w:val="00E12AEE"/>
    <w:rsid w:val="00E13418"/>
    <w:rsid w:val="00E13EB5"/>
    <w:rsid w:val="00E140E2"/>
    <w:rsid w:val="00E14207"/>
    <w:rsid w:val="00E1429E"/>
    <w:rsid w:val="00E14CDA"/>
    <w:rsid w:val="00E15413"/>
    <w:rsid w:val="00E157FD"/>
    <w:rsid w:val="00E15965"/>
    <w:rsid w:val="00E1598F"/>
    <w:rsid w:val="00E15CB0"/>
    <w:rsid w:val="00E169B0"/>
    <w:rsid w:val="00E16A67"/>
    <w:rsid w:val="00E16C3F"/>
    <w:rsid w:val="00E171E6"/>
    <w:rsid w:val="00E173D1"/>
    <w:rsid w:val="00E17615"/>
    <w:rsid w:val="00E2022A"/>
    <w:rsid w:val="00E20285"/>
    <w:rsid w:val="00E2068E"/>
    <w:rsid w:val="00E2108B"/>
    <w:rsid w:val="00E21B4C"/>
    <w:rsid w:val="00E21F9F"/>
    <w:rsid w:val="00E22086"/>
    <w:rsid w:val="00E222A9"/>
    <w:rsid w:val="00E22652"/>
    <w:rsid w:val="00E227DA"/>
    <w:rsid w:val="00E2281B"/>
    <w:rsid w:val="00E2285B"/>
    <w:rsid w:val="00E22A2F"/>
    <w:rsid w:val="00E22E69"/>
    <w:rsid w:val="00E2323C"/>
    <w:rsid w:val="00E23568"/>
    <w:rsid w:val="00E23C3D"/>
    <w:rsid w:val="00E242A7"/>
    <w:rsid w:val="00E243A4"/>
    <w:rsid w:val="00E2449B"/>
    <w:rsid w:val="00E25223"/>
    <w:rsid w:val="00E25FC2"/>
    <w:rsid w:val="00E26116"/>
    <w:rsid w:val="00E26459"/>
    <w:rsid w:val="00E26491"/>
    <w:rsid w:val="00E2656A"/>
    <w:rsid w:val="00E26D97"/>
    <w:rsid w:val="00E2731A"/>
    <w:rsid w:val="00E30235"/>
    <w:rsid w:val="00E30815"/>
    <w:rsid w:val="00E30B79"/>
    <w:rsid w:val="00E312AC"/>
    <w:rsid w:val="00E313AC"/>
    <w:rsid w:val="00E31B08"/>
    <w:rsid w:val="00E31D0C"/>
    <w:rsid w:val="00E31D75"/>
    <w:rsid w:val="00E31FE1"/>
    <w:rsid w:val="00E32105"/>
    <w:rsid w:val="00E32481"/>
    <w:rsid w:val="00E32BB4"/>
    <w:rsid w:val="00E32EC5"/>
    <w:rsid w:val="00E334AA"/>
    <w:rsid w:val="00E334FD"/>
    <w:rsid w:val="00E33962"/>
    <w:rsid w:val="00E33F9F"/>
    <w:rsid w:val="00E34085"/>
    <w:rsid w:val="00E3482A"/>
    <w:rsid w:val="00E349DF"/>
    <w:rsid w:val="00E35184"/>
    <w:rsid w:val="00E354C2"/>
    <w:rsid w:val="00E356DE"/>
    <w:rsid w:val="00E35B4C"/>
    <w:rsid w:val="00E3637D"/>
    <w:rsid w:val="00E36911"/>
    <w:rsid w:val="00E36CC3"/>
    <w:rsid w:val="00E36E53"/>
    <w:rsid w:val="00E3772B"/>
    <w:rsid w:val="00E4024E"/>
    <w:rsid w:val="00E406B1"/>
    <w:rsid w:val="00E412D0"/>
    <w:rsid w:val="00E414CD"/>
    <w:rsid w:val="00E4151F"/>
    <w:rsid w:val="00E417B8"/>
    <w:rsid w:val="00E41EDD"/>
    <w:rsid w:val="00E41FAB"/>
    <w:rsid w:val="00E41FCF"/>
    <w:rsid w:val="00E42166"/>
    <w:rsid w:val="00E423FF"/>
    <w:rsid w:val="00E42666"/>
    <w:rsid w:val="00E43424"/>
    <w:rsid w:val="00E43E2D"/>
    <w:rsid w:val="00E441F1"/>
    <w:rsid w:val="00E44870"/>
    <w:rsid w:val="00E44948"/>
    <w:rsid w:val="00E4499E"/>
    <w:rsid w:val="00E44D33"/>
    <w:rsid w:val="00E451AF"/>
    <w:rsid w:val="00E45A89"/>
    <w:rsid w:val="00E45AFE"/>
    <w:rsid w:val="00E45CEE"/>
    <w:rsid w:val="00E463F7"/>
    <w:rsid w:val="00E47E00"/>
    <w:rsid w:val="00E500D6"/>
    <w:rsid w:val="00E5077D"/>
    <w:rsid w:val="00E50C1E"/>
    <w:rsid w:val="00E51F20"/>
    <w:rsid w:val="00E534CA"/>
    <w:rsid w:val="00E53CA0"/>
    <w:rsid w:val="00E53D2F"/>
    <w:rsid w:val="00E543E8"/>
    <w:rsid w:val="00E5440D"/>
    <w:rsid w:val="00E5459C"/>
    <w:rsid w:val="00E546E2"/>
    <w:rsid w:val="00E54AB6"/>
    <w:rsid w:val="00E55306"/>
    <w:rsid w:val="00E5596F"/>
    <w:rsid w:val="00E55E39"/>
    <w:rsid w:val="00E55F57"/>
    <w:rsid w:val="00E56322"/>
    <w:rsid w:val="00E5644F"/>
    <w:rsid w:val="00E56EA1"/>
    <w:rsid w:val="00E5708E"/>
    <w:rsid w:val="00E57399"/>
    <w:rsid w:val="00E57AF1"/>
    <w:rsid w:val="00E57D6A"/>
    <w:rsid w:val="00E57E2B"/>
    <w:rsid w:val="00E60777"/>
    <w:rsid w:val="00E60894"/>
    <w:rsid w:val="00E60982"/>
    <w:rsid w:val="00E612E1"/>
    <w:rsid w:val="00E618BB"/>
    <w:rsid w:val="00E61907"/>
    <w:rsid w:val="00E62394"/>
    <w:rsid w:val="00E625D1"/>
    <w:rsid w:val="00E627BE"/>
    <w:rsid w:val="00E6284C"/>
    <w:rsid w:val="00E62C62"/>
    <w:rsid w:val="00E62CA7"/>
    <w:rsid w:val="00E62FB1"/>
    <w:rsid w:val="00E63EB4"/>
    <w:rsid w:val="00E63F79"/>
    <w:rsid w:val="00E64025"/>
    <w:rsid w:val="00E642CE"/>
    <w:rsid w:val="00E6440B"/>
    <w:rsid w:val="00E644B6"/>
    <w:rsid w:val="00E644FA"/>
    <w:rsid w:val="00E64FE8"/>
    <w:rsid w:val="00E654C1"/>
    <w:rsid w:val="00E656E1"/>
    <w:rsid w:val="00E65AA7"/>
    <w:rsid w:val="00E65D97"/>
    <w:rsid w:val="00E66328"/>
    <w:rsid w:val="00E66993"/>
    <w:rsid w:val="00E67971"/>
    <w:rsid w:val="00E67D4F"/>
    <w:rsid w:val="00E70092"/>
    <w:rsid w:val="00E7019B"/>
    <w:rsid w:val="00E7040A"/>
    <w:rsid w:val="00E70C5D"/>
    <w:rsid w:val="00E71550"/>
    <w:rsid w:val="00E71BFF"/>
    <w:rsid w:val="00E71C58"/>
    <w:rsid w:val="00E71D74"/>
    <w:rsid w:val="00E71F6E"/>
    <w:rsid w:val="00E7223B"/>
    <w:rsid w:val="00E722CA"/>
    <w:rsid w:val="00E72433"/>
    <w:rsid w:val="00E72A5A"/>
    <w:rsid w:val="00E72D67"/>
    <w:rsid w:val="00E73354"/>
    <w:rsid w:val="00E738DC"/>
    <w:rsid w:val="00E73A91"/>
    <w:rsid w:val="00E73B09"/>
    <w:rsid w:val="00E74633"/>
    <w:rsid w:val="00E74E3C"/>
    <w:rsid w:val="00E7523A"/>
    <w:rsid w:val="00E7570C"/>
    <w:rsid w:val="00E75908"/>
    <w:rsid w:val="00E7596D"/>
    <w:rsid w:val="00E7604D"/>
    <w:rsid w:val="00E76757"/>
    <w:rsid w:val="00E76938"/>
    <w:rsid w:val="00E76941"/>
    <w:rsid w:val="00E769D1"/>
    <w:rsid w:val="00E76C4C"/>
    <w:rsid w:val="00E77CF5"/>
    <w:rsid w:val="00E80093"/>
    <w:rsid w:val="00E801BB"/>
    <w:rsid w:val="00E80D33"/>
    <w:rsid w:val="00E812B6"/>
    <w:rsid w:val="00E81334"/>
    <w:rsid w:val="00E8142F"/>
    <w:rsid w:val="00E8169D"/>
    <w:rsid w:val="00E81996"/>
    <w:rsid w:val="00E819CF"/>
    <w:rsid w:val="00E81BFE"/>
    <w:rsid w:val="00E82034"/>
    <w:rsid w:val="00E82B7E"/>
    <w:rsid w:val="00E82C74"/>
    <w:rsid w:val="00E82D03"/>
    <w:rsid w:val="00E82D70"/>
    <w:rsid w:val="00E82E20"/>
    <w:rsid w:val="00E83C92"/>
    <w:rsid w:val="00E8454C"/>
    <w:rsid w:val="00E847D6"/>
    <w:rsid w:val="00E85149"/>
    <w:rsid w:val="00E8596A"/>
    <w:rsid w:val="00E8647A"/>
    <w:rsid w:val="00E864BF"/>
    <w:rsid w:val="00E87689"/>
    <w:rsid w:val="00E902F1"/>
    <w:rsid w:val="00E9077C"/>
    <w:rsid w:val="00E90AB8"/>
    <w:rsid w:val="00E915CB"/>
    <w:rsid w:val="00E9204D"/>
    <w:rsid w:val="00E9242D"/>
    <w:rsid w:val="00E9328C"/>
    <w:rsid w:val="00E954E9"/>
    <w:rsid w:val="00E9607B"/>
    <w:rsid w:val="00E961B9"/>
    <w:rsid w:val="00E96206"/>
    <w:rsid w:val="00E966ED"/>
    <w:rsid w:val="00E968B8"/>
    <w:rsid w:val="00E9725C"/>
    <w:rsid w:val="00E9763A"/>
    <w:rsid w:val="00E976C9"/>
    <w:rsid w:val="00E97EFE"/>
    <w:rsid w:val="00EA01E0"/>
    <w:rsid w:val="00EA080E"/>
    <w:rsid w:val="00EA0A57"/>
    <w:rsid w:val="00EA0A60"/>
    <w:rsid w:val="00EA10AC"/>
    <w:rsid w:val="00EA1356"/>
    <w:rsid w:val="00EA267C"/>
    <w:rsid w:val="00EA3265"/>
    <w:rsid w:val="00EA34E1"/>
    <w:rsid w:val="00EA3658"/>
    <w:rsid w:val="00EA37EF"/>
    <w:rsid w:val="00EA483E"/>
    <w:rsid w:val="00EA48CA"/>
    <w:rsid w:val="00EA48ED"/>
    <w:rsid w:val="00EA567D"/>
    <w:rsid w:val="00EA590E"/>
    <w:rsid w:val="00EA5F8B"/>
    <w:rsid w:val="00EA5F8D"/>
    <w:rsid w:val="00EA641A"/>
    <w:rsid w:val="00EA6A5B"/>
    <w:rsid w:val="00EA7044"/>
    <w:rsid w:val="00EA76CE"/>
    <w:rsid w:val="00EA7DBC"/>
    <w:rsid w:val="00EB0C06"/>
    <w:rsid w:val="00EB15AC"/>
    <w:rsid w:val="00EB18F1"/>
    <w:rsid w:val="00EB1C0E"/>
    <w:rsid w:val="00EB1D1A"/>
    <w:rsid w:val="00EB30C4"/>
    <w:rsid w:val="00EB3CEC"/>
    <w:rsid w:val="00EB3F68"/>
    <w:rsid w:val="00EB5116"/>
    <w:rsid w:val="00EB5255"/>
    <w:rsid w:val="00EB5454"/>
    <w:rsid w:val="00EB5C47"/>
    <w:rsid w:val="00EB6874"/>
    <w:rsid w:val="00EB76F9"/>
    <w:rsid w:val="00EB7A69"/>
    <w:rsid w:val="00EC029F"/>
    <w:rsid w:val="00EC185F"/>
    <w:rsid w:val="00EC213A"/>
    <w:rsid w:val="00EC2283"/>
    <w:rsid w:val="00EC298F"/>
    <w:rsid w:val="00EC31B3"/>
    <w:rsid w:val="00EC4566"/>
    <w:rsid w:val="00EC48EE"/>
    <w:rsid w:val="00EC505E"/>
    <w:rsid w:val="00EC51D5"/>
    <w:rsid w:val="00EC52B0"/>
    <w:rsid w:val="00EC5E17"/>
    <w:rsid w:val="00EC65FB"/>
    <w:rsid w:val="00EC6951"/>
    <w:rsid w:val="00EC6B1E"/>
    <w:rsid w:val="00EC75DB"/>
    <w:rsid w:val="00EC7751"/>
    <w:rsid w:val="00EC79B1"/>
    <w:rsid w:val="00EC7B45"/>
    <w:rsid w:val="00ED01AB"/>
    <w:rsid w:val="00ED029D"/>
    <w:rsid w:val="00ED0639"/>
    <w:rsid w:val="00ED0C51"/>
    <w:rsid w:val="00ED1D37"/>
    <w:rsid w:val="00ED240F"/>
    <w:rsid w:val="00ED2820"/>
    <w:rsid w:val="00ED31D4"/>
    <w:rsid w:val="00ED3939"/>
    <w:rsid w:val="00ED6262"/>
    <w:rsid w:val="00ED7642"/>
    <w:rsid w:val="00EE04A2"/>
    <w:rsid w:val="00EE0ED6"/>
    <w:rsid w:val="00EE14DB"/>
    <w:rsid w:val="00EE190B"/>
    <w:rsid w:val="00EE19A2"/>
    <w:rsid w:val="00EE1E16"/>
    <w:rsid w:val="00EE1FB8"/>
    <w:rsid w:val="00EE1FEE"/>
    <w:rsid w:val="00EE250B"/>
    <w:rsid w:val="00EE2A5C"/>
    <w:rsid w:val="00EE2FCE"/>
    <w:rsid w:val="00EE2FE5"/>
    <w:rsid w:val="00EE3259"/>
    <w:rsid w:val="00EE3A58"/>
    <w:rsid w:val="00EE48F6"/>
    <w:rsid w:val="00EE4A6B"/>
    <w:rsid w:val="00EE5A89"/>
    <w:rsid w:val="00EE5C1C"/>
    <w:rsid w:val="00EE6168"/>
    <w:rsid w:val="00EE6502"/>
    <w:rsid w:val="00EE6CFC"/>
    <w:rsid w:val="00EE705C"/>
    <w:rsid w:val="00EE7CBC"/>
    <w:rsid w:val="00EE7D62"/>
    <w:rsid w:val="00EF061D"/>
    <w:rsid w:val="00EF0802"/>
    <w:rsid w:val="00EF107E"/>
    <w:rsid w:val="00EF1158"/>
    <w:rsid w:val="00EF1294"/>
    <w:rsid w:val="00EF2212"/>
    <w:rsid w:val="00EF2EEE"/>
    <w:rsid w:val="00EF376E"/>
    <w:rsid w:val="00EF3DBC"/>
    <w:rsid w:val="00EF4755"/>
    <w:rsid w:val="00EF5963"/>
    <w:rsid w:val="00EF5B05"/>
    <w:rsid w:val="00EF6891"/>
    <w:rsid w:val="00EF7135"/>
    <w:rsid w:val="00EF7224"/>
    <w:rsid w:val="00EF7B4D"/>
    <w:rsid w:val="00F0029B"/>
    <w:rsid w:val="00F00814"/>
    <w:rsid w:val="00F00EC0"/>
    <w:rsid w:val="00F00EE2"/>
    <w:rsid w:val="00F01262"/>
    <w:rsid w:val="00F014E3"/>
    <w:rsid w:val="00F01667"/>
    <w:rsid w:val="00F01A20"/>
    <w:rsid w:val="00F01A2C"/>
    <w:rsid w:val="00F01CD8"/>
    <w:rsid w:val="00F02129"/>
    <w:rsid w:val="00F021C6"/>
    <w:rsid w:val="00F02211"/>
    <w:rsid w:val="00F027DB"/>
    <w:rsid w:val="00F029DF"/>
    <w:rsid w:val="00F0311D"/>
    <w:rsid w:val="00F03660"/>
    <w:rsid w:val="00F03B23"/>
    <w:rsid w:val="00F04147"/>
    <w:rsid w:val="00F04477"/>
    <w:rsid w:val="00F0493E"/>
    <w:rsid w:val="00F0507E"/>
    <w:rsid w:val="00F05270"/>
    <w:rsid w:val="00F0543C"/>
    <w:rsid w:val="00F0573B"/>
    <w:rsid w:val="00F06874"/>
    <w:rsid w:val="00F069D6"/>
    <w:rsid w:val="00F0714A"/>
    <w:rsid w:val="00F07A05"/>
    <w:rsid w:val="00F102DF"/>
    <w:rsid w:val="00F1044D"/>
    <w:rsid w:val="00F109BF"/>
    <w:rsid w:val="00F10C48"/>
    <w:rsid w:val="00F11309"/>
    <w:rsid w:val="00F1170E"/>
    <w:rsid w:val="00F11DBD"/>
    <w:rsid w:val="00F12009"/>
    <w:rsid w:val="00F121FB"/>
    <w:rsid w:val="00F12B13"/>
    <w:rsid w:val="00F12BB1"/>
    <w:rsid w:val="00F13505"/>
    <w:rsid w:val="00F13541"/>
    <w:rsid w:val="00F13C3D"/>
    <w:rsid w:val="00F13C83"/>
    <w:rsid w:val="00F140D4"/>
    <w:rsid w:val="00F14A7A"/>
    <w:rsid w:val="00F150FA"/>
    <w:rsid w:val="00F15331"/>
    <w:rsid w:val="00F1535D"/>
    <w:rsid w:val="00F15A85"/>
    <w:rsid w:val="00F15A91"/>
    <w:rsid w:val="00F15AAF"/>
    <w:rsid w:val="00F15D70"/>
    <w:rsid w:val="00F15F75"/>
    <w:rsid w:val="00F1626C"/>
    <w:rsid w:val="00F163B5"/>
    <w:rsid w:val="00F16D99"/>
    <w:rsid w:val="00F175D5"/>
    <w:rsid w:val="00F2079E"/>
    <w:rsid w:val="00F213EC"/>
    <w:rsid w:val="00F2155E"/>
    <w:rsid w:val="00F22077"/>
    <w:rsid w:val="00F227BE"/>
    <w:rsid w:val="00F22985"/>
    <w:rsid w:val="00F22C41"/>
    <w:rsid w:val="00F22EE2"/>
    <w:rsid w:val="00F23EA4"/>
    <w:rsid w:val="00F248CE"/>
    <w:rsid w:val="00F256B5"/>
    <w:rsid w:val="00F25ADF"/>
    <w:rsid w:val="00F25F93"/>
    <w:rsid w:val="00F267D4"/>
    <w:rsid w:val="00F27306"/>
    <w:rsid w:val="00F273C3"/>
    <w:rsid w:val="00F27795"/>
    <w:rsid w:val="00F2783F"/>
    <w:rsid w:val="00F27966"/>
    <w:rsid w:val="00F27F8A"/>
    <w:rsid w:val="00F30600"/>
    <w:rsid w:val="00F306B2"/>
    <w:rsid w:val="00F307D7"/>
    <w:rsid w:val="00F30C40"/>
    <w:rsid w:val="00F315AB"/>
    <w:rsid w:val="00F32BE0"/>
    <w:rsid w:val="00F3341A"/>
    <w:rsid w:val="00F3383E"/>
    <w:rsid w:val="00F33AA0"/>
    <w:rsid w:val="00F342F6"/>
    <w:rsid w:val="00F34478"/>
    <w:rsid w:val="00F354D4"/>
    <w:rsid w:val="00F35597"/>
    <w:rsid w:val="00F35AD7"/>
    <w:rsid w:val="00F35C0B"/>
    <w:rsid w:val="00F36134"/>
    <w:rsid w:val="00F3725A"/>
    <w:rsid w:val="00F37A15"/>
    <w:rsid w:val="00F4007B"/>
    <w:rsid w:val="00F4044E"/>
    <w:rsid w:val="00F404EA"/>
    <w:rsid w:val="00F40524"/>
    <w:rsid w:val="00F40E0F"/>
    <w:rsid w:val="00F41949"/>
    <w:rsid w:val="00F42068"/>
    <w:rsid w:val="00F42A6D"/>
    <w:rsid w:val="00F42EF6"/>
    <w:rsid w:val="00F436B5"/>
    <w:rsid w:val="00F43B23"/>
    <w:rsid w:val="00F44069"/>
    <w:rsid w:val="00F4448D"/>
    <w:rsid w:val="00F44A9D"/>
    <w:rsid w:val="00F450DD"/>
    <w:rsid w:val="00F45923"/>
    <w:rsid w:val="00F461B3"/>
    <w:rsid w:val="00F4638A"/>
    <w:rsid w:val="00F465A7"/>
    <w:rsid w:val="00F46F48"/>
    <w:rsid w:val="00F46F52"/>
    <w:rsid w:val="00F47D79"/>
    <w:rsid w:val="00F5031C"/>
    <w:rsid w:val="00F5070B"/>
    <w:rsid w:val="00F50B10"/>
    <w:rsid w:val="00F50B7C"/>
    <w:rsid w:val="00F50D91"/>
    <w:rsid w:val="00F511F7"/>
    <w:rsid w:val="00F5142E"/>
    <w:rsid w:val="00F51739"/>
    <w:rsid w:val="00F518A7"/>
    <w:rsid w:val="00F51A75"/>
    <w:rsid w:val="00F51A98"/>
    <w:rsid w:val="00F51E00"/>
    <w:rsid w:val="00F51FBF"/>
    <w:rsid w:val="00F520DE"/>
    <w:rsid w:val="00F52306"/>
    <w:rsid w:val="00F525C0"/>
    <w:rsid w:val="00F52971"/>
    <w:rsid w:val="00F52CA7"/>
    <w:rsid w:val="00F52DC5"/>
    <w:rsid w:val="00F53333"/>
    <w:rsid w:val="00F533FF"/>
    <w:rsid w:val="00F537A2"/>
    <w:rsid w:val="00F53AF3"/>
    <w:rsid w:val="00F54A28"/>
    <w:rsid w:val="00F550E6"/>
    <w:rsid w:val="00F553AB"/>
    <w:rsid w:val="00F55474"/>
    <w:rsid w:val="00F555F2"/>
    <w:rsid w:val="00F557FC"/>
    <w:rsid w:val="00F55C68"/>
    <w:rsid w:val="00F566BE"/>
    <w:rsid w:val="00F567FA"/>
    <w:rsid w:val="00F56F77"/>
    <w:rsid w:val="00F571E1"/>
    <w:rsid w:val="00F57459"/>
    <w:rsid w:val="00F57744"/>
    <w:rsid w:val="00F60E76"/>
    <w:rsid w:val="00F61309"/>
    <w:rsid w:val="00F62230"/>
    <w:rsid w:val="00F62C80"/>
    <w:rsid w:val="00F6307D"/>
    <w:rsid w:val="00F6427B"/>
    <w:rsid w:val="00F649D4"/>
    <w:rsid w:val="00F65DB5"/>
    <w:rsid w:val="00F65FC3"/>
    <w:rsid w:val="00F6616B"/>
    <w:rsid w:val="00F6690E"/>
    <w:rsid w:val="00F66CD3"/>
    <w:rsid w:val="00F66E5F"/>
    <w:rsid w:val="00F67336"/>
    <w:rsid w:val="00F67AA3"/>
    <w:rsid w:val="00F67CA3"/>
    <w:rsid w:val="00F67EAC"/>
    <w:rsid w:val="00F70169"/>
    <w:rsid w:val="00F7046A"/>
    <w:rsid w:val="00F708CE"/>
    <w:rsid w:val="00F70F98"/>
    <w:rsid w:val="00F71E0C"/>
    <w:rsid w:val="00F71E78"/>
    <w:rsid w:val="00F71EF6"/>
    <w:rsid w:val="00F71F06"/>
    <w:rsid w:val="00F72066"/>
    <w:rsid w:val="00F725DD"/>
    <w:rsid w:val="00F72775"/>
    <w:rsid w:val="00F72B89"/>
    <w:rsid w:val="00F72BE3"/>
    <w:rsid w:val="00F72C0C"/>
    <w:rsid w:val="00F73287"/>
    <w:rsid w:val="00F7339B"/>
    <w:rsid w:val="00F7393B"/>
    <w:rsid w:val="00F73EC3"/>
    <w:rsid w:val="00F742B9"/>
    <w:rsid w:val="00F74345"/>
    <w:rsid w:val="00F74D01"/>
    <w:rsid w:val="00F74E93"/>
    <w:rsid w:val="00F7506A"/>
    <w:rsid w:val="00F75260"/>
    <w:rsid w:val="00F757CB"/>
    <w:rsid w:val="00F76091"/>
    <w:rsid w:val="00F76291"/>
    <w:rsid w:val="00F76627"/>
    <w:rsid w:val="00F77389"/>
    <w:rsid w:val="00F7774F"/>
    <w:rsid w:val="00F80A0A"/>
    <w:rsid w:val="00F81096"/>
    <w:rsid w:val="00F81C30"/>
    <w:rsid w:val="00F8235F"/>
    <w:rsid w:val="00F82B19"/>
    <w:rsid w:val="00F82EDE"/>
    <w:rsid w:val="00F83BD2"/>
    <w:rsid w:val="00F84C00"/>
    <w:rsid w:val="00F84D9A"/>
    <w:rsid w:val="00F8509A"/>
    <w:rsid w:val="00F8518B"/>
    <w:rsid w:val="00F85386"/>
    <w:rsid w:val="00F8538F"/>
    <w:rsid w:val="00F853CB"/>
    <w:rsid w:val="00F863A2"/>
    <w:rsid w:val="00F86E90"/>
    <w:rsid w:val="00F87317"/>
    <w:rsid w:val="00F874AD"/>
    <w:rsid w:val="00F8750B"/>
    <w:rsid w:val="00F90045"/>
    <w:rsid w:val="00F90655"/>
    <w:rsid w:val="00F90672"/>
    <w:rsid w:val="00F907BD"/>
    <w:rsid w:val="00F90F61"/>
    <w:rsid w:val="00F91220"/>
    <w:rsid w:val="00F91B61"/>
    <w:rsid w:val="00F9212D"/>
    <w:rsid w:val="00F926F9"/>
    <w:rsid w:val="00F92B4B"/>
    <w:rsid w:val="00F93945"/>
    <w:rsid w:val="00F93BBA"/>
    <w:rsid w:val="00F93F8B"/>
    <w:rsid w:val="00F94CC0"/>
    <w:rsid w:val="00F95294"/>
    <w:rsid w:val="00F954C4"/>
    <w:rsid w:val="00F9558C"/>
    <w:rsid w:val="00F95D55"/>
    <w:rsid w:val="00F96141"/>
    <w:rsid w:val="00F963D3"/>
    <w:rsid w:val="00F965DA"/>
    <w:rsid w:val="00F96A64"/>
    <w:rsid w:val="00F96B1C"/>
    <w:rsid w:val="00F96E04"/>
    <w:rsid w:val="00F971E7"/>
    <w:rsid w:val="00F974AC"/>
    <w:rsid w:val="00FA033C"/>
    <w:rsid w:val="00FA0349"/>
    <w:rsid w:val="00FA0385"/>
    <w:rsid w:val="00FA0399"/>
    <w:rsid w:val="00FA074D"/>
    <w:rsid w:val="00FA09CD"/>
    <w:rsid w:val="00FA0DF6"/>
    <w:rsid w:val="00FA12D5"/>
    <w:rsid w:val="00FA2546"/>
    <w:rsid w:val="00FA2F4A"/>
    <w:rsid w:val="00FA31C0"/>
    <w:rsid w:val="00FA39BE"/>
    <w:rsid w:val="00FA3B8D"/>
    <w:rsid w:val="00FA406A"/>
    <w:rsid w:val="00FA41D5"/>
    <w:rsid w:val="00FA43E6"/>
    <w:rsid w:val="00FA45AC"/>
    <w:rsid w:val="00FA49CB"/>
    <w:rsid w:val="00FA52F2"/>
    <w:rsid w:val="00FA628D"/>
    <w:rsid w:val="00FA65C5"/>
    <w:rsid w:val="00FA66E6"/>
    <w:rsid w:val="00FA6913"/>
    <w:rsid w:val="00FA6DEE"/>
    <w:rsid w:val="00FA712C"/>
    <w:rsid w:val="00FA71B5"/>
    <w:rsid w:val="00FA7CFF"/>
    <w:rsid w:val="00FB014E"/>
    <w:rsid w:val="00FB06FE"/>
    <w:rsid w:val="00FB0BBE"/>
    <w:rsid w:val="00FB1330"/>
    <w:rsid w:val="00FB1B85"/>
    <w:rsid w:val="00FB1DEB"/>
    <w:rsid w:val="00FB1FD5"/>
    <w:rsid w:val="00FB38BA"/>
    <w:rsid w:val="00FB3DA2"/>
    <w:rsid w:val="00FB3EA9"/>
    <w:rsid w:val="00FB47A7"/>
    <w:rsid w:val="00FB4E33"/>
    <w:rsid w:val="00FB4FE8"/>
    <w:rsid w:val="00FB503A"/>
    <w:rsid w:val="00FB516C"/>
    <w:rsid w:val="00FB6829"/>
    <w:rsid w:val="00FB6C7D"/>
    <w:rsid w:val="00FB74CC"/>
    <w:rsid w:val="00FB7A47"/>
    <w:rsid w:val="00FB7A4A"/>
    <w:rsid w:val="00FB7A65"/>
    <w:rsid w:val="00FB7A77"/>
    <w:rsid w:val="00FC000C"/>
    <w:rsid w:val="00FC0A25"/>
    <w:rsid w:val="00FC112B"/>
    <w:rsid w:val="00FC12B8"/>
    <w:rsid w:val="00FC1BFE"/>
    <w:rsid w:val="00FC21BE"/>
    <w:rsid w:val="00FC2E5C"/>
    <w:rsid w:val="00FC32FA"/>
    <w:rsid w:val="00FC3EB3"/>
    <w:rsid w:val="00FC44B1"/>
    <w:rsid w:val="00FC5793"/>
    <w:rsid w:val="00FC64F6"/>
    <w:rsid w:val="00FC6606"/>
    <w:rsid w:val="00FC7575"/>
    <w:rsid w:val="00FC76CD"/>
    <w:rsid w:val="00FC76FC"/>
    <w:rsid w:val="00FC7B96"/>
    <w:rsid w:val="00FC7D0E"/>
    <w:rsid w:val="00FD0236"/>
    <w:rsid w:val="00FD035A"/>
    <w:rsid w:val="00FD0E24"/>
    <w:rsid w:val="00FD0ED3"/>
    <w:rsid w:val="00FD0FAF"/>
    <w:rsid w:val="00FD10E1"/>
    <w:rsid w:val="00FD18F4"/>
    <w:rsid w:val="00FD201B"/>
    <w:rsid w:val="00FD21FE"/>
    <w:rsid w:val="00FD241C"/>
    <w:rsid w:val="00FD3719"/>
    <w:rsid w:val="00FD41CB"/>
    <w:rsid w:val="00FD4388"/>
    <w:rsid w:val="00FD54DB"/>
    <w:rsid w:val="00FD555A"/>
    <w:rsid w:val="00FD57D9"/>
    <w:rsid w:val="00FD60A8"/>
    <w:rsid w:val="00FD619F"/>
    <w:rsid w:val="00FD68CE"/>
    <w:rsid w:val="00FD6C52"/>
    <w:rsid w:val="00FD7DD2"/>
    <w:rsid w:val="00FD7E3E"/>
    <w:rsid w:val="00FD7F1A"/>
    <w:rsid w:val="00FE06D5"/>
    <w:rsid w:val="00FE10E7"/>
    <w:rsid w:val="00FE142F"/>
    <w:rsid w:val="00FE169B"/>
    <w:rsid w:val="00FE1971"/>
    <w:rsid w:val="00FE1C73"/>
    <w:rsid w:val="00FE2410"/>
    <w:rsid w:val="00FE2DD5"/>
    <w:rsid w:val="00FE34A1"/>
    <w:rsid w:val="00FE35F6"/>
    <w:rsid w:val="00FE3F80"/>
    <w:rsid w:val="00FE4304"/>
    <w:rsid w:val="00FE45CB"/>
    <w:rsid w:val="00FE49F8"/>
    <w:rsid w:val="00FE4EFD"/>
    <w:rsid w:val="00FE54CE"/>
    <w:rsid w:val="00FE56C7"/>
    <w:rsid w:val="00FE5843"/>
    <w:rsid w:val="00FE58F3"/>
    <w:rsid w:val="00FE6466"/>
    <w:rsid w:val="00FE6B45"/>
    <w:rsid w:val="00FE7713"/>
    <w:rsid w:val="00FE785C"/>
    <w:rsid w:val="00FE7F27"/>
    <w:rsid w:val="00FF040B"/>
    <w:rsid w:val="00FF091E"/>
    <w:rsid w:val="00FF11CE"/>
    <w:rsid w:val="00FF149F"/>
    <w:rsid w:val="00FF14AB"/>
    <w:rsid w:val="00FF1AD0"/>
    <w:rsid w:val="00FF1CEA"/>
    <w:rsid w:val="00FF2250"/>
    <w:rsid w:val="00FF3790"/>
    <w:rsid w:val="00FF39F3"/>
    <w:rsid w:val="00FF3B05"/>
    <w:rsid w:val="00FF3DAD"/>
    <w:rsid w:val="00FF4248"/>
    <w:rsid w:val="00FF4C83"/>
    <w:rsid w:val="00FF52FC"/>
    <w:rsid w:val="00FF7215"/>
    <w:rsid w:val="00FF75F9"/>
    <w:rsid w:val="01290F7E"/>
    <w:rsid w:val="015D1E09"/>
    <w:rsid w:val="01C15077"/>
    <w:rsid w:val="02697903"/>
    <w:rsid w:val="02F96569"/>
    <w:rsid w:val="03EA7B21"/>
    <w:rsid w:val="058975EA"/>
    <w:rsid w:val="05F83EAE"/>
    <w:rsid w:val="063E7D85"/>
    <w:rsid w:val="07293586"/>
    <w:rsid w:val="07295285"/>
    <w:rsid w:val="07636392"/>
    <w:rsid w:val="07770C56"/>
    <w:rsid w:val="083D26E0"/>
    <w:rsid w:val="092217DD"/>
    <w:rsid w:val="093A7294"/>
    <w:rsid w:val="0A263993"/>
    <w:rsid w:val="0A2D3AC2"/>
    <w:rsid w:val="0AA755DF"/>
    <w:rsid w:val="0B120D44"/>
    <w:rsid w:val="0BD27BF6"/>
    <w:rsid w:val="0C0E7FA7"/>
    <w:rsid w:val="0C3B3C7D"/>
    <w:rsid w:val="0CAB2EAE"/>
    <w:rsid w:val="0D621C7D"/>
    <w:rsid w:val="0D7550B0"/>
    <w:rsid w:val="0E73034D"/>
    <w:rsid w:val="0F13775A"/>
    <w:rsid w:val="0F5F45FE"/>
    <w:rsid w:val="0F9A112B"/>
    <w:rsid w:val="106D2F64"/>
    <w:rsid w:val="10B63710"/>
    <w:rsid w:val="10F10820"/>
    <w:rsid w:val="111C2F7A"/>
    <w:rsid w:val="114C4ACB"/>
    <w:rsid w:val="11665CA1"/>
    <w:rsid w:val="13951726"/>
    <w:rsid w:val="14396509"/>
    <w:rsid w:val="14DD2C3C"/>
    <w:rsid w:val="15180A06"/>
    <w:rsid w:val="16087E1D"/>
    <w:rsid w:val="160C7686"/>
    <w:rsid w:val="16A22912"/>
    <w:rsid w:val="17701D14"/>
    <w:rsid w:val="17735226"/>
    <w:rsid w:val="180C3F54"/>
    <w:rsid w:val="189F624C"/>
    <w:rsid w:val="19646FF5"/>
    <w:rsid w:val="1A1C66C0"/>
    <w:rsid w:val="1A2D6A7E"/>
    <w:rsid w:val="1A42393B"/>
    <w:rsid w:val="1AAD45DE"/>
    <w:rsid w:val="1AF81AB0"/>
    <w:rsid w:val="1B046F80"/>
    <w:rsid w:val="1B1E643C"/>
    <w:rsid w:val="1B3267B5"/>
    <w:rsid w:val="1B40161D"/>
    <w:rsid w:val="1B441859"/>
    <w:rsid w:val="1B6606B1"/>
    <w:rsid w:val="1B871219"/>
    <w:rsid w:val="1C3F48EF"/>
    <w:rsid w:val="1C5E7925"/>
    <w:rsid w:val="1CFD070F"/>
    <w:rsid w:val="1D5F6196"/>
    <w:rsid w:val="1D6132A5"/>
    <w:rsid w:val="1D8E56D5"/>
    <w:rsid w:val="1E7A43DA"/>
    <w:rsid w:val="1FE7539E"/>
    <w:rsid w:val="20671BE0"/>
    <w:rsid w:val="20963CB8"/>
    <w:rsid w:val="20A81A1B"/>
    <w:rsid w:val="20B07FB6"/>
    <w:rsid w:val="20B646FB"/>
    <w:rsid w:val="213B74B1"/>
    <w:rsid w:val="214A0AF8"/>
    <w:rsid w:val="215A2310"/>
    <w:rsid w:val="215C3C25"/>
    <w:rsid w:val="21A4477B"/>
    <w:rsid w:val="21DE318A"/>
    <w:rsid w:val="21EF5B80"/>
    <w:rsid w:val="22576990"/>
    <w:rsid w:val="22AD78FE"/>
    <w:rsid w:val="22F47480"/>
    <w:rsid w:val="23DC41AF"/>
    <w:rsid w:val="23DE1C48"/>
    <w:rsid w:val="240210CD"/>
    <w:rsid w:val="24BF09F7"/>
    <w:rsid w:val="252D53FE"/>
    <w:rsid w:val="25EC2D81"/>
    <w:rsid w:val="261208DC"/>
    <w:rsid w:val="277057A2"/>
    <w:rsid w:val="281D755A"/>
    <w:rsid w:val="29206EB8"/>
    <w:rsid w:val="29595666"/>
    <w:rsid w:val="29874881"/>
    <w:rsid w:val="29B32CE4"/>
    <w:rsid w:val="29E325E0"/>
    <w:rsid w:val="2A452503"/>
    <w:rsid w:val="2B581ADB"/>
    <w:rsid w:val="2BA936A8"/>
    <w:rsid w:val="2C315A5A"/>
    <w:rsid w:val="2C4B1C25"/>
    <w:rsid w:val="2D03015C"/>
    <w:rsid w:val="2D9E56F5"/>
    <w:rsid w:val="2DAF35F6"/>
    <w:rsid w:val="2E667F96"/>
    <w:rsid w:val="2E8226AB"/>
    <w:rsid w:val="2E926A16"/>
    <w:rsid w:val="2F631E13"/>
    <w:rsid w:val="2FD065E6"/>
    <w:rsid w:val="2FD96870"/>
    <w:rsid w:val="30580BC9"/>
    <w:rsid w:val="30AE69FD"/>
    <w:rsid w:val="30F973AC"/>
    <w:rsid w:val="311E2ED7"/>
    <w:rsid w:val="315619EE"/>
    <w:rsid w:val="315C449C"/>
    <w:rsid w:val="31B82709"/>
    <w:rsid w:val="31D01E84"/>
    <w:rsid w:val="31D05482"/>
    <w:rsid w:val="32400B34"/>
    <w:rsid w:val="329E6876"/>
    <w:rsid w:val="32C64ADA"/>
    <w:rsid w:val="333015F2"/>
    <w:rsid w:val="334B6320"/>
    <w:rsid w:val="33D934D4"/>
    <w:rsid w:val="33FE2F6A"/>
    <w:rsid w:val="340E07E5"/>
    <w:rsid w:val="34235BF7"/>
    <w:rsid w:val="349B1DC1"/>
    <w:rsid w:val="355B5198"/>
    <w:rsid w:val="358C5FA8"/>
    <w:rsid w:val="35C15DF1"/>
    <w:rsid w:val="36074A7F"/>
    <w:rsid w:val="36923549"/>
    <w:rsid w:val="36B75FBF"/>
    <w:rsid w:val="36BD0C45"/>
    <w:rsid w:val="37E00298"/>
    <w:rsid w:val="384607C7"/>
    <w:rsid w:val="38B302F9"/>
    <w:rsid w:val="38F12CD3"/>
    <w:rsid w:val="38F94775"/>
    <w:rsid w:val="392971ED"/>
    <w:rsid w:val="39325651"/>
    <w:rsid w:val="39656F67"/>
    <w:rsid w:val="3A534052"/>
    <w:rsid w:val="3A872856"/>
    <w:rsid w:val="3B3763D1"/>
    <w:rsid w:val="3BB52C0D"/>
    <w:rsid w:val="3C2F6E1E"/>
    <w:rsid w:val="3C3A7702"/>
    <w:rsid w:val="3C4D1B3E"/>
    <w:rsid w:val="3C4F64BA"/>
    <w:rsid w:val="3CDA245A"/>
    <w:rsid w:val="3D1E06B7"/>
    <w:rsid w:val="3DB30ED8"/>
    <w:rsid w:val="3EDA0523"/>
    <w:rsid w:val="407A6407"/>
    <w:rsid w:val="41282A08"/>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7F7633F"/>
    <w:rsid w:val="4870272E"/>
    <w:rsid w:val="49AC07A2"/>
    <w:rsid w:val="49DC7715"/>
    <w:rsid w:val="4A023139"/>
    <w:rsid w:val="4A7B576F"/>
    <w:rsid w:val="4AF561A9"/>
    <w:rsid w:val="4C4A0649"/>
    <w:rsid w:val="4C7E5ECA"/>
    <w:rsid w:val="4C876AA5"/>
    <w:rsid w:val="4D0E00FB"/>
    <w:rsid w:val="4D176606"/>
    <w:rsid w:val="4DEC4FB0"/>
    <w:rsid w:val="4E075D8A"/>
    <w:rsid w:val="4E310FAF"/>
    <w:rsid w:val="4E6334BA"/>
    <w:rsid w:val="4EC00FAD"/>
    <w:rsid w:val="4F9843DC"/>
    <w:rsid w:val="4FC246CD"/>
    <w:rsid w:val="4FC62A8C"/>
    <w:rsid w:val="4FE20F0D"/>
    <w:rsid w:val="4FE51552"/>
    <w:rsid w:val="50504C4B"/>
    <w:rsid w:val="50584DA9"/>
    <w:rsid w:val="509C6E7C"/>
    <w:rsid w:val="5162104E"/>
    <w:rsid w:val="53215896"/>
    <w:rsid w:val="53A039CC"/>
    <w:rsid w:val="53A1505A"/>
    <w:rsid w:val="54063E08"/>
    <w:rsid w:val="543437E8"/>
    <w:rsid w:val="54F73313"/>
    <w:rsid w:val="54F80955"/>
    <w:rsid w:val="555170A7"/>
    <w:rsid w:val="5587536D"/>
    <w:rsid w:val="559B174B"/>
    <w:rsid w:val="55CE0CF4"/>
    <w:rsid w:val="55FA46E6"/>
    <w:rsid w:val="563520BF"/>
    <w:rsid w:val="56627A53"/>
    <w:rsid w:val="56B22A9C"/>
    <w:rsid w:val="57B72A76"/>
    <w:rsid w:val="57C3426C"/>
    <w:rsid w:val="57CE1F93"/>
    <w:rsid w:val="588743D1"/>
    <w:rsid w:val="5887701A"/>
    <w:rsid w:val="59725A95"/>
    <w:rsid w:val="597327EB"/>
    <w:rsid w:val="5998762D"/>
    <w:rsid w:val="59C0439F"/>
    <w:rsid w:val="5ABE2233"/>
    <w:rsid w:val="5BDF5D95"/>
    <w:rsid w:val="5BFE7528"/>
    <w:rsid w:val="5E2467F1"/>
    <w:rsid w:val="5EB96648"/>
    <w:rsid w:val="5ED73BA9"/>
    <w:rsid w:val="5F1A2B43"/>
    <w:rsid w:val="5F616E0C"/>
    <w:rsid w:val="5FA16004"/>
    <w:rsid w:val="5FB837BB"/>
    <w:rsid w:val="60CC405A"/>
    <w:rsid w:val="61E215D8"/>
    <w:rsid w:val="621B3775"/>
    <w:rsid w:val="62364782"/>
    <w:rsid w:val="62657AD1"/>
    <w:rsid w:val="627D021D"/>
    <w:rsid w:val="6310266E"/>
    <w:rsid w:val="635B5E32"/>
    <w:rsid w:val="6394356A"/>
    <w:rsid w:val="63C61B2C"/>
    <w:rsid w:val="63D40BE9"/>
    <w:rsid w:val="64102431"/>
    <w:rsid w:val="64413365"/>
    <w:rsid w:val="64A5243A"/>
    <w:rsid w:val="64F531DE"/>
    <w:rsid w:val="65373578"/>
    <w:rsid w:val="66B477F6"/>
    <w:rsid w:val="671F124A"/>
    <w:rsid w:val="677A33C6"/>
    <w:rsid w:val="681F6961"/>
    <w:rsid w:val="683B6F7E"/>
    <w:rsid w:val="68610A2F"/>
    <w:rsid w:val="68723B81"/>
    <w:rsid w:val="68805514"/>
    <w:rsid w:val="690328B9"/>
    <w:rsid w:val="69316E2F"/>
    <w:rsid w:val="694E2071"/>
    <w:rsid w:val="69766163"/>
    <w:rsid w:val="697A3B33"/>
    <w:rsid w:val="69D44760"/>
    <w:rsid w:val="6A520EC7"/>
    <w:rsid w:val="6AF87E20"/>
    <w:rsid w:val="6B322639"/>
    <w:rsid w:val="6B5841A3"/>
    <w:rsid w:val="6C636C38"/>
    <w:rsid w:val="6D2D0302"/>
    <w:rsid w:val="6D564B1C"/>
    <w:rsid w:val="6DB34098"/>
    <w:rsid w:val="6DB545B6"/>
    <w:rsid w:val="6DE02FB4"/>
    <w:rsid w:val="6E0B67A6"/>
    <w:rsid w:val="6E113A37"/>
    <w:rsid w:val="6E514CED"/>
    <w:rsid w:val="6EAD7733"/>
    <w:rsid w:val="6EB563D5"/>
    <w:rsid w:val="6ED92677"/>
    <w:rsid w:val="6F225983"/>
    <w:rsid w:val="6FFC5590"/>
    <w:rsid w:val="706D1DD0"/>
    <w:rsid w:val="70856B87"/>
    <w:rsid w:val="70D527EE"/>
    <w:rsid w:val="715B5300"/>
    <w:rsid w:val="71A35ECB"/>
    <w:rsid w:val="71D27F8A"/>
    <w:rsid w:val="72553024"/>
    <w:rsid w:val="725C04A6"/>
    <w:rsid w:val="72E956D2"/>
    <w:rsid w:val="73122968"/>
    <w:rsid w:val="731F5D5E"/>
    <w:rsid w:val="734A6298"/>
    <w:rsid w:val="73C51AD5"/>
    <w:rsid w:val="741E793C"/>
    <w:rsid w:val="745E3944"/>
    <w:rsid w:val="7635099D"/>
    <w:rsid w:val="77762421"/>
    <w:rsid w:val="77B56B1F"/>
    <w:rsid w:val="780F09F4"/>
    <w:rsid w:val="78A90480"/>
    <w:rsid w:val="7A364017"/>
    <w:rsid w:val="7A8265E1"/>
    <w:rsid w:val="7AE6286D"/>
    <w:rsid w:val="7B686D42"/>
    <w:rsid w:val="7B841746"/>
    <w:rsid w:val="7BB36476"/>
    <w:rsid w:val="7C681A8E"/>
    <w:rsid w:val="7C6C5AC7"/>
    <w:rsid w:val="7CC6544B"/>
    <w:rsid w:val="7D0239FF"/>
    <w:rsid w:val="7D1568F8"/>
    <w:rsid w:val="7D5E40CD"/>
    <w:rsid w:val="7DCD56F2"/>
    <w:rsid w:val="7E0B1CBD"/>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qFormat="1" w:unhideWhenUsed="0" w:uiPriority="0" w:semiHidden="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uiPriority="0" w:name="Body Text First Indent" w:locked="1"/>
    <w:lsdException w:qFormat="1" w:unhideWhenUsed="0" w:uiPriority="99"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65"/>
    <w:qFormat/>
    <w:locked/>
    <w:uiPriority w:val="0"/>
    <w:pPr>
      <w:keepNext/>
      <w:spacing w:line="360" w:lineRule="auto"/>
      <w:outlineLvl w:val="1"/>
    </w:pPr>
    <w:rPr>
      <w:sz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5"/>
    <w:qFormat/>
    <w:locked/>
    <w:uiPriority w:val="99"/>
    <w:pPr>
      <w:ind w:firstLine="420" w:firstLineChars="200"/>
    </w:pPr>
    <w:rPr>
      <w:kern w:val="2"/>
      <w:sz w:val="21"/>
      <w:szCs w:val="24"/>
    </w:rPr>
  </w:style>
  <w:style w:type="paragraph" w:styleId="3">
    <w:name w:val="Body Text Indent"/>
    <w:basedOn w:val="1"/>
    <w:link w:val="28"/>
    <w:qFormat/>
    <w:uiPriority w:val="0"/>
    <w:pPr>
      <w:spacing w:after="120"/>
      <w:ind w:left="420" w:leftChars="200"/>
    </w:pPr>
    <w:rPr>
      <w:kern w:val="0"/>
      <w:sz w:val="24"/>
      <w:szCs w:val="20"/>
    </w:rPr>
  </w:style>
  <w:style w:type="paragraph" w:styleId="6">
    <w:name w:val="Normal Indent"/>
    <w:basedOn w:val="1"/>
    <w:link w:val="25"/>
    <w:qFormat/>
    <w:locked/>
    <w:uiPriority w:val="99"/>
    <w:pPr>
      <w:adjustRightInd w:val="0"/>
      <w:spacing w:line="360" w:lineRule="atLeast"/>
      <w:ind w:firstLine="420"/>
      <w:jc w:val="left"/>
      <w:textAlignment w:val="baseline"/>
    </w:pPr>
    <w:rPr>
      <w:kern w:val="0"/>
      <w:sz w:val="24"/>
      <w:szCs w:val="20"/>
    </w:rPr>
  </w:style>
  <w:style w:type="paragraph" w:styleId="7">
    <w:name w:val="Document Map"/>
    <w:basedOn w:val="1"/>
    <w:link w:val="66"/>
    <w:qFormat/>
    <w:locked/>
    <w:uiPriority w:val="0"/>
    <w:rPr>
      <w:rFonts w:ascii="宋体"/>
      <w:sz w:val="18"/>
      <w:szCs w:val="18"/>
    </w:rPr>
  </w:style>
  <w:style w:type="paragraph" w:styleId="8">
    <w:name w:val="annotation text"/>
    <w:basedOn w:val="1"/>
    <w:link w:val="26"/>
    <w:qFormat/>
    <w:uiPriority w:val="0"/>
    <w:pPr>
      <w:jc w:val="left"/>
    </w:pPr>
    <w:rPr>
      <w:kern w:val="0"/>
      <w:sz w:val="24"/>
      <w:szCs w:val="20"/>
    </w:rPr>
  </w:style>
  <w:style w:type="paragraph" w:styleId="9">
    <w:name w:val="Body Text"/>
    <w:basedOn w:val="1"/>
    <w:link w:val="27"/>
    <w:qFormat/>
    <w:uiPriority w:val="0"/>
    <w:pPr>
      <w:widowControl/>
      <w:snapToGrid w:val="0"/>
      <w:spacing w:before="60" w:after="160" w:line="259" w:lineRule="auto"/>
      <w:ind w:right="113"/>
    </w:pPr>
    <w:rPr>
      <w:kern w:val="0"/>
      <w:sz w:val="18"/>
      <w:szCs w:val="20"/>
    </w:rPr>
  </w:style>
  <w:style w:type="paragraph" w:styleId="10">
    <w:name w:val="Plain Text"/>
    <w:basedOn w:val="1"/>
    <w:link w:val="57"/>
    <w:qFormat/>
    <w:locked/>
    <w:uiPriority w:val="0"/>
    <w:rPr>
      <w:rFonts w:ascii="宋体" w:hAnsi="Courier New"/>
      <w:szCs w:val="21"/>
    </w:rPr>
  </w:style>
  <w:style w:type="paragraph" w:styleId="11">
    <w:name w:val="Date"/>
    <w:basedOn w:val="1"/>
    <w:next w:val="1"/>
    <w:link w:val="29"/>
    <w:qFormat/>
    <w:uiPriority w:val="0"/>
    <w:pPr>
      <w:ind w:left="100" w:leftChars="2500"/>
    </w:pPr>
    <w:rPr>
      <w:kern w:val="0"/>
      <w:sz w:val="24"/>
      <w:szCs w:val="20"/>
    </w:rPr>
  </w:style>
  <w:style w:type="paragraph" w:styleId="12">
    <w:name w:val="Balloon Text"/>
    <w:basedOn w:val="1"/>
    <w:link w:val="30"/>
    <w:semiHidden/>
    <w:qFormat/>
    <w:uiPriority w:val="0"/>
    <w:rPr>
      <w:kern w:val="0"/>
      <w:sz w:val="18"/>
      <w:szCs w:val="20"/>
    </w:rPr>
  </w:style>
  <w:style w:type="paragraph" w:styleId="13">
    <w:name w:val="footer"/>
    <w:basedOn w:val="1"/>
    <w:link w:val="31"/>
    <w:qFormat/>
    <w:uiPriority w:val="99"/>
    <w:pPr>
      <w:tabs>
        <w:tab w:val="center" w:pos="4153"/>
        <w:tab w:val="right" w:pos="8306"/>
      </w:tabs>
      <w:snapToGrid w:val="0"/>
      <w:jc w:val="left"/>
    </w:pPr>
    <w:rPr>
      <w:kern w:val="0"/>
      <w:sz w:val="18"/>
      <w:szCs w:val="20"/>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able of figures"/>
    <w:basedOn w:val="1"/>
    <w:next w:val="1"/>
    <w:qFormat/>
    <w:locked/>
    <w:uiPriority w:val="0"/>
    <w:pPr>
      <w:widowControl/>
      <w:ind w:left="200" w:leftChars="200" w:hanging="200" w:hangingChars="200"/>
      <w:jc w:val="left"/>
    </w:pPr>
    <w:rPr>
      <w:rFonts w:ascii="Calibri" w:hAnsi="Calibri" w:cs="宋体"/>
      <w:kern w:val="0"/>
      <w:sz w:val="24"/>
      <w:szCs w:val="22"/>
    </w:rPr>
  </w:style>
  <w:style w:type="paragraph" w:styleId="16">
    <w:name w:val="toc 2"/>
    <w:basedOn w:val="1"/>
    <w:next w:val="1"/>
    <w:qFormat/>
    <w:locked/>
    <w:uiPriority w:val="39"/>
    <w:pPr>
      <w:tabs>
        <w:tab w:val="right" w:leader="dot" w:pos="9060"/>
      </w:tabs>
      <w:ind w:left="210" w:leftChars="100"/>
      <w:jc w:val="left"/>
    </w:pPr>
    <w:rPr>
      <w:bCs/>
      <w:iCs/>
      <w:smallCaps/>
    </w:rPr>
  </w:style>
  <w:style w:type="paragraph" w:styleId="17">
    <w:name w:val="Normal (Web)"/>
    <w:basedOn w:val="1"/>
    <w:link w:val="33"/>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8"/>
    <w:next w:val="8"/>
    <w:link w:val="34"/>
    <w:semiHidden/>
    <w:qFormat/>
    <w:uiPriority w:val="0"/>
    <w:rPr>
      <w:b/>
      <w:kern w:val="2"/>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qFormat/>
    <w:locked/>
    <w:uiPriority w:val="0"/>
  </w:style>
  <w:style w:type="character" w:styleId="23">
    <w:name w:val="Hyperlink"/>
    <w:basedOn w:val="21"/>
    <w:unhideWhenUsed/>
    <w:qFormat/>
    <w:locked/>
    <w:uiPriority w:val="99"/>
    <w:rPr>
      <w:color w:val="0000FF"/>
      <w:u w:val="single"/>
    </w:rPr>
  </w:style>
  <w:style w:type="character" w:styleId="24">
    <w:name w:val="annotation reference"/>
    <w:semiHidden/>
    <w:qFormat/>
    <w:uiPriority w:val="0"/>
    <w:rPr>
      <w:sz w:val="21"/>
    </w:rPr>
  </w:style>
  <w:style w:type="character" w:customStyle="1" w:styleId="25">
    <w:name w:val="正文缩进 Char"/>
    <w:link w:val="6"/>
    <w:qFormat/>
    <w:uiPriority w:val="0"/>
    <w:rPr>
      <w:sz w:val="24"/>
    </w:rPr>
  </w:style>
  <w:style w:type="character" w:customStyle="1" w:styleId="26">
    <w:name w:val="批注文字 Char"/>
    <w:link w:val="8"/>
    <w:qFormat/>
    <w:locked/>
    <w:uiPriority w:val="0"/>
    <w:rPr>
      <w:rFonts w:ascii="Times New Roman" w:hAnsi="Times New Roman" w:eastAsia="宋体"/>
      <w:sz w:val="24"/>
    </w:rPr>
  </w:style>
  <w:style w:type="character" w:customStyle="1" w:styleId="27">
    <w:name w:val="正文文本 Char"/>
    <w:link w:val="9"/>
    <w:qFormat/>
    <w:locked/>
    <w:uiPriority w:val="0"/>
    <w:rPr>
      <w:sz w:val="18"/>
    </w:rPr>
  </w:style>
  <w:style w:type="character" w:customStyle="1" w:styleId="28">
    <w:name w:val="正文文本缩进 Char"/>
    <w:link w:val="3"/>
    <w:semiHidden/>
    <w:qFormat/>
    <w:locked/>
    <w:uiPriority w:val="0"/>
    <w:rPr>
      <w:rFonts w:ascii="Times New Roman" w:hAnsi="Times New Roman" w:eastAsia="宋体"/>
      <w:sz w:val="24"/>
    </w:rPr>
  </w:style>
  <w:style w:type="character" w:customStyle="1" w:styleId="29">
    <w:name w:val="日期 Char"/>
    <w:link w:val="11"/>
    <w:qFormat/>
    <w:locked/>
    <w:uiPriority w:val="0"/>
    <w:rPr>
      <w:rFonts w:ascii="Times New Roman" w:hAnsi="Times New Roman" w:eastAsia="宋体"/>
      <w:sz w:val="24"/>
    </w:rPr>
  </w:style>
  <w:style w:type="character" w:customStyle="1" w:styleId="30">
    <w:name w:val="批注框文本 Char"/>
    <w:link w:val="12"/>
    <w:semiHidden/>
    <w:qFormat/>
    <w:locked/>
    <w:uiPriority w:val="0"/>
    <w:rPr>
      <w:rFonts w:ascii="Times New Roman" w:hAnsi="Times New Roman" w:eastAsia="宋体"/>
      <w:sz w:val="18"/>
    </w:rPr>
  </w:style>
  <w:style w:type="character" w:customStyle="1" w:styleId="31">
    <w:name w:val="页脚 Char"/>
    <w:link w:val="13"/>
    <w:qFormat/>
    <w:locked/>
    <w:uiPriority w:val="99"/>
    <w:rPr>
      <w:sz w:val="18"/>
    </w:rPr>
  </w:style>
  <w:style w:type="character" w:customStyle="1" w:styleId="32">
    <w:name w:val="页眉 Char"/>
    <w:link w:val="14"/>
    <w:qFormat/>
    <w:locked/>
    <w:uiPriority w:val="0"/>
    <w:rPr>
      <w:sz w:val="18"/>
    </w:rPr>
  </w:style>
  <w:style w:type="character" w:customStyle="1" w:styleId="33">
    <w:name w:val="普通(网站) Char"/>
    <w:link w:val="17"/>
    <w:qFormat/>
    <w:locked/>
    <w:uiPriority w:val="0"/>
    <w:rPr>
      <w:rFonts w:ascii="宋体" w:hAnsi="宋体" w:eastAsia="宋体"/>
      <w:sz w:val="24"/>
    </w:rPr>
  </w:style>
  <w:style w:type="character" w:customStyle="1" w:styleId="34">
    <w:name w:val="批注主题 Char"/>
    <w:link w:val="18"/>
    <w:semiHidden/>
    <w:qFormat/>
    <w:locked/>
    <w:uiPriority w:val="0"/>
    <w:rPr>
      <w:rFonts w:ascii="Times New Roman" w:hAnsi="Times New Roman" w:eastAsia="宋体"/>
      <w:b/>
      <w:kern w:val="2"/>
      <w:sz w:val="24"/>
    </w:rPr>
  </w:style>
  <w:style w:type="character" w:customStyle="1" w:styleId="35">
    <w:name w:val="正文首行缩进 2 Char"/>
    <w:link w:val="2"/>
    <w:qFormat/>
    <w:uiPriority w:val="99"/>
    <w:rPr>
      <w:kern w:val="2"/>
      <w:sz w:val="21"/>
      <w:szCs w:val="24"/>
    </w:rPr>
  </w:style>
  <w:style w:type="character" w:customStyle="1" w:styleId="36">
    <w:name w:val="页脚 字符"/>
    <w:qFormat/>
    <w:uiPriority w:val="99"/>
  </w:style>
  <w:style w:type="character" w:customStyle="1" w:styleId="37">
    <w:name w:val="正文文本 字符1"/>
    <w:semiHidden/>
    <w:qFormat/>
    <w:uiPriority w:val="0"/>
    <w:rPr>
      <w:rFonts w:ascii="Times New Roman" w:hAnsi="Times New Roman" w:eastAsia="宋体"/>
      <w:sz w:val="24"/>
    </w:rPr>
  </w:style>
  <w:style w:type="character" w:customStyle="1" w:styleId="38">
    <w:name w:val="表格 Char"/>
    <w:link w:val="39"/>
    <w:qFormat/>
    <w:locked/>
    <w:uiPriority w:val="0"/>
    <w:rPr>
      <w:rFonts w:ascii="宋体"/>
      <w:sz w:val="21"/>
    </w:rPr>
  </w:style>
  <w:style w:type="paragraph" w:customStyle="1" w:styleId="39">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character" w:customStyle="1" w:styleId="40">
    <w:name w:val="日期 字符"/>
    <w:semiHidden/>
    <w:qFormat/>
    <w:uiPriority w:val="0"/>
    <w:rPr>
      <w:rFonts w:ascii="Times New Roman" w:hAnsi="Times New Roman" w:eastAsia="宋体"/>
      <w:sz w:val="24"/>
    </w:rPr>
  </w:style>
  <w:style w:type="character" w:customStyle="1" w:styleId="41">
    <w:name w:val="批注文字 字符1"/>
    <w:semiHidden/>
    <w:qFormat/>
    <w:uiPriority w:val="0"/>
    <w:rPr>
      <w:rFonts w:ascii="Times New Roman" w:hAnsi="Times New Roman" w:eastAsia="宋体"/>
      <w:sz w:val="24"/>
    </w:rPr>
  </w:style>
  <w:style w:type="paragraph" w:customStyle="1" w:styleId="4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4">
    <w:name w:val="unnamed11"/>
    <w:qFormat/>
    <w:uiPriority w:val="0"/>
    <w:rPr>
      <w:sz w:val="21"/>
    </w:rPr>
  </w:style>
  <w:style w:type="paragraph" w:customStyle="1" w:styleId="45">
    <w:name w:val="4正文"/>
    <w:basedOn w:val="1"/>
    <w:link w:val="46"/>
    <w:qFormat/>
    <w:uiPriority w:val="0"/>
    <w:pPr>
      <w:spacing w:line="360" w:lineRule="auto"/>
      <w:ind w:firstLine="200" w:firstLineChars="200"/>
      <w:jc w:val="left"/>
    </w:pPr>
    <w:rPr>
      <w:kern w:val="0"/>
      <w:sz w:val="24"/>
    </w:rPr>
  </w:style>
  <w:style w:type="character" w:customStyle="1" w:styleId="46">
    <w:name w:val="4正文 Char Char"/>
    <w:link w:val="45"/>
    <w:qFormat/>
    <w:uiPriority w:val="0"/>
    <w:rPr>
      <w:sz w:val="24"/>
      <w:szCs w:val="24"/>
    </w:rPr>
  </w:style>
  <w:style w:type="paragraph" w:customStyle="1" w:styleId="47">
    <w:name w:val="表格标题样式"/>
    <w:basedOn w:val="1"/>
    <w:link w:val="48"/>
    <w:qFormat/>
    <w:uiPriority w:val="0"/>
    <w:pPr>
      <w:numPr>
        <w:ilvl w:val="0"/>
        <w:numId w:val="1"/>
      </w:numPr>
      <w:adjustRightInd w:val="0"/>
      <w:snapToGrid w:val="0"/>
      <w:jc w:val="center"/>
    </w:pPr>
    <w:rPr>
      <w:b/>
      <w:color w:val="000000"/>
      <w:szCs w:val="21"/>
    </w:rPr>
  </w:style>
  <w:style w:type="character" w:customStyle="1" w:styleId="48">
    <w:name w:val="表格标题样式 Char"/>
    <w:link w:val="47"/>
    <w:qFormat/>
    <w:uiPriority w:val="0"/>
    <w:rPr>
      <w:b/>
      <w:color w:val="000000"/>
      <w:kern w:val="2"/>
      <w:sz w:val="21"/>
      <w:szCs w:val="21"/>
    </w:rPr>
  </w:style>
  <w:style w:type="character" w:customStyle="1" w:styleId="49">
    <w:name w:val="表格内 Char"/>
    <w:link w:val="50"/>
    <w:qFormat/>
    <w:uiPriority w:val="0"/>
    <w:rPr>
      <w:kern w:val="2"/>
      <w:sz w:val="21"/>
    </w:rPr>
  </w:style>
  <w:style w:type="paragraph" w:customStyle="1" w:styleId="50">
    <w:name w:val="表格内"/>
    <w:basedOn w:val="1"/>
    <w:link w:val="49"/>
    <w:qFormat/>
    <w:uiPriority w:val="0"/>
    <w:pPr>
      <w:jc w:val="center"/>
    </w:pPr>
    <w:rPr>
      <w:szCs w:val="20"/>
    </w:rPr>
  </w:style>
  <w:style w:type="paragraph" w:customStyle="1" w:styleId="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表头"/>
    <w:basedOn w:val="1"/>
    <w:link w:val="53"/>
    <w:qFormat/>
    <w:uiPriority w:val="0"/>
    <w:pPr>
      <w:adjustRightInd w:val="0"/>
      <w:snapToGrid w:val="0"/>
      <w:ind w:left="420" w:hanging="420"/>
      <w:jc w:val="center"/>
    </w:pPr>
    <w:rPr>
      <w:b/>
      <w:color w:val="000000"/>
      <w:szCs w:val="21"/>
    </w:rPr>
  </w:style>
  <w:style w:type="character" w:customStyle="1" w:styleId="53">
    <w:name w:val="表头 Char"/>
    <w:link w:val="52"/>
    <w:qFormat/>
    <w:uiPriority w:val="0"/>
    <w:rPr>
      <w:b/>
      <w:color w:val="000000"/>
      <w:kern w:val="2"/>
      <w:sz w:val="21"/>
      <w:szCs w:val="21"/>
    </w:rPr>
  </w:style>
  <w:style w:type="paragraph" w:customStyle="1" w:styleId="54">
    <w:name w:val="1_正文"/>
    <w:basedOn w:val="1"/>
    <w:qFormat/>
    <w:uiPriority w:val="0"/>
    <w:pPr>
      <w:adjustRightInd w:val="0"/>
      <w:snapToGrid w:val="0"/>
      <w:spacing w:line="360" w:lineRule="auto"/>
      <w:ind w:firstLine="480" w:firstLineChars="200"/>
    </w:pPr>
    <w:rPr>
      <w:color w:val="000000"/>
      <w:sz w:val="24"/>
      <w:szCs w:val="21"/>
    </w:rPr>
  </w:style>
  <w:style w:type="paragraph" w:customStyle="1" w:styleId="55">
    <w:name w:val="0正文"/>
    <w:basedOn w:val="1"/>
    <w:link w:val="76"/>
    <w:qFormat/>
    <w:uiPriority w:val="0"/>
    <w:pPr>
      <w:spacing w:line="360" w:lineRule="auto"/>
      <w:ind w:firstLine="480" w:firstLineChars="200"/>
      <w:jc w:val="left"/>
    </w:pPr>
    <w:rPr>
      <w:sz w:val="24"/>
      <w:szCs w:val="22"/>
    </w:rPr>
  </w:style>
  <w:style w:type="character" w:customStyle="1" w:styleId="56">
    <w:name w:val="纯文本 Char"/>
    <w:qFormat/>
    <w:uiPriority w:val="0"/>
    <w:rPr>
      <w:rFonts w:ascii="宋体" w:hAnsi="Courier New" w:cs="Courier New"/>
      <w:kern w:val="2"/>
      <w:sz w:val="21"/>
      <w:szCs w:val="21"/>
    </w:rPr>
  </w:style>
  <w:style w:type="character" w:customStyle="1" w:styleId="57">
    <w:name w:val="纯文本 Char1"/>
    <w:basedOn w:val="21"/>
    <w:link w:val="10"/>
    <w:qFormat/>
    <w:uiPriority w:val="0"/>
    <w:rPr>
      <w:rFonts w:ascii="宋体" w:hAnsi="Courier New" w:cs="Courier New"/>
      <w:kern w:val="2"/>
      <w:sz w:val="21"/>
      <w:szCs w:val="21"/>
    </w:rPr>
  </w:style>
  <w:style w:type="paragraph" w:customStyle="1" w:styleId="58">
    <w:name w:val="报告书正文"/>
    <w:basedOn w:val="1"/>
    <w:qFormat/>
    <w:locked/>
    <w:uiPriority w:val="0"/>
    <w:pPr>
      <w:snapToGrid w:val="0"/>
      <w:spacing w:line="300" w:lineRule="auto"/>
      <w:ind w:firstLine="200" w:firstLineChars="200"/>
      <w:jc w:val="left"/>
    </w:pPr>
    <w:rPr>
      <w:kern w:val="0"/>
      <w:szCs w:val="20"/>
    </w:rPr>
  </w:style>
  <w:style w:type="character" w:customStyle="1" w:styleId="59">
    <w:name w:val="正文文本首行缩进 2 字符"/>
    <w:link w:val="60"/>
    <w:qFormat/>
    <w:uiPriority w:val="99"/>
    <w:rPr>
      <w:rFonts w:ascii="Times New Roman" w:hAnsi="Times New Roman" w:eastAsia="宋体"/>
      <w:kern w:val="2"/>
      <w:sz w:val="21"/>
      <w:szCs w:val="24"/>
    </w:rPr>
  </w:style>
  <w:style w:type="paragraph" w:customStyle="1" w:styleId="60">
    <w:name w:val="1"/>
    <w:basedOn w:val="3"/>
    <w:next w:val="1"/>
    <w:link w:val="59"/>
    <w:qFormat/>
    <w:uiPriority w:val="99"/>
    <w:pPr>
      <w:ind w:firstLine="420" w:firstLineChars="200"/>
    </w:pPr>
    <w:rPr>
      <w:kern w:val="2"/>
      <w:sz w:val="21"/>
      <w:szCs w:val="24"/>
    </w:rPr>
  </w:style>
  <w:style w:type="paragraph" w:customStyle="1" w:styleId="61">
    <w:name w:val="表格文字"/>
    <w:basedOn w:val="1"/>
    <w:link w:val="62"/>
    <w:qFormat/>
    <w:uiPriority w:val="0"/>
    <w:pPr>
      <w:adjustRightInd w:val="0"/>
      <w:spacing w:line="320" w:lineRule="exact"/>
      <w:jc w:val="center"/>
    </w:pPr>
    <w:rPr>
      <w:sz w:val="24"/>
      <w:szCs w:val="20"/>
    </w:rPr>
  </w:style>
  <w:style w:type="character" w:customStyle="1" w:styleId="62">
    <w:name w:val="表格文字 Char"/>
    <w:link w:val="61"/>
    <w:qFormat/>
    <w:uiPriority w:val="0"/>
    <w:rPr>
      <w:kern w:val="2"/>
      <w:sz w:val="24"/>
    </w:rPr>
  </w:style>
  <w:style w:type="character" w:customStyle="1" w:styleId="63">
    <w:name w:val="NormalCharacter"/>
    <w:qFormat/>
    <w:uiPriority w:val="0"/>
    <w:rPr>
      <w:rFonts w:ascii="Times New Roman" w:hAnsi="Times New Roman" w:eastAsia="宋体" w:cs="Times New Roman"/>
      <w:kern w:val="2"/>
      <w:sz w:val="21"/>
      <w:szCs w:val="24"/>
      <w:lang w:val="en-US" w:eastAsia="zh-CN" w:bidi="ar-SA"/>
    </w:rPr>
  </w:style>
  <w:style w:type="paragraph" w:customStyle="1" w:styleId="64">
    <w:name w:val="Table Paragraph"/>
    <w:basedOn w:val="1"/>
    <w:qFormat/>
    <w:uiPriority w:val="1"/>
    <w:pPr>
      <w:autoSpaceDE w:val="0"/>
      <w:autoSpaceDN w:val="0"/>
      <w:adjustRightInd w:val="0"/>
      <w:jc w:val="left"/>
    </w:pPr>
    <w:rPr>
      <w:kern w:val="0"/>
      <w:sz w:val="24"/>
    </w:rPr>
  </w:style>
  <w:style w:type="character" w:customStyle="1" w:styleId="65">
    <w:name w:val="标题 2 Char"/>
    <w:basedOn w:val="21"/>
    <w:link w:val="5"/>
    <w:qFormat/>
    <w:uiPriority w:val="0"/>
    <w:rPr>
      <w:kern w:val="2"/>
      <w:sz w:val="28"/>
      <w:szCs w:val="24"/>
    </w:rPr>
  </w:style>
  <w:style w:type="character" w:customStyle="1" w:styleId="66">
    <w:name w:val="文档结构图 Char"/>
    <w:basedOn w:val="21"/>
    <w:link w:val="7"/>
    <w:qFormat/>
    <w:uiPriority w:val="0"/>
    <w:rPr>
      <w:rFonts w:ascii="宋体"/>
      <w:kern w:val="2"/>
      <w:sz w:val="18"/>
      <w:szCs w:val="18"/>
    </w:rPr>
  </w:style>
  <w:style w:type="paragraph" w:customStyle="1" w:styleId="67">
    <w:name w:val="环评正文"/>
    <w:basedOn w:val="1"/>
    <w:link w:val="68"/>
    <w:qFormat/>
    <w:uiPriority w:val="0"/>
    <w:pPr>
      <w:autoSpaceDE w:val="0"/>
      <w:autoSpaceDN w:val="0"/>
      <w:adjustRightInd w:val="0"/>
      <w:snapToGrid w:val="0"/>
      <w:spacing w:line="360" w:lineRule="auto"/>
      <w:ind w:firstLine="200" w:firstLineChars="200"/>
      <w:jc w:val="left"/>
    </w:pPr>
    <w:rPr>
      <w:kern w:val="0"/>
      <w:sz w:val="24"/>
    </w:rPr>
  </w:style>
  <w:style w:type="character" w:customStyle="1" w:styleId="68">
    <w:name w:val="环评正文 Char"/>
    <w:link w:val="67"/>
    <w:qFormat/>
    <w:uiPriority w:val="0"/>
    <w:rPr>
      <w:sz w:val="24"/>
      <w:szCs w:val="24"/>
    </w:rPr>
  </w:style>
  <w:style w:type="paragraph" w:customStyle="1" w:styleId="69">
    <w:name w:val="本文正文"/>
    <w:basedOn w:val="1"/>
    <w:qFormat/>
    <w:uiPriority w:val="0"/>
    <w:pPr>
      <w:spacing w:line="360" w:lineRule="auto"/>
      <w:ind w:firstLine="200" w:firstLineChars="200"/>
    </w:pPr>
    <w:rPr>
      <w:color w:val="000000"/>
      <w:kern w:val="0"/>
      <w:sz w:val="24"/>
    </w:rPr>
  </w:style>
  <w:style w:type="paragraph" w:customStyle="1" w:styleId="70">
    <w:name w:val="Char Char8 Char Char"/>
    <w:basedOn w:val="1"/>
    <w:qFormat/>
    <w:uiPriority w:val="0"/>
    <w:rPr>
      <w:sz w:val="24"/>
    </w:rPr>
  </w:style>
  <w:style w:type="paragraph" w:styleId="71">
    <w:name w:val="List Paragraph"/>
    <w:basedOn w:val="1"/>
    <w:qFormat/>
    <w:uiPriority w:val="1"/>
    <w:pPr>
      <w:spacing w:before="139"/>
      <w:ind w:left="598" w:hanging="368"/>
    </w:pPr>
    <w:rPr>
      <w:rFonts w:ascii="宋体" w:hAnsi="宋体" w:cs="宋体"/>
    </w:rPr>
  </w:style>
  <w:style w:type="paragraph" w:customStyle="1" w:styleId="72">
    <w:name w:val="_Style 69"/>
    <w:basedOn w:val="3"/>
    <w:next w:val="1"/>
    <w:qFormat/>
    <w:uiPriority w:val="99"/>
    <w:pPr>
      <w:ind w:firstLine="420" w:firstLineChars="200"/>
    </w:pPr>
    <w:rPr>
      <w:kern w:val="2"/>
      <w:sz w:val="21"/>
      <w:szCs w:val="24"/>
    </w:rPr>
  </w:style>
  <w:style w:type="paragraph" w:styleId="73">
    <w:name w:val="No Spacing"/>
    <w:link w:val="74"/>
    <w:qFormat/>
    <w:uiPriority w:val="1"/>
    <w:pPr>
      <w:jc w:val="center"/>
    </w:pPr>
    <w:rPr>
      <w:rFonts w:ascii="Times New Roman" w:hAnsi="Times New Roman" w:eastAsiaTheme="minorEastAsia" w:cstheme="minorBidi"/>
      <w:kern w:val="2"/>
      <w:sz w:val="21"/>
      <w:szCs w:val="22"/>
      <w:lang w:val="en-US" w:eastAsia="zh-CN" w:bidi="ar-SA"/>
    </w:rPr>
  </w:style>
  <w:style w:type="character" w:customStyle="1" w:styleId="74">
    <w:name w:val="无间隔 Char"/>
    <w:link w:val="73"/>
    <w:qFormat/>
    <w:uiPriority w:val="1"/>
    <w:rPr>
      <w:rFonts w:eastAsiaTheme="minorEastAsia" w:cstheme="minorBidi"/>
      <w:kern w:val="2"/>
      <w:sz w:val="21"/>
      <w:szCs w:val="22"/>
    </w:rPr>
  </w:style>
  <w:style w:type="paragraph" w:customStyle="1" w:styleId="75">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character" w:customStyle="1" w:styleId="76">
    <w:name w:val="0正文 Char"/>
    <w:link w:val="55"/>
    <w:qFormat/>
    <w:uiPriority w:val="0"/>
    <w:rPr>
      <w:kern w:val="2"/>
      <w:sz w:val="24"/>
      <w:szCs w:val="22"/>
    </w:rPr>
  </w:style>
  <w:style w:type="paragraph" w:customStyle="1" w:styleId="77">
    <w:name w:val="正文样式"/>
    <w:basedOn w:val="1"/>
    <w:qFormat/>
    <w:uiPriority w:val="0"/>
    <w:pPr>
      <w:spacing w:line="460" w:lineRule="exact"/>
      <w:ind w:firstLine="200" w:firstLineChars="200"/>
    </w:pPr>
    <w:rPr>
      <w:rFonts w:ascii="宋体" w:hAnsi="宋体"/>
      <w:sz w:val="24"/>
    </w:rPr>
  </w:style>
  <w:style w:type="paragraph" w:customStyle="1" w:styleId="78">
    <w:name w:val="正文001"/>
    <w:basedOn w:val="1"/>
    <w:qFormat/>
    <w:uiPriority w:val="0"/>
    <w:pPr>
      <w:spacing w:line="360" w:lineRule="auto"/>
      <w:ind w:firstLine="482"/>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wmf"/><Relationship Id="rId24" Type="http://schemas.openxmlformats.org/officeDocument/2006/relationships/oleObject" Target="embeddings/oleObject8.bin"/><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47F1386-7D34-4A21-A978-FD8DA8C454C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34446</Words>
  <Characters>42127</Characters>
  <Lines>336</Lines>
  <Paragraphs>94</Paragraphs>
  <TotalTime>1780</TotalTime>
  <ScaleCrop>false</ScaleCrop>
  <LinksUpToDate>false</LinksUpToDate>
  <CharactersWithSpaces>42439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2021-10-20T06:07:00Z</dcterms:created>
  <dc:creator>lhj</dc:creator>
  <cp:lastModifiedBy>wm</cp:lastModifiedBy>
  <cp:lastPrinted>2023-03-02T07:57:00Z</cp:lastPrinted>
  <dcterms:modified xsi:type="dcterms:W3CDTF">2025-11-03T08:03:38Z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DB00A660FD994B9AA861D0AD95986C1F_13</vt:lpwstr>
  </property>
  <property fmtid="{D5CDD505-2E9C-101B-9397-08002B2CF9AE}" pid="4" name="KSOTemplateDocerSaveRecord">
    <vt:lpwstr>eyJoZGlkIjoiMTJhZDZiY2FlMTFkMTllNDY3NzBhMDY0NWNhZWY5ZDUiLCJ1c2VySWQiOiIzMDcwNjMyNDIifQ==</vt:lpwstr>
  </property>
</Properties>
</file>