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C64B0">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bCs/>
          <w:color w:val="auto"/>
          <w:sz w:val="28"/>
          <w:szCs w:val="24"/>
          <w:highlight w:val="none"/>
        </w:rPr>
      </w:pPr>
      <w:r>
        <w:rPr>
          <w:rFonts w:hint="eastAsia" w:ascii="黑体" w:hAnsi="黑体" w:eastAsia="黑体" w:cs="黑体"/>
          <w:b w:val="0"/>
          <w:bCs w:val="0"/>
          <w:color w:val="auto"/>
          <w:sz w:val="28"/>
          <w:szCs w:val="24"/>
          <w:highlight w:val="none"/>
        </w:rPr>
        <w:t>一、建设项目基本情况</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24"/>
        <w:gridCol w:w="2418"/>
        <w:gridCol w:w="2029"/>
        <w:gridCol w:w="3401"/>
      </w:tblGrid>
      <w:tr w14:paraId="75C76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8" w:space="0"/>
              <w:left w:val="single" w:color="auto" w:sz="8" w:space="0"/>
              <w:bottom w:val="single" w:color="auto" w:sz="4" w:space="0"/>
              <w:right w:val="single" w:color="auto" w:sz="4" w:space="0"/>
            </w:tcBorders>
            <w:tcMar>
              <w:top w:w="16" w:type="dxa"/>
              <w:left w:w="16" w:type="dxa"/>
              <w:bottom w:w="0" w:type="dxa"/>
              <w:right w:w="16" w:type="dxa"/>
            </w:tcMar>
            <w:vAlign w:val="center"/>
          </w:tcPr>
          <w:p w14:paraId="5FBC8023">
            <w:pPr>
              <w:pStyle w:val="30"/>
              <w:rPr>
                <w:color w:val="auto"/>
                <w:sz w:val="24"/>
                <w:szCs w:val="24"/>
                <w:highlight w:val="none"/>
              </w:rPr>
            </w:pPr>
            <w:r>
              <w:rPr>
                <w:color w:val="auto"/>
                <w:sz w:val="24"/>
                <w:szCs w:val="24"/>
                <w:highlight w:val="none"/>
              </w:rPr>
              <w:t>建设项目名称</w:t>
            </w:r>
          </w:p>
        </w:tc>
        <w:tc>
          <w:tcPr>
            <w:tcW w:w="4015" w:type="pct"/>
            <w:gridSpan w:val="3"/>
            <w:tcBorders>
              <w:top w:val="single" w:color="auto" w:sz="8" w:space="0"/>
              <w:left w:val="single" w:color="auto" w:sz="4" w:space="0"/>
              <w:bottom w:val="single" w:color="auto" w:sz="4" w:space="0"/>
              <w:right w:val="single" w:color="auto" w:sz="8" w:space="0"/>
            </w:tcBorders>
            <w:vAlign w:val="center"/>
          </w:tcPr>
          <w:p w14:paraId="0B9DB10B">
            <w:pPr>
              <w:pStyle w:val="30"/>
              <w:rPr>
                <w:color w:val="auto"/>
                <w:sz w:val="24"/>
                <w:szCs w:val="24"/>
                <w:highlight w:val="none"/>
              </w:rPr>
            </w:pPr>
            <w:r>
              <w:rPr>
                <w:rFonts w:hint="eastAsia"/>
                <w:color w:val="auto"/>
                <w:sz w:val="24"/>
                <w:szCs w:val="24"/>
                <w:highlight w:val="none"/>
              </w:rPr>
              <w:t>鄠邑资源循环建材产业项目</w:t>
            </w:r>
          </w:p>
        </w:tc>
      </w:tr>
      <w:tr w14:paraId="45C87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7C03F957">
            <w:pPr>
              <w:pStyle w:val="30"/>
              <w:rPr>
                <w:color w:val="auto"/>
                <w:sz w:val="24"/>
                <w:szCs w:val="24"/>
                <w:highlight w:val="none"/>
              </w:rPr>
            </w:pPr>
            <w:r>
              <w:rPr>
                <w:color w:val="auto"/>
                <w:sz w:val="24"/>
                <w:szCs w:val="24"/>
                <w:highlight w:val="none"/>
              </w:rPr>
              <w:t>项目代码</w:t>
            </w:r>
          </w:p>
        </w:tc>
        <w:tc>
          <w:tcPr>
            <w:tcW w:w="4015" w:type="pct"/>
            <w:gridSpan w:val="3"/>
            <w:tcBorders>
              <w:top w:val="single" w:color="auto" w:sz="4" w:space="0"/>
              <w:left w:val="single" w:color="auto" w:sz="4" w:space="0"/>
              <w:bottom w:val="single" w:color="auto" w:sz="4" w:space="0"/>
              <w:right w:val="single" w:color="auto" w:sz="8" w:space="0"/>
            </w:tcBorders>
            <w:vAlign w:val="center"/>
          </w:tcPr>
          <w:p w14:paraId="19F69F63">
            <w:pPr>
              <w:pStyle w:val="30"/>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 w:val="24"/>
                <w:szCs w:val="24"/>
                <w:highlight w:val="none"/>
                <w:lang w:eastAsia="zh-CN"/>
              </w:rPr>
            </w:pPr>
            <w:r>
              <w:rPr>
                <w:rFonts w:hint="eastAsia" w:eastAsia="宋体"/>
                <w:color w:val="auto"/>
                <w:sz w:val="24"/>
                <w:szCs w:val="24"/>
                <w:highlight w:val="none"/>
                <w:lang w:eastAsia="zh-CN"/>
              </w:rPr>
              <w:t>2303-610125-04-01-449371</w:t>
            </w:r>
          </w:p>
        </w:tc>
      </w:tr>
      <w:tr w14:paraId="049B8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5077024D">
            <w:pPr>
              <w:pStyle w:val="30"/>
              <w:rPr>
                <w:color w:val="auto"/>
                <w:sz w:val="24"/>
                <w:szCs w:val="24"/>
                <w:highlight w:val="none"/>
              </w:rPr>
            </w:pPr>
            <w:r>
              <w:rPr>
                <w:color w:val="auto"/>
                <w:sz w:val="24"/>
                <w:szCs w:val="24"/>
                <w:highlight w:val="none"/>
              </w:rPr>
              <w:t>建设单位联系人</w:t>
            </w:r>
          </w:p>
        </w:tc>
        <w:tc>
          <w:tcPr>
            <w:tcW w:w="1237" w:type="pct"/>
            <w:tcBorders>
              <w:top w:val="single" w:color="auto" w:sz="4" w:space="0"/>
              <w:left w:val="single" w:color="auto" w:sz="4" w:space="0"/>
              <w:bottom w:val="single" w:color="auto" w:sz="4" w:space="0"/>
              <w:right w:val="single" w:color="auto" w:sz="4" w:space="0"/>
            </w:tcBorders>
            <w:vAlign w:val="center"/>
          </w:tcPr>
          <w:p w14:paraId="1B4592BE">
            <w:pPr>
              <w:adjustRightInd w:val="0"/>
              <w:snapToGrid w:val="0"/>
              <w:spacing w:line="240" w:lineRule="auto"/>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张骞</w:t>
            </w:r>
          </w:p>
        </w:tc>
        <w:tc>
          <w:tcPr>
            <w:tcW w:w="1038" w:type="pct"/>
            <w:tcBorders>
              <w:top w:val="single" w:color="auto" w:sz="4" w:space="0"/>
              <w:left w:val="single" w:color="auto" w:sz="4" w:space="0"/>
              <w:bottom w:val="single" w:color="auto" w:sz="4" w:space="0"/>
              <w:right w:val="single" w:color="auto" w:sz="4" w:space="0"/>
            </w:tcBorders>
            <w:vAlign w:val="center"/>
          </w:tcPr>
          <w:p w14:paraId="3602A33C">
            <w:pPr>
              <w:adjustRightInd w:val="0"/>
              <w:snapToGrid w:val="0"/>
              <w:spacing w:line="240" w:lineRule="auto"/>
              <w:jc w:val="center"/>
              <w:rPr>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740" w:type="pct"/>
            <w:tcBorders>
              <w:top w:val="single" w:color="auto" w:sz="4" w:space="0"/>
              <w:left w:val="single" w:color="auto" w:sz="4" w:space="0"/>
              <w:bottom w:val="single" w:color="auto" w:sz="4" w:space="0"/>
              <w:right w:val="single" w:color="auto" w:sz="8" w:space="0"/>
            </w:tcBorders>
            <w:vAlign w:val="center"/>
          </w:tcPr>
          <w:p w14:paraId="370791A2">
            <w:pPr>
              <w:adjustRightInd w:val="0"/>
              <w:snapToGrid w:val="0"/>
              <w:spacing w:line="240" w:lineRule="auto"/>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199*****</w:t>
            </w:r>
            <w:bookmarkStart w:id="8" w:name="_GoBack"/>
            <w:bookmarkEnd w:id="8"/>
            <w:r>
              <w:rPr>
                <w:rFonts w:hint="eastAsia"/>
                <w:color w:val="auto"/>
                <w:sz w:val="24"/>
                <w:szCs w:val="24"/>
                <w:highlight w:val="none"/>
                <w:lang w:val="en-US" w:eastAsia="zh-CN"/>
              </w:rPr>
              <w:t>991</w:t>
            </w:r>
          </w:p>
        </w:tc>
      </w:tr>
      <w:tr w14:paraId="786F9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7F57C071">
            <w:pPr>
              <w:pStyle w:val="30"/>
              <w:rPr>
                <w:color w:val="auto"/>
                <w:sz w:val="24"/>
                <w:szCs w:val="24"/>
                <w:highlight w:val="none"/>
              </w:rPr>
            </w:pPr>
            <w:r>
              <w:rPr>
                <w:color w:val="auto"/>
                <w:sz w:val="24"/>
                <w:szCs w:val="24"/>
                <w:highlight w:val="none"/>
              </w:rPr>
              <w:t>建设地点</w:t>
            </w:r>
          </w:p>
        </w:tc>
        <w:tc>
          <w:tcPr>
            <w:tcW w:w="4015" w:type="pct"/>
            <w:gridSpan w:val="3"/>
            <w:tcBorders>
              <w:top w:val="single" w:color="auto" w:sz="4" w:space="0"/>
              <w:left w:val="single" w:color="auto" w:sz="4" w:space="0"/>
              <w:bottom w:val="single" w:color="auto" w:sz="4" w:space="0"/>
              <w:right w:val="single" w:color="auto" w:sz="8" w:space="0"/>
            </w:tcBorders>
            <w:vAlign w:val="center"/>
          </w:tcPr>
          <w:p w14:paraId="712B36AD">
            <w:pPr>
              <w:pStyle w:val="3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陕西省西安市鄠邑区玉蝉街道天桥片区南北四号路以东罗蒋路以南</w:t>
            </w:r>
          </w:p>
        </w:tc>
      </w:tr>
      <w:tr w14:paraId="3A20A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2A49B314">
            <w:pPr>
              <w:pStyle w:val="30"/>
              <w:rPr>
                <w:color w:val="auto"/>
                <w:sz w:val="24"/>
                <w:szCs w:val="24"/>
                <w:highlight w:val="none"/>
              </w:rPr>
            </w:pPr>
            <w:r>
              <w:rPr>
                <w:color w:val="auto"/>
                <w:sz w:val="24"/>
                <w:szCs w:val="24"/>
                <w:highlight w:val="none"/>
              </w:rPr>
              <w:t>地理坐标</w:t>
            </w:r>
          </w:p>
        </w:tc>
        <w:tc>
          <w:tcPr>
            <w:tcW w:w="4015" w:type="pct"/>
            <w:gridSpan w:val="3"/>
            <w:tcBorders>
              <w:top w:val="single" w:color="auto" w:sz="4" w:space="0"/>
              <w:left w:val="single" w:color="auto" w:sz="4" w:space="0"/>
              <w:bottom w:val="single" w:color="auto" w:sz="4" w:space="0"/>
              <w:right w:val="single" w:color="auto" w:sz="8" w:space="0"/>
            </w:tcBorders>
            <w:vAlign w:val="center"/>
          </w:tcPr>
          <w:p w14:paraId="7E83ACE1">
            <w:pPr>
              <w:pStyle w:val="30"/>
              <w:rPr>
                <w:color w:val="auto"/>
                <w:sz w:val="24"/>
                <w:szCs w:val="24"/>
                <w:highlight w:val="none"/>
              </w:rPr>
            </w:pPr>
            <w:r>
              <w:rPr>
                <w:color w:val="auto"/>
                <w:sz w:val="24"/>
                <w:szCs w:val="24"/>
                <w:highlight w:val="none"/>
              </w:rPr>
              <w:t>（东经</w:t>
            </w:r>
            <w:r>
              <w:rPr>
                <w:color w:val="auto"/>
                <w:sz w:val="24"/>
                <w:szCs w:val="24"/>
                <w:highlight w:val="none"/>
                <w:u w:val="single"/>
              </w:rPr>
              <w:t>108</w:t>
            </w:r>
            <w:r>
              <w:rPr>
                <w:color w:val="auto"/>
                <w:sz w:val="24"/>
                <w:szCs w:val="24"/>
                <w:highlight w:val="none"/>
              </w:rPr>
              <w:t>度</w:t>
            </w:r>
            <w:r>
              <w:rPr>
                <w:rFonts w:hint="eastAsia"/>
                <w:color w:val="auto"/>
                <w:sz w:val="24"/>
                <w:szCs w:val="24"/>
                <w:highlight w:val="none"/>
                <w:u w:val="single"/>
                <w:lang w:val="en-US" w:eastAsia="zh-CN"/>
              </w:rPr>
              <w:t>34</w:t>
            </w:r>
            <w:r>
              <w:rPr>
                <w:color w:val="auto"/>
                <w:sz w:val="24"/>
                <w:szCs w:val="24"/>
                <w:highlight w:val="none"/>
              </w:rPr>
              <w:t>分</w:t>
            </w:r>
            <w:r>
              <w:rPr>
                <w:rFonts w:hint="eastAsia"/>
                <w:color w:val="auto"/>
                <w:sz w:val="24"/>
                <w:szCs w:val="24"/>
                <w:highlight w:val="none"/>
                <w:u w:val="single"/>
                <w:lang w:val="en-US" w:eastAsia="zh-CN"/>
              </w:rPr>
              <w:t>42.710</w:t>
            </w:r>
            <w:r>
              <w:rPr>
                <w:color w:val="auto"/>
                <w:sz w:val="24"/>
                <w:szCs w:val="24"/>
                <w:highlight w:val="none"/>
              </w:rPr>
              <w:t>秒，北纬</w:t>
            </w:r>
            <w:r>
              <w:rPr>
                <w:color w:val="auto"/>
                <w:sz w:val="24"/>
                <w:szCs w:val="24"/>
                <w:highlight w:val="none"/>
                <w:u w:val="single"/>
              </w:rPr>
              <w:t>34</w:t>
            </w:r>
            <w:r>
              <w:rPr>
                <w:color w:val="auto"/>
                <w:sz w:val="24"/>
                <w:szCs w:val="24"/>
                <w:highlight w:val="none"/>
              </w:rPr>
              <w:t>度</w:t>
            </w:r>
            <w:r>
              <w:rPr>
                <w:rFonts w:hint="eastAsia"/>
                <w:color w:val="auto"/>
                <w:sz w:val="24"/>
                <w:szCs w:val="24"/>
                <w:highlight w:val="none"/>
                <w:u w:val="single"/>
                <w:lang w:val="en-US" w:eastAsia="zh-CN"/>
              </w:rPr>
              <w:t>3</w:t>
            </w:r>
            <w:r>
              <w:rPr>
                <w:color w:val="auto"/>
                <w:sz w:val="24"/>
                <w:szCs w:val="24"/>
                <w:highlight w:val="none"/>
              </w:rPr>
              <w:t>分</w:t>
            </w:r>
            <w:r>
              <w:rPr>
                <w:rFonts w:hint="eastAsia"/>
                <w:color w:val="auto"/>
                <w:sz w:val="24"/>
                <w:szCs w:val="24"/>
                <w:highlight w:val="none"/>
                <w:u w:val="single"/>
                <w:lang w:val="en-US" w:eastAsia="zh-CN"/>
              </w:rPr>
              <w:t>43.082</w:t>
            </w:r>
            <w:r>
              <w:rPr>
                <w:color w:val="auto"/>
                <w:sz w:val="24"/>
                <w:szCs w:val="24"/>
                <w:highlight w:val="none"/>
              </w:rPr>
              <w:t>秒）</w:t>
            </w:r>
          </w:p>
        </w:tc>
      </w:tr>
      <w:tr w14:paraId="6695E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50" w:hRule="atLeast"/>
          <w:jc w:val="center"/>
        </w:trPr>
        <w:tc>
          <w:tcPr>
            <w:tcW w:w="984" w:type="pct"/>
            <w:tcBorders>
              <w:top w:val="single" w:color="auto" w:sz="4" w:space="0"/>
              <w:left w:val="single" w:color="auto" w:sz="8" w:space="0"/>
              <w:right w:val="single" w:color="auto" w:sz="4" w:space="0"/>
            </w:tcBorders>
            <w:tcMar>
              <w:top w:w="16" w:type="dxa"/>
              <w:left w:w="16" w:type="dxa"/>
              <w:bottom w:w="0" w:type="dxa"/>
              <w:right w:w="16" w:type="dxa"/>
            </w:tcMar>
            <w:vAlign w:val="center"/>
          </w:tcPr>
          <w:p w14:paraId="69D83ECF">
            <w:pPr>
              <w:pStyle w:val="30"/>
              <w:rPr>
                <w:color w:val="auto"/>
                <w:sz w:val="24"/>
                <w:szCs w:val="24"/>
                <w:highlight w:val="none"/>
              </w:rPr>
            </w:pPr>
            <w:r>
              <w:rPr>
                <w:color w:val="auto"/>
                <w:sz w:val="24"/>
                <w:szCs w:val="24"/>
                <w:highlight w:val="none"/>
              </w:rPr>
              <w:t>国民经济</w:t>
            </w:r>
          </w:p>
          <w:p w14:paraId="42FBE507">
            <w:pPr>
              <w:pStyle w:val="30"/>
              <w:rPr>
                <w:color w:val="auto"/>
                <w:sz w:val="24"/>
                <w:szCs w:val="24"/>
                <w:highlight w:val="none"/>
              </w:rPr>
            </w:pPr>
            <w:r>
              <w:rPr>
                <w:color w:val="auto"/>
                <w:sz w:val="24"/>
                <w:szCs w:val="24"/>
                <w:highlight w:val="none"/>
              </w:rPr>
              <w:t>行业类别</w:t>
            </w:r>
          </w:p>
        </w:tc>
        <w:tc>
          <w:tcPr>
            <w:tcW w:w="1237" w:type="pct"/>
            <w:tcBorders>
              <w:top w:val="single" w:color="auto" w:sz="4" w:space="0"/>
              <w:left w:val="single" w:color="auto" w:sz="4" w:space="0"/>
              <w:right w:val="single" w:color="auto" w:sz="4" w:space="0"/>
            </w:tcBorders>
            <w:vAlign w:val="center"/>
          </w:tcPr>
          <w:p w14:paraId="5427CE22">
            <w:pPr>
              <w:pStyle w:val="30"/>
              <w:rPr>
                <w:color w:val="auto"/>
                <w:sz w:val="24"/>
                <w:szCs w:val="24"/>
                <w:highlight w:val="none"/>
              </w:rPr>
            </w:pPr>
            <w:r>
              <w:rPr>
                <w:color w:val="auto"/>
                <w:sz w:val="24"/>
                <w:szCs w:val="24"/>
                <w:highlight w:val="none"/>
              </w:rPr>
              <w:t>C3</w:t>
            </w:r>
            <w:r>
              <w:rPr>
                <w:rFonts w:hint="eastAsia"/>
                <w:color w:val="auto"/>
                <w:sz w:val="24"/>
                <w:szCs w:val="24"/>
                <w:highlight w:val="none"/>
                <w:lang w:val="en-US" w:eastAsia="zh-CN"/>
              </w:rPr>
              <w:t>029</w:t>
            </w:r>
            <w:r>
              <w:rPr>
                <w:color w:val="auto"/>
                <w:sz w:val="24"/>
                <w:szCs w:val="24"/>
                <w:highlight w:val="none"/>
                <w:lang w:val="en-US" w:eastAsia="zh-CN"/>
              </w:rPr>
              <w:t>石膏、水泥制品及类似制品制造</w:t>
            </w:r>
          </w:p>
          <w:p w14:paraId="322AEA84">
            <w:pPr>
              <w:pStyle w:val="30"/>
              <w:keepNext w:val="0"/>
              <w:keepLines w:val="0"/>
              <w:pageBreakBefore w:val="0"/>
              <w:widowControl w:val="0"/>
              <w:kinsoku/>
              <w:wordWrap/>
              <w:overflowPunct/>
              <w:topLinePunct w:val="0"/>
              <w:autoSpaceDE/>
              <w:autoSpaceDN/>
              <w:bidi w:val="0"/>
              <w:adjustRightInd w:val="0"/>
              <w:snapToGrid w:val="0"/>
              <w:textAlignment w:val="auto"/>
              <w:rPr>
                <w:color w:val="auto"/>
                <w:sz w:val="24"/>
                <w:szCs w:val="24"/>
                <w:highlight w:val="none"/>
              </w:rPr>
            </w:pPr>
            <w:r>
              <w:rPr>
                <w:rFonts w:hint="eastAsia"/>
                <w:color w:val="auto"/>
                <w:sz w:val="24"/>
                <w:szCs w:val="24"/>
                <w:highlight w:val="none"/>
                <w:lang w:val="en-US" w:eastAsia="zh-CN"/>
              </w:rPr>
              <w:t>N7723固体废物治理</w:t>
            </w:r>
          </w:p>
        </w:tc>
        <w:tc>
          <w:tcPr>
            <w:tcW w:w="1038" w:type="pct"/>
            <w:tcBorders>
              <w:top w:val="single" w:color="auto" w:sz="4" w:space="0"/>
              <w:left w:val="single" w:color="auto" w:sz="4" w:space="0"/>
              <w:right w:val="single" w:color="auto" w:sz="4" w:space="0"/>
            </w:tcBorders>
            <w:vAlign w:val="center"/>
          </w:tcPr>
          <w:p w14:paraId="21E75F3A">
            <w:pPr>
              <w:pStyle w:val="30"/>
              <w:rPr>
                <w:color w:val="auto"/>
                <w:sz w:val="24"/>
                <w:szCs w:val="24"/>
                <w:highlight w:val="none"/>
              </w:rPr>
            </w:pPr>
            <w:bookmarkStart w:id="0" w:name="_Hlk49843745"/>
            <w:r>
              <w:rPr>
                <w:color w:val="auto"/>
                <w:sz w:val="24"/>
                <w:szCs w:val="24"/>
                <w:highlight w:val="none"/>
              </w:rPr>
              <w:t>建设项目</w:t>
            </w:r>
          </w:p>
          <w:p w14:paraId="549561B4">
            <w:pPr>
              <w:pStyle w:val="30"/>
              <w:rPr>
                <w:color w:val="auto"/>
                <w:sz w:val="24"/>
                <w:szCs w:val="24"/>
                <w:highlight w:val="none"/>
              </w:rPr>
            </w:pPr>
            <w:r>
              <w:rPr>
                <w:color w:val="auto"/>
                <w:sz w:val="24"/>
                <w:szCs w:val="24"/>
                <w:highlight w:val="none"/>
              </w:rPr>
              <w:t>行业类别</w:t>
            </w:r>
            <w:bookmarkEnd w:id="0"/>
          </w:p>
        </w:tc>
        <w:tc>
          <w:tcPr>
            <w:tcW w:w="1740" w:type="pct"/>
            <w:tcBorders>
              <w:top w:val="single" w:color="auto" w:sz="4" w:space="0"/>
              <w:left w:val="single" w:color="auto" w:sz="4" w:space="0"/>
              <w:bottom w:val="single" w:color="auto" w:sz="4" w:space="0"/>
              <w:right w:val="single" w:color="auto" w:sz="8" w:space="0"/>
            </w:tcBorders>
            <w:vAlign w:val="center"/>
          </w:tcPr>
          <w:p w14:paraId="2BAB419A">
            <w:pPr>
              <w:pStyle w:val="30"/>
              <w:rPr>
                <w:color w:val="auto"/>
                <w:sz w:val="24"/>
                <w:szCs w:val="24"/>
                <w:highlight w:val="none"/>
              </w:rPr>
            </w:pPr>
            <w:r>
              <w:rPr>
                <w:color w:val="auto"/>
                <w:sz w:val="24"/>
                <w:szCs w:val="24"/>
                <w:highlight w:val="none"/>
              </w:rPr>
              <w:t>二十七：非金属矿物制品业30</w:t>
            </w:r>
            <w:r>
              <w:rPr>
                <w:rFonts w:hint="eastAsia"/>
                <w:color w:val="auto"/>
                <w:sz w:val="24"/>
                <w:szCs w:val="24"/>
                <w:highlight w:val="none"/>
                <w:lang w:eastAsia="zh-CN"/>
              </w:rPr>
              <w:t>——</w:t>
            </w:r>
            <w:r>
              <w:rPr>
                <w:color w:val="auto"/>
                <w:sz w:val="24"/>
                <w:szCs w:val="24"/>
                <w:highlight w:val="none"/>
              </w:rPr>
              <w:t>石膏、水泥制品及类似制品制造302</w:t>
            </w:r>
          </w:p>
          <w:p w14:paraId="5C10EE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四十七、生态保护和环境治理业</w:t>
            </w:r>
            <w:r>
              <w:rPr>
                <w:rFonts w:hint="eastAsia"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103一般工业固体废物（含污水处理污泥）、建筑施工废弃物处置及综合利用</w:t>
            </w:r>
          </w:p>
        </w:tc>
      </w:tr>
      <w:tr w14:paraId="4E8C0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852E549">
            <w:pPr>
              <w:pStyle w:val="30"/>
              <w:rPr>
                <w:color w:val="auto"/>
                <w:sz w:val="24"/>
                <w:szCs w:val="24"/>
                <w:highlight w:val="none"/>
              </w:rPr>
            </w:pPr>
            <w:r>
              <w:rPr>
                <w:color w:val="auto"/>
                <w:sz w:val="24"/>
                <w:szCs w:val="24"/>
                <w:highlight w:val="none"/>
              </w:rPr>
              <w:t>建设性质</w:t>
            </w:r>
          </w:p>
        </w:tc>
        <w:tc>
          <w:tcPr>
            <w:tcW w:w="1237" w:type="pct"/>
            <w:tcBorders>
              <w:top w:val="single" w:color="auto" w:sz="4" w:space="0"/>
              <w:left w:val="single" w:color="auto" w:sz="4" w:space="0"/>
              <w:bottom w:val="single" w:color="auto" w:sz="4" w:space="0"/>
              <w:right w:val="single" w:color="auto" w:sz="4" w:space="0"/>
            </w:tcBorders>
            <w:vAlign w:val="center"/>
          </w:tcPr>
          <w:p w14:paraId="53D7BECE">
            <w:pPr>
              <w:pStyle w:val="30"/>
              <w:jc w:val="both"/>
              <w:rPr>
                <w:color w:val="auto"/>
                <w:sz w:val="24"/>
                <w:szCs w:val="24"/>
                <w:highlight w:val="none"/>
              </w:rPr>
            </w:pPr>
            <w:r>
              <w:rPr>
                <w:color w:val="auto"/>
                <w:sz w:val="24"/>
                <w:szCs w:val="24"/>
                <w:highlight w:val="none"/>
              </w:rPr>
              <w:sym w:font="Wingdings 2" w:char="0052"/>
            </w:r>
            <w:r>
              <w:rPr>
                <w:color w:val="auto"/>
                <w:sz w:val="24"/>
                <w:szCs w:val="24"/>
                <w:highlight w:val="none"/>
              </w:rPr>
              <w:t>新建（迁建）</w:t>
            </w:r>
          </w:p>
          <w:p w14:paraId="03F6366A">
            <w:pPr>
              <w:pStyle w:val="30"/>
              <w:ind w:firstLine="0" w:firstLineChars="0"/>
              <w:jc w:val="both"/>
              <w:rPr>
                <w:color w:val="auto"/>
                <w:sz w:val="24"/>
                <w:szCs w:val="24"/>
                <w:highlight w:val="none"/>
              </w:rPr>
            </w:pPr>
            <w:r>
              <w:rPr>
                <w:color w:val="auto"/>
                <w:sz w:val="24"/>
                <w:szCs w:val="24"/>
                <w:highlight w:val="none"/>
              </w:rPr>
              <w:sym w:font="Wingdings 2" w:char="F0A3"/>
            </w:r>
            <w:r>
              <w:rPr>
                <w:color w:val="auto"/>
                <w:sz w:val="24"/>
                <w:szCs w:val="24"/>
                <w:highlight w:val="none"/>
              </w:rPr>
              <w:t>改建</w:t>
            </w:r>
          </w:p>
          <w:p w14:paraId="59A22748">
            <w:pPr>
              <w:pStyle w:val="30"/>
              <w:ind w:firstLine="0" w:firstLineChars="0"/>
              <w:jc w:val="both"/>
              <w:rPr>
                <w:color w:val="auto"/>
                <w:sz w:val="24"/>
                <w:szCs w:val="24"/>
                <w:highlight w:val="none"/>
              </w:rPr>
            </w:pPr>
            <w:r>
              <w:rPr>
                <w:color w:val="auto"/>
                <w:sz w:val="24"/>
                <w:szCs w:val="24"/>
                <w:highlight w:val="none"/>
              </w:rPr>
              <w:sym w:font="Wingdings 2" w:char="F0A3"/>
            </w:r>
            <w:r>
              <w:rPr>
                <w:color w:val="auto"/>
                <w:sz w:val="24"/>
                <w:szCs w:val="24"/>
                <w:highlight w:val="none"/>
              </w:rPr>
              <w:t>扩建</w:t>
            </w:r>
          </w:p>
          <w:p w14:paraId="432EF2D0">
            <w:pPr>
              <w:pStyle w:val="30"/>
              <w:ind w:firstLine="0" w:firstLineChars="0"/>
              <w:jc w:val="both"/>
              <w:rPr>
                <w:color w:val="auto"/>
                <w:sz w:val="24"/>
                <w:szCs w:val="24"/>
                <w:highlight w:val="none"/>
              </w:rPr>
            </w:pPr>
            <w:r>
              <w:rPr>
                <w:color w:val="auto"/>
                <w:sz w:val="24"/>
                <w:szCs w:val="24"/>
                <w:highlight w:val="none"/>
              </w:rPr>
              <w:sym w:font="Wingdings 2" w:char="F0A3"/>
            </w:r>
            <w:r>
              <w:rPr>
                <w:color w:val="auto"/>
                <w:sz w:val="24"/>
                <w:szCs w:val="24"/>
                <w:highlight w:val="none"/>
              </w:rPr>
              <w:t>技术改造</w:t>
            </w:r>
          </w:p>
        </w:tc>
        <w:tc>
          <w:tcPr>
            <w:tcW w:w="1038" w:type="pct"/>
            <w:tcBorders>
              <w:top w:val="single" w:color="auto" w:sz="4" w:space="0"/>
              <w:left w:val="single" w:color="auto" w:sz="4" w:space="0"/>
              <w:bottom w:val="single" w:color="auto" w:sz="4" w:space="0"/>
              <w:right w:val="single" w:color="auto" w:sz="4" w:space="0"/>
            </w:tcBorders>
            <w:vAlign w:val="center"/>
          </w:tcPr>
          <w:p w14:paraId="3C85B5B7">
            <w:pPr>
              <w:pStyle w:val="30"/>
              <w:rPr>
                <w:color w:val="auto"/>
                <w:sz w:val="24"/>
                <w:szCs w:val="24"/>
                <w:highlight w:val="none"/>
              </w:rPr>
            </w:pPr>
            <w:r>
              <w:rPr>
                <w:color w:val="auto"/>
                <w:sz w:val="24"/>
                <w:szCs w:val="24"/>
                <w:highlight w:val="none"/>
              </w:rPr>
              <w:t>建设项目</w:t>
            </w:r>
          </w:p>
          <w:p w14:paraId="153B0D72">
            <w:pPr>
              <w:pStyle w:val="30"/>
              <w:rPr>
                <w:color w:val="auto"/>
                <w:sz w:val="24"/>
                <w:szCs w:val="24"/>
                <w:highlight w:val="none"/>
              </w:rPr>
            </w:pPr>
            <w:r>
              <w:rPr>
                <w:color w:val="auto"/>
                <w:sz w:val="24"/>
                <w:szCs w:val="24"/>
                <w:highlight w:val="none"/>
              </w:rPr>
              <w:t>申报情形</w:t>
            </w:r>
          </w:p>
        </w:tc>
        <w:tc>
          <w:tcPr>
            <w:tcW w:w="1740" w:type="pct"/>
            <w:tcBorders>
              <w:top w:val="single" w:color="auto" w:sz="4" w:space="0"/>
              <w:left w:val="single" w:color="auto" w:sz="4" w:space="0"/>
              <w:bottom w:val="single" w:color="auto" w:sz="4" w:space="0"/>
              <w:right w:val="single" w:color="auto" w:sz="8" w:space="0"/>
            </w:tcBorders>
            <w:vAlign w:val="center"/>
          </w:tcPr>
          <w:p w14:paraId="2024456D">
            <w:pPr>
              <w:pStyle w:val="30"/>
              <w:ind w:firstLine="0" w:firstLineChars="0"/>
              <w:jc w:val="both"/>
              <w:rPr>
                <w:color w:val="auto"/>
                <w:sz w:val="24"/>
                <w:szCs w:val="24"/>
                <w:highlight w:val="none"/>
              </w:rPr>
            </w:pPr>
            <w:r>
              <w:rPr>
                <w:color w:val="auto"/>
                <w:sz w:val="24"/>
                <w:szCs w:val="24"/>
                <w:highlight w:val="none"/>
              </w:rPr>
              <w:sym w:font="Wingdings 2" w:char="F052"/>
            </w:r>
            <w:r>
              <w:rPr>
                <w:color w:val="auto"/>
                <w:sz w:val="24"/>
                <w:szCs w:val="24"/>
                <w:highlight w:val="none"/>
              </w:rPr>
              <w:t>首次申报项目</w:t>
            </w:r>
          </w:p>
          <w:p w14:paraId="391A85D6">
            <w:pPr>
              <w:pStyle w:val="30"/>
              <w:jc w:val="both"/>
              <w:rPr>
                <w:color w:val="auto"/>
                <w:sz w:val="24"/>
                <w:szCs w:val="24"/>
                <w:highlight w:val="none"/>
              </w:rPr>
            </w:pPr>
            <w:r>
              <w:rPr>
                <w:color w:val="auto"/>
                <w:sz w:val="24"/>
                <w:szCs w:val="24"/>
                <w:highlight w:val="none"/>
              </w:rPr>
              <w:sym w:font="Wingdings 2" w:char="F0A3"/>
            </w:r>
            <w:r>
              <w:rPr>
                <w:color w:val="auto"/>
                <w:sz w:val="24"/>
                <w:szCs w:val="24"/>
                <w:highlight w:val="none"/>
              </w:rPr>
              <w:t>不予批准后再次申报项目</w:t>
            </w:r>
          </w:p>
          <w:p w14:paraId="5FA60448">
            <w:pPr>
              <w:pStyle w:val="30"/>
              <w:ind w:firstLine="0" w:firstLineChars="0"/>
              <w:jc w:val="both"/>
              <w:rPr>
                <w:color w:val="auto"/>
                <w:sz w:val="24"/>
                <w:szCs w:val="24"/>
                <w:highlight w:val="none"/>
              </w:rPr>
            </w:pPr>
            <w:r>
              <w:rPr>
                <w:color w:val="auto"/>
                <w:sz w:val="24"/>
                <w:szCs w:val="24"/>
                <w:highlight w:val="none"/>
              </w:rPr>
              <w:sym w:font="Wingdings 2" w:char="F0A3"/>
            </w:r>
            <w:r>
              <w:rPr>
                <w:color w:val="auto"/>
                <w:sz w:val="24"/>
                <w:szCs w:val="24"/>
                <w:highlight w:val="none"/>
              </w:rPr>
              <w:t>超五年重新审核项目</w:t>
            </w:r>
          </w:p>
          <w:p w14:paraId="665894CD">
            <w:pPr>
              <w:pStyle w:val="30"/>
              <w:ind w:firstLine="0" w:firstLineChars="0"/>
              <w:jc w:val="both"/>
              <w:rPr>
                <w:color w:val="auto"/>
                <w:sz w:val="24"/>
                <w:szCs w:val="24"/>
                <w:highlight w:val="none"/>
              </w:rPr>
            </w:pPr>
            <w:r>
              <w:rPr>
                <w:color w:val="auto"/>
                <w:sz w:val="24"/>
                <w:szCs w:val="24"/>
                <w:highlight w:val="none"/>
              </w:rPr>
              <w:sym w:font="Wingdings 2" w:char="F0A3"/>
            </w:r>
            <w:r>
              <w:rPr>
                <w:color w:val="auto"/>
                <w:sz w:val="24"/>
                <w:szCs w:val="24"/>
                <w:highlight w:val="none"/>
              </w:rPr>
              <w:t>重大变动重新报批项目</w:t>
            </w:r>
          </w:p>
        </w:tc>
      </w:tr>
      <w:tr w14:paraId="5734D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69B35622">
            <w:pPr>
              <w:pStyle w:val="30"/>
              <w:rPr>
                <w:color w:val="auto"/>
                <w:sz w:val="24"/>
                <w:szCs w:val="24"/>
                <w:highlight w:val="none"/>
              </w:rPr>
            </w:pPr>
            <w:r>
              <w:rPr>
                <w:color w:val="auto"/>
                <w:sz w:val="24"/>
                <w:szCs w:val="24"/>
                <w:highlight w:val="none"/>
              </w:rPr>
              <w:t>项目审批（核准/</w:t>
            </w:r>
          </w:p>
          <w:p w14:paraId="480C46B9">
            <w:pPr>
              <w:pStyle w:val="30"/>
              <w:rPr>
                <w:color w:val="auto"/>
                <w:sz w:val="24"/>
                <w:szCs w:val="24"/>
                <w:highlight w:val="none"/>
              </w:rPr>
            </w:pPr>
            <w:r>
              <w:rPr>
                <w:color w:val="auto"/>
                <w:sz w:val="24"/>
                <w:szCs w:val="24"/>
                <w:highlight w:val="none"/>
              </w:rPr>
              <w:t>备案）部门（选填）</w:t>
            </w:r>
          </w:p>
        </w:tc>
        <w:tc>
          <w:tcPr>
            <w:tcW w:w="1237" w:type="pct"/>
            <w:tcBorders>
              <w:top w:val="single" w:color="auto" w:sz="4" w:space="0"/>
              <w:left w:val="single" w:color="auto" w:sz="4" w:space="0"/>
              <w:bottom w:val="single" w:color="auto" w:sz="4" w:space="0"/>
              <w:right w:val="single" w:color="auto" w:sz="4" w:space="0"/>
            </w:tcBorders>
            <w:vAlign w:val="center"/>
          </w:tcPr>
          <w:p w14:paraId="5983C89C">
            <w:pPr>
              <w:pStyle w:val="30"/>
              <w:rPr>
                <w:rFonts w:hint="eastAsia" w:eastAsia="宋体"/>
                <w:color w:val="auto"/>
                <w:sz w:val="24"/>
                <w:szCs w:val="24"/>
                <w:highlight w:val="none"/>
                <w:lang w:val="en-US" w:eastAsia="zh-CN"/>
              </w:rPr>
            </w:pPr>
            <w:r>
              <w:rPr>
                <w:rFonts w:hint="eastAsia"/>
                <w:color w:val="auto"/>
                <w:sz w:val="24"/>
                <w:szCs w:val="24"/>
                <w:highlight w:val="none"/>
                <w:lang w:val="en-US" w:eastAsia="zh-CN"/>
              </w:rPr>
              <w:t>/</w:t>
            </w:r>
          </w:p>
        </w:tc>
        <w:tc>
          <w:tcPr>
            <w:tcW w:w="1038" w:type="pct"/>
            <w:tcBorders>
              <w:top w:val="single" w:color="auto" w:sz="4" w:space="0"/>
              <w:left w:val="single" w:color="auto" w:sz="4" w:space="0"/>
              <w:bottom w:val="single" w:color="auto" w:sz="4" w:space="0"/>
              <w:right w:val="single" w:color="auto" w:sz="4" w:space="0"/>
            </w:tcBorders>
            <w:vAlign w:val="center"/>
          </w:tcPr>
          <w:p w14:paraId="47154B68">
            <w:pPr>
              <w:pStyle w:val="30"/>
              <w:rPr>
                <w:color w:val="auto"/>
                <w:sz w:val="24"/>
                <w:szCs w:val="24"/>
                <w:highlight w:val="none"/>
              </w:rPr>
            </w:pPr>
            <w:r>
              <w:rPr>
                <w:color w:val="auto"/>
                <w:sz w:val="24"/>
                <w:szCs w:val="24"/>
                <w:highlight w:val="none"/>
              </w:rPr>
              <w:t>项目审批（核准/</w:t>
            </w:r>
          </w:p>
          <w:p w14:paraId="58AAECB9">
            <w:pPr>
              <w:pStyle w:val="30"/>
              <w:rPr>
                <w:color w:val="auto"/>
                <w:sz w:val="24"/>
                <w:szCs w:val="24"/>
                <w:highlight w:val="none"/>
              </w:rPr>
            </w:pPr>
            <w:r>
              <w:rPr>
                <w:color w:val="auto"/>
                <w:sz w:val="24"/>
                <w:szCs w:val="24"/>
                <w:highlight w:val="none"/>
              </w:rPr>
              <w:t>备案）文号（选填）</w:t>
            </w:r>
          </w:p>
        </w:tc>
        <w:tc>
          <w:tcPr>
            <w:tcW w:w="1740" w:type="pct"/>
            <w:tcBorders>
              <w:top w:val="single" w:color="auto" w:sz="4" w:space="0"/>
              <w:left w:val="single" w:color="auto" w:sz="4" w:space="0"/>
              <w:bottom w:val="single" w:color="auto" w:sz="4" w:space="0"/>
              <w:right w:val="single" w:color="auto" w:sz="8" w:space="0"/>
            </w:tcBorders>
            <w:vAlign w:val="center"/>
          </w:tcPr>
          <w:p w14:paraId="678AF592">
            <w:pPr>
              <w:pStyle w:val="30"/>
              <w:rPr>
                <w:rFonts w:hint="eastAsia" w:eastAsia="宋体"/>
                <w:color w:val="auto"/>
                <w:sz w:val="24"/>
                <w:szCs w:val="24"/>
                <w:highlight w:val="none"/>
                <w:lang w:val="en-US" w:eastAsia="zh-CN"/>
              </w:rPr>
            </w:pPr>
            <w:r>
              <w:rPr>
                <w:rFonts w:hint="eastAsia"/>
                <w:color w:val="auto"/>
                <w:sz w:val="24"/>
                <w:szCs w:val="24"/>
                <w:highlight w:val="none"/>
                <w:lang w:val="en-US" w:eastAsia="zh-CN"/>
              </w:rPr>
              <w:t>/</w:t>
            </w:r>
          </w:p>
        </w:tc>
      </w:tr>
      <w:tr w14:paraId="2E3D7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05912E3D">
            <w:pPr>
              <w:pStyle w:val="30"/>
              <w:rPr>
                <w:color w:val="auto"/>
                <w:sz w:val="24"/>
                <w:szCs w:val="24"/>
                <w:highlight w:val="none"/>
              </w:rPr>
            </w:pPr>
            <w:r>
              <w:rPr>
                <w:color w:val="auto"/>
                <w:sz w:val="24"/>
                <w:szCs w:val="24"/>
                <w:highlight w:val="none"/>
              </w:rPr>
              <w:t>总投资（万元）</w:t>
            </w:r>
          </w:p>
        </w:tc>
        <w:tc>
          <w:tcPr>
            <w:tcW w:w="1237" w:type="pct"/>
            <w:tcBorders>
              <w:top w:val="single" w:color="auto" w:sz="4" w:space="0"/>
              <w:left w:val="single" w:color="auto" w:sz="4" w:space="0"/>
              <w:bottom w:val="single" w:color="auto" w:sz="4" w:space="0"/>
              <w:right w:val="single" w:color="auto" w:sz="4" w:space="0"/>
            </w:tcBorders>
            <w:vAlign w:val="center"/>
          </w:tcPr>
          <w:p w14:paraId="6A66E5CD">
            <w:pPr>
              <w:pStyle w:val="30"/>
              <w:rPr>
                <w:rFonts w:hint="default"/>
                <w:color w:val="auto"/>
                <w:sz w:val="24"/>
                <w:szCs w:val="24"/>
                <w:highlight w:val="none"/>
                <w:lang w:val="en-US"/>
              </w:rPr>
            </w:pPr>
            <w:r>
              <w:rPr>
                <w:rFonts w:hint="eastAsia"/>
                <w:color w:val="auto"/>
                <w:sz w:val="24"/>
                <w:szCs w:val="24"/>
                <w:highlight w:val="none"/>
                <w:lang w:val="en-US" w:eastAsia="zh-CN"/>
              </w:rPr>
              <w:t>500</w:t>
            </w:r>
          </w:p>
        </w:tc>
        <w:tc>
          <w:tcPr>
            <w:tcW w:w="1038"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08930F09">
            <w:pPr>
              <w:pStyle w:val="30"/>
              <w:rPr>
                <w:color w:val="auto"/>
                <w:sz w:val="24"/>
                <w:szCs w:val="24"/>
                <w:highlight w:val="none"/>
              </w:rPr>
            </w:pPr>
            <w:r>
              <w:rPr>
                <w:color w:val="auto"/>
                <w:sz w:val="24"/>
                <w:szCs w:val="24"/>
                <w:highlight w:val="none"/>
              </w:rPr>
              <w:t>环保投资（万元）</w:t>
            </w:r>
          </w:p>
        </w:tc>
        <w:tc>
          <w:tcPr>
            <w:tcW w:w="1740" w:type="pct"/>
            <w:tcBorders>
              <w:top w:val="single" w:color="auto" w:sz="4" w:space="0"/>
              <w:left w:val="single" w:color="auto" w:sz="4" w:space="0"/>
              <w:bottom w:val="single" w:color="auto" w:sz="4" w:space="0"/>
              <w:right w:val="single" w:color="auto" w:sz="8" w:space="0"/>
            </w:tcBorders>
            <w:vAlign w:val="center"/>
          </w:tcPr>
          <w:p w14:paraId="532960A4">
            <w:pPr>
              <w:pStyle w:val="30"/>
              <w:rPr>
                <w:rFonts w:hint="default" w:eastAsia="宋体"/>
                <w:color w:val="auto"/>
                <w:sz w:val="24"/>
                <w:szCs w:val="24"/>
                <w:highlight w:val="none"/>
                <w:lang w:val="en-US" w:eastAsia="zh-CN"/>
              </w:rPr>
            </w:pPr>
            <w:r>
              <w:rPr>
                <w:rFonts w:hint="eastAsia"/>
                <w:color w:val="auto"/>
                <w:sz w:val="24"/>
                <w:szCs w:val="24"/>
                <w:highlight w:val="none"/>
                <w:lang w:val="en-US" w:eastAsia="zh-CN"/>
              </w:rPr>
              <w:t>20.8</w:t>
            </w:r>
          </w:p>
        </w:tc>
      </w:tr>
      <w:tr w14:paraId="5AC51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CB31B64">
            <w:pPr>
              <w:pStyle w:val="30"/>
              <w:rPr>
                <w:color w:val="auto"/>
                <w:sz w:val="24"/>
                <w:szCs w:val="24"/>
                <w:highlight w:val="none"/>
              </w:rPr>
            </w:pPr>
            <w:r>
              <w:rPr>
                <w:color w:val="auto"/>
                <w:sz w:val="24"/>
                <w:szCs w:val="24"/>
                <w:highlight w:val="none"/>
              </w:rPr>
              <w:t>环保投资占比（%）</w:t>
            </w:r>
          </w:p>
        </w:tc>
        <w:tc>
          <w:tcPr>
            <w:tcW w:w="1237" w:type="pct"/>
            <w:tcBorders>
              <w:top w:val="single" w:color="auto" w:sz="4" w:space="0"/>
              <w:left w:val="single" w:color="auto" w:sz="4" w:space="0"/>
              <w:bottom w:val="single" w:color="auto" w:sz="4" w:space="0"/>
              <w:right w:val="single" w:color="auto" w:sz="4" w:space="0"/>
            </w:tcBorders>
            <w:vAlign w:val="center"/>
          </w:tcPr>
          <w:p w14:paraId="4D908B3C">
            <w:pPr>
              <w:pStyle w:val="30"/>
              <w:rPr>
                <w:color w:val="auto"/>
                <w:sz w:val="24"/>
                <w:szCs w:val="24"/>
                <w:highlight w:val="none"/>
              </w:rPr>
            </w:pPr>
            <w:r>
              <w:rPr>
                <w:rFonts w:hint="eastAsia"/>
                <w:color w:val="auto"/>
                <w:sz w:val="24"/>
                <w:szCs w:val="24"/>
                <w:highlight w:val="none"/>
                <w:lang w:val="en-US" w:eastAsia="zh-CN"/>
              </w:rPr>
              <w:t>4.16</w:t>
            </w:r>
            <w:r>
              <w:rPr>
                <w:color w:val="auto"/>
                <w:sz w:val="24"/>
                <w:szCs w:val="24"/>
                <w:highlight w:val="none"/>
              </w:rPr>
              <w:t>%</w:t>
            </w:r>
          </w:p>
        </w:tc>
        <w:tc>
          <w:tcPr>
            <w:tcW w:w="1038"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DDC7F50">
            <w:pPr>
              <w:pStyle w:val="30"/>
              <w:rPr>
                <w:color w:val="auto"/>
                <w:sz w:val="24"/>
                <w:szCs w:val="24"/>
                <w:highlight w:val="none"/>
              </w:rPr>
            </w:pPr>
            <w:r>
              <w:rPr>
                <w:color w:val="auto"/>
                <w:sz w:val="24"/>
                <w:szCs w:val="24"/>
                <w:highlight w:val="none"/>
              </w:rPr>
              <w:t>施工工期</w:t>
            </w:r>
          </w:p>
        </w:tc>
        <w:tc>
          <w:tcPr>
            <w:tcW w:w="1740" w:type="pct"/>
            <w:tcBorders>
              <w:top w:val="single" w:color="auto" w:sz="4" w:space="0"/>
              <w:left w:val="single" w:color="auto" w:sz="4" w:space="0"/>
              <w:bottom w:val="single" w:color="auto" w:sz="4" w:space="0"/>
              <w:right w:val="single" w:color="auto" w:sz="8" w:space="0"/>
            </w:tcBorders>
            <w:vAlign w:val="center"/>
          </w:tcPr>
          <w:p w14:paraId="163FD21B">
            <w:pPr>
              <w:pStyle w:val="30"/>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个月</w:t>
            </w:r>
          </w:p>
        </w:tc>
      </w:tr>
      <w:tr w14:paraId="06280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C6A5747">
            <w:pPr>
              <w:pStyle w:val="30"/>
              <w:rPr>
                <w:color w:val="auto"/>
                <w:sz w:val="24"/>
                <w:szCs w:val="24"/>
                <w:highlight w:val="none"/>
              </w:rPr>
            </w:pPr>
            <w:r>
              <w:rPr>
                <w:color w:val="auto"/>
                <w:sz w:val="24"/>
                <w:szCs w:val="24"/>
                <w:highlight w:val="none"/>
              </w:rPr>
              <w:t>是否开工建设</w:t>
            </w:r>
          </w:p>
        </w:tc>
        <w:tc>
          <w:tcPr>
            <w:tcW w:w="1237" w:type="pct"/>
            <w:tcBorders>
              <w:top w:val="single" w:color="auto" w:sz="4" w:space="0"/>
              <w:left w:val="single" w:color="auto" w:sz="4" w:space="0"/>
              <w:bottom w:val="single" w:color="auto" w:sz="4" w:space="0"/>
              <w:right w:val="single" w:color="auto" w:sz="4" w:space="0"/>
            </w:tcBorders>
            <w:vAlign w:val="center"/>
          </w:tcPr>
          <w:p w14:paraId="28F46268">
            <w:pPr>
              <w:pStyle w:val="30"/>
              <w:jc w:val="both"/>
              <w:rPr>
                <w:color w:val="auto"/>
                <w:sz w:val="24"/>
                <w:szCs w:val="24"/>
                <w:highlight w:val="none"/>
              </w:rPr>
            </w:pPr>
            <w:r>
              <w:rPr>
                <w:color w:val="auto"/>
                <w:sz w:val="24"/>
                <w:szCs w:val="24"/>
                <w:highlight w:val="none"/>
              </w:rPr>
              <w:sym w:font="Wingdings 2" w:char="0052"/>
            </w:r>
            <w:r>
              <w:rPr>
                <w:color w:val="auto"/>
                <w:sz w:val="24"/>
                <w:szCs w:val="24"/>
                <w:highlight w:val="none"/>
              </w:rPr>
              <w:t>否</w:t>
            </w:r>
          </w:p>
          <w:p w14:paraId="730F2CF0">
            <w:pPr>
              <w:pStyle w:val="30"/>
              <w:jc w:val="both"/>
              <w:rPr>
                <w:rFonts w:hint="default" w:eastAsia="宋体"/>
                <w:color w:val="auto"/>
                <w:sz w:val="24"/>
                <w:szCs w:val="24"/>
                <w:highlight w:val="none"/>
                <w:lang w:val="en-US" w:eastAsia="zh-CN"/>
              </w:rPr>
            </w:pPr>
            <w:r>
              <w:rPr>
                <w:color w:val="auto"/>
                <w:sz w:val="24"/>
                <w:szCs w:val="24"/>
                <w:highlight w:val="none"/>
              </w:rPr>
              <w:sym w:font="Wingdings 2" w:char="00A3"/>
            </w:r>
            <w:r>
              <w:rPr>
                <w:color w:val="auto"/>
                <w:sz w:val="24"/>
                <w:szCs w:val="24"/>
                <w:highlight w:val="none"/>
              </w:rPr>
              <w:t>是：</w:t>
            </w:r>
            <w:r>
              <w:rPr>
                <w:rFonts w:hint="eastAsia"/>
                <w:color w:val="auto"/>
                <w:sz w:val="24"/>
                <w:szCs w:val="24"/>
                <w:highlight w:val="none"/>
                <w:u w:val="single"/>
                <w:lang w:val="en-US" w:eastAsia="zh-CN"/>
              </w:rPr>
              <w:t xml:space="preserve">           </w:t>
            </w:r>
          </w:p>
        </w:tc>
        <w:tc>
          <w:tcPr>
            <w:tcW w:w="1038" w:type="pct"/>
            <w:tcBorders>
              <w:top w:val="single" w:color="auto" w:sz="4" w:space="0"/>
              <w:left w:val="single" w:color="auto" w:sz="4" w:space="0"/>
              <w:bottom w:val="single" w:color="auto" w:sz="4" w:space="0"/>
              <w:right w:val="single" w:color="auto" w:sz="4" w:space="0"/>
            </w:tcBorders>
            <w:vAlign w:val="center"/>
          </w:tcPr>
          <w:p w14:paraId="34F57182">
            <w:pPr>
              <w:pStyle w:val="30"/>
              <w:rPr>
                <w:color w:val="auto"/>
                <w:sz w:val="24"/>
                <w:szCs w:val="24"/>
                <w:highlight w:val="none"/>
              </w:rPr>
            </w:pPr>
            <w:r>
              <w:rPr>
                <w:color w:val="auto"/>
                <w:sz w:val="24"/>
                <w:szCs w:val="24"/>
                <w:highlight w:val="none"/>
              </w:rPr>
              <w:t>用地面积（m</w:t>
            </w:r>
            <w:r>
              <w:rPr>
                <w:color w:val="auto"/>
                <w:sz w:val="24"/>
                <w:szCs w:val="24"/>
                <w:highlight w:val="none"/>
                <w:vertAlign w:val="superscript"/>
              </w:rPr>
              <w:t>2</w:t>
            </w:r>
            <w:r>
              <w:rPr>
                <w:color w:val="auto"/>
                <w:sz w:val="24"/>
                <w:szCs w:val="24"/>
                <w:highlight w:val="none"/>
              </w:rPr>
              <w:t>）</w:t>
            </w:r>
          </w:p>
          <w:p w14:paraId="4E64B324">
            <w:pPr>
              <w:pStyle w:val="30"/>
              <w:rPr>
                <w:color w:val="auto"/>
                <w:sz w:val="24"/>
                <w:szCs w:val="24"/>
                <w:highlight w:val="none"/>
              </w:rPr>
            </w:pPr>
            <w:r>
              <w:rPr>
                <w:color w:val="auto"/>
                <w:sz w:val="24"/>
                <w:szCs w:val="24"/>
                <w:highlight w:val="none"/>
              </w:rPr>
              <w:t>/长度（km）</w:t>
            </w:r>
          </w:p>
        </w:tc>
        <w:tc>
          <w:tcPr>
            <w:tcW w:w="1740" w:type="pct"/>
            <w:tcBorders>
              <w:top w:val="single" w:color="auto" w:sz="4" w:space="0"/>
              <w:left w:val="single" w:color="auto" w:sz="4" w:space="0"/>
              <w:bottom w:val="single" w:color="auto" w:sz="4" w:space="0"/>
              <w:right w:val="single" w:color="auto" w:sz="8" w:space="0"/>
            </w:tcBorders>
            <w:vAlign w:val="center"/>
          </w:tcPr>
          <w:p w14:paraId="32A87F3B">
            <w:pPr>
              <w:pStyle w:val="30"/>
              <w:rPr>
                <w:color w:val="auto"/>
                <w:sz w:val="24"/>
                <w:szCs w:val="24"/>
                <w:highlight w:val="none"/>
              </w:rPr>
            </w:pPr>
            <w:r>
              <w:rPr>
                <w:rFonts w:hint="eastAsia"/>
                <w:color w:val="auto"/>
                <w:sz w:val="24"/>
                <w:szCs w:val="24"/>
                <w:highlight w:val="none"/>
                <w:lang w:val="en-US" w:eastAsia="zh-CN"/>
              </w:rPr>
              <w:t>64716</w:t>
            </w:r>
            <w:r>
              <w:rPr>
                <w:color w:val="auto"/>
                <w:sz w:val="24"/>
                <w:szCs w:val="24"/>
                <w:highlight w:val="none"/>
              </w:rPr>
              <w:t>m</w:t>
            </w:r>
            <w:r>
              <w:rPr>
                <w:color w:val="auto"/>
                <w:sz w:val="24"/>
                <w:szCs w:val="24"/>
                <w:highlight w:val="none"/>
                <w:vertAlign w:val="superscript"/>
              </w:rPr>
              <w:t>2</w:t>
            </w:r>
            <w:r>
              <w:rPr>
                <w:color w:val="auto"/>
                <w:sz w:val="24"/>
                <w:szCs w:val="24"/>
                <w:highlight w:val="none"/>
              </w:rPr>
              <w:t>（</w:t>
            </w:r>
            <w:r>
              <w:rPr>
                <w:rFonts w:hint="eastAsia"/>
                <w:color w:val="auto"/>
                <w:sz w:val="24"/>
                <w:szCs w:val="24"/>
                <w:highlight w:val="none"/>
                <w:lang w:val="en-US" w:eastAsia="zh-CN"/>
              </w:rPr>
              <w:t>97</w:t>
            </w:r>
            <w:r>
              <w:rPr>
                <w:color w:val="auto"/>
                <w:sz w:val="24"/>
                <w:szCs w:val="24"/>
                <w:highlight w:val="none"/>
              </w:rPr>
              <w:t>亩）</w:t>
            </w:r>
          </w:p>
        </w:tc>
      </w:tr>
      <w:tr w14:paraId="2857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02A18983">
            <w:pPr>
              <w:pStyle w:val="30"/>
              <w:rPr>
                <w:color w:val="auto"/>
                <w:highlight w:val="none"/>
              </w:rPr>
            </w:pPr>
            <w:r>
              <w:rPr>
                <w:color w:val="auto"/>
                <w:sz w:val="24"/>
                <w:szCs w:val="24"/>
                <w:highlight w:val="none"/>
              </w:rPr>
              <w:t>专项评价设置情况</w:t>
            </w:r>
          </w:p>
        </w:tc>
        <w:tc>
          <w:tcPr>
            <w:tcW w:w="4015" w:type="pct"/>
            <w:gridSpan w:val="3"/>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3380C0FF">
            <w:pPr>
              <w:pStyle w:val="30"/>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r>
              <w:rPr>
                <w:color w:val="auto"/>
                <w:sz w:val="24"/>
                <w:szCs w:val="24"/>
                <w:highlight w:val="none"/>
              </w:rPr>
              <w:t>无</w:t>
            </w:r>
          </w:p>
        </w:tc>
      </w:tr>
      <w:tr w14:paraId="257DF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3EDC36C9">
            <w:pPr>
              <w:pStyle w:val="30"/>
              <w:rPr>
                <w:color w:val="auto"/>
                <w:sz w:val="24"/>
                <w:szCs w:val="24"/>
                <w:highlight w:val="none"/>
              </w:rPr>
            </w:pPr>
            <w:r>
              <w:rPr>
                <w:color w:val="auto"/>
                <w:sz w:val="24"/>
                <w:szCs w:val="24"/>
                <w:highlight w:val="none"/>
              </w:rPr>
              <w:t>规划情况</w:t>
            </w:r>
          </w:p>
        </w:tc>
        <w:tc>
          <w:tcPr>
            <w:tcW w:w="4015" w:type="pct"/>
            <w:gridSpan w:val="3"/>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09376196">
            <w:pPr>
              <w:pStyle w:val="30"/>
              <w:rPr>
                <w:color w:val="auto"/>
                <w:sz w:val="24"/>
                <w:szCs w:val="24"/>
                <w:highlight w:val="none"/>
              </w:rPr>
            </w:pPr>
            <w:r>
              <w:rPr>
                <w:color w:val="auto"/>
                <w:sz w:val="24"/>
                <w:szCs w:val="24"/>
                <w:highlight w:val="none"/>
              </w:rPr>
              <w:t>无</w:t>
            </w:r>
          </w:p>
        </w:tc>
      </w:tr>
      <w:tr w14:paraId="64874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11CAFF36">
            <w:pPr>
              <w:pStyle w:val="30"/>
              <w:rPr>
                <w:color w:val="auto"/>
                <w:sz w:val="24"/>
                <w:szCs w:val="24"/>
                <w:highlight w:val="none"/>
              </w:rPr>
            </w:pPr>
            <w:r>
              <w:rPr>
                <w:color w:val="auto"/>
                <w:sz w:val="24"/>
                <w:szCs w:val="24"/>
                <w:highlight w:val="none"/>
              </w:rPr>
              <w:t>规划环境影响评价情况</w:t>
            </w:r>
          </w:p>
        </w:tc>
        <w:tc>
          <w:tcPr>
            <w:tcW w:w="4015" w:type="pct"/>
            <w:gridSpan w:val="3"/>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252DB2B1">
            <w:pPr>
              <w:pStyle w:val="3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无</w:t>
            </w:r>
          </w:p>
        </w:tc>
      </w:tr>
      <w:tr w14:paraId="0BE56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984"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686FD924">
            <w:pPr>
              <w:pStyle w:val="30"/>
              <w:rPr>
                <w:color w:val="auto"/>
                <w:sz w:val="24"/>
                <w:szCs w:val="24"/>
                <w:highlight w:val="none"/>
              </w:rPr>
            </w:pPr>
            <w:r>
              <w:rPr>
                <w:color w:val="auto"/>
                <w:sz w:val="24"/>
                <w:szCs w:val="24"/>
                <w:highlight w:val="none"/>
              </w:rPr>
              <w:t>规划及规划环境影响评价符合性分析</w:t>
            </w:r>
          </w:p>
        </w:tc>
        <w:tc>
          <w:tcPr>
            <w:tcW w:w="4015" w:type="pct"/>
            <w:gridSpan w:val="3"/>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65F496FE">
            <w:pPr>
              <w:pStyle w:val="31"/>
              <w:rPr>
                <w:rFonts w:ascii="Times New Roman" w:hAnsi="Times New Roman" w:eastAsia="宋体" w:cs="Times New Roman"/>
                <w:b w:val="0"/>
                <w:color w:val="auto"/>
                <w:kern w:val="2"/>
                <w:sz w:val="24"/>
                <w:szCs w:val="24"/>
                <w:highlight w:val="none"/>
                <w:lang w:val="en-US" w:eastAsia="zh-CN" w:bidi="ar-SA"/>
              </w:rPr>
            </w:pPr>
            <w:r>
              <w:rPr>
                <w:rFonts w:ascii="Times New Roman" w:hAnsi="Times New Roman" w:eastAsia="宋体" w:cs="Times New Roman"/>
                <w:b w:val="0"/>
                <w:color w:val="auto"/>
                <w:kern w:val="2"/>
                <w:sz w:val="24"/>
                <w:szCs w:val="24"/>
                <w:highlight w:val="none"/>
                <w:lang w:val="en-US" w:eastAsia="zh-CN" w:bidi="ar-SA"/>
              </w:rPr>
              <w:t>无</w:t>
            </w:r>
          </w:p>
        </w:tc>
      </w:tr>
    </w:tbl>
    <w:p w14:paraId="20EF591F">
      <w:pPr>
        <w:pStyle w:val="30"/>
        <w:rPr>
          <w:color w:val="auto"/>
          <w:sz w:val="24"/>
          <w:szCs w:val="24"/>
          <w:highlight w:val="none"/>
        </w:rPr>
        <w:sectPr>
          <w:footerReference r:id="rId5" w:type="default"/>
          <w:footerReference r:id="rId6" w:type="even"/>
          <w:pgSz w:w="11906" w:h="16838"/>
          <w:pgMar w:top="1440" w:right="1080" w:bottom="1440" w:left="1080" w:header="851" w:footer="992" w:gutter="0"/>
          <w:pgBorders>
            <w:top w:val="none" w:sz="0" w:space="0"/>
            <w:left w:val="none" w:sz="0" w:space="0"/>
            <w:bottom w:val="none" w:sz="0" w:space="0"/>
            <w:right w:val="none" w:sz="0" w:space="0"/>
          </w:pgBorders>
          <w:pgNumType w:fmt="numberInDash" w:start="1"/>
          <w:cols w:space="0" w:num="1"/>
          <w:docGrid w:type="lines" w:linePitch="326" w:charSpace="0"/>
        </w:sectPr>
      </w:pPr>
    </w:p>
    <w:tbl>
      <w:tblPr>
        <w:tblStyle w:val="24"/>
        <w:tblW w:w="500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30"/>
        <w:gridCol w:w="7866"/>
      </w:tblGrid>
      <w:tr w14:paraId="7F653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85"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02D7496D">
            <w:pPr>
              <w:pStyle w:val="30"/>
              <w:rPr>
                <w:color w:val="auto"/>
                <w:sz w:val="24"/>
                <w:szCs w:val="24"/>
                <w:highlight w:val="none"/>
              </w:rPr>
            </w:pPr>
            <w:r>
              <w:rPr>
                <w:color w:val="auto"/>
                <w:sz w:val="24"/>
                <w:szCs w:val="24"/>
                <w:highlight w:val="none"/>
              </w:rPr>
              <w:t>其他符合性分析</w:t>
            </w:r>
          </w:p>
        </w:tc>
        <w:tc>
          <w:tcPr>
            <w:tcW w:w="4014" w:type="pct"/>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1D8FF67C">
            <w:pPr>
              <w:ind w:firstLine="482" w:firstLineChars="200"/>
              <w:rPr>
                <w:rFonts w:cs="Times New Roman"/>
                <w:b/>
                <w:bCs/>
                <w:color w:val="auto"/>
                <w:highlight w:val="none"/>
              </w:rPr>
            </w:pPr>
            <w:r>
              <w:rPr>
                <w:rFonts w:cs="Times New Roman"/>
                <w:b/>
                <w:bCs/>
                <w:color w:val="auto"/>
                <w:highlight w:val="none"/>
              </w:rPr>
              <w:t>1、产业政策符合性分析</w:t>
            </w:r>
          </w:p>
          <w:p w14:paraId="728FE1B3">
            <w:pPr>
              <w:ind w:firstLine="480" w:firstLineChars="200"/>
              <w:rPr>
                <w:rFonts w:ascii="Times New Roman" w:hAnsi="Times New Roman" w:cs="Times New Roman"/>
                <w:b/>
                <w:bCs/>
                <w:color w:val="auto"/>
                <w:highlight w:val="none"/>
              </w:rPr>
            </w:pPr>
            <w:r>
              <w:rPr>
                <w:rFonts w:cs="Times New Roman"/>
                <w:color w:val="auto"/>
                <w:highlight w:val="none"/>
              </w:rPr>
              <w:t>根据《产业结构调整指导目录</w:t>
            </w:r>
            <w:r>
              <w:rPr>
                <w:rFonts w:hint="eastAsia" w:cs="Times New Roman"/>
                <w:color w:val="auto"/>
                <w:highlight w:val="none"/>
                <w:lang w:val="en-US" w:eastAsia="zh-CN"/>
              </w:rPr>
              <w:t>2024年本</w:t>
            </w:r>
            <w:r>
              <w:rPr>
                <w:rFonts w:cs="Times New Roman"/>
                <w:color w:val="auto"/>
                <w:highlight w:val="none"/>
              </w:rPr>
              <w:t>》，本项目属于鼓励类项目。</w:t>
            </w:r>
            <w:r>
              <w:rPr>
                <w:rFonts w:hint="default" w:cs="Times New Roman"/>
                <w:color w:val="auto"/>
                <w:highlight w:val="none"/>
                <w:lang w:eastAsia="zh-CN"/>
              </w:rPr>
              <w:t>同时</w:t>
            </w:r>
            <w:r>
              <w:rPr>
                <w:rFonts w:hint="eastAsia" w:cs="Times New Roman"/>
                <w:color w:val="auto"/>
                <w:highlight w:val="none"/>
                <w:lang w:eastAsia="zh-CN"/>
              </w:rPr>
              <w:t>本项目</w:t>
            </w:r>
            <w:r>
              <w:rPr>
                <w:rFonts w:hint="default" w:cs="Times New Roman"/>
                <w:color w:val="auto"/>
                <w:highlight w:val="none"/>
                <w:lang w:eastAsia="zh-CN"/>
              </w:rPr>
              <w:t>不在《市场准入负面清单（</w:t>
            </w:r>
            <w:r>
              <w:rPr>
                <w:rFonts w:hint="eastAsia" w:cs="Times New Roman"/>
                <w:color w:val="auto"/>
                <w:highlight w:val="none"/>
                <w:lang w:val="en-US" w:eastAsia="zh-CN"/>
              </w:rPr>
              <w:t>2025</w:t>
            </w:r>
            <w:r>
              <w:rPr>
                <w:rFonts w:hint="default" w:cs="Times New Roman"/>
                <w:color w:val="auto"/>
                <w:highlight w:val="none"/>
                <w:lang w:eastAsia="zh-CN"/>
              </w:rPr>
              <w:t>年版）》中的禁止准入类项目</w:t>
            </w:r>
            <w:r>
              <w:rPr>
                <w:rFonts w:cs="Times New Roman"/>
                <w:color w:val="auto"/>
                <w:highlight w:val="none"/>
              </w:rPr>
              <w:t>，且不在市场准入相关的禁止性规定范围内</w:t>
            </w:r>
            <w:r>
              <w:rPr>
                <w:rFonts w:hint="eastAsia" w:cs="Times New Roman"/>
                <w:color w:val="auto"/>
                <w:highlight w:val="none"/>
                <w:lang w:eastAsia="zh-CN"/>
              </w:rPr>
              <w:t>。</w:t>
            </w:r>
            <w:r>
              <w:rPr>
                <w:rFonts w:hint="default" w:cs="Times New Roman"/>
                <w:color w:val="auto"/>
                <w:highlight w:val="none"/>
                <w:lang w:eastAsia="zh-CN"/>
              </w:rPr>
              <w:t>因此，项目建设符合国家产业政策</w:t>
            </w:r>
            <w:r>
              <w:rPr>
                <w:rFonts w:cs="Times New Roman"/>
                <w:color w:val="auto"/>
                <w:highlight w:val="none"/>
              </w:rPr>
              <w:t>。</w:t>
            </w:r>
          </w:p>
          <w:p w14:paraId="223F8690">
            <w:pPr>
              <w:ind w:firstLine="482" w:firstLineChars="200"/>
              <w:rPr>
                <w:rFonts w:hint="default" w:ascii="Times New Roman" w:hAnsi="Times New Roman" w:cs="Times New Roman"/>
                <w:b/>
                <w:bCs/>
                <w:color w:val="auto"/>
                <w:highlight w:val="none"/>
                <w:lang w:val="en-US" w:eastAsia="zh-CN"/>
              </w:rPr>
            </w:pPr>
            <w:r>
              <w:rPr>
                <w:rFonts w:ascii="Times New Roman" w:hAnsi="Times New Roman" w:cs="Times New Roman"/>
                <w:b/>
                <w:bCs/>
                <w:color w:val="auto"/>
                <w:highlight w:val="none"/>
                <w:lang w:val="en-US" w:eastAsia="zh-CN"/>
              </w:rPr>
              <w:t>2、选址合理性</w:t>
            </w:r>
            <w:r>
              <w:rPr>
                <w:rFonts w:hint="eastAsia" w:ascii="Times New Roman" w:hAnsi="Times New Roman" w:cs="Times New Roman"/>
                <w:b/>
                <w:bCs/>
                <w:color w:val="auto"/>
                <w:highlight w:val="none"/>
                <w:lang w:val="en-US" w:eastAsia="zh-CN"/>
              </w:rPr>
              <w:t>分析</w:t>
            </w:r>
          </w:p>
          <w:p w14:paraId="5852DCB3">
            <w:pPr>
              <w:ind w:firstLine="480" w:firstLineChars="200"/>
              <w:rPr>
                <w:rFonts w:cs="Times New Roman"/>
                <w:color w:val="auto"/>
                <w:highlight w:val="none"/>
              </w:rPr>
            </w:pPr>
            <w:r>
              <w:rPr>
                <w:rFonts w:ascii="Times New Roman" w:hAnsi="Times New Roman" w:cs="Times New Roman"/>
                <w:color w:val="auto"/>
                <w:highlight w:val="none"/>
                <w:lang w:val="en-US" w:eastAsia="zh-CN"/>
              </w:rPr>
              <w:t>本项目</w:t>
            </w:r>
            <w:r>
              <w:rPr>
                <w:rFonts w:hint="eastAsia" w:ascii="Times New Roman" w:hAnsi="Times New Roman" w:cs="Times New Roman"/>
                <w:color w:val="auto"/>
                <w:highlight w:val="none"/>
                <w:lang w:val="en-US" w:eastAsia="zh-CN"/>
              </w:rPr>
              <w:t>位于</w:t>
            </w:r>
            <w:r>
              <w:rPr>
                <w:rFonts w:hint="eastAsia" w:cs="Times New Roman"/>
                <w:color w:val="auto"/>
                <w:highlight w:val="none"/>
                <w:lang w:val="en-US" w:eastAsia="zh-CN"/>
              </w:rPr>
              <w:t>陕西省西安市鄠邑区玉蝉街道天桥片区</w:t>
            </w:r>
            <w:r>
              <w:rPr>
                <w:rFonts w:ascii="Times New Roman" w:hAnsi="Times New Roman" w:cs="Times New Roman"/>
                <w:color w:val="auto"/>
                <w:highlight w:val="none"/>
                <w:lang w:val="en-US" w:eastAsia="zh-CN"/>
              </w:rPr>
              <w:t>，</w:t>
            </w:r>
            <w:r>
              <w:rPr>
                <w:rFonts w:hint="eastAsia" w:cs="Times New Roman"/>
                <w:color w:val="auto"/>
                <w:highlight w:val="none"/>
                <w:lang w:val="en-US" w:eastAsia="zh-CN"/>
              </w:rPr>
              <w:t>陕西交控鄠邑资源开发有限公司</w:t>
            </w:r>
            <w:r>
              <w:rPr>
                <w:rFonts w:hint="eastAsia"/>
                <w:bCs/>
                <w:color w:val="auto"/>
                <w:kern w:val="0"/>
                <w:sz w:val="24"/>
                <w:highlight w:val="none"/>
              </w:rPr>
              <w:t>与</w:t>
            </w:r>
            <w:r>
              <w:rPr>
                <w:rFonts w:hint="eastAsia"/>
                <w:bCs/>
                <w:color w:val="auto"/>
                <w:kern w:val="0"/>
                <w:sz w:val="24"/>
                <w:highlight w:val="none"/>
                <w:lang w:val="en-US" w:eastAsia="zh-CN"/>
              </w:rPr>
              <w:t>西安昊立土方工程</w:t>
            </w:r>
            <w:r>
              <w:rPr>
                <w:rFonts w:hint="eastAsia"/>
                <w:bCs/>
                <w:color w:val="auto"/>
                <w:kern w:val="0"/>
                <w:sz w:val="24"/>
                <w:highlight w:val="none"/>
              </w:rPr>
              <w:t>有限公司签订有租赁协议（见附件</w:t>
            </w:r>
            <w:r>
              <w:rPr>
                <w:rFonts w:hint="eastAsia"/>
                <w:bCs/>
                <w:color w:val="auto"/>
                <w:kern w:val="0"/>
                <w:sz w:val="24"/>
                <w:highlight w:val="none"/>
                <w:lang w:val="en-US" w:eastAsia="zh-CN"/>
              </w:rPr>
              <w:t>2</w:t>
            </w:r>
            <w:r>
              <w:rPr>
                <w:rFonts w:hint="eastAsia"/>
                <w:bCs/>
                <w:color w:val="auto"/>
                <w:kern w:val="0"/>
                <w:sz w:val="24"/>
                <w:highlight w:val="none"/>
              </w:rPr>
              <w:t>），租赁</w:t>
            </w:r>
            <w:r>
              <w:rPr>
                <w:rFonts w:hint="eastAsia"/>
                <w:bCs/>
                <w:color w:val="auto"/>
                <w:kern w:val="0"/>
                <w:sz w:val="24"/>
                <w:highlight w:val="none"/>
                <w:lang w:val="en-US" w:eastAsia="zh-CN"/>
              </w:rPr>
              <w:t>其</w:t>
            </w:r>
            <w:r>
              <w:rPr>
                <w:rFonts w:hint="eastAsia"/>
                <w:bCs/>
                <w:color w:val="auto"/>
                <w:kern w:val="0"/>
                <w:sz w:val="24"/>
                <w:highlight w:val="none"/>
              </w:rPr>
              <w:t>闲置场地</w:t>
            </w:r>
            <w:r>
              <w:rPr>
                <w:rFonts w:hint="eastAsia"/>
                <w:bCs/>
                <w:color w:val="auto"/>
                <w:kern w:val="0"/>
                <w:sz w:val="24"/>
                <w:highlight w:val="none"/>
                <w:lang w:val="en-US" w:eastAsia="zh-CN"/>
              </w:rPr>
              <w:t>及厂房</w:t>
            </w:r>
            <w:r>
              <w:rPr>
                <w:rFonts w:hint="eastAsia"/>
                <w:bCs/>
                <w:color w:val="auto"/>
                <w:kern w:val="0"/>
                <w:sz w:val="24"/>
                <w:highlight w:val="none"/>
              </w:rPr>
              <w:t>，周围</w:t>
            </w:r>
            <w:r>
              <w:rPr>
                <w:bCs/>
                <w:color w:val="auto"/>
                <w:kern w:val="0"/>
                <w:sz w:val="24"/>
                <w:highlight w:val="none"/>
              </w:rPr>
              <w:t>交通便利，水、电等配套设施完善。</w:t>
            </w:r>
            <w:r>
              <w:rPr>
                <w:rFonts w:hint="eastAsia"/>
                <w:bCs/>
                <w:color w:val="auto"/>
                <w:kern w:val="0"/>
                <w:sz w:val="24"/>
                <w:highlight w:val="none"/>
                <w:lang w:val="en-US" w:eastAsia="zh-CN"/>
              </w:rPr>
              <w:t>本次评价的工程内容</w:t>
            </w:r>
            <w:r>
              <w:rPr>
                <w:rFonts w:hint="eastAsia" w:cs="Times New Roman"/>
                <w:color w:val="auto"/>
                <w:highlight w:val="none"/>
                <w:lang w:val="en-US" w:eastAsia="zh-CN"/>
              </w:rPr>
              <w:t>占地范围为原京昆高速公路蒲城至涝峪段改扩建工程JK-ZC02合同段2#集中场站，用地面积为</w:t>
            </w:r>
            <w:r>
              <w:rPr>
                <w:rFonts w:hint="eastAsia"/>
                <w:color w:val="auto"/>
                <w:sz w:val="24"/>
                <w:szCs w:val="24"/>
                <w:highlight w:val="none"/>
                <w:lang w:val="en-US" w:eastAsia="zh-CN"/>
              </w:rPr>
              <w:t>64716</w:t>
            </w:r>
            <w:r>
              <w:rPr>
                <w:color w:val="auto"/>
                <w:sz w:val="24"/>
                <w:szCs w:val="24"/>
                <w:highlight w:val="none"/>
              </w:rPr>
              <w:t>m</w:t>
            </w:r>
            <w:r>
              <w:rPr>
                <w:color w:val="auto"/>
                <w:sz w:val="24"/>
                <w:szCs w:val="24"/>
                <w:highlight w:val="none"/>
                <w:vertAlign w:val="superscript"/>
              </w:rPr>
              <w:t>2</w:t>
            </w:r>
            <w:r>
              <w:rPr>
                <w:color w:val="auto"/>
                <w:sz w:val="24"/>
                <w:szCs w:val="24"/>
                <w:highlight w:val="none"/>
              </w:rPr>
              <w:t>（</w:t>
            </w:r>
            <w:r>
              <w:rPr>
                <w:rFonts w:hint="eastAsia"/>
                <w:color w:val="auto"/>
                <w:sz w:val="24"/>
                <w:szCs w:val="24"/>
                <w:highlight w:val="none"/>
                <w:lang w:val="en-US" w:eastAsia="zh-CN"/>
              </w:rPr>
              <w:t>97</w:t>
            </w:r>
            <w:r>
              <w:rPr>
                <w:color w:val="auto"/>
                <w:sz w:val="24"/>
                <w:szCs w:val="24"/>
                <w:highlight w:val="none"/>
              </w:rPr>
              <w:t>亩）</w:t>
            </w:r>
            <w:r>
              <w:rPr>
                <w:rFonts w:hint="eastAsia" w:cs="Times New Roman"/>
                <w:color w:val="auto"/>
                <w:highlight w:val="none"/>
                <w:lang w:val="en-US" w:eastAsia="zh-CN"/>
              </w:rPr>
              <w:t>，本项目在现有封闭厂房内拟建设机制骨料生产线和</w:t>
            </w:r>
            <w:r>
              <w:rPr>
                <w:rFonts w:hint="eastAsia" w:cs="Times New Roman"/>
                <w:color w:val="auto"/>
                <w:highlight w:val="none"/>
                <w:lang w:eastAsia="zh-CN"/>
              </w:rPr>
              <w:t>水稳材料生产线</w:t>
            </w:r>
            <w:r>
              <w:rPr>
                <w:rFonts w:hint="eastAsia" w:cs="Times New Roman"/>
                <w:color w:val="auto"/>
                <w:highlight w:val="none"/>
                <w:lang w:val="en-US" w:eastAsia="zh-CN"/>
              </w:rPr>
              <w:t>各1条</w:t>
            </w:r>
            <w:r>
              <w:rPr>
                <w:rFonts w:cs="Times New Roman"/>
                <w:color w:val="auto"/>
                <w:highlight w:val="none"/>
              </w:rPr>
              <w:t>。</w:t>
            </w:r>
          </w:p>
          <w:p w14:paraId="3D0810BB">
            <w:pPr>
              <w:ind w:firstLine="480" w:firstLineChars="200"/>
              <w:rPr>
                <w:rFonts w:hint="eastAsia"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color w:val="auto"/>
                <w:highlight w:val="none"/>
                <w:lang w:val="en-US" w:eastAsia="zh-CN"/>
              </w:rPr>
              <w:t>根据建设单位提供的</w:t>
            </w:r>
            <w:r>
              <w:rPr>
                <w:rFonts w:hint="eastAsia" w:cs="Times New Roman"/>
                <w:color w:val="auto"/>
                <w:highlight w:val="none"/>
                <w:lang w:val="en-US" w:eastAsia="zh-CN"/>
              </w:rPr>
              <w:t>土地使用证</w:t>
            </w:r>
            <w:r>
              <w:rPr>
                <w:rFonts w:hint="eastAsia" w:ascii="Times New Roman" w:hAnsi="Times New Roman" w:cs="Times New Roman"/>
                <w:color w:val="auto"/>
                <w:highlight w:val="none"/>
                <w:lang w:val="en-US" w:eastAsia="zh-CN"/>
              </w:rPr>
              <w:t>（见附件</w:t>
            </w:r>
            <w:r>
              <w:rPr>
                <w:rFonts w:hint="eastAsia" w:cs="Times New Roman"/>
                <w:color w:val="auto"/>
                <w:highlight w:val="none"/>
                <w:lang w:val="en-US" w:eastAsia="zh-CN"/>
              </w:rPr>
              <w:t>3-1</w:t>
            </w:r>
            <w:r>
              <w:rPr>
                <w:rFonts w:hint="eastAsia" w:ascii="Times New Roman" w:hAnsi="Times New Roman" w:cs="Times New Roman"/>
                <w:color w:val="auto"/>
                <w:highlight w:val="none"/>
                <w:lang w:val="en-US" w:eastAsia="zh-CN"/>
              </w:rPr>
              <w:t>），本项目用地</w:t>
            </w:r>
            <w:r>
              <w:rPr>
                <w:rFonts w:hint="eastAsia" w:cs="Times New Roman"/>
                <w:color w:val="auto"/>
                <w:highlight w:val="none"/>
                <w:lang w:val="en-US" w:eastAsia="zh-CN"/>
              </w:rPr>
              <w:t>范围在2022年之前使用权人为户县天桥水生态修复示范区管理办公室，后由于撤县改区，本项目用地于2022年整体移交至鄠邑建设集团</w:t>
            </w:r>
            <w:r>
              <w:rPr>
                <w:rFonts w:hint="eastAsia" w:ascii="Times New Roman" w:hAnsi="Times New Roman" w:cs="Times New Roman"/>
                <w:color w:val="auto"/>
                <w:highlight w:val="none"/>
                <w:lang w:val="en-US" w:eastAsia="zh-CN"/>
              </w:rPr>
              <w:t>（见附件</w:t>
            </w:r>
            <w:r>
              <w:rPr>
                <w:rFonts w:hint="eastAsia" w:cs="Times New Roman"/>
                <w:color w:val="auto"/>
                <w:highlight w:val="none"/>
                <w:lang w:val="en-US" w:eastAsia="zh-CN"/>
              </w:rPr>
              <w:t>3-2</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，目前由鄠邑建设集团下属</w:t>
            </w:r>
            <w:r>
              <w:rPr>
                <w:rFonts w:hint="eastAsia"/>
                <w:bCs/>
                <w:color w:val="auto"/>
                <w:kern w:val="0"/>
                <w:sz w:val="24"/>
                <w:highlight w:val="none"/>
                <w:lang w:val="en-US" w:eastAsia="zh-CN"/>
              </w:rPr>
              <w:t>西安昊立土方工程</w:t>
            </w:r>
            <w:r>
              <w:rPr>
                <w:rFonts w:hint="eastAsia"/>
                <w:bCs/>
                <w:color w:val="auto"/>
                <w:kern w:val="0"/>
                <w:sz w:val="24"/>
                <w:highlight w:val="none"/>
              </w:rPr>
              <w:t>有限公司</w:t>
            </w:r>
            <w:r>
              <w:rPr>
                <w:rFonts w:hint="eastAsia" w:cs="Times New Roman"/>
                <w:color w:val="auto"/>
                <w:highlight w:val="none"/>
                <w:lang w:val="en-US" w:eastAsia="zh-CN"/>
              </w:rPr>
              <w:t>管理，</w:t>
            </w:r>
            <w:r>
              <w:rPr>
                <w:rFonts w:hint="eastAsia" w:ascii="Times New Roman" w:hAnsi="Times New Roman" w:cs="Times New Roman"/>
                <w:color w:val="auto"/>
                <w:highlight w:val="none"/>
                <w:lang w:val="en-US" w:eastAsia="zh-CN"/>
              </w:rPr>
              <w:t>本项目用地</w:t>
            </w:r>
            <w:r>
              <w:rPr>
                <w:rFonts w:hint="eastAsia" w:cs="Times New Roman"/>
                <w:color w:val="auto"/>
                <w:highlight w:val="none"/>
                <w:lang w:val="en-US" w:eastAsia="zh-CN"/>
              </w:rPr>
              <w:t>范围</w:t>
            </w:r>
            <w:r>
              <w:rPr>
                <w:rFonts w:hint="eastAsia" w:ascii="Times New Roman" w:hAnsi="Times New Roman" w:cs="Times New Roman"/>
                <w:color w:val="auto"/>
                <w:highlight w:val="none"/>
                <w:lang w:val="en-US" w:eastAsia="zh-CN"/>
              </w:rPr>
              <w:t>土地类型为</w:t>
            </w:r>
            <w:r>
              <w:rPr>
                <w:rFonts w:hint="eastAsia" w:cs="Times New Roman"/>
                <w:color w:val="auto"/>
                <w:highlight w:val="none"/>
                <w:lang w:val="en-US" w:eastAsia="zh-CN"/>
              </w:rPr>
              <w:t>建设</w:t>
            </w:r>
            <w:r>
              <w:rPr>
                <w:rFonts w:hint="eastAsia" w:ascii="Times New Roman" w:hAnsi="Times New Roman" w:cs="Times New Roman"/>
                <w:color w:val="auto"/>
                <w:highlight w:val="none"/>
                <w:lang w:val="en-US" w:eastAsia="zh-CN"/>
              </w:rPr>
              <w:t>用地。</w:t>
            </w:r>
            <w:r>
              <w:rPr>
                <w:rFonts w:hint="eastAsia" w:ascii="Times New Roman" w:hAnsi="Times New Roman" w:cs="Times New Roman" w:eastAsiaTheme="minorEastAsia"/>
                <w:b w:val="0"/>
                <w:bCs w:val="0"/>
                <w:color w:val="auto"/>
                <w:kern w:val="2"/>
                <w:sz w:val="24"/>
                <w:szCs w:val="22"/>
                <w:highlight w:val="none"/>
                <w:lang w:val="en-US" w:eastAsia="zh-CN" w:bidi="ar-SA"/>
              </w:rPr>
              <w:t>根据现场勘查，本项目周边均</w:t>
            </w:r>
            <w:r>
              <w:rPr>
                <w:rFonts w:hint="eastAsia" w:cs="Times New Roman"/>
                <w:b w:val="0"/>
                <w:bCs w:val="0"/>
                <w:color w:val="auto"/>
                <w:kern w:val="2"/>
                <w:sz w:val="24"/>
                <w:szCs w:val="22"/>
                <w:highlight w:val="none"/>
                <w:lang w:val="en-US" w:eastAsia="zh-CN" w:bidi="ar-SA"/>
              </w:rPr>
              <w:t>为空地，西侧紧邻渭天路，北侧与一国防井相邻，为预备生产用水井。东南侧47m为新民庄村东庄</w:t>
            </w:r>
            <w:r>
              <w:rPr>
                <w:rFonts w:hint="eastAsia" w:ascii="Times New Roman" w:hAnsi="Times New Roman" w:cs="Times New Roman" w:eastAsiaTheme="minorEastAsia"/>
                <w:b w:val="0"/>
                <w:bCs w:val="0"/>
                <w:color w:val="auto"/>
                <w:kern w:val="2"/>
                <w:sz w:val="24"/>
                <w:szCs w:val="22"/>
                <w:highlight w:val="none"/>
                <w:lang w:val="en-US" w:eastAsia="zh-CN" w:bidi="ar-SA"/>
              </w:rPr>
              <w:t>。本项目四邻关系图见附图</w:t>
            </w:r>
            <w:r>
              <w:rPr>
                <w:rFonts w:hint="eastAsia" w:cs="Times New Roman"/>
                <w:b w:val="0"/>
                <w:bCs w:val="0"/>
                <w:color w:val="auto"/>
                <w:kern w:val="2"/>
                <w:sz w:val="24"/>
                <w:szCs w:val="22"/>
                <w:highlight w:val="none"/>
                <w:lang w:val="en-US" w:eastAsia="zh-CN" w:bidi="ar-SA"/>
              </w:rPr>
              <w:t>3</w:t>
            </w:r>
            <w:r>
              <w:rPr>
                <w:rFonts w:hint="eastAsia" w:ascii="Times New Roman" w:hAnsi="Times New Roman" w:cs="Times New Roman" w:eastAsiaTheme="minorEastAsia"/>
                <w:b w:val="0"/>
                <w:bCs w:val="0"/>
                <w:color w:val="auto"/>
                <w:kern w:val="2"/>
                <w:sz w:val="24"/>
                <w:szCs w:val="22"/>
                <w:highlight w:val="none"/>
                <w:lang w:val="en-US" w:eastAsia="zh-CN" w:bidi="ar-SA"/>
              </w:rPr>
              <w:t>。</w:t>
            </w:r>
          </w:p>
          <w:p w14:paraId="2B5187A4">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eastAsiaTheme="minorEastAsia"/>
                <w:b w:val="0"/>
                <w:bCs w:val="0"/>
                <w:color w:val="auto"/>
                <w:kern w:val="2"/>
                <w:sz w:val="24"/>
                <w:szCs w:val="22"/>
                <w:highlight w:val="none"/>
                <w:lang w:val="en-US" w:eastAsia="zh-CN" w:bidi="ar-SA"/>
              </w:rPr>
              <w:t>项目周围无自然保护区、风景名胜区、文化遗产保护区、世界文化自然遗产和森林公园、地质公园、等保护地以及饮用水水源保护区等制约项目发展的因素，</w:t>
            </w:r>
            <w:r>
              <w:rPr>
                <w:rFonts w:hint="eastAsia"/>
                <w:color w:val="auto"/>
                <w:highlight w:val="none"/>
                <w:lang w:val="en-US" w:eastAsia="zh-CN"/>
              </w:rPr>
              <w:t>与涝河最近距离695m</w:t>
            </w:r>
            <w:r>
              <w:rPr>
                <w:rFonts w:hint="eastAsia" w:ascii="Times New Roman" w:hAnsi="Times New Roman" w:cs="Times New Roman" w:eastAsiaTheme="minorEastAsia"/>
                <w:b w:val="0"/>
                <w:bCs w:val="0"/>
                <w:color w:val="auto"/>
                <w:kern w:val="2"/>
                <w:sz w:val="24"/>
                <w:szCs w:val="22"/>
                <w:highlight w:val="none"/>
                <w:lang w:val="en-US" w:eastAsia="zh-CN" w:bidi="ar-SA"/>
              </w:rPr>
              <w:t>。本项目运行期间产生的废气、废水、噪声和固体废物等，在采用相应的污染防治措施后，均能实现达标排放和合理处置，对外环境影响较小，符合当地环境保护政策。</w:t>
            </w:r>
          </w:p>
          <w:p w14:paraId="4EC9BDD9">
            <w:pPr>
              <w:pStyle w:val="3"/>
              <w:ind w:firstLine="480" w:firstLineChars="200"/>
              <w:rPr>
                <w:rFonts w:hint="eastAsia"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eastAsiaTheme="minorEastAsia"/>
                <w:b w:val="0"/>
                <w:bCs w:val="0"/>
                <w:color w:val="auto"/>
                <w:kern w:val="2"/>
                <w:sz w:val="24"/>
                <w:szCs w:val="22"/>
                <w:highlight w:val="none"/>
                <w:lang w:val="en-US" w:eastAsia="zh-CN" w:bidi="ar-SA"/>
              </w:rPr>
              <w:t>综上，在严格落实本报告提出的环保措施后，项目的建设和运行不会对外环境产生较大影响，从环境保护角度分析，项目选址可行。</w:t>
            </w:r>
          </w:p>
          <w:p w14:paraId="476AEA58">
            <w:pPr>
              <w:ind w:firstLine="482" w:firstLineChars="200"/>
              <w:jc w:val="left"/>
              <w:rPr>
                <w:rFonts w:cs="Times New Roman"/>
                <w:b/>
                <w:bCs/>
                <w:color w:val="auto"/>
                <w:highlight w:val="none"/>
              </w:rPr>
            </w:pPr>
            <w:r>
              <w:rPr>
                <w:rFonts w:hint="eastAsia" w:cs="Times New Roman"/>
                <w:b/>
                <w:bCs/>
                <w:color w:val="auto"/>
                <w:highlight w:val="none"/>
                <w:lang w:val="en-US" w:eastAsia="zh-CN"/>
              </w:rPr>
              <w:t>3</w:t>
            </w:r>
            <w:r>
              <w:rPr>
                <w:rFonts w:cs="Times New Roman"/>
                <w:b/>
                <w:bCs/>
                <w:color w:val="auto"/>
                <w:highlight w:val="none"/>
              </w:rPr>
              <w:t>、“三线一单”符合性分析</w:t>
            </w:r>
          </w:p>
          <w:p w14:paraId="5759FB1A">
            <w:pPr>
              <w:adjustRightInd w:val="0"/>
              <w:snapToGrid w:val="0"/>
              <w:ind w:firstLine="480" w:firstLineChars="200"/>
              <w:jc w:val="left"/>
              <w:rPr>
                <w:rFonts w:cs="Times New Roman"/>
                <w:color w:val="auto"/>
                <w:szCs w:val="32"/>
                <w:highlight w:val="none"/>
                <w:lang w:val="zh-CN"/>
              </w:rPr>
            </w:pPr>
            <w:r>
              <w:rPr>
                <w:rFonts w:cs="Times New Roman"/>
                <w:color w:val="auto"/>
                <w:szCs w:val="32"/>
                <w:highlight w:val="none"/>
                <w:lang w:val="zh-CN"/>
              </w:rPr>
              <w:t>根据陕西省生态环境厅办公室关于印发《陕西省“三线一单”生态环境分区管控应用技术指南：环境影响评价（试行）》（陕环办发〔202</w:t>
            </w:r>
            <w:r>
              <w:rPr>
                <w:rFonts w:cs="Times New Roman"/>
                <w:color w:val="auto"/>
                <w:szCs w:val="32"/>
                <w:highlight w:val="none"/>
              </w:rPr>
              <w:t>2</w:t>
            </w:r>
            <w:r>
              <w:rPr>
                <w:rFonts w:cs="Times New Roman"/>
                <w:color w:val="auto"/>
                <w:szCs w:val="32"/>
                <w:highlight w:val="none"/>
                <w:lang w:val="zh-CN"/>
              </w:rPr>
              <w:t>〕</w:t>
            </w:r>
            <w:r>
              <w:rPr>
                <w:rFonts w:cs="Times New Roman"/>
                <w:color w:val="auto"/>
                <w:szCs w:val="32"/>
                <w:highlight w:val="none"/>
              </w:rPr>
              <w:t>76号</w:t>
            </w:r>
            <w:r>
              <w:rPr>
                <w:rFonts w:cs="Times New Roman"/>
                <w:color w:val="auto"/>
                <w:szCs w:val="32"/>
                <w:highlight w:val="none"/>
                <w:lang w:val="zh-CN"/>
              </w:rPr>
              <w:t>）通知中，环评文件规范化要求中的规定：环评文件涉及“三线一单”生态环境分区管控符合性分析采取“一图一表一说明”的表达方式，在对照分析结果右侧加列，并论证规划或建设项目的符合性</w:t>
            </w:r>
            <w:r>
              <w:rPr>
                <w:rFonts w:hint="eastAsia" w:cs="Times New Roman"/>
                <w:color w:val="auto"/>
                <w:szCs w:val="32"/>
                <w:highlight w:val="none"/>
                <w:lang w:val="zh-CN"/>
              </w:rPr>
              <w:t>。</w:t>
            </w:r>
          </w:p>
          <w:p w14:paraId="54712A06">
            <w:pPr>
              <w:adjustRightInd w:val="0"/>
              <w:snapToGrid w:val="0"/>
              <w:ind w:firstLine="482" w:firstLineChars="200"/>
              <w:jc w:val="left"/>
              <w:rPr>
                <w:rFonts w:cs="Times New Roman"/>
                <w:color w:val="auto"/>
                <w:szCs w:val="32"/>
                <w:highlight w:val="none"/>
                <w:lang w:val="zh-CN"/>
              </w:rPr>
            </w:pPr>
            <w:r>
              <w:rPr>
                <w:rFonts w:cs="Times New Roman"/>
                <w:b/>
                <w:bCs/>
                <w:color w:val="auto"/>
                <w:szCs w:val="32"/>
                <w:highlight w:val="none"/>
              </w:rPr>
              <w:t>（1）</w:t>
            </w:r>
            <w:r>
              <w:rPr>
                <w:rFonts w:cs="Times New Roman"/>
                <w:b/>
                <w:bCs/>
                <w:color w:val="auto"/>
                <w:szCs w:val="32"/>
                <w:highlight w:val="none"/>
                <w:lang w:val="zh-CN"/>
              </w:rPr>
              <w:t>“一图”：指的是规划或建设项目与环境管控单元对照分析示意图</w:t>
            </w:r>
          </w:p>
          <w:p w14:paraId="7D57E7D2">
            <w:pPr>
              <w:pStyle w:val="72"/>
              <w:ind w:firstLine="480"/>
              <w:rPr>
                <w:rFonts w:hint="eastAsia" w:ascii="Times New Roman" w:hAnsi="Times New Roman" w:eastAsia="宋体" w:cs="Times New Roman"/>
                <w:color w:val="auto"/>
                <w:szCs w:val="24"/>
                <w:highlight w:val="none"/>
              </w:rPr>
            </w:pPr>
            <w:r>
              <w:rPr>
                <w:color w:val="auto"/>
                <w:sz w:val="24"/>
                <w:highlight w:val="none"/>
              </w:rPr>
              <w:t>根据西安市生态环境保护委员会办公室关于印发《2023年西安市生态环境分区</w:t>
            </w:r>
            <w:r>
              <w:rPr>
                <w:rFonts w:hint="eastAsia"/>
                <w:color w:val="auto"/>
                <w:sz w:val="24"/>
                <w:highlight w:val="none"/>
              </w:rPr>
              <w:t>管控</w:t>
            </w:r>
            <w:r>
              <w:rPr>
                <w:color w:val="auto"/>
                <w:sz w:val="24"/>
                <w:highlight w:val="none"/>
              </w:rPr>
              <w:t>调整方案》的通知</w:t>
            </w:r>
            <w:r>
              <w:rPr>
                <w:rFonts w:hint="eastAsia"/>
                <w:color w:val="auto"/>
                <w:sz w:val="24"/>
                <w:highlight w:val="none"/>
                <w:lang w:val="en-US" w:eastAsia="zh-CN"/>
              </w:rPr>
              <w:t>（市生态委办发[2024]16号）</w:t>
            </w:r>
            <w:r>
              <w:rPr>
                <w:color w:val="auto"/>
                <w:sz w:val="24"/>
                <w:highlight w:val="none"/>
              </w:rPr>
              <w:t>，通过在陕西省“三线一单”数据应用系统（V1.0）中查询本项目，</w:t>
            </w:r>
            <w:r>
              <w:rPr>
                <w:rFonts w:hint="eastAsia" w:cs="Times New Roman"/>
                <w:color w:val="auto"/>
                <w:szCs w:val="32"/>
                <w:highlight w:val="none"/>
                <w:lang w:val="en-US" w:eastAsia="zh-CN"/>
              </w:rPr>
              <w:t>项目</w:t>
            </w:r>
            <w:r>
              <w:rPr>
                <w:rFonts w:hint="eastAsia" w:cs="Times New Roman"/>
                <w:color w:val="auto"/>
                <w:szCs w:val="32"/>
                <w:highlight w:val="none"/>
                <w:lang w:val="zh-CN" w:eastAsia="zh-CN"/>
              </w:rPr>
              <w:t>位于西安市重点管控单元，</w:t>
            </w:r>
            <w:r>
              <w:rPr>
                <w:color w:val="auto"/>
                <w:sz w:val="24"/>
                <w:szCs w:val="32"/>
                <w:highlight w:val="none"/>
                <w:lang w:val="zh-CN"/>
              </w:rPr>
              <w:t>不涉及优先保护单元</w:t>
            </w:r>
            <w:r>
              <w:rPr>
                <w:rFonts w:hint="eastAsia"/>
                <w:color w:val="auto"/>
                <w:sz w:val="24"/>
                <w:szCs w:val="32"/>
                <w:highlight w:val="none"/>
                <w:lang w:val="zh-CN"/>
              </w:rPr>
              <w:t>。</w:t>
            </w:r>
            <w:r>
              <w:rPr>
                <w:rFonts w:hint="eastAsia" w:ascii="Times New Roman" w:hAnsi="Times New Roman" w:eastAsia="宋体" w:cs="Times New Roman"/>
                <w:color w:val="auto"/>
                <w:szCs w:val="24"/>
                <w:highlight w:val="none"/>
              </w:rPr>
              <w:t>本项目在西安市“三线一单”生态环境分区管控方案的位置见下图。</w:t>
            </w:r>
          </w:p>
          <w:p w14:paraId="38ED8185">
            <w:pPr>
              <w:adjustRightInd w:val="0"/>
              <w:snapToGrid w:val="0"/>
              <w:ind w:firstLine="480" w:firstLineChars="200"/>
              <w:jc w:val="left"/>
              <w:rPr>
                <w:rFonts w:hint="eastAsia" w:cs="Times New Roman"/>
                <w:color w:val="auto"/>
                <w:szCs w:val="32"/>
                <w:highlight w:val="none"/>
                <w:lang w:val="zh-CN" w:eastAsia="zh-CN"/>
              </w:rPr>
            </w:pPr>
          </w:p>
          <w:p w14:paraId="171A9F93">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Theme="majorEastAsia"/>
                <w:color w:val="auto"/>
                <w:highlight w:val="none"/>
                <w:lang w:eastAsia="zh-CN"/>
              </w:rPr>
            </w:pPr>
            <w:r>
              <w:rPr>
                <w:rFonts w:hint="eastAsia" w:eastAsiaTheme="majorEastAsia"/>
                <w:color w:val="auto"/>
                <w:highlight w:val="none"/>
                <w:lang w:eastAsia="zh-CN"/>
              </w:rPr>
              <w:drawing>
                <wp:inline distT="0" distB="0" distL="114300" distR="114300">
                  <wp:extent cx="3724910" cy="5268595"/>
                  <wp:effectExtent l="0" t="0" r="8890" b="8255"/>
                  <wp:docPr id="27" name="图片 27" descr="174494136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744941365279"/>
                          <pic:cNvPicPr>
                            <a:picLocks noChangeAspect="1"/>
                          </pic:cNvPicPr>
                        </pic:nvPicPr>
                        <pic:blipFill>
                          <a:blip r:embed="rId10"/>
                          <a:stretch>
                            <a:fillRect/>
                          </a:stretch>
                        </pic:blipFill>
                        <pic:spPr>
                          <a:xfrm>
                            <a:off x="0" y="0"/>
                            <a:ext cx="3724910" cy="5268595"/>
                          </a:xfrm>
                          <a:prstGeom prst="rect">
                            <a:avLst/>
                          </a:prstGeom>
                        </pic:spPr>
                      </pic:pic>
                    </a:graphicData>
                  </a:graphic>
                </wp:inline>
              </w:drawing>
            </w:r>
          </w:p>
          <w:p w14:paraId="00F25B7B">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color w:val="auto"/>
                <w:highlight w:val="none"/>
                <w:lang w:val="en-US" w:eastAsia="zh-CN"/>
              </w:rPr>
            </w:pPr>
            <w:r>
              <w:rPr>
                <w:rFonts w:hint="eastAsia" w:ascii="Times New Roman" w:hAnsi="Times New Roman" w:cs="Times New Roman" w:eastAsiaTheme="minorEastAsia"/>
                <w:b/>
                <w:bCs/>
                <w:color w:val="auto"/>
                <w:kern w:val="2"/>
                <w:sz w:val="21"/>
                <w:szCs w:val="21"/>
                <w:highlight w:val="none"/>
                <w:lang w:val="en-US" w:eastAsia="zh-CN" w:bidi="ar-SA"/>
              </w:rPr>
              <w:t>图1-1 本</w:t>
            </w:r>
            <w:r>
              <w:rPr>
                <w:rFonts w:hint="default" w:ascii="Times New Roman" w:hAnsi="Times New Roman" w:cs="Times New Roman" w:eastAsiaTheme="minorEastAsia"/>
                <w:b/>
                <w:bCs/>
                <w:color w:val="auto"/>
                <w:kern w:val="2"/>
                <w:sz w:val="21"/>
                <w:szCs w:val="21"/>
                <w:highlight w:val="none"/>
                <w:lang w:val="zh-CN" w:eastAsia="zh-CN" w:bidi="ar-SA"/>
              </w:rPr>
              <w:t>项目与西安市生态环境管控单元</w:t>
            </w:r>
            <w:r>
              <w:rPr>
                <w:rFonts w:hint="eastAsia" w:ascii="Times New Roman" w:hAnsi="Times New Roman" w:cs="Times New Roman" w:eastAsiaTheme="minorEastAsia"/>
                <w:b/>
                <w:bCs/>
                <w:color w:val="auto"/>
                <w:kern w:val="2"/>
                <w:sz w:val="21"/>
                <w:szCs w:val="21"/>
                <w:highlight w:val="none"/>
                <w:lang w:val="zh-CN" w:eastAsia="zh-CN" w:bidi="ar-SA"/>
              </w:rPr>
              <w:t>对照分析示意图</w:t>
            </w:r>
          </w:p>
        </w:tc>
      </w:tr>
    </w:tbl>
    <w:p w14:paraId="66D02212">
      <w:pPr>
        <w:jc w:val="center"/>
        <w:rPr>
          <w:rFonts w:cs="Times New Roman"/>
          <w:color w:val="auto"/>
          <w:highlight w:val="none"/>
        </w:rPr>
        <w:sectPr>
          <w:footerReference r:id="rId7" w:type="default"/>
          <w:footerReference r:id="rId8" w:type="even"/>
          <w:pgSz w:w="11906" w:h="16838"/>
          <w:pgMar w:top="1440" w:right="1080" w:bottom="1440" w:left="1080" w:header="851" w:footer="992" w:gutter="0"/>
          <w:pgBorders>
            <w:top w:val="none" w:sz="0" w:space="0"/>
            <w:left w:val="none" w:sz="0" w:space="0"/>
            <w:bottom w:val="none" w:sz="0" w:space="0"/>
            <w:right w:val="none" w:sz="0" w:space="0"/>
          </w:pgBorders>
          <w:pgNumType w:fmt="numberInDash"/>
          <w:cols w:space="0" w:num="1"/>
          <w:docGrid w:type="lines" w:linePitch="326" w:charSpace="0"/>
        </w:sectPr>
      </w:pPr>
    </w:p>
    <w:tbl>
      <w:tblPr>
        <w:tblStyle w:val="24"/>
        <w:tblW w:w="14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8"/>
        <w:gridCol w:w="12414"/>
      </w:tblGrid>
      <w:tr w14:paraId="4A170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41" w:hRule="atLeast"/>
          <w:jc w:val="center"/>
        </w:trPr>
        <w:tc>
          <w:tcPr>
            <w:tcW w:w="617"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59860BA0">
            <w:pPr>
              <w:pStyle w:val="3"/>
              <w:spacing w:line="240" w:lineRule="auto"/>
              <w:jc w:val="center"/>
              <w:rPr>
                <w:color w:val="auto"/>
                <w:highlight w:val="none"/>
              </w:rPr>
            </w:pPr>
            <w:r>
              <w:rPr>
                <w:rFonts w:cs="Times New Roman"/>
                <w:b w:val="0"/>
                <w:bCs w:val="0"/>
                <w:color w:val="auto"/>
                <w:highlight w:val="none"/>
              </w:rPr>
              <w:t>其他符合性分析</w:t>
            </w:r>
          </w:p>
        </w:tc>
        <w:tc>
          <w:tcPr>
            <w:tcW w:w="4382" w:type="pct"/>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3206E6C9">
            <w:pPr>
              <w:adjustRightInd w:val="0"/>
              <w:snapToGrid w:val="0"/>
              <w:ind w:firstLine="482" w:firstLineChars="200"/>
              <w:rPr>
                <w:rFonts w:hint="default"/>
                <w:color w:val="auto"/>
                <w:highlight w:val="none"/>
                <w:lang w:val="zh-CN" w:eastAsia="zh-CN"/>
              </w:rPr>
            </w:pPr>
            <w:r>
              <w:rPr>
                <w:rFonts w:hint="default"/>
                <w:b/>
                <w:bCs/>
                <w:color w:val="auto"/>
                <w:highlight w:val="none"/>
                <w:lang w:val="zh-CN" w:eastAsia="zh-CN"/>
              </w:rPr>
              <w:t>（</w:t>
            </w:r>
            <w:r>
              <w:rPr>
                <w:rFonts w:hint="default"/>
                <w:b/>
                <w:bCs/>
                <w:color w:val="auto"/>
                <w:highlight w:val="none"/>
                <w:lang w:val="en-US" w:eastAsia="zh-CN"/>
              </w:rPr>
              <w:t>2</w:t>
            </w:r>
            <w:r>
              <w:rPr>
                <w:rFonts w:hint="default"/>
                <w:b/>
                <w:bCs/>
                <w:color w:val="auto"/>
                <w:highlight w:val="none"/>
                <w:lang w:val="zh-CN" w:eastAsia="zh-CN"/>
              </w:rPr>
              <w:t>）“一表”：指的是项目或规划范围涉及的生态环境管控单元准入清单</w:t>
            </w:r>
          </w:p>
          <w:p w14:paraId="016585B1">
            <w:pPr>
              <w:adjustRightInd w:val="0"/>
              <w:snapToGrid w:val="0"/>
              <w:ind w:firstLine="480" w:firstLineChars="200"/>
              <w:rPr>
                <w:rFonts w:hint="default"/>
                <w:color w:val="auto"/>
                <w:highlight w:val="none"/>
                <w:lang w:val="en-US" w:eastAsia="zh-CN"/>
              </w:rPr>
            </w:pPr>
            <w:r>
              <w:rPr>
                <w:rFonts w:hint="eastAsia"/>
                <w:color w:val="auto"/>
                <w:highlight w:val="none"/>
                <w:lang w:val="en-US" w:eastAsia="zh-CN"/>
              </w:rPr>
              <w:t>本项目</w:t>
            </w:r>
            <w:r>
              <w:rPr>
                <w:rFonts w:hint="default"/>
                <w:color w:val="auto"/>
                <w:highlight w:val="none"/>
                <w:lang w:val="en-US" w:eastAsia="zh-CN"/>
              </w:rPr>
              <w:t>与西安市生态环境准入清单的符合性分析见</w:t>
            </w:r>
            <w:r>
              <w:rPr>
                <w:rFonts w:hint="eastAsia"/>
                <w:color w:val="auto"/>
                <w:highlight w:val="none"/>
                <w:lang w:val="en-US" w:eastAsia="zh-CN"/>
              </w:rPr>
              <w:t>表</w:t>
            </w:r>
            <w:r>
              <w:rPr>
                <w:rFonts w:hint="default"/>
                <w:color w:val="auto"/>
                <w:highlight w:val="none"/>
                <w:lang w:val="en-US" w:eastAsia="zh-CN"/>
              </w:rPr>
              <w:t>1-</w:t>
            </w:r>
            <w:r>
              <w:rPr>
                <w:rFonts w:hint="eastAsia"/>
                <w:color w:val="auto"/>
                <w:highlight w:val="none"/>
                <w:lang w:val="en-US" w:eastAsia="zh-CN"/>
              </w:rPr>
              <w:t>1</w:t>
            </w:r>
            <w:r>
              <w:rPr>
                <w:rFonts w:hint="default"/>
                <w:color w:val="auto"/>
                <w:highlight w:val="none"/>
                <w:lang w:val="en-US" w:eastAsia="zh-CN"/>
              </w:rPr>
              <w:t>。</w:t>
            </w:r>
          </w:p>
          <w:p w14:paraId="6EC5BC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zh-CN" w:eastAsia="zh-CN"/>
              </w:rPr>
              <w:t>表</w:t>
            </w:r>
            <w:r>
              <w:rPr>
                <w:rFonts w:hint="default" w:ascii="Times New Roman" w:hAnsi="Times New Roman" w:cs="Times New Roman"/>
                <w:b/>
                <w:bCs/>
                <w:color w:val="auto"/>
                <w:sz w:val="21"/>
                <w:szCs w:val="21"/>
                <w:highlight w:val="none"/>
                <w:lang w:val="en-US" w:eastAsia="zh-CN"/>
              </w:rPr>
              <w:t>1-</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本项目</w:t>
            </w:r>
            <w:r>
              <w:rPr>
                <w:rFonts w:hint="default" w:ascii="Times New Roman" w:hAnsi="Times New Roman" w:cs="Times New Roman"/>
                <w:b/>
                <w:bCs/>
                <w:color w:val="auto"/>
                <w:sz w:val="21"/>
                <w:szCs w:val="21"/>
                <w:highlight w:val="none"/>
                <w:lang w:val="en-US" w:eastAsia="zh-CN"/>
              </w:rPr>
              <w:t>与环境管控单元管控要求符合性分析</w:t>
            </w:r>
            <w:r>
              <w:rPr>
                <w:rFonts w:hint="eastAsia" w:cs="Times New Roman"/>
                <w:b/>
                <w:bCs/>
                <w:color w:val="auto"/>
                <w:sz w:val="21"/>
                <w:szCs w:val="21"/>
                <w:highlight w:val="none"/>
                <w:lang w:val="en-US" w:eastAsia="zh-CN"/>
              </w:rPr>
              <w:t>一览表</w:t>
            </w:r>
          </w:p>
          <w:tbl>
            <w:tblPr>
              <w:tblStyle w:val="24"/>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421"/>
              <w:gridCol w:w="706"/>
              <w:gridCol w:w="717"/>
              <w:gridCol w:w="700"/>
              <w:gridCol w:w="4917"/>
              <w:gridCol w:w="783"/>
              <w:gridCol w:w="2906"/>
              <w:gridCol w:w="737"/>
            </w:tblGrid>
            <w:tr w14:paraId="22AF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 w:type="pct"/>
                  <w:tcBorders>
                    <w:tl2br w:val="nil"/>
                    <w:tr2bl w:val="nil"/>
                  </w:tcBorders>
                  <w:noWrap w:val="0"/>
                  <w:vAlign w:val="center"/>
                </w:tcPr>
                <w:p w14:paraId="07877D92">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市</w:t>
                  </w:r>
                </w:p>
              </w:tc>
              <w:tc>
                <w:tcPr>
                  <w:tcW w:w="172" w:type="pct"/>
                  <w:tcBorders>
                    <w:tl2br w:val="nil"/>
                    <w:tr2bl w:val="nil"/>
                  </w:tcBorders>
                  <w:noWrap w:val="0"/>
                  <w:vAlign w:val="center"/>
                </w:tcPr>
                <w:p w14:paraId="19D51BE2">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区县</w:t>
                  </w:r>
                </w:p>
              </w:tc>
              <w:tc>
                <w:tcPr>
                  <w:tcW w:w="288" w:type="pct"/>
                  <w:tcBorders>
                    <w:tl2br w:val="nil"/>
                    <w:tr2bl w:val="nil"/>
                  </w:tcBorders>
                  <w:noWrap w:val="0"/>
                  <w:vAlign w:val="center"/>
                </w:tcPr>
                <w:p w14:paraId="7344A437">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b/>
                      <w:bCs/>
                      <w:color w:val="auto"/>
                      <w:sz w:val="21"/>
                      <w:szCs w:val="21"/>
                      <w:highlight w:val="none"/>
                      <w:lang w:eastAsia="zh-CN"/>
                    </w:rPr>
                    <w:t>环境管控单元名称</w:t>
                  </w:r>
                </w:p>
              </w:tc>
              <w:tc>
                <w:tcPr>
                  <w:tcW w:w="293" w:type="pct"/>
                  <w:tcBorders>
                    <w:tl2br w:val="nil"/>
                    <w:tr2bl w:val="nil"/>
                  </w:tcBorders>
                  <w:noWrap w:val="0"/>
                  <w:vAlign w:val="center"/>
                </w:tcPr>
                <w:p w14:paraId="40EF586B">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b/>
                      <w:bCs/>
                      <w:color w:val="auto"/>
                      <w:sz w:val="21"/>
                      <w:szCs w:val="21"/>
                      <w:highlight w:val="none"/>
                      <w:lang w:eastAsia="zh-CN"/>
                    </w:rPr>
                  </w:pPr>
                  <w:r>
                    <w:rPr>
                      <w:rFonts w:hint="eastAsia"/>
                      <w:b/>
                      <w:bCs/>
                      <w:color w:val="auto"/>
                      <w:sz w:val="21"/>
                      <w:szCs w:val="21"/>
                      <w:highlight w:val="none"/>
                      <w:lang w:eastAsia="zh-CN"/>
                    </w:rPr>
                    <w:t>单元要素属性</w:t>
                  </w:r>
                </w:p>
              </w:tc>
              <w:tc>
                <w:tcPr>
                  <w:tcW w:w="286" w:type="pct"/>
                  <w:tcBorders>
                    <w:tl2br w:val="nil"/>
                    <w:tr2bl w:val="nil"/>
                  </w:tcBorders>
                  <w:noWrap w:val="0"/>
                  <w:vAlign w:val="center"/>
                </w:tcPr>
                <w:p w14:paraId="3F123E67">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b/>
                      <w:bCs/>
                      <w:color w:val="auto"/>
                      <w:sz w:val="21"/>
                      <w:szCs w:val="21"/>
                      <w:highlight w:val="none"/>
                      <w:lang w:eastAsia="zh-CN"/>
                    </w:rPr>
                    <w:t>管控要求分类</w:t>
                  </w:r>
                </w:p>
              </w:tc>
              <w:tc>
                <w:tcPr>
                  <w:tcW w:w="2009" w:type="pct"/>
                  <w:tcBorders>
                    <w:tl2br w:val="nil"/>
                    <w:tr2bl w:val="nil"/>
                  </w:tcBorders>
                  <w:noWrap w:val="0"/>
                  <w:vAlign w:val="center"/>
                </w:tcPr>
                <w:p w14:paraId="5CEA674B">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b/>
                      <w:bCs/>
                      <w:color w:val="auto"/>
                      <w:sz w:val="21"/>
                      <w:szCs w:val="21"/>
                      <w:highlight w:val="none"/>
                      <w:lang w:eastAsia="zh-CN"/>
                    </w:rPr>
                    <w:t>管控要求</w:t>
                  </w:r>
                </w:p>
              </w:tc>
              <w:tc>
                <w:tcPr>
                  <w:tcW w:w="320" w:type="pct"/>
                  <w:tcBorders>
                    <w:tl2br w:val="nil"/>
                    <w:tr2bl w:val="nil"/>
                  </w:tcBorders>
                  <w:noWrap w:val="0"/>
                  <w:vAlign w:val="center"/>
                </w:tcPr>
                <w:p w14:paraId="09C9E49A">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b/>
                      <w:bCs/>
                      <w:color w:val="auto"/>
                      <w:sz w:val="21"/>
                      <w:szCs w:val="21"/>
                      <w:highlight w:val="none"/>
                      <w:lang w:eastAsia="zh-CN"/>
                    </w:rPr>
                  </w:pPr>
                  <w:r>
                    <w:rPr>
                      <w:rFonts w:hint="eastAsia"/>
                      <w:b/>
                      <w:bCs/>
                      <w:color w:val="auto"/>
                      <w:sz w:val="21"/>
                      <w:szCs w:val="21"/>
                      <w:highlight w:val="none"/>
                      <w:lang w:eastAsia="zh-CN"/>
                    </w:rPr>
                    <w:t>面积</w:t>
                  </w:r>
                </w:p>
              </w:tc>
              <w:tc>
                <w:tcPr>
                  <w:tcW w:w="1187" w:type="pct"/>
                  <w:tcBorders>
                    <w:tl2br w:val="nil"/>
                    <w:tr2bl w:val="nil"/>
                  </w:tcBorders>
                  <w:noWrap w:val="0"/>
                  <w:vAlign w:val="center"/>
                </w:tcPr>
                <w:p w14:paraId="446381DF">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b/>
                      <w:bCs/>
                      <w:color w:val="auto"/>
                      <w:sz w:val="21"/>
                      <w:szCs w:val="21"/>
                      <w:highlight w:val="none"/>
                      <w:lang w:eastAsia="zh-CN"/>
                    </w:rPr>
                  </w:pPr>
                  <w:r>
                    <w:rPr>
                      <w:rFonts w:hint="eastAsia"/>
                      <w:b/>
                      <w:bCs/>
                      <w:color w:val="auto"/>
                      <w:sz w:val="21"/>
                      <w:szCs w:val="21"/>
                      <w:highlight w:val="none"/>
                      <w:lang w:val="en-US" w:eastAsia="zh-CN"/>
                    </w:rPr>
                    <w:t>建设</w:t>
                  </w:r>
                  <w:r>
                    <w:rPr>
                      <w:rFonts w:hint="eastAsia"/>
                      <w:b/>
                      <w:bCs/>
                      <w:color w:val="auto"/>
                      <w:sz w:val="21"/>
                      <w:szCs w:val="21"/>
                      <w:highlight w:val="none"/>
                      <w:lang w:eastAsia="zh-CN"/>
                    </w:rPr>
                    <w:t>项目情况</w:t>
                  </w:r>
                </w:p>
              </w:tc>
              <w:tc>
                <w:tcPr>
                  <w:tcW w:w="301" w:type="pct"/>
                  <w:tcBorders>
                    <w:tl2br w:val="nil"/>
                    <w:tr2bl w:val="nil"/>
                  </w:tcBorders>
                  <w:noWrap w:val="0"/>
                  <w:vAlign w:val="center"/>
                </w:tcPr>
                <w:p w14:paraId="0C31FEA8">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eastAsia"/>
                      <w:b/>
                      <w:bCs/>
                      <w:color w:val="auto"/>
                      <w:sz w:val="21"/>
                      <w:szCs w:val="21"/>
                      <w:highlight w:val="none"/>
                      <w:lang w:eastAsia="zh-CN"/>
                    </w:rPr>
                  </w:pPr>
                  <w:r>
                    <w:rPr>
                      <w:rFonts w:hint="eastAsia"/>
                      <w:b/>
                      <w:bCs/>
                      <w:color w:val="auto"/>
                      <w:sz w:val="21"/>
                      <w:szCs w:val="21"/>
                      <w:highlight w:val="none"/>
                      <w:lang w:val="en-US" w:eastAsia="zh-CN"/>
                    </w:rPr>
                    <w:t>相符</w:t>
                  </w:r>
                  <w:r>
                    <w:rPr>
                      <w:rFonts w:hint="eastAsia"/>
                      <w:b/>
                      <w:bCs/>
                      <w:color w:val="auto"/>
                      <w:sz w:val="21"/>
                      <w:szCs w:val="21"/>
                      <w:highlight w:val="none"/>
                      <w:lang w:eastAsia="zh-CN"/>
                    </w:rPr>
                    <w:t>性</w:t>
                  </w:r>
                </w:p>
              </w:tc>
            </w:tr>
            <w:tr w14:paraId="7390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1" w:type="pct"/>
                  <w:vMerge w:val="restart"/>
                  <w:tcBorders>
                    <w:tl2br w:val="nil"/>
                    <w:tr2bl w:val="nil"/>
                  </w:tcBorders>
                  <w:noWrap w:val="0"/>
                  <w:vAlign w:val="center"/>
                </w:tcPr>
                <w:p w14:paraId="6AC1319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西安市</w:t>
                  </w:r>
                </w:p>
              </w:tc>
              <w:tc>
                <w:tcPr>
                  <w:tcW w:w="172" w:type="pct"/>
                  <w:vMerge w:val="restart"/>
                  <w:tcBorders>
                    <w:tl2br w:val="nil"/>
                    <w:tr2bl w:val="nil"/>
                  </w:tcBorders>
                  <w:noWrap w:val="0"/>
                  <w:vAlign w:val="center"/>
                </w:tcPr>
                <w:p w14:paraId="481190C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鄠邑区</w:t>
                  </w:r>
                </w:p>
              </w:tc>
              <w:tc>
                <w:tcPr>
                  <w:tcW w:w="288" w:type="pct"/>
                  <w:vMerge w:val="restart"/>
                  <w:tcBorders>
                    <w:tl2br w:val="nil"/>
                    <w:tr2bl w:val="nil"/>
                  </w:tcBorders>
                  <w:noWrap w:val="0"/>
                  <w:vAlign w:val="center"/>
                </w:tcPr>
                <w:p w14:paraId="19955494">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陕西</w:t>
                  </w:r>
                </w:p>
                <w:p w14:paraId="08280A03">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省西</w:t>
                  </w:r>
                </w:p>
                <w:p w14:paraId="19E2A31A">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安市</w:t>
                  </w:r>
                </w:p>
                <w:p w14:paraId="584F0E0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鄠邑</w:t>
                  </w:r>
                </w:p>
                <w:p w14:paraId="7F1BFBD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区重</w:t>
                  </w:r>
                </w:p>
                <w:p w14:paraId="4E9E2BF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点管</w:t>
                  </w:r>
                </w:p>
                <w:p w14:paraId="25341783">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控单</w:t>
                  </w:r>
                </w:p>
                <w:p w14:paraId="0D6BB79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元1</w:t>
                  </w:r>
                </w:p>
                <w:p w14:paraId="7C117FCB">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293" w:type="pct"/>
                  <w:vMerge w:val="restart"/>
                  <w:tcBorders>
                    <w:tl2br w:val="nil"/>
                    <w:tr2bl w:val="nil"/>
                  </w:tcBorders>
                  <w:noWrap w:val="0"/>
                  <w:vAlign w:val="center"/>
                </w:tcPr>
                <w:p w14:paraId="71DFF78D">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大气环境布局敏感重点管控区</w:t>
                  </w:r>
                </w:p>
              </w:tc>
              <w:tc>
                <w:tcPr>
                  <w:tcW w:w="286" w:type="pct"/>
                  <w:tcBorders>
                    <w:tl2br w:val="nil"/>
                    <w:tr2bl w:val="nil"/>
                  </w:tcBorders>
                  <w:noWrap w:val="0"/>
                  <w:vAlign w:val="center"/>
                </w:tcPr>
                <w:p w14:paraId="14D1192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空间布局约束</w:t>
                  </w:r>
                </w:p>
              </w:tc>
              <w:tc>
                <w:tcPr>
                  <w:tcW w:w="2009" w:type="pct"/>
                  <w:tcBorders>
                    <w:tl2br w:val="nil"/>
                    <w:tr2bl w:val="nil"/>
                  </w:tcBorders>
                  <w:noWrap w:val="0"/>
                  <w:vAlign w:val="center"/>
                </w:tcPr>
                <w:p w14:paraId="7F38BE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default" w:ascii="Times New Roman" w:hAnsi="Times New Roman" w:cs="Times New Roman"/>
                      <w:b w:val="0"/>
                      <w:bCs w:val="0"/>
                      <w:color w:val="auto"/>
                      <w:kern w:val="0"/>
                      <w:sz w:val="21"/>
                      <w:szCs w:val="21"/>
                      <w:highlight w:val="none"/>
                    </w:rPr>
                  </w:pPr>
                  <w:r>
                    <w:rPr>
                      <w:rFonts w:hint="eastAsia" w:cs="Times New Roman"/>
                      <w:b w:val="0"/>
                      <w:bCs w:val="0"/>
                      <w:color w:val="auto"/>
                      <w:kern w:val="0"/>
                      <w:sz w:val="21"/>
                      <w:szCs w:val="21"/>
                      <w:highlight w:val="none"/>
                      <w:lang w:val="en-US" w:eastAsia="zh-CN"/>
                    </w:rPr>
                    <w:t>1.</w:t>
                  </w:r>
                  <w:r>
                    <w:rPr>
                      <w:rFonts w:hint="default" w:ascii="Times New Roman" w:hAnsi="Times New Roman" w:cs="Times New Roman"/>
                      <w:b w:val="0"/>
                      <w:bCs w:val="0"/>
                      <w:color w:val="auto"/>
                      <w:kern w:val="0"/>
                      <w:sz w:val="21"/>
                      <w:szCs w:val="21"/>
                      <w:highlight w:val="none"/>
                      <w:lang w:val="en-US" w:eastAsia="zh-CN"/>
                    </w:rPr>
                    <w:t>严格控制新增《陕西省“两高”项目管理暂行目录》行业项目（民生等项目除外，后续对“两高”范围国家如有新规定的，从其规定）。</w:t>
                  </w:r>
                </w:p>
                <w:p w14:paraId="5BDA96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2.严禁新增钢铁、焦化、水泥熟料、平板玻璃、电解铝、氧化铝、煤化工产能。</w:t>
                  </w:r>
                </w:p>
                <w:p w14:paraId="703D74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lang w:val="en-US" w:eastAsia="zh-CN"/>
                    </w:rPr>
                    <w:t>3.推动重污染企业搬迁入园或依法关闭。</w:t>
                  </w:r>
                </w:p>
              </w:tc>
              <w:tc>
                <w:tcPr>
                  <w:tcW w:w="320" w:type="pct"/>
                  <w:vMerge w:val="restart"/>
                  <w:tcBorders>
                    <w:tl2br w:val="nil"/>
                    <w:tr2bl w:val="nil"/>
                  </w:tcBorders>
                  <w:noWrap w:val="0"/>
                  <w:vAlign w:val="center"/>
                </w:tcPr>
                <w:p w14:paraId="029EF75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64716m</w:t>
                  </w:r>
                  <w:r>
                    <w:rPr>
                      <w:rFonts w:hint="eastAsia" w:cs="Times New Roman"/>
                      <w:b w:val="0"/>
                      <w:bCs w:val="0"/>
                      <w:color w:val="auto"/>
                      <w:kern w:val="0"/>
                      <w:sz w:val="21"/>
                      <w:szCs w:val="21"/>
                      <w:highlight w:val="none"/>
                      <w:vertAlign w:val="superscript"/>
                      <w:lang w:val="en-US" w:eastAsia="zh-CN" w:bidi="ar"/>
                    </w:rPr>
                    <w:t>2</w:t>
                  </w:r>
                </w:p>
              </w:tc>
              <w:tc>
                <w:tcPr>
                  <w:tcW w:w="1187" w:type="pct"/>
                  <w:tcBorders>
                    <w:tl2br w:val="nil"/>
                    <w:tr2bl w:val="nil"/>
                  </w:tcBorders>
                  <w:noWrap w:val="0"/>
                  <w:vAlign w:val="center"/>
                </w:tcPr>
                <w:p w14:paraId="54E8034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本项目不属于“两高”项目。</w:t>
                  </w:r>
                </w:p>
                <w:p w14:paraId="471F5EF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本项目为水泥制品制造、建筑施工废弃物处置及综合利用行业，不属于上述严禁新增的项目。</w:t>
                  </w:r>
                </w:p>
                <w:p w14:paraId="3CDE577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本项目不属于</w:t>
                  </w:r>
                  <w:r>
                    <w:rPr>
                      <w:rFonts w:hint="default" w:ascii="Times New Roman" w:hAnsi="Times New Roman" w:cs="Times New Roman"/>
                      <w:b w:val="0"/>
                      <w:bCs w:val="0"/>
                      <w:color w:val="auto"/>
                      <w:kern w:val="0"/>
                      <w:sz w:val="21"/>
                      <w:szCs w:val="21"/>
                      <w:highlight w:val="none"/>
                      <w:lang w:val="en-US" w:eastAsia="zh-CN"/>
                    </w:rPr>
                    <w:t>重污染企业</w:t>
                  </w:r>
                  <w:r>
                    <w:rPr>
                      <w:rFonts w:hint="eastAsia"/>
                      <w:b w:val="0"/>
                      <w:bCs w:val="0"/>
                      <w:color w:val="auto"/>
                      <w:kern w:val="0"/>
                      <w:sz w:val="21"/>
                      <w:szCs w:val="21"/>
                      <w:highlight w:val="none"/>
                      <w:lang w:val="en-US" w:eastAsia="zh-CN"/>
                    </w:rPr>
                    <w:t>。</w:t>
                  </w:r>
                </w:p>
              </w:tc>
              <w:tc>
                <w:tcPr>
                  <w:tcW w:w="301" w:type="pct"/>
                  <w:tcBorders>
                    <w:tl2br w:val="nil"/>
                    <w:tr2bl w:val="nil"/>
                  </w:tcBorders>
                  <w:noWrap w:val="0"/>
                  <w:vAlign w:val="center"/>
                </w:tcPr>
                <w:p w14:paraId="707C55D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eastAsia="宋体" w:cs="Times New Roman"/>
                      <w:b w:val="0"/>
                      <w:bCs w:val="0"/>
                      <w:color w:val="auto"/>
                      <w:kern w:val="0"/>
                      <w:sz w:val="21"/>
                      <w:szCs w:val="21"/>
                      <w:highlight w:val="none"/>
                      <w:lang w:val="en-US" w:eastAsia="zh-CN" w:bidi="ar"/>
                    </w:rPr>
                  </w:pPr>
                  <w:r>
                    <w:rPr>
                      <w:rFonts w:hint="eastAsia" w:eastAsia="宋体" w:cs="Times New Roman"/>
                      <w:b w:val="0"/>
                      <w:bCs w:val="0"/>
                      <w:color w:val="auto"/>
                      <w:kern w:val="0"/>
                      <w:sz w:val="21"/>
                      <w:szCs w:val="21"/>
                      <w:highlight w:val="none"/>
                      <w:lang w:val="en-US" w:eastAsia="zh-CN" w:bidi="ar"/>
                    </w:rPr>
                    <w:t>符合</w:t>
                  </w:r>
                </w:p>
              </w:tc>
            </w:tr>
            <w:tr w14:paraId="27C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1" w:type="pct"/>
                  <w:vMerge w:val="continue"/>
                  <w:tcBorders>
                    <w:tl2br w:val="nil"/>
                    <w:tr2bl w:val="nil"/>
                  </w:tcBorders>
                  <w:noWrap w:val="0"/>
                  <w:vAlign w:val="center"/>
                </w:tcPr>
                <w:p w14:paraId="1EC1C1A0">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color w:val="auto"/>
                      <w:highlight w:val="none"/>
                    </w:rPr>
                  </w:pPr>
                </w:p>
              </w:tc>
              <w:tc>
                <w:tcPr>
                  <w:tcW w:w="172" w:type="pct"/>
                  <w:vMerge w:val="continue"/>
                  <w:tcBorders>
                    <w:tl2br w:val="nil"/>
                    <w:tr2bl w:val="nil"/>
                  </w:tcBorders>
                  <w:noWrap w:val="0"/>
                  <w:vAlign w:val="center"/>
                </w:tcPr>
                <w:p w14:paraId="19DE2043">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color w:val="auto"/>
                      <w:highlight w:val="none"/>
                    </w:rPr>
                  </w:pPr>
                </w:p>
              </w:tc>
              <w:tc>
                <w:tcPr>
                  <w:tcW w:w="288" w:type="pct"/>
                  <w:vMerge w:val="continue"/>
                  <w:tcBorders>
                    <w:tl2br w:val="nil"/>
                    <w:tr2bl w:val="nil"/>
                  </w:tcBorders>
                  <w:noWrap w:val="0"/>
                  <w:vAlign w:val="center"/>
                </w:tcPr>
                <w:p w14:paraId="20491F50">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color w:val="auto"/>
                      <w:highlight w:val="none"/>
                    </w:rPr>
                  </w:pPr>
                </w:p>
              </w:tc>
              <w:tc>
                <w:tcPr>
                  <w:tcW w:w="293" w:type="pct"/>
                  <w:vMerge w:val="continue"/>
                  <w:tcBorders>
                    <w:tl2br w:val="nil"/>
                    <w:tr2bl w:val="nil"/>
                  </w:tcBorders>
                  <w:noWrap w:val="0"/>
                  <w:vAlign w:val="center"/>
                </w:tcPr>
                <w:p w14:paraId="1B458F4C">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color w:val="auto"/>
                      <w:highlight w:val="none"/>
                    </w:rPr>
                  </w:pPr>
                </w:p>
              </w:tc>
              <w:tc>
                <w:tcPr>
                  <w:tcW w:w="286" w:type="pct"/>
                  <w:tcBorders>
                    <w:tl2br w:val="nil"/>
                    <w:tr2bl w:val="nil"/>
                  </w:tcBorders>
                  <w:noWrap w:val="0"/>
                  <w:vAlign w:val="center"/>
                </w:tcPr>
                <w:p w14:paraId="7EB82A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center"/>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污染物排放管控</w:t>
                  </w:r>
                </w:p>
              </w:tc>
              <w:tc>
                <w:tcPr>
                  <w:tcW w:w="2009" w:type="pct"/>
                  <w:tcBorders>
                    <w:tl2br w:val="nil"/>
                    <w:tr2bl w:val="nil"/>
                  </w:tcBorders>
                  <w:noWrap w:val="0"/>
                  <w:vAlign w:val="center"/>
                </w:tcPr>
                <w:p w14:paraId="18582B1F">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eastAsia"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rPr>
                    <w:t>1.鼓励将老旧车辆和非道路移动机械替换为清洁能源车辆。推进新能源或清洁能源汽车使用。</w:t>
                  </w:r>
                </w:p>
              </w:tc>
              <w:tc>
                <w:tcPr>
                  <w:tcW w:w="320" w:type="pct"/>
                  <w:vMerge w:val="continue"/>
                  <w:tcBorders>
                    <w:tl2br w:val="nil"/>
                    <w:tr2bl w:val="nil"/>
                  </w:tcBorders>
                  <w:noWrap w:val="0"/>
                  <w:vAlign w:val="center"/>
                </w:tcPr>
                <w:p w14:paraId="167FB0D4">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rFonts w:hint="eastAsia" w:cs="Times New Roman"/>
                      <w:b w:val="0"/>
                      <w:bCs w:val="0"/>
                      <w:color w:val="auto"/>
                      <w:kern w:val="2"/>
                      <w:sz w:val="21"/>
                      <w:szCs w:val="21"/>
                      <w:highlight w:val="none"/>
                      <w:lang w:val="en-US" w:eastAsia="zh-CN" w:bidi="ar-SA"/>
                    </w:rPr>
                  </w:pPr>
                </w:p>
              </w:tc>
              <w:tc>
                <w:tcPr>
                  <w:tcW w:w="1187" w:type="pct"/>
                  <w:tcBorders>
                    <w:tl2br w:val="nil"/>
                    <w:tr2bl w:val="nil"/>
                  </w:tcBorders>
                  <w:noWrap w:val="0"/>
                  <w:vAlign w:val="center"/>
                </w:tcPr>
                <w:p w14:paraId="6E8DCDC7">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环评要求，本项目厂内非道路移动机械采用国四及以上非道路移动机械，</w:t>
                  </w:r>
                  <w:r>
                    <w:rPr>
                      <w:rFonts w:hint="eastAsia"/>
                      <w:b w:val="0"/>
                      <w:bCs w:val="0"/>
                      <w:color w:val="auto"/>
                      <w:kern w:val="0"/>
                      <w:sz w:val="21"/>
                      <w:szCs w:val="21"/>
                      <w:highlight w:val="none"/>
                      <w:lang w:val="en-US" w:eastAsia="zh-CN"/>
                    </w:rPr>
                    <w:t>或使用新能源机械</w:t>
                  </w:r>
                  <w:r>
                    <w:rPr>
                      <w:rFonts w:hint="eastAsia" w:cs="Times New Roman"/>
                      <w:b w:val="0"/>
                      <w:bCs w:val="0"/>
                      <w:color w:val="auto"/>
                      <w:kern w:val="2"/>
                      <w:sz w:val="21"/>
                      <w:szCs w:val="21"/>
                      <w:highlight w:val="none"/>
                      <w:lang w:val="en-US" w:eastAsia="zh-CN" w:bidi="ar-SA"/>
                    </w:rPr>
                    <w:t>。</w:t>
                  </w:r>
                </w:p>
              </w:tc>
              <w:tc>
                <w:tcPr>
                  <w:tcW w:w="301" w:type="pct"/>
                  <w:tcBorders>
                    <w:tl2br w:val="nil"/>
                    <w:tr2bl w:val="nil"/>
                  </w:tcBorders>
                  <w:noWrap w:val="0"/>
                  <w:vAlign w:val="center"/>
                </w:tcPr>
                <w:p w14:paraId="59BB7D87">
                  <w:pPr>
                    <w:pStyle w:val="30"/>
                    <w:keepNext w:val="0"/>
                    <w:keepLines w:val="0"/>
                    <w:pageBreakBefore w:val="0"/>
                    <w:widowControl w:val="0"/>
                    <w:kinsoku/>
                    <w:wordWrap/>
                    <w:overflowPunct/>
                    <w:topLinePunct w:val="0"/>
                    <w:autoSpaceDE/>
                    <w:autoSpaceDN/>
                    <w:bidi w:val="0"/>
                    <w:adjustRightInd w:val="0"/>
                    <w:snapToGrid w:val="0"/>
                    <w:spacing w:before="0" w:after="0" w:line="240" w:lineRule="auto"/>
                    <w:ind w:right="0" w:rightChars="0"/>
                    <w:jc w:val="both"/>
                    <w:textAlignment w:val="auto"/>
                    <w:rPr>
                      <w:rFonts w:hint="eastAsia" w:cs="Times New Roman"/>
                      <w:b w:val="0"/>
                      <w:bCs w:val="0"/>
                      <w:color w:val="auto"/>
                      <w:kern w:val="2"/>
                      <w:sz w:val="21"/>
                      <w:szCs w:val="21"/>
                      <w:highlight w:val="none"/>
                      <w:lang w:val="en-US" w:eastAsia="zh-CN" w:bidi="ar-SA"/>
                    </w:rPr>
                  </w:pPr>
                  <w:r>
                    <w:rPr>
                      <w:rFonts w:hint="eastAsia" w:eastAsia="宋体" w:cs="Times New Roman"/>
                      <w:b w:val="0"/>
                      <w:bCs w:val="0"/>
                      <w:color w:val="auto"/>
                      <w:kern w:val="0"/>
                      <w:sz w:val="21"/>
                      <w:szCs w:val="21"/>
                      <w:highlight w:val="none"/>
                      <w:lang w:val="en-US" w:eastAsia="zh-CN" w:bidi="ar"/>
                    </w:rPr>
                    <w:t>符合</w:t>
                  </w:r>
                </w:p>
              </w:tc>
            </w:tr>
            <w:tr w14:paraId="3109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 w:type="pct"/>
                  <w:vMerge w:val="continue"/>
                  <w:tcBorders>
                    <w:tl2br w:val="nil"/>
                    <w:tr2bl w:val="nil"/>
                  </w:tcBorders>
                  <w:noWrap w:val="0"/>
                  <w:vAlign w:val="center"/>
                </w:tcPr>
                <w:p w14:paraId="15580F1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olor w:val="auto"/>
                      <w:sz w:val="21"/>
                      <w:szCs w:val="21"/>
                      <w:highlight w:val="none"/>
                      <w:lang w:val="en-US" w:eastAsia="zh-CN"/>
                    </w:rPr>
                  </w:pPr>
                </w:p>
              </w:tc>
              <w:tc>
                <w:tcPr>
                  <w:tcW w:w="172" w:type="pct"/>
                  <w:vMerge w:val="continue"/>
                  <w:tcBorders>
                    <w:tl2br w:val="nil"/>
                    <w:tr2bl w:val="nil"/>
                  </w:tcBorders>
                  <w:noWrap w:val="0"/>
                  <w:vAlign w:val="center"/>
                </w:tcPr>
                <w:p w14:paraId="11F90DE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olor w:val="auto"/>
                      <w:sz w:val="21"/>
                      <w:szCs w:val="21"/>
                      <w:highlight w:val="none"/>
                      <w:lang w:val="en-US" w:eastAsia="zh-CN"/>
                    </w:rPr>
                  </w:pPr>
                </w:p>
              </w:tc>
              <w:tc>
                <w:tcPr>
                  <w:tcW w:w="288" w:type="pct"/>
                  <w:vMerge w:val="continue"/>
                  <w:tcBorders>
                    <w:tl2br w:val="nil"/>
                    <w:tr2bl w:val="nil"/>
                  </w:tcBorders>
                  <w:noWrap w:val="0"/>
                  <w:vAlign w:val="center"/>
                </w:tcPr>
                <w:p w14:paraId="69DB181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p>
              </w:tc>
              <w:tc>
                <w:tcPr>
                  <w:tcW w:w="293" w:type="pct"/>
                  <w:tcBorders>
                    <w:tl2br w:val="nil"/>
                    <w:tr2bl w:val="nil"/>
                  </w:tcBorders>
                  <w:noWrap w:val="0"/>
                  <w:vAlign w:val="center"/>
                </w:tcPr>
                <w:p w14:paraId="1CA638B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水环境农业污 染重点管控区</w:t>
                  </w:r>
                </w:p>
              </w:tc>
              <w:tc>
                <w:tcPr>
                  <w:tcW w:w="286" w:type="pct"/>
                  <w:tcBorders>
                    <w:tl2br w:val="nil"/>
                    <w:tr2bl w:val="nil"/>
                  </w:tcBorders>
                  <w:noWrap w:val="0"/>
                  <w:vAlign w:val="center"/>
                </w:tcPr>
                <w:p w14:paraId="57E7702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污染物排放管控</w:t>
                  </w:r>
                </w:p>
              </w:tc>
              <w:tc>
                <w:tcPr>
                  <w:tcW w:w="2009" w:type="pct"/>
                  <w:tcBorders>
                    <w:tl2br w:val="nil"/>
                    <w:tr2bl w:val="nil"/>
                  </w:tcBorders>
                  <w:noWrap w:val="0"/>
                  <w:vAlign w:val="center"/>
                </w:tcPr>
                <w:p w14:paraId="0286D5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1.深入实施化肥农药减量行动，推动精准施肥、科学用药，加强农业投入品规范化管理，到</w:t>
                  </w:r>
                  <w:r>
                    <w:rPr>
                      <w:rFonts w:hint="default" w:ascii="Times New Roman" w:hAnsi="Times New Roman" w:eastAsia="宋体" w:cs="Times New Roman"/>
                      <w:b w:val="0"/>
                      <w:bCs w:val="0"/>
                      <w:color w:val="auto"/>
                      <w:kern w:val="0"/>
                      <w:sz w:val="21"/>
                      <w:szCs w:val="21"/>
                      <w:highlight w:val="none"/>
                      <w:lang w:val="en-US" w:eastAsia="zh-CN"/>
                    </w:rPr>
                    <w:t>2025</w:t>
                  </w:r>
                  <w:r>
                    <w:rPr>
                      <w:rFonts w:hint="eastAsia" w:ascii="Times New Roman" w:hAnsi="Times New Roman" w:eastAsia="宋体" w:cs="Times New Roman"/>
                      <w:b w:val="0"/>
                      <w:bCs w:val="0"/>
                      <w:color w:val="auto"/>
                      <w:kern w:val="0"/>
                      <w:sz w:val="21"/>
                      <w:szCs w:val="21"/>
                      <w:highlight w:val="none"/>
                      <w:lang w:val="en-US" w:eastAsia="zh-CN"/>
                    </w:rPr>
                    <w:t>年，化肥农药使用量实现零增长。</w:t>
                  </w:r>
                </w:p>
                <w:p w14:paraId="6E71F8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2.</w:t>
                  </w:r>
                  <w:r>
                    <w:rPr>
                      <w:rFonts w:hint="eastAsia" w:ascii="Times New Roman" w:hAnsi="Times New Roman" w:eastAsia="宋体" w:cs="Times New Roman"/>
                      <w:b w:val="0"/>
                      <w:bCs w:val="0"/>
                      <w:color w:val="auto"/>
                      <w:kern w:val="0"/>
                      <w:sz w:val="21"/>
                      <w:szCs w:val="21"/>
                      <w:highlight w:val="none"/>
                      <w:lang w:val="en-US" w:eastAsia="zh-CN"/>
                    </w:rPr>
                    <w:t>畜禽养殖场配套建设粪污处理设施，加强规模以下养殖户畜禽污染防治。在养殖大县散养密集区推广</w:t>
                  </w:r>
                  <w:r>
                    <w:rPr>
                      <w:rFonts w:hint="default" w:ascii="Times New Roman" w:hAnsi="Times New Roman" w:eastAsia="宋体" w:cs="Times New Roman"/>
                      <w:b w:val="0"/>
                      <w:bCs w:val="0"/>
                      <w:color w:val="auto"/>
                      <w:kern w:val="0"/>
                      <w:sz w:val="21"/>
                      <w:szCs w:val="21"/>
                      <w:highlight w:val="none"/>
                      <w:lang w:val="en-US" w:eastAsia="zh-CN"/>
                    </w:rPr>
                    <w:t>“</w:t>
                  </w:r>
                  <w:r>
                    <w:rPr>
                      <w:rFonts w:hint="eastAsia" w:ascii="Times New Roman" w:hAnsi="Times New Roman" w:eastAsia="宋体" w:cs="Times New Roman"/>
                      <w:b w:val="0"/>
                      <w:bCs w:val="0"/>
                      <w:color w:val="auto"/>
                      <w:kern w:val="0"/>
                      <w:sz w:val="21"/>
                      <w:szCs w:val="21"/>
                      <w:highlight w:val="none"/>
                      <w:lang w:val="en-US" w:eastAsia="zh-CN"/>
                    </w:rPr>
                    <w:t>截污建池、收运还田</w:t>
                  </w:r>
                  <w:r>
                    <w:rPr>
                      <w:rFonts w:hint="default" w:ascii="Times New Roman" w:hAnsi="Times New Roman" w:eastAsia="宋体" w:cs="Times New Roman"/>
                      <w:b w:val="0"/>
                      <w:bCs w:val="0"/>
                      <w:color w:val="auto"/>
                      <w:kern w:val="0"/>
                      <w:sz w:val="21"/>
                      <w:szCs w:val="21"/>
                      <w:highlight w:val="none"/>
                      <w:lang w:val="en-US" w:eastAsia="zh-CN"/>
                    </w:rPr>
                    <w:t>”</w:t>
                  </w:r>
                  <w:r>
                    <w:rPr>
                      <w:rFonts w:hint="eastAsia" w:ascii="Times New Roman" w:hAnsi="Times New Roman" w:eastAsia="宋体" w:cs="Times New Roman"/>
                      <w:b w:val="0"/>
                      <w:bCs w:val="0"/>
                      <w:color w:val="auto"/>
                      <w:kern w:val="0"/>
                      <w:sz w:val="21"/>
                      <w:szCs w:val="21"/>
                      <w:highlight w:val="none"/>
                      <w:lang w:val="en-US" w:eastAsia="zh-CN"/>
                    </w:rPr>
                    <w:t>等畜禽粪污治理模式，加快建设粪污集中处理中心，统筹建立农村有机废弃物收集转化利用网络体系和市场化运营机制。</w:t>
                  </w:r>
                </w:p>
                <w:p w14:paraId="5F6E511B">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eastAsia"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rPr>
                    <w:t>3.</w:t>
                  </w:r>
                  <w:r>
                    <w:rPr>
                      <w:rFonts w:hint="eastAsia" w:ascii="Times New Roman" w:hAnsi="Times New Roman" w:eastAsia="宋体" w:cs="Times New Roman"/>
                      <w:b w:val="0"/>
                      <w:bCs w:val="0"/>
                      <w:color w:val="auto"/>
                      <w:kern w:val="0"/>
                      <w:sz w:val="21"/>
                      <w:szCs w:val="21"/>
                      <w:highlight w:val="none"/>
                      <w:lang w:val="en-US" w:eastAsia="zh-CN"/>
                    </w:rPr>
                    <w:t>严格水产养殖投入品管理，严禁非法使用农药。推广大水面生态养殖等健康养殖方式，修复水域生态环境，加快水产养殖尾水治理。</w:t>
                  </w:r>
                  <w:r>
                    <w:rPr>
                      <w:rFonts w:hint="default" w:ascii="Times New Roman" w:hAnsi="Times New Roman" w:eastAsia="宋体" w:cs="Times New Roman"/>
                      <w:b w:val="0"/>
                      <w:bCs w:val="0"/>
                      <w:color w:val="auto"/>
                      <w:kern w:val="0"/>
                      <w:sz w:val="21"/>
                      <w:szCs w:val="21"/>
                      <w:highlight w:val="none"/>
                      <w:lang w:val="en-US" w:eastAsia="zh-CN"/>
                    </w:rPr>
                    <w:t>2025</w:t>
                  </w:r>
                  <w:r>
                    <w:rPr>
                      <w:rFonts w:hint="eastAsia" w:ascii="Times New Roman" w:hAnsi="Times New Roman" w:eastAsia="宋体" w:cs="Times New Roman"/>
                      <w:b w:val="0"/>
                      <w:bCs w:val="0"/>
                      <w:color w:val="auto"/>
                      <w:kern w:val="0"/>
                      <w:sz w:val="21"/>
                      <w:szCs w:val="21"/>
                      <w:highlight w:val="none"/>
                      <w:lang w:val="en-US" w:eastAsia="zh-CN"/>
                    </w:rPr>
                    <w:t>年，规模以上水产养殖尾水实现达标排放。</w:t>
                  </w:r>
                </w:p>
                <w:p w14:paraId="5E1A03E8">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rPr>
                      <w:rFonts w:hint="default" w:ascii="Times New Roman" w:hAnsi="Times New Roman"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rPr>
                    <w:t>4.</w:t>
                  </w:r>
                  <w:r>
                    <w:rPr>
                      <w:rFonts w:hint="eastAsia" w:ascii="Times New Roman" w:hAnsi="Times New Roman" w:eastAsia="宋体" w:cs="Times New Roman"/>
                      <w:b w:val="0"/>
                      <w:bCs w:val="0"/>
                      <w:color w:val="auto"/>
                      <w:kern w:val="0"/>
                      <w:sz w:val="21"/>
                      <w:szCs w:val="21"/>
                      <w:highlight w:val="none"/>
                      <w:lang w:val="en-US" w:eastAsia="zh-CN"/>
                    </w:rPr>
                    <w:t>提升农村生活污染治理水平。对于可形成径流，并进入自然水体的农村生活污水直排区域，按照分散与集中相结合的原则，优先开展农村生活污水资源化利用，因地制宜完善农村生活污水设施及管网建设。</w:t>
                  </w:r>
                </w:p>
              </w:tc>
              <w:tc>
                <w:tcPr>
                  <w:tcW w:w="320" w:type="pct"/>
                  <w:vMerge w:val="continue"/>
                  <w:tcBorders>
                    <w:tl2br w:val="nil"/>
                    <w:tr2bl w:val="nil"/>
                  </w:tcBorders>
                  <w:noWrap w:val="0"/>
                  <w:vAlign w:val="center"/>
                </w:tcPr>
                <w:p w14:paraId="6BB41A47">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val="0"/>
                      <w:bCs w:val="0"/>
                      <w:color w:val="auto"/>
                      <w:kern w:val="0"/>
                      <w:sz w:val="21"/>
                      <w:szCs w:val="21"/>
                      <w:highlight w:val="none"/>
                      <w:lang w:val="en-US" w:eastAsia="zh-CN" w:bidi="ar"/>
                    </w:rPr>
                  </w:pPr>
                </w:p>
              </w:tc>
              <w:tc>
                <w:tcPr>
                  <w:tcW w:w="1187" w:type="pct"/>
                  <w:tcBorders>
                    <w:tl2br w:val="nil"/>
                    <w:tr2bl w:val="nil"/>
                  </w:tcBorders>
                  <w:noWrap w:val="0"/>
                  <w:vAlign w:val="center"/>
                </w:tcPr>
                <w:p w14:paraId="7E87C7E7">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本项目生产运营期，主要废水为车辆冲洗废水，经过沉淀池沉淀后回用于车辆冲洗，不外排，其他生产用水全部损失或进入水稳产品；生活污水进入化粪池，定期清掏用作农肥，不外排。</w:t>
                  </w:r>
                </w:p>
              </w:tc>
              <w:tc>
                <w:tcPr>
                  <w:tcW w:w="301" w:type="pct"/>
                  <w:tcBorders>
                    <w:tl2br w:val="nil"/>
                    <w:tr2bl w:val="nil"/>
                  </w:tcBorders>
                  <w:noWrap w:val="0"/>
                  <w:vAlign w:val="center"/>
                </w:tcPr>
                <w:p w14:paraId="3D055A1D">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符合</w:t>
                  </w:r>
                </w:p>
              </w:tc>
            </w:tr>
          </w:tbl>
          <w:p w14:paraId="4759C663">
            <w:pPr>
              <w:adjustRightInd w:val="0"/>
              <w:snapToGrid w:val="0"/>
              <w:ind w:firstLine="482" w:firstLineChars="200"/>
              <w:rPr>
                <w:rFonts w:hint="eastAsia"/>
                <w:b/>
                <w:bCs/>
                <w:color w:val="auto"/>
                <w:highlight w:val="none"/>
                <w:lang w:val="zh-CN" w:eastAsia="zh-CN"/>
              </w:rPr>
            </w:pPr>
            <w:r>
              <w:rPr>
                <w:rFonts w:hint="eastAsia"/>
                <w:b/>
                <w:bCs/>
                <w:color w:val="auto"/>
                <w:highlight w:val="none"/>
                <w:lang w:val="zh-CN" w:eastAsia="zh-CN"/>
              </w:rPr>
              <w:t>（</w:t>
            </w:r>
            <w:r>
              <w:rPr>
                <w:rFonts w:hint="eastAsia"/>
                <w:b/>
                <w:bCs/>
                <w:color w:val="auto"/>
                <w:highlight w:val="none"/>
                <w:lang w:val="en-US" w:eastAsia="zh-CN"/>
              </w:rPr>
              <w:t>3</w:t>
            </w:r>
            <w:r>
              <w:rPr>
                <w:rFonts w:hint="eastAsia"/>
                <w:b/>
                <w:bCs/>
                <w:color w:val="auto"/>
                <w:highlight w:val="none"/>
                <w:lang w:val="zh-CN" w:eastAsia="zh-CN"/>
              </w:rPr>
              <w:t>）“一说明”</w:t>
            </w:r>
            <w:r>
              <w:rPr>
                <w:rFonts w:hint="eastAsia" w:ascii="Times New Roman" w:hAnsi="Times New Roman" w:eastAsia="宋体" w:cs="Times New Roman"/>
                <w:b/>
                <w:bCs/>
                <w:color w:val="auto"/>
                <w:sz w:val="24"/>
                <w:szCs w:val="32"/>
                <w:highlight w:val="none"/>
                <w:lang w:val="zh-CN" w:eastAsia="zh-CN"/>
              </w:rPr>
              <w:t>：指的是依据“一图”和“一表”结果，论证规划或建设项目符合性的说明</w:t>
            </w:r>
          </w:p>
          <w:p w14:paraId="479B1E21">
            <w:pPr>
              <w:adjustRightInd w:val="0"/>
              <w:snapToGrid w:val="0"/>
              <w:ind w:firstLine="480" w:firstLineChars="200"/>
              <w:rPr>
                <w:rFonts w:hint="eastAsia"/>
                <w:color w:val="auto"/>
                <w:highlight w:val="none"/>
                <w:lang w:val="en-US" w:eastAsia="zh-CN"/>
              </w:rPr>
            </w:pPr>
            <w:r>
              <w:rPr>
                <w:rFonts w:hint="eastAsia"/>
                <w:color w:val="auto"/>
                <w:highlight w:val="none"/>
                <w:lang w:val="en-US" w:eastAsia="zh-CN"/>
              </w:rPr>
              <w:t>根据一图一表分析可知，</w:t>
            </w:r>
            <w:r>
              <w:rPr>
                <w:rFonts w:hint="eastAsia"/>
                <w:color w:val="auto"/>
                <w:highlight w:val="none"/>
              </w:rPr>
              <w:t>本项目位于</w:t>
            </w:r>
            <w:r>
              <w:rPr>
                <w:rFonts w:hint="eastAsia"/>
                <w:color w:val="auto"/>
                <w:highlight w:val="none"/>
                <w:lang w:eastAsia="zh-CN"/>
              </w:rPr>
              <w:t>陕西省西安市鄠邑区玉蝉街道天桥片区</w:t>
            </w:r>
            <w:r>
              <w:rPr>
                <w:rFonts w:hint="eastAsia"/>
                <w:color w:val="auto"/>
                <w:highlight w:val="none"/>
              </w:rPr>
              <w:t>，</w:t>
            </w:r>
            <w:r>
              <w:rPr>
                <w:rFonts w:hint="eastAsia"/>
                <w:color w:val="auto"/>
                <w:highlight w:val="none"/>
                <w:lang w:val="en-US" w:eastAsia="zh-CN"/>
              </w:rPr>
              <w:t>属于重点管控单元，本项目的建设满足管控单元在空间布局约束、污染物排放管控等管控维度的要求。</w:t>
            </w:r>
          </w:p>
          <w:p w14:paraId="012967B0">
            <w:pPr>
              <w:adjustRightInd w:val="0"/>
              <w:snapToGrid w:val="0"/>
              <w:ind w:firstLine="480" w:firstLineChars="200"/>
              <w:rPr>
                <w:color w:val="auto"/>
                <w:highlight w:val="none"/>
              </w:rPr>
            </w:pPr>
            <w:r>
              <w:rPr>
                <w:rFonts w:hint="eastAsia"/>
                <w:color w:val="auto"/>
                <w:highlight w:val="none"/>
                <w:lang w:val="en-US" w:eastAsia="zh-CN"/>
              </w:rPr>
              <w:t>综上所述，项目建设符合“三线一单”相关要求。</w:t>
            </w:r>
          </w:p>
        </w:tc>
      </w:tr>
    </w:tbl>
    <w:p w14:paraId="2D692115">
      <w:pPr>
        <w:jc w:val="center"/>
        <w:rPr>
          <w:rFonts w:cs="Times New Roman"/>
          <w:color w:val="auto"/>
          <w:highlight w:val="none"/>
        </w:rPr>
        <w:sectPr>
          <w:pgSz w:w="16838" w:h="11906" w:orient="landscape"/>
          <w:pgMar w:top="1083" w:right="1440" w:bottom="1083" w:left="1440" w:header="851" w:footer="992" w:gutter="0"/>
          <w:pgBorders>
            <w:top w:val="none" w:sz="0" w:space="0"/>
            <w:left w:val="none" w:sz="0" w:space="0"/>
            <w:bottom w:val="none" w:sz="0" w:space="0"/>
            <w:right w:val="none" w:sz="0" w:space="0"/>
          </w:pgBorders>
          <w:pgNumType w:fmt="numberInDash"/>
          <w:cols w:space="0" w:num="1"/>
          <w:rtlGutter w:val="0"/>
          <w:docGrid w:type="lines" w:linePitch="335" w:charSpace="0"/>
        </w:sectPr>
      </w:pPr>
    </w:p>
    <w:tbl>
      <w:tblPr>
        <w:tblStyle w:val="24"/>
        <w:tblW w:w="97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13"/>
        <w:gridCol w:w="7983"/>
      </w:tblGrid>
      <w:tr w14:paraId="6F5E2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41" w:hRule="atLeast"/>
          <w:jc w:val="center"/>
        </w:trPr>
        <w:tc>
          <w:tcPr>
            <w:tcW w:w="925" w:type="pct"/>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14:paraId="09C5A827">
            <w:pPr>
              <w:pStyle w:val="3"/>
              <w:spacing w:line="240" w:lineRule="auto"/>
              <w:jc w:val="center"/>
              <w:rPr>
                <w:color w:val="auto"/>
                <w:highlight w:val="none"/>
              </w:rPr>
            </w:pPr>
            <w:r>
              <w:rPr>
                <w:rFonts w:cs="Times New Roman"/>
                <w:b w:val="0"/>
                <w:bCs w:val="0"/>
                <w:color w:val="auto"/>
                <w:highlight w:val="none"/>
              </w:rPr>
              <w:t>其他符合性分析</w:t>
            </w:r>
          </w:p>
        </w:tc>
        <w:tc>
          <w:tcPr>
            <w:tcW w:w="4074" w:type="pct"/>
            <w:tcBorders>
              <w:top w:val="single" w:color="auto" w:sz="4" w:space="0"/>
              <w:left w:val="single" w:color="auto" w:sz="4" w:space="0"/>
              <w:bottom w:val="single" w:color="auto" w:sz="4" w:space="0"/>
              <w:right w:val="single" w:color="auto" w:sz="8" w:space="0"/>
            </w:tcBorders>
            <w:tcMar>
              <w:top w:w="16" w:type="dxa"/>
              <w:left w:w="16" w:type="dxa"/>
              <w:bottom w:w="0" w:type="dxa"/>
              <w:right w:w="16" w:type="dxa"/>
            </w:tcMar>
            <w:vAlign w:val="center"/>
          </w:tcPr>
          <w:p w14:paraId="117A1AFB">
            <w:pPr>
              <w:adjustRightInd/>
              <w:snapToGrid/>
              <w:ind w:firstLine="482" w:firstLineChars="200"/>
              <w:rPr>
                <w:rFonts w:hint="default" w:cs="Times New Roman"/>
                <w:b/>
                <w:bCs/>
                <w:color w:val="auto"/>
                <w:highlight w:val="none"/>
              </w:rPr>
            </w:pPr>
            <w:r>
              <w:rPr>
                <w:rFonts w:hint="eastAsia" w:cs="Times New Roman"/>
                <w:b/>
                <w:bCs/>
                <w:color w:val="auto"/>
                <w:highlight w:val="none"/>
                <w:lang w:val="en-US" w:eastAsia="zh-CN"/>
              </w:rPr>
              <w:t>4</w:t>
            </w:r>
            <w:r>
              <w:rPr>
                <w:rFonts w:hint="default" w:cs="Times New Roman"/>
                <w:b/>
                <w:bCs/>
                <w:color w:val="auto"/>
                <w:highlight w:val="none"/>
              </w:rPr>
              <w:t>、</w:t>
            </w:r>
            <w:r>
              <w:rPr>
                <w:rFonts w:hint="eastAsia" w:cs="Times New Roman"/>
                <w:b/>
                <w:bCs/>
                <w:color w:val="auto"/>
                <w:highlight w:val="none"/>
                <w:lang w:val="en-US" w:eastAsia="zh-CN"/>
              </w:rPr>
              <w:t>项目与</w:t>
            </w:r>
            <w:r>
              <w:rPr>
                <w:rFonts w:hint="default" w:cs="Times New Roman"/>
                <w:b/>
                <w:bCs/>
                <w:color w:val="auto"/>
                <w:highlight w:val="none"/>
              </w:rPr>
              <w:t>环境管理政策相符性分析</w:t>
            </w:r>
          </w:p>
          <w:p w14:paraId="752961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表1-</w:t>
            </w:r>
            <w:r>
              <w:rPr>
                <w:rFonts w:hint="eastAsia" w:eastAsia="宋体" w:cs="Times New Roman"/>
                <w:b/>
                <w:bCs/>
                <w:color w:val="auto"/>
                <w:kern w:val="2"/>
                <w:sz w:val="21"/>
                <w:szCs w:val="21"/>
                <w:highlight w:val="none"/>
                <w:lang w:val="en-US" w:eastAsia="zh-CN" w:bidi="ar-SA"/>
              </w:rPr>
              <w:t>2</w:t>
            </w:r>
            <w:r>
              <w:rPr>
                <w:rFonts w:hint="eastAsia" w:ascii="Times New Roman" w:hAnsi="Times New Roman" w:eastAsia="宋体" w:cs="Times New Roman"/>
                <w:b/>
                <w:bCs/>
                <w:color w:val="auto"/>
                <w:kern w:val="2"/>
                <w:sz w:val="21"/>
                <w:szCs w:val="21"/>
                <w:highlight w:val="none"/>
                <w:lang w:val="en-US" w:eastAsia="zh-CN" w:bidi="ar-SA"/>
              </w:rPr>
              <w:t xml:space="preserve"> </w:t>
            </w:r>
            <w:r>
              <w:rPr>
                <w:rFonts w:hint="default" w:ascii="Times New Roman" w:hAnsi="Times New Roman" w:eastAsia="宋体" w:cs="Times New Roman"/>
                <w:b/>
                <w:bCs/>
                <w:color w:val="auto"/>
                <w:kern w:val="2"/>
                <w:sz w:val="21"/>
                <w:szCs w:val="21"/>
                <w:highlight w:val="none"/>
                <w:lang w:val="en-US" w:eastAsia="zh-CN" w:bidi="ar-SA"/>
              </w:rPr>
              <w:t>本项目与环境管理政策相符性分析</w:t>
            </w:r>
            <w:r>
              <w:rPr>
                <w:rFonts w:hint="eastAsia" w:eastAsia="宋体" w:cs="Times New Roman"/>
                <w:b/>
                <w:bCs/>
                <w:color w:val="auto"/>
                <w:kern w:val="2"/>
                <w:sz w:val="21"/>
                <w:szCs w:val="21"/>
                <w:highlight w:val="none"/>
                <w:lang w:val="en-US" w:eastAsia="zh-CN" w:bidi="ar-SA"/>
              </w:rPr>
              <w:t>一览表</w:t>
            </w:r>
          </w:p>
          <w:tbl>
            <w:tblPr>
              <w:tblStyle w:val="24"/>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934"/>
              <w:gridCol w:w="2716"/>
              <w:gridCol w:w="892"/>
            </w:tblGrid>
            <w:tr w14:paraId="70F7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51" w:type="pct"/>
                  <w:tcBorders>
                    <w:bottom w:val="single" w:color="auto" w:sz="4" w:space="0"/>
                    <w:right w:val="single" w:color="auto" w:sz="4" w:space="0"/>
                  </w:tcBorders>
                  <w:vAlign w:val="center"/>
                </w:tcPr>
                <w:p w14:paraId="452629A4">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文件名称</w:t>
                  </w:r>
                </w:p>
              </w:tc>
              <w:tc>
                <w:tcPr>
                  <w:tcW w:w="1905" w:type="pct"/>
                  <w:tcBorders>
                    <w:left w:val="single" w:color="auto" w:sz="4" w:space="0"/>
                    <w:bottom w:val="single" w:color="auto" w:sz="4" w:space="0"/>
                    <w:right w:val="single" w:color="auto" w:sz="4" w:space="0"/>
                  </w:tcBorders>
                  <w:vAlign w:val="center"/>
                </w:tcPr>
                <w:p w14:paraId="4C7AED0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文件内容</w:t>
                  </w:r>
                </w:p>
              </w:tc>
              <w:tc>
                <w:tcPr>
                  <w:tcW w:w="1763" w:type="pct"/>
                  <w:tcBorders>
                    <w:left w:val="single" w:color="auto" w:sz="4" w:space="0"/>
                    <w:bottom w:val="single" w:color="auto" w:sz="4" w:space="0"/>
                    <w:right w:val="single" w:color="auto" w:sz="4" w:space="0"/>
                  </w:tcBorders>
                  <w:vAlign w:val="center"/>
                </w:tcPr>
                <w:p w14:paraId="1ED97274">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项目情况</w:t>
                  </w:r>
                </w:p>
              </w:tc>
              <w:tc>
                <w:tcPr>
                  <w:tcW w:w="579" w:type="pct"/>
                  <w:tcBorders>
                    <w:left w:val="single" w:color="auto" w:sz="4" w:space="0"/>
                    <w:bottom w:val="single" w:color="auto" w:sz="4" w:space="0"/>
                  </w:tcBorders>
                  <w:vAlign w:val="center"/>
                </w:tcPr>
                <w:p w14:paraId="73AFA93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符合性</w:t>
                  </w:r>
                </w:p>
              </w:tc>
            </w:tr>
            <w:tr w14:paraId="1B69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51" w:type="pct"/>
                  <w:vMerge w:val="restart"/>
                  <w:tcBorders>
                    <w:right w:val="single" w:color="auto" w:sz="4" w:space="0"/>
                  </w:tcBorders>
                  <w:vAlign w:val="center"/>
                </w:tcPr>
                <w:p w14:paraId="606D2016">
                  <w:pPr>
                    <w:pStyle w:val="30"/>
                    <w:rPr>
                      <w:rFonts w:hint="eastAsia" w:ascii="Times New Roman" w:hAnsi="Times New Roman" w:eastAsia="宋体" w:cs="Times New Roman"/>
                      <w:color w:val="auto"/>
                      <w:sz w:val="21"/>
                      <w:szCs w:val="21"/>
                      <w:highlight w:val="none"/>
                      <w:lang w:val="en-US" w:eastAsia="zh-CN"/>
                    </w:rPr>
                  </w:pPr>
                  <w:r>
                    <w:rPr>
                      <w:color w:val="auto"/>
                      <w:highlight w:val="none"/>
                    </w:rPr>
                    <w:t>《陕西省“十四五”生态环境保护规划》（陕政办发〔2021〕25号）</w:t>
                  </w:r>
                </w:p>
              </w:tc>
              <w:tc>
                <w:tcPr>
                  <w:tcW w:w="1905" w:type="pct"/>
                  <w:tcBorders>
                    <w:top w:val="single" w:color="auto" w:sz="4" w:space="0"/>
                    <w:left w:val="single" w:color="auto" w:sz="4" w:space="0"/>
                    <w:bottom w:val="single" w:color="auto" w:sz="4" w:space="0"/>
                    <w:right w:val="single" w:color="auto" w:sz="4" w:space="0"/>
                  </w:tcBorders>
                  <w:vAlign w:val="center"/>
                </w:tcPr>
                <w:p w14:paraId="6356E2C2">
                  <w:pPr>
                    <w:pStyle w:val="3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严格控制焦化、水泥、砖瓦、石灰、耐火材料、有色金属冶炼等行业物料储存、输送及生产工艺过程中无组织排放。</w:t>
                  </w:r>
                </w:p>
              </w:tc>
              <w:tc>
                <w:tcPr>
                  <w:tcW w:w="1763" w:type="pct"/>
                  <w:tcBorders>
                    <w:top w:val="single" w:color="auto" w:sz="4" w:space="0"/>
                    <w:left w:val="single" w:color="auto" w:sz="4" w:space="0"/>
                    <w:bottom w:val="single" w:color="auto" w:sz="4" w:space="0"/>
                    <w:right w:val="single" w:color="auto" w:sz="4" w:space="0"/>
                  </w:tcBorders>
                  <w:vAlign w:val="center"/>
                </w:tcPr>
                <w:p w14:paraId="24506BC3">
                  <w:pPr>
                    <w:pStyle w:val="30"/>
                    <w:jc w:val="both"/>
                    <w:rPr>
                      <w:rFonts w:hint="eastAsia" w:ascii="Times New Roman" w:hAnsi="Times New Roman" w:eastAsia="宋体" w:cs="Times New Roman"/>
                      <w:color w:val="auto"/>
                      <w:sz w:val="21"/>
                      <w:szCs w:val="21"/>
                      <w:highlight w:val="none"/>
                      <w:lang w:val="en-US" w:eastAsia="zh-CN"/>
                    </w:rPr>
                  </w:pPr>
                  <w:r>
                    <w:rPr>
                      <w:rFonts w:hint="eastAsia"/>
                      <w:color w:val="auto"/>
                      <w:highlight w:val="none"/>
                      <w:lang w:eastAsia="zh-CN"/>
                    </w:rPr>
                    <w:t>本</w:t>
                  </w:r>
                  <w:r>
                    <w:rPr>
                      <w:rFonts w:hint="eastAsia"/>
                      <w:color w:val="auto"/>
                      <w:highlight w:val="none"/>
                    </w:rPr>
                    <w:t>项目</w:t>
                  </w:r>
                  <w:r>
                    <w:rPr>
                      <w:rFonts w:hint="eastAsia"/>
                      <w:color w:val="auto"/>
                      <w:highlight w:val="none"/>
                      <w:lang w:val="en-US" w:eastAsia="zh-CN"/>
                    </w:rPr>
                    <w:t>建设1条机制骨料生产线、1条水稳拌合站生产线；项目的物料堆场</w:t>
                  </w:r>
                  <w:r>
                    <w:rPr>
                      <w:rFonts w:hint="eastAsia"/>
                      <w:color w:val="auto"/>
                      <w:highlight w:val="none"/>
                    </w:rPr>
                    <w:t>均在</w:t>
                  </w:r>
                  <w:r>
                    <w:rPr>
                      <w:rFonts w:hint="eastAsia"/>
                      <w:color w:val="auto"/>
                      <w:highlight w:val="none"/>
                      <w:lang w:eastAsia="zh-CN"/>
                    </w:rPr>
                    <w:t>封闭式</w:t>
                  </w:r>
                  <w:r>
                    <w:rPr>
                      <w:rFonts w:hint="eastAsia"/>
                      <w:color w:val="auto"/>
                      <w:highlight w:val="none"/>
                    </w:rPr>
                    <w:t>厂房内堆存</w:t>
                  </w:r>
                  <w:r>
                    <w:rPr>
                      <w:rFonts w:hint="eastAsia"/>
                      <w:color w:val="auto"/>
                      <w:highlight w:val="none"/>
                      <w:lang w:eastAsia="zh-CN"/>
                    </w:rPr>
                    <w:t>，</w:t>
                  </w:r>
                  <w:r>
                    <w:rPr>
                      <w:rFonts w:hint="eastAsia"/>
                      <w:color w:val="auto"/>
                      <w:highlight w:val="none"/>
                    </w:rPr>
                    <w:t>水泥储存于</w:t>
                  </w:r>
                  <w:r>
                    <w:rPr>
                      <w:rFonts w:hint="eastAsia"/>
                      <w:color w:val="auto"/>
                      <w:highlight w:val="none"/>
                      <w:lang w:val="en-US" w:eastAsia="zh-CN"/>
                    </w:rPr>
                    <w:t>密闭</w:t>
                  </w:r>
                  <w:r>
                    <w:rPr>
                      <w:rFonts w:hint="eastAsia"/>
                      <w:color w:val="auto"/>
                      <w:highlight w:val="none"/>
                    </w:rPr>
                    <w:t>筒仓内</w:t>
                  </w:r>
                  <w:r>
                    <w:rPr>
                      <w:rFonts w:hint="eastAsia"/>
                      <w:color w:val="auto"/>
                      <w:highlight w:val="none"/>
                      <w:lang w:eastAsia="zh-CN"/>
                    </w:rPr>
                    <w:t>；</w:t>
                  </w:r>
                  <w:r>
                    <w:rPr>
                      <w:rFonts w:hint="eastAsia"/>
                      <w:color w:val="auto"/>
                      <w:highlight w:val="none"/>
                      <w:lang w:val="en-US" w:eastAsia="zh-CN"/>
                    </w:rPr>
                    <w:t>生产作业均在封闭厂房</w:t>
                  </w:r>
                  <w:r>
                    <w:rPr>
                      <w:rFonts w:hint="eastAsia"/>
                      <w:color w:val="auto"/>
                      <w:highlight w:val="none"/>
                    </w:rPr>
                    <w:t>内进行</w:t>
                  </w:r>
                  <w:r>
                    <w:rPr>
                      <w:rFonts w:hint="eastAsia"/>
                      <w:color w:val="auto"/>
                      <w:highlight w:val="none"/>
                      <w:lang w:eastAsia="zh-CN"/>
                    </w:rPr>
                    <w:t>，</w:t>
                  </w:r>
                  <w:r>
                    <w:rPr>
                      <w:rFonts w:hint="eastAsia"/>
                      <w:color w:val="auto"/>
                      <w:highlight w:val="none"/>
                      <w:lang w:val="en-US" w:eastAsia="zh-CN"/>
                    </w:rPr>
                    <w:t>设</w:t>
                  </w:r>
                  <w:r>
                    <w:rPr>
                      <w:rFonts w:hint="eastAsia"/>
                      <w:color w:val="auto"/>
                      <w:highlight w:val="none"/>
                      <w:lang w:eastAsia="zh-CN"/>
                    </w:rPr>
                    <w:t>雾化喷淋、袋式除尘等除尘设施。</w:t>
                  </w:r>
                </w:p>
              </w:tc>
              <w:tc>
                <w:tcPr>
                  <w:tcW w:w="579" w:type="pct"/>
                  <w:tcBorders>
                    <w:top w:val="single" w:color="auto" w:sz="4" w:space="0"/>
                    <w:left w:val="single" w:color="auto" w:sz="4" w:space="0"/>
                    <w:bottom w:val="single" w:color="auto" w:sz="4" w:space="0"/>
                  </w:tcBorders>
                  <w:vAlign w:val="center"/>
                </w:tcPr>
                <w:p w14:paraId="1C03547E">
                  <w:pPr>
                    <w:pStyle w:val="30"/>
                    <w:rPr>
                      <w:rFonts w:hint="eastAsia" w:cs="Times New Roman"/>
                      <w:color w:val="auto"/>
                      <w:sz w:val="21"/>
                      <w:szCs w:val="21"/>
                      <w:highlight w:val="none"/>
                      <w:lang w:val="en-US" w:eastAsia="zh-CN"/>
                    </w:rPr>
                  </w:pPr>
                  <w:r>
                    <w:rPr>
                      <w:color w:val="auto"/>
                      <w:highlight w:val="none"/>
                    </w:rPr>
                    <w:t>符合</w:t>
                  </w:r>
                </w:p>
              </w:tc>
            </w:tr>
            <w:tr w14:paraId="42EF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51" w:type="pct"/>
                  <w:vMerge w:val="continue"/>
                  <w:tcBorders>
                    <w:right w:val="single" w:color="auto" w:sz="4" w:space="0"/>
                  </w:tcBorders>
                  <w:vAlign w:val="center"/>
                </w:tcPr>
                <w:p w14:paraId="56BBCCA9">
                  <w:pPr>
                    <w:pStyle w:val="30"/>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77DF97D1">
                  <w:pPr>
                    <w:pStyle w:val="30"/>
                    <w:jc w:val="both"/>
                    <w:rPr>
                      <w:rFonts w:hint="eastAsia" w:ascii="Times New Roman" w:hAnsi="Times New Roman" w:eastAsia="宋体" w:cs="Times New Roman"/>
                      <w:color w:val="auto"/>
                      <w:sz w:val="21"/>
                      <w:szCs w:val="21"/>
                      <w:highlight w:val="none"/>
                      <w:lang w:val="en-US" w:eastAsia="zh-CN"/>
                    </w:rPr>
                  </w:pPr>
                  <w:r>
                    <w:rPr>
                      <w:color w:val="auto"/>
                      <w:highlight w:val="none"/>
                    </w:rPr>
                    <w:t>加强扬尘精细化管控。大力推进低尘机械化湿式清扫作业，加大重要路段冲洗保洁力度，渣土车实施硬覆盖与全密闭运输，强化道路绿化用地扬尘治理。</w:t>
                  </w:r>
                </w:p>
              </w:tc>
              <w:tc>
                <w:tcPr>
                  <w:tcW w:w="1763" w:type="pct"/>
                  <w:tcBorders>
                    <w:top w:val="single" w:color="auto" w:sz="4" w:space="0"/>
                    <w:left w:val="single" w:color="auto" w:sz="4" w:space="0"/>
                    <w:bottom w:val="single" w:color="auto" w:sz="4" w:space="0"/>
                    <w:right w:val="single" w:color="auto" w:sz="4" w:space="0"/>
                  </w:tcBorders>
                  <w:vAlign w:val="center"/>
                </w:tcPr>
                <w:p w14:paraId="26435677">
                  <w:pPr>
                    <w:pStyle w:val="30"/>
                    <w:jc w:val="both"/>
                    <w:rPr>
                      <w:rFonts w:hint="eastAsia" w:ascii="Times New Roman" w:hAnsi="Times New Roman" w:eastAsia="宋体" w:cs="Times New Roman"/>
                      <w:color w:val="auto"/>
                      <w:sz w:val="21"/>
                      <w:szCs w:val="21"/>
                      <w:highlight w:val="none"/>
                      <w:lang w:val="en-US" w:eastAsia="zh-CN"/>
                    </w:rPr>
                  </w:pPr>
                  <w:r>
                    <w:rPr>
                      <w:color w:val="auto"/>
                      <w:highlight w:val="none"/>
                    </w:rPr>
                    <w:t>项目施工期进行洒水降尘，渣土车加盖篷布。</w:t>
                  </w:r>
                </w:p>
              </w:tc>
              <w:tc>
                <w:tcPr>
                  <w:tcW w:w="579" w:type="pct"/>
                  <w:tcBorders>
                    <w:top w:val="single" w:color="auto" w:sz="4" w:space="0"/>
                    <w:left w:val="single" w:color="auto" w:sz="4" w:space="0"/>
                    <w:bottom w:val="single" w:color="auto" w:sz="4" w:space="0"/>
                  </w:tcBorders>
                  <w:vAlign w:val="center"/>
                </w:tcPr>
                <w:p w14:paraId="6E40E3C3">
                  <w:pPr>
                    <w:pStyle w:val="30"/>
                    <w:rPr>
                      <w:rFonts w:hint="eastAsia" w:cs="Times New Roman"/>
                      <w:color w:val="auto"/>
                      <w:sz w:val="21"/>
                      <w:szCs w:val="21"/>
                      <w:highlight w:val="none"/>
                      <w:lang w:val="en-US" w:eastAsia="zh-CN"/>
                    </w:rPr>
                  </w:pPr>
                  <w:r>
                    <w:rPr>
                      <w:color w:val="auto"/>
                      <w:highlight w:val="none"/>
                    </w:rPr>
                    <w:t>符合</w:t>
                  </w:r>
                </w:p>
              </w:tc>
            </w:tr>
            <w:tr w14:paraId="0C79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51" w:type="pct"/>
                  <w:tcBorders>
                    <w:top w:val="single" w:color="auto" w:sz="4" w:space="0"/>
                    <w:right w:val="single" w:color="auto" w:sz="4" w:space="0"/>
                  </w:tcBorders>
                  <w:shd w:val="clear" w:color="auto" w:fill="auto"/>
                  <w:vAlign w:val="center"/>
                </w:tcPr>
                <w:p w14:paraId="6AA763C6">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ascii="Times New Roman" w:hAnsi="Times New Roman" w:eastAsiaTheme="minorEastAsia" w:cstheme="minorBidi"/>
                      <w:snapToGrid w:val="0"/>
                      <w:color w:val="auto"/>
                      <w:kern w:val="2"/>
                      <w:sz w:val="21"/>
                      <w:szCs w:val="21"/>
                      <w:highlight w:val="none"/>
                      <w:lang w:val="en-US" w:eastAsia="zh-CN" w:bidi="ar-SA"/>
                    </w:rPr>
                    <w:t>陕西省大气污染防治条例（2023年修订）</w:t>
                  </w: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2C67A66A">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堆存、装卸、运输煤炭、水泥、石灰、石膏、砂土、垃圾等易产生扬尘的作业，应当采取遮盖、封闭、喷淋、围挡等措施，防止抛洒、扬尘。</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30B1C28E">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color w:val="auto"/>
                      <w:highlight w:val="none"/>
                    </w:rPr>
                    <w:t>本项目</w:t>
                  </w:r>
                  <w:r>
                    <w:rPr>
                      <w:rFonts w:hint="eastAsia"/>
                      <w:color w:val="auto"/>
                      <w:highlight w:val="none"/>
                    </w:rPr>
                    <w:t>原料堆场封闭，设喷雾降尘设施。</w:t>
                  </w:r>
                </w:p>
              </w:tc>
              <w:tc>
                <w:tcPr>
                  <w:tcW w:w="579" w:type="pct"/>
                  <w:tcBorders>
                    <w:top w:val="single" w:color="auto" w:sz="4" w:space="0"/>
                    <w:left w:val="single" w:color="auto" w:sz="4" w:space="0"/>
                    <w:bottom w:val="single" w:color="auto" w:sz="4" w:space="0"/>
                  </w:tcBorders>
                  <w:shd w:val="clear" w:color="auto" w:fill="auto"/>
                  <w:vAlign w:val="center"/>
                </w:tcPr>
                <w:p w14:paraId="378C01D9">
                  <w:pPr>
                    <w:pStyle w:val="70"/>
                    <w:jc w:val="left"/>
                    <w:rPr>
                      <w:rFonts w:hint="eastAsia" w:ascii="Times New Roman" w:hAnsi="Times New Roman" w:eastAsiaTheme="minorEastAsia" w:cstheme="minorBidi"/>
                      <w:color w:val="auto"/>
                      <w:kern w:val="2"/>
                      <w:sz w:val="21"/>
                      <w:szCs w:val="21"/>
                      <w:highlight w:val="none"/>
                      <w:lang w:val="en-US" w:eastAsia="zh-CN" w:bidi="ar-SA"/>
                    </w:rPr>
                  </w:pPr>
                  <w:r>
                    <w:rPr>
                      <w:color w:val="auto"/>
                      <w:sz w:val="21"/>
                      <w:szCs w:val="21"/>
                      <w:highlight w:val="none"/>
                    </w:rPr>
                    <w:t>符合</w:t>
                  </w:r>
                </w:p>
              </w:tc>
            </w:tr>
            <w:tr w14:paraId="51D7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51" w:type="pct"/>
                  <w:vMerge w:val="restart"/>
                  <w:tcBorders>
                    <w:top w:val="single" w:color="auto" w:sz="4" w:space="0"/>
                    <w:right w:val="single" w:color="auto" w:sz="4" w:space="0"/>
                  </w:tcBorders>
                  <w:vAlign w:val="center"/>
                </w:tcPr>
                <w:p w14:paraId="78671DE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《西安市“十四五”生态环境保护规划》</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市政发〔2021〕21号</w:t>
                  </w:r>
                  <w:r>
                    <w:rPr>
                      <w:rFonts w:hint="eastAsia" w:cs="Times New Roman"/>
                      <w:color w:val="auto"/>
                      <w:sz w:val="21"/>
                      <w:szCs w:val="21"/>
                      <w:highlight w:val="none"/>
                      <w:lang w:val="en-US" w:eastAsia="zh-CN"/>
                    </w:rPr>
                    <w:t>）</w:t>
                  </w:r>
                </w:p>
              </w:tc>
              <w:tc>
                <w:tcPr>
                  <w:tcW w:w="1905" w:type="pct"/>
                  <w:tcBorders>
                    <w:top w:val="single" w:color="auto" w:sz="4" w:space="0"/>
                    <w:left w:val="single" w:color="auto" w:sz="4" w:space="0"/>
                    <w:bottom w:val="single" w:color="auto" w:sz="4" w:space="0"/>
                    <w:right w:val="single" w:color="auto" w:sz="4" w:space="0"/>
                  </w:tcBorders>
                  <w:vAlign w:val="center"/>
                </w:tcPr>
                <w:p w14:paraId="24BBAE1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落实“三线一单”要求，分区域制定并实施生态环境准入清单，提高产业准入门槛</w:t>
                  </w:r>
                  <w:r>
                    <w:rPr>
                      <w:rFonts w:hint="eastAsia" w:cs="Times New Roman"/>
                      <w:color w:val="auto"/>
                      <w:sz w:val="21"/>
                      <w:szCs w:val="21"/>
                      <w:highlight w:val="none"/>
                      <w:lang w:val="en-US"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772DBAB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本项目位于</w:t>
                  </w:r>
                  <w:r>
                    <w:rPr>
                      <w:rFonts w:hint="eastAsia" w:cs="Times New Roman"/>
                      <w:color w:val="auto"/>
                      <w:sz w:val="21"/>
                      <w:szCs w:val="21"/>
                      <w:highlight w:val="none"/>
                      <w:lang w:val="en-US" w:eastAsia="zh-CN"/>
                    </w:rPr>
                    <w:t>陕西省西安市鄠邑区玉蝉街道天桥片区</w:t>
                  </w:r>
                  <w:r>
                    <w:rPr>
                      <w:rFonts w:hint="eastAsia" w:ascii="Times New Roman" w:hAnsi="Times New Roman" w:eastAsia="宋体" w:cs="Times New Roman"/>
                      <w:color w:val="auto"/>
                      <w:sz w:val="21"/>
                      <w:szCs w:val="21"/>
                      <w:highlight w:val="none"/>
                      <w:lang w:val="en-US" w:eastAsia="zh-CN"/>
                    </w:rPr>
                    <w:t>，符合《西安市生态环境保护委员会办公室关于印发</w:t>
                  </w:r>
                  <w:r>
                    <w:rPr>
                      <w:rFonts w:hint="eastAsia" w:cs="Times New Roman"/>
                      <w:color w:val="auto"/>
                      <w:sz w:val="21"/>
                      <w:szCs w:val="21"/>
                      <w:highlight w:val="none"/>
                      <w:lang w:val="en-US" w:eastAsia="zh-CN"/>
                    </w:rPr>
                    <w:t>&lt;</w:t>
                  </w:r>
                  <w:r>
                    <w:rPr>
                      <w:rFonts w:hint="eastAsia" w:ascii="Times New Roman" w:hAnsi="Times New Roman" w:eastAsia="宋体" w:cs="Times New Roman"/>
                      <w:color w:val="auto"/>
                      <w:sz w:val="21"/>
                      <w:szCs w:val="21"/>
                      <w:highlight w:val="none"/>
                      <w:lang w:val="en-US" w:eastAsia="zh-CN"/>
                    </w:rPr>
                    <w:t>2023年西安市生态环境分区管控调整方案</w:t>
                  </w:r>
                  <w:r>
                    <w:rPr>
                      <w:rFonts w:hint="eastAsia" w:cs="Times New Roman"/>
                      <w:color w:val="auto"/>
                      <w:sz w:val="21"/>
                      <w:szCs w:val="21"/>
                      <w:highlight w:val="none"/>
                      <w:lang w:val="en-US" w:eastAsia="zh-CN"/>
                    </w:rPr>
                    <w:t>&gt;</w:t>
                  </w:r>
                  <w:r>
                    <w:rPr>
                      <w:rFonts w:hint="eastAsia" w:ascii="Times New Roman" w:hAnsi="Times New Roman" w:eastAsia="宋体" w:cs="Times New Roman"/>
                      <w:color w:val="auto"/>
                      <w:sz w:val="21"/>
                      <w:szCs w:val="21"/>
                      <w:highlight w:val="none"/>
                      <w:lang w:val="en-US" w:eastAsia="zh-CN"/>
                    </w:rPr>
                    <w:t>的通知》（市生态委办发[2024]16号）；项目在采取有效的环保措施后，污染物排放量小，对环境影响较小，符合重点管控单元要求</w:t>
                  </w:r>
                  <w:r>
                    <w:rPr>
                      <w:color w:val="auto"/>
                      <w:highlight w:val="none"/>
                    </w:rPr>
                    <w:t>。</w:t>
                  </w:r>
                </w:p>
              </w:tc>
              <w:tc>
                <w:tcPr>
                  <w:tcW w:w="579" w:type="pct"/>
                  <w:tcBorders>
                    <w:top w:val="single" w:color="auto" w:sz="4" w:space="0"/>
                    <w:left w:val="single" w:color="auto" w:sz="4" w:space="0"/>
                    <w:bottom w:val="single" w:color="auto" w:sz="4" w:space="0"/>
                  </w:tcBorders>
                  <w:vAlign w:val="center"/>
                </w:tcPr>
                <w:p w14:paraId="66E854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3A2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51" w:type="pct"/>
                  <w:vMerge w:val="continue"/>
                  <w:tcBorders>
                    <w:right w:val="single" w:color="auto" w:sz="4" w:space="0"/>
                  </w:tcBorders>
                  <w:vAlign w:val="center"/>
                </w:tcPr>
                <w:p w14:paraId="016A72B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11878AE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实施国家第六阶段机动车污染物排放标准和非道路移动柴油机械第四阶段排放标准，强化监督执法，实现非道路移动机械系统化管理。持续推进清洁柴油车（机）行动， 鼓励将老旧车辆和非道路移动机械替换为清洁能源车辆。</w:t>
                  </w:r>
                </w:p>
              </w:tc>
              <w:tc>
                <w:tcPr>
                  <w:tcW w:w="1763" w:type="pct"/>
                  <w:tcBorders>
                    <w:top w:val="single" w:color="auto" w:sz="4" w:space="0"/>
                    <w:left w:val="single" w:color="auto" w:sz="4" w:space="0"/>
                    <w:bottom w:val="single" w:color="auto" w:sz="4" w:space="0"/>
                    <w:right w:val="single" w:color="auto" w:sz="4" w:space="0"/>
                  </w:tcBorders>
                  <w:vAlign w:val="center"/>
                </w:tcPr>
                <w:p w14:paraId="59AA4279">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本项目原料和成品的运输分别由来料方与成品购买方负责；厂区内</w:t>
                  </w:r>
                  <w:r>
                    <w:rPr>
                      <w:rFonts w:hint="eastAsia" w:ascii="Times New Roman" w:hAnsi="Times New Roman" w:eastAsia="宋体" w:cs="Times New Roman"/>
                      <w:color w:val="auto"/>
                      <w:sz w:val="21"/>
                      <w:szCs w:val="21"/>
                      <w:highlight w:val="none"/>
                      <w:lang w:val="en-US" w:eastAsia="zh-CN"/>
                    </w:rPr>
                    <w:t>拟新增的</w:t>
                  </w:r>
                  <w:r>
                    <w:rPr>
                      <w:rFonts w:hint="eastAsia"/>
                      <w:b w:val="0"/>
                      <w:bCs w:val="0"/>
                      <w:color w:val="auto"/>
                      <w:kern w:val="0"/>
                      <w:sz w:val="21"/>
                      <w:szCs w:val="21"/>
                      <w:highlight w:val="none"/>
                      <w:lang w:val="en-US" w:eastAsia="zh-CN"/>
                    </w:rPr>
                    <w:t>非道路移动机械采用</w:t>
                  </w:r>
                  <w:r>
                    <w:rPr>
                      <w:rFonts w:hint="eastAsia" w:ascii="Times New Roman" w:hAnsi="Times New Roman" w:eastAsia="宋体" w:cs="Times New Roman"/>
                      <w:color w:val="auto"/>
                      <w:sz w:val="21"/>
                      <w:szCs w:val="21"/>
                      <w:highlight w:val="none"/>
                      <w:lang w:val="en-US" w:eastAsia="zh-CN"/>
                    </w:rPr>
                    <w:t>国四</w:t>
                  </w:r>
                  <w:r>
                    <w:rPr>
                      <w:rFonts w:hint="eastAsia" w:cs="Times New Roman"/>
                      <w:color w:val="auto"/>
                      <w:sz w:val="21"/>
                      <w:szCs w:val="21"/>
                      <w:highlight w:val="none"/>
                      <w:lang w:val="en-US" w:eastAsia="zh-CN"/>
                    </w:rPr>
                    <w:t>及以上非道路移动机械。</w:t>
                  </w:r>
                </w:p>
              </w:tc>
              <w:tc>
                <w:tcPr>
                  <w:tcW w:w="579" w:type="pct"/>
                  <w:tcBorders>
                    <w:top w:val="single" w:color="auto" w:sz="4" w:space="0"/>
                    <w:left w:val="single" w:color="auto" w:sz="4" w:space="0"/>
                    <w:bottom w:val="single" w:color="auto" w:sz="4" w:space="0"/>
                  </w:tcBorders>
                  <w:vAlign w:val="center"/>
                </w:tcPr>
                <w:p w14:paraId="5157D5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2BA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51" w:type="pct"/>
                  <w:vMerge w:val="continue"/>
                  <w:tcBorders>
                    <w:bottom w:val="single" w:color="auto" w:sz="4" w:space="0"/>
                    <w:right w:val="single" w:color="auto" w:sz="4" w:space="0"/>
                  </w:tcBorders>
                  <w:vAlign w:val="center"/>
                </w:tcPr>
                <w:p w14:paraId="5A3E4D4B">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5139BF5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支持资源综合利用重大示范工程和循环利用产业基地建设，推广先进适用技术装备，加快大宗工业固体废物综合利用产业规模化、高值化、集约化发展。建立健全固体废物信息化监管体系，严厉打击固体废物非法转移、倾倒、处置等违法犯罪行为，加大固体废物走私</w:t>
                  </w:r>
                  <w:r>
                    <w:rPr>
                      <w:rFonts w:hint="eastAsia" w:ascii="Times New Roman" w:hAnsi="Times New Roman" w:eastAsia="宋体" w:cs="Times New Roman"/>
                      <w:color w:val="auto"/>
                      <w:sz w:val="21"/>
                      <w:szCs w:val="21"/>
                      <w:highlight w:val="none"/>
                      <w:lang w:val="en-US" w:eastAsia="zh-CN"/>
                    </w:rPr>
                    <w:cr/>
                  </w:r>
                  <w:r>
                    <w:rPr>
                      <w:rFonts w:hint="eastAsia" w:ascii="Times New Roman" w:hAnsi="Times New Roman" w:eastAsia="宋体" w:cs="Times New Roman"/>
                      <w:color w:val="auto"/>
                      <w:sz w:val="21"/>
                      <w:szCs w:val="21"/>
                      <w:highlight w:val="none"/>
                      <w:lang w:val="en-US" w:eastAsia="zh-CN"/>
                    </w:rPr>
                    <w:t>击力度。到2025年</w:t>
                  </w:r>
                  <w:r>
                    <w:rPr>
                      <w:rFonts w:hint="eastAsia" w:ascii="Times New Roman" w:hAnsi="Times New Roman" w:eastAsia="宋体" w:cs="Times New Roman"/>
                      <w:color w:val="auto"/>
                      <w:sz w:val="21"/>
                      <w:szCs w:val="21"/>
                      <w:highlight w:val="none"/>
                      <w:lang w:val="en-US" w:eastAsia="zh-CN"/>
                    </w:rPr>
                    <w:cr/>
                  </w:r>
                  <w:r>
                    <w:rPr>
                      <w:rFonts w:hint="eastAsia" w:ascii="Times New Roman" w:hAnsi="Times New Roman" w:eastAsia="宋体" w:cs="Times New Roman"/>
                      <w:color w:val="auto"/>
                      <w:sz w:val="21"/>
                      <w:szCs w:val="21"/>
                      <w:highlight w:val="none"/>
                      <w:lang w:val="en-US" w:eastAsia="zh-CN"/>
                    </w:rPr>
                    <w:t>大宗固体废弃物综合利用水平不断提高，利用规模不断扩</w:t>
                  </w:r>
                  <w:r>
                    <w:rPr>
                      <w:rFonts w:hint="eastAsia" w:ascii="Times New Roman" w:hAnsi="Times New Roman" w:eastAsia="宋体" w:cs="Times New Roman"/>
                      <w:color w:val="auto"/>
                      <w:sz w:val="21"/>
                      <w:szCs w:val="21"/>
                      <w:highlight w:val="none"/>
                      <w:lang w:val="en-US" w:eastAsia="zh-CN"/>
                    </w:rPr>
                    <w:cr/>
                  </w:r>
                  <w:r>
                    <w:rPr>
                      <w:rFonts w:hint="eastAsia" w:ascii="Times New Roman" w:hAnsi="Times New Roman" w:eastAsia="宋体" w:cs="Times New Roman"/>
                      <w:color w:val="auto"/>
                      <w:sz w:val="21"/>
                      <w:szCs w:val="21"/>
                      <w:highlight w:val="none"/>
                      <w:lang w:val="en-US" w:eastAsia="zh-CN"/>
                    </w:rPr>
                    <w:t>，新增大宗固废综合利</w:t>
                  </w:r>
                  <w:r>
                    <w:rPr>
                      <w:rFonts w:hint="eastAsia" w:ascii="Times New Roman" w:hAnsi="Times New Roman" w:eastAsia="宋体" w:cs="Times New Roman"/>
                      <w:color w:val="auto"/>
                      <w:sz w:val="21"/>
                      <w:szCs w:val="21"/>
                      <w:highlight w:val="none"/>
                      <w:lang w:val="en-US" w:eastAsia="zh-CN"/>
                    </w:rPr>
                    <w:cr/>
                  </w:r>
                  <w:r>
                    <w:rPr>
                      <w:rFonts w:hint="eastAsia" w:ascii="Times New Roman" w:hAnsi="Times New Roman" w:eastAsia="宋体" w:cs="Times New Roman"/>
                      <w:color w:val="auto"/>
                      <w:sz w:val="21"/>
                      <w:szCs w:val="21"/>
                      <w:highlight w:val="none"/>
                      <w:lang w:val="en-US" w:eastAsia="zh-CN"/>
                    </w:rPr>
                    <w:t>率达到60%，存量大宗固废有序减少。</w:t>
                  </w:r>
                </w:p>
              </w:tc>
              <w:tc>
                <w:tcPr>
                  <w:tcW w:w="1763" w:type="pct"/>
                  <w:tcBorders>
                    <w:top w:val="single" w:color="auto" w:sz="4" w:space="0"/>
                    <w:left w:val="single" w:color="auto" w:sz="4" w:space="0"/>
                    <w:bottom w:val="single" w:color="auto" w:sz="4" w:space="0"/>
                    <w:right w:val="single" w:color="auto" w:sz="4" w:space="0"/>
                  </w:tcBorders>
                  <w:vAlign w:val="center"/>
                </w:tcPr>
                <w:p w14:paraId="548B90F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本项目建设1条机制骨料生产线、1条水稳材料生产线</w:t>
                  </w:r>
                  <w:r>
                    <w:rPr>
                      <w:rFonts w:hint="eastAsia"/>
                      <w:color w:val="auto"/>
                      <w:highlight w:val="none"/>
                      <w:lang w:val="en-US" w:eastAsia="zh-CN"/>
                    </w:rPr>
                    <w:t>，破碎生产线</w:t>
                  </w:r>
                  <w:r>
                    <w:rPr>
                      <w:rFonts w:hint="eastAsia" w:cs="Times New Roman"/>
                      <w:color w:val="auto"/>
                      <w:sz w:val="21"/>
                      <w:szCs w:val="21"/>
                      <w:highlight w:val="none"/>
                      <w:lang w:val="en-US" w:eastAsia="zh-CN"/>
                    </w:rPr>
                    <w:t>以建筑废弃物为原料生产再生骨料颗粒，供厂内水稳材料生产线使用，属于建筑废弃物综合利用项目。</w:t>
                  </w:r>
                </w:p>
              </w:tc>
              <w:tc>
                <w:tcPr>
                  <w:tcW w:w="579" w:type="pct"/>
                  <w:tcBorders>
                    <w:top w:val="single" w:color="auto" w:sz="4" w:space="0"/>
                    <w:left w:val="single" w:color="auto" w:sz="4" w:space="0"/>
                    <w:bottom w:val="single" w:color="auto" w:sz="4" w:space="0"/>
                  </w:tcBorders>
                  <w:vAlign w:val="center"/>
                </w:tcPr>
                <w:p w14:paraId="4D06BE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12C4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1" w:type="pct"/>
                  <w:vMerge w:val="restart"/>
                  <w:tcBorders>
                    <w:top w:val="single" w:color="auto" w:sz="4" w:space="0"/>
                    <w:right w:val="single" w:color="auto" w:sz="4" w:space="0"/>
                  </w:tcBorders>
                  <w:vAlign w:val="center"/>
                </w:tcPr>
                <w:p w14:paraId="4E78484A">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《西安市大气污染治理专项行动方案》（2023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2027年）</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市字〔2023〕32号</w:t>
                  </w:r>
                  <w:r>
                    <w:rPr>
                      <w:rFonts w:hint="eastAsia" w:cs="Times New Roman"/>
                      <w:color w:val="auto"/>
                      <w:sz w:val="21"/>
                      <w:szCs w:val="21"/>
                      <w:highlight w:val="none"/>
                      <w:lang w:val="en-US" w:eastAsia="zh-CN"/>
                    </w:rPr>
                    <w:t>）</w:t>
                  </w:r>
                </w:p>
              </w:tc>
              <w:tc>
                <w:tcPr>
                  <w:tcW w:w="1905" w:type="pct"/>
                  <w:tcBorders>
                    <w:top w:val="single" w:color="auto" w:sz="4" w:space="0"/>
                    <w:left w:val="single" w:color="auto" w:sz="4" w:space="0"/>
                    <w:bottom w:val="single" w:color="auto" w:sz="4" w:space="0"/>
                    <w:right w:val="single" w:color="auto" w:sz="4" w:space="0"/>
                  </w:tcBorders>
                  <w:vAlign w:val="center"/>
                </w:tcPr>
                <w:p w14:paraId="5BC186C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严格新改扩建涉气重点行业绩效评级限制条件。各区、开发区范围内新改扩建涉气重点行业企业应达到环保绩效A级、绩效引领性水平，周至县、蓝田县应达到环保绩效B级及以上水平。</w:t>
                  </w:r>
                </w:p>
              </w:tc>
              <w:tc>
                <w:tcPr>
                  <w:tcW w:w="1763" w:type="pct"/>
                  <w:tcBorders>
                    <w:top w:val="single" w:color="auto" w:sz="4" w:space="0"/>
                    <w:left w:val="single" w:color="auto" w:sz="4" w:space="0"/>
                    <w:bottom w:val="single" w:color="auto" w:sz="4" w:space="0"/>
                    <w:right w:val="single" w:color="auto" w:sz="4" w:space="0"/>
                  </w:tcBorders>
                  <w:vAlign w:val="center"/>
                </w:tcPr>
                <w:p w14:paraId="351928F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根据《重污染天气重点行业应急减排措施制定技术指南（2020年修订版）》，水泥制品行业</w:t>
                  </w:r>
                  <w:r>
                    <w:rPr>
                      <w:rFonts w:hint="eastAsia" w:cs="Times New Roman"/>
                      <w:color w:val="auto"/>
                      <w:sz w:val="21"/>
                      <w:szCs w:val="21"/>
                      <w:highlight w:val="none"/>
                      <w:lang w:val="en-US" w:eastAsia="zh-CN"/>
                    </w:rPr>
                    <w:t>生产指预拌混凝土和混凝土预制件的生产，</w:t>
                  </w:r>
                  <w:r>
                    <w:rPr>
                      <w:rFonts w:hint="eastAsia" w:ascii="Times New Roman" w:hAnsi="Times New Roman" w:eastAsia="宋体" w:cs="Times New Roman"/>
                      <w:color w:val="auto"/>
                      <w:sz w:val="21"/>
                      <w:szCs w:val="21"/>
                      <w:highlight w:val="none"/>
                      <w:lang w:val="en-US" w:eastAsia="zh-CN"/>
                    </w:rPr>
                    <w:t>本项目</w:t>
                  </w:r>
                  <w:r>
                    <w:rPr>
                      <w:rFonts w:hint="eastAsia"/>
                      <w:bCs/>
                      <w:color w:val="auto"/>
                      <w:sz w:val="21"/>
                      <w:szCs w:val="21"/>
                      <w:highlight w:val="none"/>
                      <w:lang w:val="en-US" w:eastAsia="zh-CN"/>
                    </w:rPr>
                    <w:t>不</w:t>
                  </w:r>
                  <w:r>
                    <w:rPr>
                      <w:rFonts w:hint="eastAsia"/>
                      <w:bCs/>
                      <w:color w:val="auto"/>
                      <w:sz w:val="21"/>
                      <w:szCs w:val="21"/>
                      <w:highlight w:val="none"/>
                    </w:rPr>
                    <w:t>属于重点行业</w:t>
                  </w:r>
                  <w:r>
                    <w:rPr>
                      <w:rFonts w:hint="eastAsia"/>
                      <w:color w:val="auto"/>
                      <w:sz w:val="21"/>
                      <w:szCs w:val="21"/>
                      <w:highlight w:val="none"/>
                    </w:rPr>
                    <w:t>。</w:t>
                  </w:r>
                </w:p>
              </w:tc>
              <w:tc>
                <w:tcPr>
                  <w:tcW w:w="579" w:type="pct"/>
                  <w:tcBorders>
                    <w:top w:val="single" w:color="auto" w:sz="4" w:space="0"/>
                    <w:left w:val="single" w:color="auto" w:sz="4" w:space="0"/>
                    <w:bottom w:val="single" w:color="auto" w:sz="4" w:space="0"/>
                  </w:tcBorders>
                  <w:vAlign w:val="center"/>
                </w:tcPr>
                <w:p w14:paraId="49EC1E4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14:paraId="7B54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1" w:type="pct"/>
                  <w:vMerge w:val="continue"/>
                  <w:tcBorders>
                    <w:right w:val="single" w:color="auto" w:sz="4" w:space="0"/>
                  </w:tcBorders>
                  <w:vAlign w:val="center"/>
                </w:tcPr>
                <w:p w14:paraId="6383036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56EA796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加强建筑垃圾清运作业项目和在建工地施工扬尘精细化管控。建立动态管理清单，全面落实“六个百分百”“七个到位”要求，强化洒水抑尘，增加作业车辆和机械冲洗次数，防止带泥行驶。加强扬尘管控日常督导检查，对发现的问题组织相关辖区进行整改。将扬尘管理工作不到位的不良信息纳入建筑市场信用管理体系，情节严重的实行信用惩戒。</w:t>
                  </w:r>
                </w:p>
              </w:tc>
              <w:tc>
                <w:tcPr>
                  <w:tcW w:w="1763" w:type="pct"/>
                  <w:tcBorders>
                    <w:top w:val="single" w:color="auto" w:sz="4" w:space="0"/>
                    <w:left w:val="single" w:color="auto" w:sz="4" w:space="0"/>
                    <w:bottom w:val="single" w:color="auto" w:sz="4" w:space="0"/>
                    <w:right w:val="single" w:color="auto" w:sz="4" w:space="0"/>
                  </w:tcBorders>
                  <w:vAlign w:val="center"/>
                </w:tcPr>
                <w:p w14:paraId="352254F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本项目施工期应全面落实“六个百分百”“七个到位”要求，强化洒水抑尘，作业车辆</w:t>
                  </w:r>
                  <w:r>
                    <w:rPr>
                      <w:rFonts w:hint="eastAsia" w:cs="Times New Roman"/>
                      <w:color w:val="auto"/>
                      <w:sz w:val="21"/>
                      <w:szCs w:val="21"/>
                      <w:highlight w:val="none"/>
                      <w:lang w:val="en-US" w:eastAsia="zh-CN"/>
                    </w:rPr>
                    <w:t>经冲洗后方可进厂、离场</w:t>
                  </w:r>
                  <w:r>
                    <w:rPr>
                      <w:rFonts w:hint="eastAsia" w:ascii="Times New Roman" w:hAnsi="Times New Roman" w:eastAsia="宋体" w:cs="Times New Roman"/>
                      <w:color w:val="auto"/>
                      <w:sz w:val="21"/>
                      <w:szCs w:val="21"/>
                      <w:highlight w:val="none"/>
                      <w:lang w:val="en-US" w:eastAsia="zh-CN"/>
                    </w:rPr>
                    <w:t>，防止带泥行驶。</w:t>
                  </w:r>
                </w:p>
              </w:tc>
              <w:tc>
                <w:tcPr>
                  <w:tcW w:w="579" w:type="pct"/>
                  <w:tcBorders>
                    <w:top w:val="single" w:color="auto" w:sz="4" w:space="0"/>
                    <w:left w:val="single" w:color="auto" w:sz="4" w:space="0"/>
                    <w:bottom w:val="single" w:color="auto" w:sz="4" w:space="0"/>
                  </w:tcBorders>
                  <w:vAlign w:val="center"/>
                </w:tcPr>
                <w:p w14:paraId="450E01D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1C59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1" w:type="pct"/>
                  <w:vMerge w:val="continue"/>
                  <w:tcBorders>
                    <w:right w:val="single" w:color="auto" w:sz="4" w:space="0"/>
                  </w:tcBorders>
                  <w:vAlign w:val="center"/>
                </w:tcPr>
                <w:p w14:paraId="2C3E36F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38E0EA61">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车辆优化工程强化非道路动机械排放控制区管控。到2025年不符合“双三标准”的机械禁止使用，具备条件的可更换国四及以上排放标准的发动机。</w:t>
                  </w:r>
                </w:p>
                <w:p w14:paraId="660D1E0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持续推进重点企业门禁系统建设。督促指导企业落实重污染天气重点行业绩效分级技术指南要求，日运输车辆</w:t>
                  </w:r>
                  <w:r>
                    <w:rPr>
                      <w:rFonts w:hint="eastAsia"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val="en-US" w:eastAsia="zh-CN"/>
                    </w:rPr>
                    <w:t>辆次及以上的企业全部安装门禁系统。2023年底前完成60家企业门禁系统安装，2025年底前全部完成相关企业门禁系统安装。</w:t>
                  </w:r>
                </w:p>
              </w:tc>
              <w:tc>
                <w:tcPr>
                  <w:tcW w:w="1763" w:type="pct"/>
                  <w:tcBorders>
                    <w:top w:val="single" w:color="auto" w:sz="4" w:space="0"/>
                    <w:left w:val="single" w:color="auto" w:sz="4" w:space="0"/>
                    <w:bottom w:val="single" w:color="auto" w:sz="4" w:space="0"/>
                    <w:right w:val="single" w:color="auto" w:sz="4" w:space="0"/>
                  </w:tcBorders>
                  <w:vAlign w:val="center"/>
                </w:tcPr>
                <w:p w14:paraId="05801BF7">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b w:val="0"/>
                      <w:bCs w:val="0"/>
                      <w:color w:val="auto"/>
                      <w:kern w:val="0"/>
                      <w:sz w:val="21"/>
                      <w:szCs w:val="21"/>
                      <w:highlight w:val="none"/>
                      <w:lang w:val="en-US" w:eastAsia="zh-CN"/>
                    </w:rPr>
                    <w:t>环评要求本项目厂内</w:t>
                  </w:r>
                  <w:r>
                    <w:rPr>
                      <w:rFonts w:hint="eastAsia" w:ascii="Times New Roman" w:hAnsi="Times New Roman" w:eastAsia="宋体" w:cs="Times New Roman"/>
                      <w:color w:val="auto"/>
                      <w:sz w:val="21"/>
                      <w:szCs w:val="21"/>
                      <w:highlight w:val="none"/>
                      <w:lang w:val="en-US" w:eastAsia="zh-CN"/>
                    </w:rPr>
                    <w:t>拟新增</w:t>
                  </w:r>
                  <w:r>
                    <w:rPr>
                      <w:rFonts w:hint="eastAsia"/>
                      <w:b w:val="0"/>
                      <w:bCs w:val="0"/>
                      <w:color w:val="auto"/>
                      <w:kern w:val="0"/>
                      <w:sz w:val="21"/>
                      <w:szCs w:val="21"/>
                      <w:highlight w:val="none"/>
                      <w:lang w:val="en-US" w:eastAsia="zh-CN"/>
                    </w:rPr>
                    <w:t>非道路移动机械须采用</w:t>
                  </w:r>
                  <w:r>
                    <w:rPr>
                      <w:rFonts w:hint="eastAsia" w:ascii="Times New Roman" w:hAnsi="Times New Roman" w:eastAsia="宋体" w:cs="Times New Roman"/>
                      <w:color w:val="auto"/>
                      <w:sz w:val="21"/>
                      <w:szCs w:val="21"/>
                      <w:highlight w:val="none"/>
                      <w:lang w:val="en-US" w:eastAsia="zh-CN"/>
                    </w:rPr>
                    <w:t>国四</w:t>
                  </w:r>
                  <w:r>
                    <w:rPr>
                      <w:rFonts w:hint="eastAsia" w:cs="Times New Roman"/>
                      <w:color w:val="auto"/>
                      <w:sz w:val="21"/>
                      <w:szCs w:val="21"/>
                      <w:highlight w:val="none"/>
                      <w:lang w:val="en-US" w:eastAsia="zh-CN"/>
                    </w:rPr>
                    <w:t>及以上</w:t>
                  </w:r>
                  <w:r>
                    <w:rPr>
                      <w:rFonts w:hint="eastAsia" w:ascii="Times New Roman" w:hAnsi="Times New Roman" w:eastAsia="宋体" w:cs="Times New Roman"/>
                      <w:color w:val="auto"/>
                      <w:sz w:val="21"/>
                      <w:szCs w:val="21"/>
                      <w:highlight w:val="none"/>
                      <w:lang w:val="en-US" w:eastAsia="zh-CN"/>
                    </w:rPr>
                    <w:t>非道路移动机械。</w:t>
                  </w:r>
                </w:p>
              </w:tc>
              <w:tc>
                <w:tcPr>
                  <w:tcW w:w="579" w:type="pct"/>
                  <w:tcBorders>
                    <w:top w:val="single" w:color="auto" w:sz="4" w:space="0"/>
                    <w:left w:val="single" w:color="auto" w:sz="4" w:space="0"/>
                    <w:bottom w:val="single" w:color="auto" w:sz="4" w:space="0"/>
                  </w:tcBorders>
                  <w:vAlign w:val="center"/>
                </w:tcPr>
                <w:p w14:paraId="27DD633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1F7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pct"/>
                  <w:vMerge w:val="restart"/>
                  <w:tcBorders>
                    <w:right w:val="single" w:color="auto" w:sz="4" w:space="0"/>
                  </w:tcBorders>
                  <w:shd w:val="clear" w:color="auto" w:fill="auto"/>
                  <w:vAlign w:val="center"/>
                </w:tcPr>
                <w:p w14:paraId="02A7120E">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《鄠邑区大气污染治理专项行动方案（2023-2027年）》</w:t>
                  </w:r>
                </w:p>
                <w:p w14:paraId="72C733B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7F4F8947">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严格新改扩建涉气重点行业绩效评级限制条件。全区范围内新改扩建涉气重点行业企业应达到环保绩效A级、绩效引领性水平。</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4FFCCD0C">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项目为</w:t>
                  </w:r>
                  <w:r>
                    <w:rPr>
                      <w:rFonts w:hint="eastAsia"/>
                      <w:color w:val="auto"/>
                      <w:highlight w:val="none"/>
                      <w:lang w:val="en-US" w:eastAsia="zh-CN"/>
                    </w:rPr>
                    <w:t>水稳材料拌合站</w:t>
                  </w:r>
                  <w:r>
                    <w:rPr>
                      <w:rFonts w:hint="eastAsia"/>
                      <w:color w:val="auto"/>
                      <w:highlight w:val="none"/>
                    </w:rPr>
                    <w:t>，</w:t>
                  </w:r>
                  <w:r>
                    <w:rPr>
                      <w:rFonts w:hint="eastAsia"/>
                      <w:color w:val="auto"/>
                      <w:highlight w:val="none"/>
                      <w:lang w:val="en-US" w:eastAsia="zh-CN"/>
                    </w:rPr>
                    <w:t>不</w:t>
                  </w:r>
                  <w:r>
                    <w:rPr>
                      <w:rFonts w:hint="eastAsia"/>
                      <w:color w:val="auto"/>
                      <w:highlight w:val="none"/>
                    </w:rPr>
                    <w:t>属于渉气重点行业</w:t>
                  </w:r>
                  <w:r>
                    <w:rPr>
                      <w:rFonts w:hint="eastAsia"/>
                      <w:color w:val="auto"/>
                      <w:highlight w:val="none"/>
                      <w:lang w:eastAsia="zh-CN"/>
                    </w:rPr>
                    <w:t>。</w:t>
                  </w:r>
                </w:p>
              </w:tc>
              <w:tc>
                <w:tcPr>
                  <w:tcW w:w="579" w:type="pct"/>
                  <w:tcBorders>
                    <w:top w:val="single" w:color="auto" w:sz="4" w:space="0"/>
                    <w:left w:val="single" w:color="auto" w:sz="4" w:space="0"/>
                    <w:bottom w:val="single" w:color="auto" w:sz="4" w:space="0"/>
                  </w:tcBorders>
                  <w:shd w:val="clear" w:color="auto" w:fill="auto"/>
                  <w:vAlign w:val="center"/>
                </w:tcPr>
                <w:p w14:paraId="6F3AB04C">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符合</w:t>
                  </w:r>
                </w:p>
              </w:tc>
            </w:tr>
            <w:tr w14:paraId="15A2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pct"/>
                  <w:vMerge w:val="continue"/>
                  <w:tcBorders>
                    <w:right w:val="single" w:color="auto" w:sz="4" w:space="0"/>
                  </w:tcBorders>
                  <w:vAlign w:val="center"/>
                </w:tcPr>
                <w:p w14:paraId="5238DE1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50E854DD">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加强物料堆场扬尘管控。针对铸造、铁合金、焦化、水泥、砖瓦、石灰、耐火材料、有色金属冶炼等行业，严格控制物料储存、输送及生产工艺过程无组织排放；对粉粒类物料堆放场以及大型煤炭和矿石物料堆场，基本完成抑尘设施建设和物料输送系统封闭改造。严禁露天装卸作业和物料干法作业。</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25FC9E24">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项目为</w:t>
                  </w:r>
                  <w:r>
                    <w:rPr>
                      <w:rFonts w:hint="eastAsia"/>
                      <w:color w:val="auto"/>
                      <w:highlight w:val="none"/>
                      <w:lang w:val="en-US" w:eastAsia="zh-CN"/>
                    </w:rPr>
                    <w:t>水稳材料拌合站</w:t>
                  </w:r>
                  <w:r>
                    <w:rPr>
                      <w:rFonts w:hint="eastAsia"/>
                      <w:color w:val="auto"/>
                      <w:highlight w:val="none"/>
                    </w:rPr>
                    <w:t>，原料堆场全封闭，设置喷雾降尘设施；运输廊道全封闭；搅拌楼全封闭，各类产尘点均采取了相应防治措施。</w:t>
                  </w:r>
                </w:p>
              </w:tc>
              <w:tc>
                <w:tcPr>
                  <w:tcW w:w="579" w:type="pct"/>
                  <w:tcBorders>
                    <w:top w:val="single" w:color="auto" w:sz="4" w:space="0"/>
                    <w:left w:val="single" w:color="auto" w:sz="4" w:space="0"/>
                    <w:bottom w:val="single" w:color="auto" w:sz="4" w:space="0"/>
                  </w:tcBorders>
                  <w:shd w:val="clear" w:color="auto" w:fill="auto"/>
                  <w:vAlign w:val="center"/>
                </w:tcPr>
                <w:p w14:paraId="5261687D">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符合</w:t>
                  </w:r>
                </w:p>
              </w:tc>
            </w:tr>
            <w:tr w14:paraId="3BD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pct"/>
                  <w:vMerge w:val="continue"/>
                  <w:tcBorders>
                    <w:right w:val="single" w:color="auto" w:sz="4" w:space="0"/>
                  </w:tcBorders>
                  <w:vAlign w:val="center"/>
                </w:tcPr>
                <w:p w14:paraId="44D04E30">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091238B6">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加强“两类企业”扬尘监管。严格落实“两类企业”抑尘措施，监督企业安装视频监控设备，并于生态环境监控平台联网。</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2E29B62D">
                  <w:pPr>
                    <w:pStyle w:val="69"/>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lang w:val="en-US" w:eastAsia="zh-CN"/>
                    </w:rPr>
                    <w:t>本</w:t>
                  </w:r>
                  <w:r>
                    <w:rPr>
                      <w:rFonts w:hint="eastAsia"/>
                      <w:color w:val="auto"/>
                      <w:highlight w:val="none"/>
                    </w:rPr>
                    <w:t>项目</w:t>
                  </w:r>
                  <w:r>
                    <w:rPr>
                      <w:rFonts w:hint="eastAsia"/>
                      <w:color w:val="auto"/>
                      <w:highlight w:val="none"/>
                      <w:lang w:val="en-US" w:eastAsia="zh-CN"/>
                    </w:rPr>
                    <w:t>为水稳材料拌合站</w:t>
                  </w:r>
                  <w:r>
                    <w:rPr>
                      <w:rFonts w:hint="eastAsia"/>
                      <w:color w:val="auto"/>
                      <w:highlight w:val="none"/>
                    </w:rPr>
                    <w:t>，</w:t>
                  </w:r>
                  <w:r>
                    <w:rPr>
                      <w:rFonts w:hint="eastAsia"/>
                      <w:color w:val="auto"/>
                      <w:highlight w:val="none"/>
                      <w:lang w:val="en-US" w:eastAsia="zh-CN"/>
                    </w:rPr>
                    <w:t>属于两类企业，</w:t>
                  </w:r>
                  <w:r>
                    <w:rPr>
                      <w:rFonts w:hint="eastAsia"/>
                      <w:color w:val="auto"/>
                      <w:highlight w:val="none"/>
                    </w:rPr>
                    <w:t>各个产尘点均采取了相应的抑尘措施，安装扬尘视频监测系统，并进行了联网。</w:t>
                  </w:r>
                </w:p>
              </w:tc>
              <w:tc>
                <w:tcPr>
                  <w:tcW w:w="579" w:type="pct"/>
                  <w:tcBorders>
                    <w:top w:val="single" w:color="auto" w:sz="4" w:space="0"/>
                    <w:left w:val="single" w:color="auto" w:sz="4" w:space="0"/>
                    <w:bottom w:val="single" w:color="auto" w:sz="4" w:space="0"/>
                  </w:tcBorders>
                  <w:shd w:val="clear" w:color="auto" w:fill="auto"/>
                  <w:vAlign w:val="center"/>
                </w:tcPr>
                <w:p w14:paraId="63CA24E2">
                  <w:pPr>
                    <w:pStyle w:val="67"/>
                    <w:ind w:firstLine="0" w:firstLineChars="0"/>
                    <w:jc w:val="left"/>
                    <w:rPr>
                      <w:rFonts w:hint="eastAsia" w:ascii="Times New Roman" w:hAnsi="Times New Roman" w:eastAsiaTheme="minorEastAsia" w:cstheme="minorBidi"/>
                      <w:snapToGrid w:val="0"/>
                      <w:color w:val="auto"/>
                      <w:kern w:val="2"/>
                      <w:sz w:val="21"/>
                      <w:szCs w:val="21"/>
                      <w:highlight w:val="none"/>
                      <w:lang w:val="en-US" w:eastAsia="zh-CN" w:bidi="ar-SA"/>
                    </w:rPr>
                  </w:pPr>
                  <w:r>
                    <w:rPr>
                      <w:rFonts w:hint="eastAsia"/>
                      <w:color w:val="auto"/>
                      <w:highlight w:val="none"/>
                    </w:rPr>
                    <w:t>符合</w:t>
                  </w:r>
                </w:p>
              </w:tc>
            </w:tr>
            <w:tr w14:paraId="181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pct"/>
                  <w:vMerge w:val="restart"/>
                  <w:tcBorders>
                    <w:right w:val="single" w:color="auto" w:sz="4" w:space="0"/>
                  </w:tcBorders>
                  <w:vAlign w:val="center"/>
                </w:tcPr>
                <w:p w14:paraId="76B0D64A">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西安市鄠邑区“十四五”生态环境保护规划</w:t>
                  </w:r>
                  <w:r>
                    <w:rPr>
                      <w:rFonts w:hint="eastAsia" w:cs="Times New Roman"/>
                      <w:color w:val="auto"/>
                      <w:sz w:val="21"/>
                      <w:szCs w:val="21"/>
                      <w:highlight w:val="none"/>
                      <w:lang w:val="en-US" w:eastAsia="zh-CN"/>
                    </w:rPr>
                    <w:t>》</w:t>
                  </w: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3F339C53">
                  <w:pPr>
                    <w:pStyle w:val="67"/>
                    <w:ind w:firstLine="0" w:firstLineChars="0"/>
                    <w:jc w:val="left"/>
                    <w:rPr>
                      <w:rFonts w:hint="eastAsia" w:eastAsiaTheme="minorEastAsia"/>
                      <w:color w:val="auto"/>
                      <w:highlight w:val="none"/>
                      <w:lang w:eastAsia="zh-CN"/>
                    </w:rPr>
                  </w:pPr>
                  <w:r>
                    <w:rPr>
                      <w:rFonts w:hint="eastAsia"/>
                      <w:color w:val="auto"/>
                      <w:highlight w:val="none"/>
                    </w:rPr>
                    <w:t>加强工地扬尘控制，推广使用自动冲洗、雾炮等扬尘防控新技术，全面禁止现场搅拌混凝土、砂浆，积极创建绿色工地，实施施工工地封闭管理，落实“七个100%长效机制”</w:t>
                  </w:r>
                  <w:r>
                    <w:rPr>
                      <w:rFonts w:hint="eastAsia"/>
                      <w:color w:val="auto"/>
                      <w:highlight w:val="none"/>
                      <w:lang w:eastAsia="zh-CN"/>
                    </w:rPr>
                    <w:t>。</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4F73A920">
                  <w:pPr>
                    <w:pStyle w:val="69"/>
                    <w:ind w:firstLine="0" w:firstLineChars="0"/>
                    <w:jc w:val="left"/>
                    <w:rPr>
                      <w:rFonts w:hint="default"/>
                      <w:color w:val="auto"/>
                      <w:highlight w:val="none"/>
                      <w:lang w:val="en-US" w:eastAsia="zh-CN"/>
                    </w:rPr>
                  </w:pPr>
                  <w:r>
                    <w:rPr>
                      <w:rFonts w:hint="eastAsia"/>
                      <w:color w:val="auto"/>
                      <w:highlight w:val="none"/>
                      <w:lang w:val="en-US" w:eastAsia="zh-CN"/>
                    </w:rPr>
                    <w:t>厂区配备雾炮、洒水车、洗车台。本项目利用现有封闭厂房，无土建施工。</w:t>
                  </w:r>
                </w:p>
              </w:tc>
              <w:tc>
                <w:tcPr>
                  <w:tcW w:w="579" w:type="pct"/>
                  <w:tcBorders>
                    <w:top w:val="single" w:color="auto" w:sz="4" w:space="0"/>
                    <w:left w:val="single" w:color="auto" w:sz="4" w:space="0"/>
                    <w:bottom w:val="single" w:color="auto" w:sz="4" w:space="0"/>
                  </w:tcBorders>
                  <w:shd w:val="clear" w:color="auto" w:fill="auto"/>
                  <w:vAlign w:val="center"/>
                </w:tcPr>
                <w:p w14:paraId="63A34C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14:paraId="764F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pct"/>
                  <w:vMerge w:val="continue"/>
                  <w:tcBorders>
                    <w:right w:val="single" w:color="auto" w:sz="4" w:space="0"/>
                  </w:tcBorders>
                  <w:vAlign w:val="center"/>
                </w:tcPr>
                <w:p w14:paraId="715AAAB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shd w:val="clear" w:color="auto" w:fill="auto"/>
                  <w:vAlign w:val="center"/>
                </w:tcPr>
                <w:p w14:paraId="2C0A9219">
                  <w:pPr>
                    <w:pStyle w:val="67"/>
                    <w:ind w:firstLine="0" w:firstLineChars="0"/>
                    <w:jc w:val="left"/>
                    <w:rPr>
                      <w:rFonts w:hint="eastAsia"/>
                      <w:color w:val="auto"/>
                      <w:highlight w:val="none"/>
                    </w:rPr>
                  </w:pPr>
                  <w:r>
                    <w:rPr>
                      <w:rFonts w:hint="eastAsia"/>
                      <w:color w:val="auto"/>
                      <w:highlight w:val="none"/>
                    </w:rPr>
                    <w:t>强化建设项目环境保护管理的规定，对可能产生环境噪声污染的新建、改建、扩建的建设项目，加强环境噪声污染的防止措施。加强绿化建设，提高绿化覆盖率。在工业区和居住区之间建立绿化隔离带。</w:t>
                  </w:r>
                </w:p>
              </w:tc>
              <w:tc>
                <w:tcPr>
                  <w:tcW w:w="1763" w:type="pct"/>
                  <w:tcBorders>
                    <w:top w:val="single" w:color="auto" w:sz="4" w:space="0"/>
                    <w:left w:val="single" w:color="auto" w:sz="4" w:space="0"/>
                    <w:bottom w:val="single" w:color="auto" w:sz="4" w:space="0"/>
                    <w:right w:val="single" w:color="auto" w:sz="4" w:space="0"/>
                  </w:tcBorders>
                  <w:shd w:val="clear" w:color="auto" w:fill="auto"/>
                  <w:vAlign w:val="center"/>
                </w:tcPr>
                <w:p w14:paraId="1594118C">
                  <w:pPr>
                    <w:pStyle w:val="69"/>
                    <w:ind w:firstLine="0" w:firstLineChars="0"/>
                    <w:jc w:val="left"/>
                    <w:rPr>
                      <w:rFonts w:hint="default"/>
                      <w:color w:val="auto"/>
                      <w:highlight w:val="none"/>
                      <w:lang w:val="en-US" w:eastAsia="zh-CN"/>
                    </w:rPr>
                  </w:pPr>
                  <w:r>
                    <w:rPr>
                      <w:rFonts w:hint="eastAsia"/>
                      <w:color w:val="auto"/>
                      <w:highlight w:val="none"/>
                      <w:lang w:val="en-US" w:eastAsia="zh-CN"/>
                    </w:rPr>
                    <w:t>本项目所有生产工序及设备均位于封闭厂房内，采取低噪声设备、基础减振、厂房隔声后噪声满足《工业企业厂界环境噪声排放标准》（GB12348-2008）2类要求</w:t>
                  </w:r>
                </w:p>
              </w:tc>
              <w:tc>
                <w:tcPr>
                  <w:tcW w:w="579" w:type="pct"/>
                  <w:tcBorders>
                    <w:top w:val="single" w:color="auto" w:sz="4" w:space="0"/>
                    <w:left w:val="single" w:color="auto" w:sz="4" w:space="0"/>
                    <w:bottom w:val="single" w:color="auto" w:sz="4" w:space="0"/>
                  </w:tcBorders>
                  <w:shd w:val="clear" w:color="auto" w:fill="auto"/>
                  <w:vAlign w:val="center"/>
                </w:tcPr>
                <w:p w14:paraId="1664CE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14:paraId="670F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51" w:type="pct"/>
                  <w:vMerge w:val="restart"/>
                  <w:tcBorders>
                    <w:top w:val="single" w:color="auto" w:sz="4" w:space="0"/>
                    <w:right w:val="single" w:color="auto" w:sz="4" w:space="0"/>
                  </w:tcBorders>
                  <w:vAlign w:val="center"/>
                </w:tcPr>
                <w:p w14:paraId="27CD1C44">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《西安市人民政府办公厅关于印发推进实现“十四五”空气质量目标暨大气污染治理专项行动2025工作方案的通知》（市政办函〔2025〕12号）</w:t>
                  </w:r>
                </w:p>
              </w:tc>
              <w:tc>
                <w:tcPr>
                  <w:tcW w:w="1905" w:type="pct"/>
                  <w:tcBorders>
                    <w:top w:val="single" w:color="auto" w:sz="4" w:space="0"/>
                    <w:left w:val="single" w:color="auto" w:sz="4" w:space="0"/>
                    <w:bottom w:val="single" w:color="auto" w:sz="4" w:space="0"/>
                    <w:right w:val="single" w:color="auto" w:sz="4" w:space="0"/>
                  </w:tcBorders>
                  <w:vAlign w:val="center"/>
                </w:tcPr>
                <w:p w14:paraId="6DF93C1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加强物料堆场扬尘管控。加强铸造、铁合金、水泥、砖瓦、石灰、耐火材料、有色金属冶炼等行业物料堆场扬尘管控执法检查，督促责任单位问题整改。</w:t>
                  </w:r>
                </w:p>
              </w:tc>
              <w:tc>
                <w:tcPr>
                  <w:tcW w:w="1763" w:type="pct"/>
                  <w:tcBorders>
                    <w:top w:val="single" w:color="auto" w:sz="4" w:space="0"/>
                    <w:left w:val="single" w:color="auto" w:sz="4" w:space="0"/>
                    <w:bottom w:val="single" w:color="auto" w:sz="4" w:space="0"/>
                    <w:right w:val="single" w:color="auto" w:sz="4" w:space="0"/>
                  </w:tcBorders>
                  <w:vAlign w:val="center"/>
                </w:tcPr>
                <w:p w14:paraId="1F0299F8">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本项目物料堆场均位于封闭厂房内，</w:t>
                  </w:r>
                  <w:r>
                    <w:rPr>
                      <w:rFonts w:hint="eastAsia" w:ascii="Times New Roman" w:hAnsi="Times New Roman" w:eastAsia="宋体" w:cs="Times New Roman"/>
                      <w:color w:val="auto"/>
                      <w:sz w:val="21"/>
                      <w:szCs w:val="21"/>
                      <w:highlight w:val="none"/>
                      <w:lang w:val="en-US" w:eastAsia="zh-CN"/>
                    </w:rPr>
                    <w:t>粉状物料水泥存放于密闭筒仓内，</w:t>
                  </w:r>
                  <w:r>
                    <w:rPr>
                      <w:rFonts w:hint="eastAsia" w:cs="Times New Roman"/>
                      <w:color w:val="auto"/>
                      <w:sz w:val="21"/>
                      <w:szCs w:val="21"/>
                      <w:highlight w:val="none"/>
                      <w:lang w:val="en-US" w:eastAsia="zh-CN"/>
                    </w:rPr>
                    <w:t>厂房内设置喷雾抑尘装置，出入口配备自动门。</w:t>
                  </w:r>
                </w:p>
              </w:tc>
              <w:tc>
                <w:tcPr>
                  <w:tcW w:w="579" w:type="pct"/>
                  <w:tcBorders>
                    <w:top w:val="single" w:color="auto" w:sz="4" w:space="0"/>
                    <w:left w:val="single" w:color="auto" w:sz="4" w:space="0"/>
                    <w:bottom w:val="single" w:color="auto" w:sz="4" w:space="0"/>
                  </w:tcBorders>
                  <w:vAlign w:val="center"/>
                </w:tcPr>
                <w:p w14:paraId="777769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600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51" w:type="pct"/>
                  <w:vMerge w:val="continue"/>
                  <w:tcBorders>
                    <w:right w:val="single" w:color="auto" w:sz="4" w:space="0"/>
                  </w:tcBorders>
                  <w:vAlign w:val="center"/>
                </w:tcPr>
                <w:p w14:paraId="455A90C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68DD50B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严格新、改、扩建涉气重点行业绩效评级限制条件。各区、开发区范围内新改扩建涉气重点行业企业应达到环保绩效 A 级、绩效引领性水平，周至县、蓝田县应达到环保绩效B级及以上水平。</w:t>
                  </w:r>
                </w:p>
              </w:tc>
              <w:tc>
                <w:tcPr>
                  <w:tcW w:w="1763" w:type="pct"/>
                  <w:tcBorders>
                    <w:top w:val="single" w:color="auto" w:sz="4" w:space="0"/>
                    <w:left w:val="single" w:color="auto" w:sz="4" w:space="0"/>
                    <w:bottom w:val="single" w:color="auto" w:sz="4" w:space="0"/>
                    <w:right w:val="single" w:color="auto" w:sz="4" w:space="0"/>
                  </w:tcBorders>
                  <w:vAlign w:val="center"/>
                </w:tcPr>
                <w:p w14:paraId="637CDA8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不属于</w:t>
                  </w:r>
                  <w:r>
                    <w:rPr>
                      <w:rFonts w:hint="eastAsia" w:ascii="Times New Roman" w:hAnsi="Times New Roman" w:eastAsia="宋体" w:cs="Times New Roman"/>
                      <w:color w:val="auto"/>
                      <w:sz w:val="21"/>
                      <w:szCs w:val="21"/>
                      <w:highlight w:val="none"/>
                      <w:lang w:val="en-US" w:eastAsia="zh-CN"/>
                    </w:rPr>
                    <w:t>水泥制品制造行业，</w:t>
                  </w:r>
                  <w:r>
                    <w:rPr>
                      <w:rFonts w:hint="eastAsia" w:cs="Times New Roman"/>
                      <w:color w:val="auto"/>
                      <w:sz w:val="21"/>
                      <w:szCs w:val="21"/>
                      <w:highlight w:val="none"/>
                      <w:lang w:val="en-US" w:eastAsia="zh-CN"/>
                    </w:rPr>
                    <w:t>不</w:t>
                  </w:r>
                  <w:r>
                    <w:rPr>
                      <w:rFonts w:hint="eastAsia" w:ascii="Times New Roman" w:hAnsi="Times New Roman" w:eastAsia="宋体" w:cs="Times New Roman"/>
                      <w:color w:val="auto"/>
                      <w:sz w:val="21"/>
                      <w:szCs w:val="21"/>
                      <w:highlight w:val="none"/>
                      <w:lang w:val="en-US" w:eastAsia="zh-CN"/>
                    </w:rPr>
                    <w:t>属于涉气重点行业。</w:t>
                  </w:r>
                </w:p>
              </w:tc>
              <w:tc>
                <w:tcPr>
                  <w:tcW w:w="579" w:type="pct"/>
                  <w:tcBorders>
                    <w:top w:val="single" w:color="auto" w:sz="4" w:space="0"/>
                    <w:left w:val="single" w:color="auto" w:sz="4" w:space="0"/>
                    <w:bottom w:val="single" w:color="auto" w:sz="4" w:space="0"/>
                  </w:tcBorders>
                  <w:vAlign w:val="center"/>
                </w:tcPr>
                <w:p w14:paraId="2C20D9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14:paraId="104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op w:val="single" w:color="auto" w:sz="4" w:space="0"/>
                    <w:right w:val="single" w:color="auto" w:sz="4" w:space="0"/>
                  </w:tcBorders>
                  <w:vAlign w:val="center"/>
                </w:tcPr>
                <w:p w14:paraId="70BB290D">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西安市人民政府关于印发西安市空气质量达标规划（2023—2030年）的通知（市政发〔2023〕10号）</w:t>
                  </w:r>
                </w:p>
              </w:tc>
              <w:tc>
                <w:tcPr>
                  <w:tcW w:w="1905" w:type="pct"/>
                  <w:tcBorders>
                    <w:top w:val="single" w:color="auto" w:sz="4" w:space="0"/>
                    <w:left w:val="single" w:color="auto" w:sz="4" w:space="0"/>
                    <w:bottom w:val="single" w:color="auto" w:sz="4" w:space="0"/>
                    <w:right w:val="single" w:color="auto" w:sz="4" w:space="0"/>
                  </w:tcBorders>
                  <w:vAlign w:val="center"/>
                </w:tcPr>
                <w:p w14:paraId="111B1CBB">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快推进产业结构调整。加快建设先进制造业强市，优化各园区产业定位，促进产业集聚和绿色发展转型，统筹推进产业布局与大气环境质量改善需求相适应，严格落实国家和我省产业规划、产业政策、“三线一单”、规划环评等要求，新改扩建化工、石化、建材、有色等项目的环境影响评价应满足区域和规划环评要求。</w:t>
                  </w:r>
                </w:p>
              </w:tc>
              <w:tc>
                <w:tcPr>
                  <w:tcW w:w="1763" w:type="pct"/>
                  <w:tcBorders>
                    <w:top w:val="single" w:color="auto" w:sz="4" w:space="0"/>
                    <w:left w:val="single" w:color="auto" w:sz="4" w:space="0"/>
                    <w:bottom w:val="single" w:color="auto" w:sz="4" w:space="0"/>
                    <w:right w:val="single" w:color="auto" w:sz="4" w:space="0"/>
                  </w:tcBorders>
                  <w:vAlign w:val="center"/>
                </w:tcPr>
                <w:p w14:paraId="38CABD5B">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根据项目与西安市生态环境管控单元分布示意图的比对结果，本次</w:t>
                  </w:r>
                  <w:r>
                    <w:rPr>
                      <w:rFonts w:hint="eastAsia"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地</w:t>
                  </w:r>
                  <w:r>
                    <w:rPr>
                      <w:rFonts w:hint="eastAsia" w:ascii="Times New Roman" w:hAnsi="Times New Roman" w:eastAsia="宋体" w:cs="Times New Roman"/>
                      <w:color w:val="auto"/>
                      <w:sz w:val="21"/>
                      <w:szCs w:val="21"/>
                      <w:highlight w:val="none"/>
                      <w:lang w:val="en-US" w:eastAsia="zh-CN"/>
                    </w:rPr>
                    <w:t>位于重点管控单元，在采取有效的环保措施后，污染物排放量小，对环境影响较小，符合重点管控单元要求，并且</w:t>
                  </w:r>
                  <w:r>
                    <w:rPr>
                      <w:rFonts w:hint="eastAsia"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所在区域</w:t>
                  </w:r>
                  <w:r>
                    <w:rPr>
                      <w:rFonts w:hint="eastAsia" w:cs="Times New Roman"/>
                      <w:color w:val="auto"/>
                      <w:sz w:val="21"/>
                      <w:szCs w:val="21"/>
                      <w:highlight w:val="none"/>
                      <w:lang w:val="en-US" w:eastAsia="zh-CN"/>
                    </w:rPr>
                    <w:t>未</w:t>
                  </w:r>
                  <w:r>
                    <w:rPr>
                      <w:rFonts w:hint="eastAsia" w:ascii="Times New Roman" w:hAnsi="Times New Roman" w:eastAsia="宋体" w:cs="Times New Roman"/>
                      <w:color w:val="auto"/>
                      <w:sz w:val="21"/>
                      <w:szCs w:val="21"/>
                      <w:highlight w:val="none"/>
                      <w:lang w:val="en-US" w:eastAsia="zh-CN"/>
                    </w:rPr>
                    <w:t>开展规划及规划环评。</w:t>
                  </w:r>
                </w:p>
              </w:tc>
              <w:tc>
                <w:tcPr>
                  <w:tcW w:w="579" w:type="pct"/>
                  <w:tcBorders>
                    <w:top w:val="single" w:color="auto" w:sz="4" w:space="0"/>
                    <w:left w:val="single" w:color="auto" w:sz="4" w:space="0"/>
                    <w:bottom w:val="single" w:color="auto" w:sz="4" w:space="0"/>
                  </w:tcBorders>
                  <w:vAlign w:val="center"/>
                </w:tcPr>
                <w:p w14:paraId="74C64CD9">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6467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33B78C2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7A8AB50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强堆场料场管理。加强灰场、煤场和渣场等易扬尘堆场料场管理，开展全封闭改造，无法完成封闭改造的，必须覆盖高密目防风抑尘网；在堆场进出口设置车辆冲洗设施，对运输车辆实施密闭或全覆盖，建立工业堆场视频监控全覆盖，实现堆场扬尘动态管理。</w:t>
                  </w:r>
                </w:p>
              </w:tc>
              <w:tc>
                <w:tcPr>
                  <w:tcW w:w="1763" w:type="pct"/>
                  <w:tcBorders>
                    <w:top w:val="single" w:color="auto" w:sz="4" w:space="0"/>
                    <w:left w:val="single" w:color="auto" w:sz="4" w:space="0"/>
                    <w:bottom w:val="single" w:color="auto" w:sz="4" w:space="0"/>
                    <w:right w:val="single" w:color="auto" w:sz="4" w:space="0"/>
                  </w:tcBorders>
                  <w:vAlign w:val="center"/>
                </w:tcPr>
                <w:p w14:paraId="32A11135">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本项目原料及成品堆场均位于封闭厂房内，物料输送、生产工艺均在封闭厂房内进行</w:t>
                  </w:r>
                  <w:r>
                    <w:rPr>
                      <w:rFonts w:hint="eastAsia" w:ascii="Times New Roman" w:hAnsi="Times New Roman" w:eastAsia="宋体" w:cs="Times New Roman"/>
                      <w:color w:val="auto"/>
                      <w:sz w:val="21"/>
                      <w:szCs w:val="21"/>
                      <w:highlight w:val="none"/>
                      <w:lang w:val="en-US" w:eastAsia="zh-CN"/>
                    </w:rPr>
                    <w:t>，粉状物料水泥存放于密闭筒仓内</w:t>
                  </w:r>
                  <w:r>
                    <w:rPr>
                      <w:rFonts w:hint="eastAsia"/>
                      <w:color w:val="auto"/>
                      <w:highlight w:val="none"/>
                    </w:rPr>
                    <w:t>。</w:t>
                  </w:r>
                  <w:r>
                    <w:rPr>
                      <w:rFonts w:hint="eastAsia" w:ascii="Times New Roman" w:hAnsi="Times New Roman" w:eastAsia="宋体" w:cs="Times New Roman"/>
                      <w:color w:val="auto"/>
                      <w:sz w:val="21"/>
                      <w:szCs w:val="21"/>
                      <w:highlight w:val="none"/>
                      <w:lang w:val="en-US" w:eastAsia="zh-CN"/>
                    </w:rPr>
                    <w:t>在</w:t>
                  </w:r>
                  <w:r>
                    <w:rPr>
                      <w:rFonts w:hint="eastAsia" w:cs="Times New Roman"/>
                      <w:color w:val="auto"/>
                      <w:sz w:val="21"/>
                      <w:szCs w:val="21"/>
                      <w:highlight w:val="none"/>
                      <w:lang w:val="en-US" w:eastAsia="zh-CN"/>
                    </w:rPr>
                    <w:t>厂区</w:t>
                  </w:r>
                  <w:r>
                    <w:rPr>
                      <w:rFonts w:hint="eastAsia" w:ascii="Times New Roman" w:hAnsi="Times New Roman" w:eastAsia="宋体" w:cs="Times New Roman"/>
                      <w:color w:val="auto"/>
                      <w:sz w:val="21"/>
                      <w:szCs w:val="21"/>
                      <w:highlight w:val="none"/>
                      <w:lang w:val="en-US" w:eastAsia="zh-CN"/>
                    </w:rPr>
                    <w:t>进出口设置车辆冲洗设施，</w:t>
                  </w:r>
                  <w:r>
                    <w:rPr>
                      <w:rFonts w:hint="eastAsia"/>
                      <w:color w:val="auto"/>
                      <w:highlight w:val="none"/>
                      <w:lang w:val="en-US" w:eastAsia="zh-CN"/>
                    </w:rPr>
                    <w:t>运输物料车辆实施全覆盖。同时在厂房堆场区域安装视频监控。</w:t>
                  </w:r>
                </w:p>
              </w:tc>
              <w:tc>
                <w:tcPr>
                  <w:tcW w:w="579" w:type="pct"/>
                  <w:tcBorders>
                    <w:top w:val="single" w:color="auto" w:sz="4" w:space="0"/>
                    <w:left w:val="single" w:color="auto" w:sz="4" w:space="0"/>
                    <w:bottom w:val="single" w:color="auto" w:sz="4" w:space="0"/>
                  </w:tcBorders>
                  <w:vAlign w:val="center"/>
                </w:tcPr>
                <w:p w14:paraId="2ABB1636">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098E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right w:val="single" w:color="auto" w:sz="4" w:space="0"/>
                  </w:tcBorders>
                  <w:vAlign w:val="center"/>
                </w:tcPr>
                <w:p w14:paraId="2FF9D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建筑垃圾处理技术标准</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CJJT 134-2019</w:t>
                  </w:r>
                  <w:r>
                    <w:rPr>
                      <w:rFonts w:hint="eastAsia" w:ascii="Times New Roman" w:hAnsi="Times New Roman" w:eastAsia="宋体" w:cs="Times New Roman"/>
                      <w:color w:val="auto"/>
                      <w:sz w:val="21"/>
                      <w:szCs w:val="21"/>
                      <w:highlight w:val="none"/>
                      <w:lang w:val="en-US" w:eastAsia="zh-CN"/>
                    </w:rPr>
                    <w:t>）</w:t>
                  </w:r>
                </w:p>
              </w:tc>
              <w:tc>
                <w:tcPr>
                  <w:tcW w:w="1905" w:type="pct"/>
                  <w:tcBorders>
                    <w:top w:val="single" w:color="auto" w:sz="4" w:space="0"/>
                    <w:left w:val="single" w:color="auto" w:sz="4" w:space="0"/>
                    <w:bottom w:val="single" w:color="auto" w:sz="4" w:space="0"/>
                    <w:right w:val="single" w:color="auto" w:sz="4" w:space="0"/>
                  </w:tcBorders>
                  <w:vAlign w:val="center"/>
                </w:tcPr>
                <w:p w14:paraId="5D42F3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建筑垃圾应从源头分类。按照工程渣土、工程泥浆、工程垃圾、拆除垃圾和</w:t>
                  </w:r>
                  <w:r>
                    <w:rPr>
                      <w:rFonts w:hint="eastAsia" w:ascii="Times New Roman" w:hAnsi="Times New Roman" w:eastAsia="宋体" w:cs="Times New Roman"/>
                      <w:color w:val="auto"/>
                      <w:sz w:val="21"/>
                      <w:szCs w:val="21"/>
                      <w:highlight w:val="none"/>
                      <w:lang w:val="en-US" w:eastAsia="zh-CN"/>
                    </w:rPr>
                    <w:t>装修垃圾，应分类收集、分类运输、分类处理处置。建筑垃圾宜有限考虑资源化利用。</w:t>
                  </w:r>
                </w:p>
              </w:tc>
              <w:tc>
                <w:tcPr>
                  <w:tcW w:w="1763" w:type="pct"/>
                  <w:tcBorders>
                    <w:top w:val="single" w:color="auto" w:sz="4" w:space="0"/>
                    <w:left w:val="single" w:color="auto" w:sz="4" w:space="0"/>
                    <w:bottom w:val="single" w:color="auto" w:sz="4" w:space="0"/>
                    <w:right w:val="single" w:color="auto" w:sz="4" w:space="0"/>
                  </w:tcBorders>
                  <w:vAlign w:val="center"/>
                </w:tcPr>
                <w:p w14:paraId="3ADEBC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eastAsia="zh-CN"/>
                    </w:rPr>
                    <w:t>回收</w:t>
                  </w:r>
                  <w:r>
                    <w:rPr>
                      <w:rFonts w:hint="eastAsia" w:eastAsia="宋体" w:cs="Times New Roman"/>
                      <w:color w:val="auto"/>
                      <w:sz w:val="21"/>
                      <w:szCs w:val="21"/>
                      <w:highlight w:val="none"/>
                      <w:lang w:val="en-US" w:eastAsia="zh-CN"/>
                    </w:rPr>
                    <w:t>周边</w:t>
                  </w:r>
                  <w:r>
                    <w:rPr>
                      <w:rFonts w:hint="default" w:ascii="Times New Roman" w:hAnsi="Times New Roman" w:eastAsia="宋体" w:cs="Times New Roman"/>
                      <w:color w:val="auto"/>
                      <w:sz w:val="21"/>
                      <w:szCs w:val="21"/>
                      <w:highlight w:val="none"/>
                      <w:lang w:val="en-US" w:eastAsia="zh-CN"/>
                    </w:rPr>
                    <w:t>水泥道路路面开挖、隧道工程施工以及旧</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HYPERLINK "https://zhidao.baidu.com/search?word=%E7%A0%96%E6%B7%B7%E7%BB%93%E6%9E%84&amp;fr=iknow_pc_qb_highlight"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砖混结构</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建筑拆除产生的建筑废弃物</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主要为混凝土块、隧道施工废渣、碎砖瓦石块等</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对上述废弃物进行破碎筛分再利用，属于资源化利用项目。</w:t>
                  </w:r>
                  <w:r>
                    <w:rPr>
                      <w:rFonts w:hint="eastAsia" w:ascii="Times New Roman" w:hAnsi="Times New Roman" w:cs="Times New Roman"/>
                      <w:color w:val="auto"/>
                      <w:sz w:val="21"/>
                      <w:szCs w:val="21"/>
                      <w:highlight w:val="none"/>
                      <w:lang w:eastAsia="zh-CN"/>
                    </w:rPr>
                    <w:t>厂内</w:t>
                  </w:r>
                  <w:r>
                    <w:rPr>
                      <w:rFonts w:hint="eastAsia" w:cs="Times New Roman"/>
                      <w:color w:val="auto"/>
                      <w:sz w:val="21"/>
                      <w:szCs w:val="21"/>
                      <w:highlight w:val="none"/>
                      <w:lang w:val="en-US" w:eastAsia="zh-CN"/>
                    </w:rPr>
                    <w:t>人工</w:t>
                  </w:r>
                  <w:r>
                    <w:rPr>
                      <w:rFonts w:hint="eastAsia" w:ascii="Times New Roman" w:hAnsi="Times New Roman" w:cs="Times New Roman"/>
                      <w:color w:val="auto"/>
                      <w:sz w:val="21"/>
                      <w:szCs w:val="21"/>
                      <w:highlight w:val="none"/>
                      <w:lang w:eastAsia="zh-CN"/>
                    </w:rPr>
                    <w:t>分拣</w:t>
                  </w:r>
                  <w:r>
                    <w:rPr>
                      <w:rFonts w:hint="eastAsia" w:cs="Times New Roman"/>
                      <w:color w:val="auto"/>
                      <w:sz w:val="21"/>
                      <w:szCs w:val="21"/>
                      <w:highlight w:val="none"/>
                      <w:lang w:val="en-US" w:eastAsia="zh-CN"/>
                    </w:rPr>
                    <w:t>少量大件木材、塑料等轻质料</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垃圾收集过程中明确不收集工业泥渣等湿建筑垃圾及有毒有害建筑垃圾。</w:t>
                  </w:r>
                </w:p>
              </w:tc>
              <w:tc>
                <w:tcPr>
                  <w:tcW w:w="579" w:type="pct"/>
                  <w:tcBorders>
                    <w:top w:val="single" w:color="auto" w:sz="4" w:space="0"/>
                    <w:left w:val="single" w:color="auto" w:sz="4" w:space="0"/>
                    <w:bottom w:val="single" w:color="auto" w:sz="4" w:space="0"/>
                  </w:tcBorders>
                  <w:vAlign w:val="center"/>
                </w:tcPr>
                <w:p w14:paraId="513A326E">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6208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0C2BE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3AC4C7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建筑垃圾原料贮存堆场应保证堆体的安全稳定性，并应采取防尘措施，可根据后续工艺进行</w:t>
                  </w:r>
                  <w:r>
                    <w:rPr>
                      <w:rFonts w:hint="eastAsia" w:ascii="Times New Roman" w:hAnsi="Times New Roman" w:eastAsia="宋体" w:cs="Times New Roman"/>
                      <w:color w:val="auto"/>
                      <w:sz w:val="21"/>
                      <w:szCs w:val="21"/>
                      <w:highlight w:val="none"/>
                      <w:lang w:eastAsia="zh-CN"/>
                    </w:rPr>
                    <w:t>预湿</w:t>
                  </w:r>
                  <w:r>
                    <w:rPr>
                      <w:rFonts w:hint="default" w:ascii="Times New Roman" w:hAnsi="Times New Roman" w:eastAsia="宋体" w:cs="Times New Roman"/>
                      <w:color w:val="auto"/>
                      <w:sz w:val="21"/>
                      <w:szCs w:val="21"/>
                      <w:highlight w:val="none"/>
                      <w:lang w:eastAsia="zh-CN"/>
                    </w:rPr>
                    <w:t>；建筑垃圾卸料、上料及处理过程中易产生扬尘的环节应采取</w:t>
                  </w:r>
                  <w:r>
                    <w:rPr>
                      <w:rFonts w:hint="eastAsia" w:ascii="Times New Roman" w:hAnsi="Times New Roman" w:eastAsia="宋体" w:cs="Times New Roman"/>
                      <w:color w:val="auto"/>
                      <w:sz w:val="21"/>
                      <w:szCs w:val="21"/>
                      <w:highlight w:val="none"/>
                      <w:lang w:eastAsia="zh-CN"/>
                    </w:rPr>
                    <w:t>抑尘</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eastAsia="zh-CN"/>
                    </w:rPr>
                    <w:t>降尘</w:t>
                  </w:r>
                  <w:r>
                    <w:rPr>
                      <w:rFonts w:hint="default" w:ascii="Times New Roman" w:hAnsi="Times New Roman" w:eastAsia="宋体" w:cs="Times New Roman"/>
                      <w:color w:val="auto"/>
                      <w:sz w:val="21"/>
                      <w:szCs w:val="21"/>
                      <w:highlight w:val="none"/>
                      <w:lang w:eastAsia="zh-CN"/>
                    </w:rPr>
                    <w:t>及除尘措施</w:t>
                  </w:r>
                  <w:r>
                    <w:rPr>
                      <w:rFonts w:hint="eastAsia" w:ascii="Times New Roman" w:hAnsi="Times New Roman" w:cs="Times New Roman"/>
                      <w:color w:val="auto"/>
                      <w:sz w:val="21"/>
                      <w:szCs w:val="21"/>
                      <w:highlight w:val="none"/>
                      <w:lang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3CE0B6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本项目</w:t>
                  </w:r>
                  <w:r>
                    <w:rPr>
                      <w:rFonts w:hint="eastAsia" w:eastAsia="宋体" w:cs="Times New Roman"/>
                      <w:color w:val="auto"/>
                      <w:sz w:val="21"/>
                      <w:szCs w:val="21"/>
                      <w:highlight w:val="none"/>
                      <w:lang w:val="en-US" w:eastAsia="zh-CN"/>
                    </w:rPr>
                    <w:t>建筑废弃物</w:t>
                  </w:r>
                  <w:r>
                    <w:rPr>
                      <w:rFonts w:hint="eastAsia"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骨料颗粒均</w:t>
                  </w:r>
                  <w:r>
                    <w:rPr>
                      <w:rFonts w:hint="default" w:ascii="Times New Roman" w:hAnsi="Times New Roman" w:eastAsia="宋体" w:cs="Times New Roman"/>
                      <w:color w:val="auto"/>
                      <w:sz w:val="21"/>
                      <w:szCs w:val="21"/>
                      <w:highlight w:val="none"/>
                      <w:lang w:eastAsia="zh-CN"/>
                    </w:rPr>
                    <w:t>堆存</w:t>
                  </w:r>
                  <w:r>
                    <w:rPr>
                      <w:rFonts w:hint="eastAsia" w:ascii="Times New Roman" w:hAnsi="Times New Roman"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lang w:eastAsia="zh-CN"/>
                    </w:rPr>
                    <w:t>封闭</w:t>
                  </w:r>
                  <w:r>
                    <w:rPr>
                      <w:rFonts w:hint="eastAsia" w:ascii="Times New Roman" w:hAnsi="Times New Roman" w:cs="Times New Roman"/>
                      <w:color w:val="auto"/>
                      <w:sz w:val="21"/>
                      <w:szCs w:val="21"/>
                      <w:highlight w:val="none"/>
                      <w:lang w:eastAsia="zh-CN"/>
                    </w:rPr>
                    <w:t>式</w:t>
                  </w:r>
                  <w:r>
                    <w:rPr>
                      <w:rFonts w:hint="default" w:ascii="Times New Roman" w:hAnsi="Times New Roman" w:eastAsia="宋体" w:cs="Times New Roman"/>
                      <w:color w:val="auto"/>
                      <w:sz w:val="21"/>
                      <w:szCs w:val="21"/>
                      <w:highlight w:val="none"/>
                      <w:lang w:eastAsia="zh-CN"/>
                    </w:rPr>
                    <w:t>厂房</w:t>
                  </w:r>
                  <w:r>
                    <w:rPr>
                      <w:rFonts w:hint="eastAsia" w:ascii="Times New Roman" w:hAnsi="Times New Roman" w:cs="Times New Roman"/>
                      <w:color w:val="auto"/>
                      <w:sz w:val="21"/>
                      <w:szCs w:val="21"/>
                      <w:highlight w:val="none"/>
                      <w:lang w:eastAsia="zh-CN"/>
                    </w:rPr>
                    <w:t>内</w:t>
                  </w:r>
                  <w:r>
                    <w:rPr>
                      <w:rFonts w:hint="eastAsia" w:eastAsia="宋体" w:cs="Times New Roman"/>
                      <w:color w:val="auto"/>
                      <w:sz w:val="21"/>
                      <w:szCs w:val="21"/>
                      <w:highlight w:val="none"/>
                      <w:lang w:val="en-US" w:eastAsia="zh-CN"/>
                    </w:rPr>
                    <w:t>，粉状物料水泥存放于密闭筒仓内。破碎筛分工序产尘点设置集气罩+袋式除尘器，水泥筒仓顶部自带布袋除尘器，在各搅拌机进料口和下料口处分别设置集尘罩，收集至一套袋式除尘器处理后在车间内无组织排放；生产工艺均在封闭式厂房内，物料输送采用封闭式皮带输送，粉状物料水泥采用螺旋输送机输送，厂房顶部安装雾化喷淋装置。</w:t>
                  </w:r>
                  <w:r>
                    <w:rPr>
                      <w:rFonts w:hint="eastAsia" w:ascii="Times New Roman" w:hAnsi="Times New Roman" w:cs="Times New Roman"/>
                      <w:color w:val="auto"/>
                      <w:sz w:val="21"/>
                      <w:szCs w:val="21"/>
                      <w:highlight w:val="none"/>
                      <w:lang w:eastAsia="zh-CN"/>
                    </w:rPr>
                    <w:t>建成后，</w:t>
                  </w:r>
                  <w:r>
                    <w:rPr>
                      <w:rFonts w:hint="default" w:ascii="Times New Roman" w:hAnsi="Times New Roman" w:eastAsia="宋体" w:cs="Times New Roman"/>
                      <w:color w:val="auto"/>
                      <w:sz w:val="21"/>
                      <w:szCs w:val="21"/>
                      <w:highlight w:val="none"/>
                      <w:lang w:eastAsia="zh-CN"/>
                    </w:rPr>
                    <w:t>厂内道路</w:t>
                  </w:r>
                  <w:r>
                    <w:rPr>
                      <w:rFonts w:hint="eastAsia" w:ascii="Times New Roman" w:hAnsi="Times New Roman" w:cs="Times New Roman"/>
                      <w:color w:val="auto"/>
                      <w:sz w:val="21"/>
                      <w:szCs w:val="21"/>
                      <w:highlight w:val="none"/>
                      <w:lang w:eastAsia="zh-CN"/>
                    </w:rPr>
                    <w:t>全部</w:t>
                  </w:r>
                  <w:r>
                    <w:rPr>
                      <w:rFonts w:hint="default" w:ascii="Times New Roman" w:hAnsi="Times New Roman" w:eastAsia="宋体" w:cs="Times New Roman"/>
                      <w:color w:val="auto"/>
                      <w:sz w:val="21"/>
                      <w:szCs w:val="21"/>
                      <w:highlight w:val="none"/>
                      <w:lang w:eastAsia="zh-CN"/>
                    </w:rPr>
                    <w:t>硬化，道路定期</w:t>
                  </w:r>
                  <w:r>
                    <w:rPr>
                      <w:rFonts w:hint="eastAsia" w:ascii="Times New Roman" w:hAnsi="Times New Roman" w:cs="Times New Roman"/>
                      <w:color w:val="auto"/>
                      <w:sz w:val="21"/>
                      <w:szCs w:val="21"/>
                      <w:highlight w:val="none"/>
                      <w:lang w:eastAsia="zh-CN"/>
                    </w:rPr>
                    <w:t>清扫</w:t>
                  </w:r>
                  <w:r>
                    <w:rPr>
                      <w:rFonts w:hint="default" w:ascii="Times New Roman" w:hAnsi="Times New Roman" w:eastAsia="宋体" w:cs="Times New Roman"/>
                      <w:color w:val="auto"/>
                      <w:sz w:val="21"/>
                      <w:szCs w:val="21"/>
                      <w:highlight w:val="none"/>
                      <w:lang w:eastAsia="zh-CN"/>
                    </w:rPr>
                    <w:t>。</w:t>
                  </w:r>
                </w:p>
              </w:tc>
              <w:tc>
                <w:tcPr>
                  <w:tcW w:w="579" w:type="pct"/>
                  <w:tcBorders>
                    <w:top w:val="single" w:color="auto" w:sz="4" w:space="0"/>
                    <w:left w:val="single" w:color="auto" w:sz="4" w:space="0"/>
                    <w:bottom w:val="single" w:color="auto" w:sz="4" w:space="0"/>
                  </w:tcBorders>
                  <w:vAlign w:val="center"/>
                </w:tcPr>
                <w:p w14:paraId="32A6112A">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44DC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75455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184D10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建筑垃圾应按成分进行资源化利用。土类建筑垃圾可作为制砖和道路工程等用原料；废旧</w:t>
                  </w:r>
                  <w:r>
                    <w:rPr>
                      <w:rFonts w:hint="eastAsia" w:ascii="Times New Roman" w:hAnsi="Times New Roman" w:eastAsia="宋体" w:cs="Times New Roman"/>
                      <w:color w:val="auto"/>
                      <w:sz w:val="21"/>
                      <w:szCs w:val="21"/>
                      <w:highlight w:val="none"/>
                      <w:lang w:eastAsia="zh-CN"/>
                    </w:rPr>
                    <w:t>混</w:t>
                  </w:r>
                  <w:r>
                    <w:rPr>
                      <w:rFonts w:hint="default" w:ascii="Times New Roman" w:hAnsi="Times New Roman" w:eastAsia="宋体" w:cs="Times New Roman"/>
                      <w:color w:val="auto"/>
                      <w:sz w:val="21"/>
                      <w:szCs w:val="21"/>
                      <w:highlight w:val="none"/>
                      <w:lang w:eastAsia="zh-CN"/>
                    </w:rPr>
                    <w:t>凝土、碎砖瓦等宜作为再生建材用原料；废沥青宜作为再生沥青原料；废金属、</w:t>
                  </w:r>
                  <w:r>
                    <w:rPr>
                      <w:rFonts w:hint="eastAsia" w:ascii="Times New Roman" w:hAnsi="Times New Roman" w:eastAsia="宋体" w:cs="Times New Roman"/>
                      <w:color w:val="auto"/>
                      <w:sz w:val="21"/>
                      <w:szCs w:val="21"/>
                      <w:highlight w:val="none"/>
                      <w:lang w:eastAsia="zh-CN"/>
                    </w:rPr>
                    <w:t>木材</w:t>
                  </w:r>
                  <w:r>
                    <w:rPr>
                      <w:rFonts w:hint="default" w:ascii="Times New Roman" w:hAnsi="Times New Roman" w:eastAsia="宋体" w:cs="Times New Roman"/>
                      <w:color w:val="auto"/>
                      <w:sz w:val="21"/>
                      <w:szCs w:val="21"/>
                      <w:highlight w:val="none"/>
                      <w:lang w:eastAsia="zh-CN"/>
                    </w:rPr>
                    <w:t>、塑料、纸张、</w:t>
                  </w:r>
                  <w:r>
                    <w:rPr>
                      <w:rFonts w:hint="eastAsia" w:ascii="Times New Roman" w:hAnsi="Times New Roman" w:eastAsia="宋体" w:cs="Times New Roman"/>
                      <w:color w:val="auto"/>
                      <w:sz w:val="21"/>
                      <w:szCs w:val="21"/>
                      <w:highlight w:val="none"/>
                      <w:lang w:eastAsia="zh-CN"/>
                    </w:rPr>
                    <w:t>玻璃</w:t>
                  </w:r>
                  <w:r>
                    <w:rPr>
                      <w:rFonts w:hint="default" w:ascii="Times New Roman" w:hAnsi="Times New Roman" w:eastAsia="宋体" w:cs="Times New Roman"/>
                      <w:color w:val="auto"/>
                      <w:sz w:val="21"/>
                      <w:szCs w:val="21"/>
                      <w:highlight w:val="none"/>
                      <w:lang w:eastAsia="zh-CN"/>
                    </w:rPr>
                    <w:t>、橡胶等，宜由有关专业企业作为原料直接利用或再生</w:t>
                  </w:r>
                  <w:r>
                    <w:rPr>
                      <w:rFonts w:hint="eastAsia" w:ascii="Times New Roman" w:hAnsi="Times New Roman" w:cs="Times New Roman"/>
                      <w:color w:val="auto"/>
                      <w:sz w:val="21"/>
                      <w:szCs w:val="21"/>
                      <w:highlight w:val="none"/>
                      <w:lang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4C95AE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项目回收</w:t>
                  </w:r>
                  <w:r>
                    <w:rPr>
                      <w:rFonts w:hint="eastAsia"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eastAsia="zh-CN"/>
                    </w:rPr>
                    <w:t>建筑垃圾以</w:t>
                  </w:r>
                  <w:r>
                    <w:rPr>
                      <w:rFonts w:hint="default" w:ascii="Times New Roman" w:hAnsi="Times New Roman" w:eastAsia="宋体" w:cs="Times New Roman"/>
                      <w:color w:val="auto"/>
                      <w:sz w:val="21"/>
                      <w:szCs w:val="21"/>
                      <w:highlight w:val="none"/>
                      <w:lang w:val="en-US" w:eastAsia="zh-CN"/>
                    </w:rPr>
                    <w:t>混凝土块、</w:t>
                  </w:r>
                  <w:r>
                    <w:rPr>
                      <w:rFonts w:hint="eastAsia" w:eastAsia="宋体" w:cs="Times New Roman"/>
                      <w:color w:val="auto"/>
                      <w:sz w:val="21"/>
                      <w:szCs w:val="21"/>
                      <w:highlight w:val="none"/>
                      <w:lang w:val="en-US" w:eastAsia="zh-CN"/>
                    </w:rPr>
                    <w:t>隧道施工废渣</w:t>
                  </w:r>
                  <w:r>
                    <w:rPr>
                      <w:rFonts w:hint="default" w:ascii="Times New Roman" w:hAnsi="Times New Roman" w:eastAsia="宋体" w:cs="Times New Roman"/>
                      <w:color w:val="auto"/>
                      <w:sz w:val="21"/>
                      <w:szCs w:val="21"/>
                      <w:highlight w:val="none"/>
                      <w:lang w:val="en-US" w:eastAsia="zh-CN"/>
                    </w:rPr>
                    <w:t>、碎</w:t>
                  </w:r>
                  <w:r>
                    <w:rPr>
                      <w:rFonts w:hint="eastAsia" w:eastAsia="宋体" w:cs="Times New Roman"/>
                      <w:color w:val="auto"/>
                      <w:sz w:val="21"/>
                      <w:szCs w:val="21"/>
                      <w:highlight w:val="none"/>
                      <w:lang w:val="en-US" w:eastAsia="zh-CN"/>
                    </w:rPr>
                    <w:t>砖瓦</w:t>
                  </w:r>
                  <w:r>
                    <w:rPr>
                      <w:rFonts w:hint="default" w:ascii="Times New Roman" w:hAnsi="Times New Roman" w:eastAsia="宋体" w:cs="Times New Roman"/>
                      <w:color w:val="auto"/>
                      <w:sz w:val="21"/>
                      <w:szCs w:val="21"/>
                      <w:highlight w:val="none"/>
                      <w:lang w:val="en-US" w:eastAsia="zh-CN"/>
                    </w:rPr>
                    <w:t>石块</w:t>
                  </w:r>
                  <w:r>
                    <w:rPr>
                      <w:rFonts w:hint="default" w:ascii="Times New Roman" w:hAnsi="Times New Roman" w:eastAsia="宋体" w:cs="Times New Roman"/>
                      <w:color w:val="auto"/>
                      <w:sz w:val="21"/>
                      <w:szCs w:val="21"/>
                      <w:highlight w:val="none"/>
                      <w:lang w:eastAsia="zh-CN"/>
                    </w:rPr>
                    <w:t>等为主</w:t>
                  </w:r>
                  <w:r>
                    <w:rPr>
                      <w:rFonts w:hint="eastAsia"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以建筑废弃物为原料，</w:t>
                  </w:r>
                  <w:r>
                    <w:rPr>
                      <w:rFonts w:hint="eastAsia" w:eastAsia="宋体" w:cs="Times New Roman"/>
                      <w:color w:val="auto"/>
                      <w:sz w:val="21"/>
                      <w:szCs w:val="21"/>
                      <w:highlight w:val="none"/>
                      <w:lang w:val="en-US" w:eastAsia="zh-CN"/>
                    </w:rPr>
                    <w:t>生</w:t>
                  </w:r>
                  <w:r>
                    <w:rPr>
                      <w:rFonts w:hint="eastAsia" w:ascii="Times New Roman" w:hAnsi="Times New Roman" w:eastAsia="宋体" w:cs="Times New Roman"/>
                      <w:color w:val="auto"/>
                      <w:sz w:val="21"/>
                      <w:szCs w:val="21"/>
                      <w:highlight w:val="none"/>
                      <w:lang w:val="en-US" w:eastAsia="zh-CN"/>
                    </w:rPr>
                    <w:t>产再生骨料颗粒，属于建筑废弃物综合利用项目</w:t>
                  </w:r>
                  <w:r>
                    <w:rPr>
                      <w:rFonts w:hint="eastAsia" w:ascii="Times New Roman" w:hAnsi="Times New Roman" w:eastAsia="宋体" w:cs="Times New Roman"/>
                      <w:color w:val="auto"/>
                      <w:sz w:val="21"/>
                      <w:szCs w:val="21"/>
                      <w:highlight w:val="none"/>
                      <w:lang w:eastAsia="zh-CN"/>
                    </w:rPr>
                    <w:t>。</w:t>
                  </w:r>
                </w:p>
              </w:tc>
              <w:tc>
                <w:tcPr>
                  <w:tcW w:w="579" w:type="pct"/>
                  <w:tcBorders>
                    <w:top w:val="single" w:color="auto" w:sz="4" w:space="0"/>
                    <w:left w:val="single" w:color="auto" w:sz="4" w:space="0"/>
                    <w:bottom w:val="single" w:color="auto" w:sz="4" w:space="0"/>
                  </w:tcBorders>
                  <w:vAlign w:val="center"/>
                </w:tcPr>
                <w:p w14:paraId="2457318F">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3F67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right w:val="single" w:color="auto" w:sz="4" w:space="0"/>
                  </w:tcBorders>
                  <w:vAlign w:val="center"/>
                </w:tcPr>
                <w:p w14:paraId="7445E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《建筑垃圾资源化利用行业规范条件》</w:t>
                  </w:r>
                  <w:r>
                    <w:rPr>
                      <w:rFonts w:hint="eastAsia" w:eastAsia="宋体" w:cs="Times New Roman"/>
                      <w:color w:val="auto"/>
                      <w:sz w:val="21"/>
                      <w:szCs w:val="21"/>
                      <w:highlight w:val="none"/>
                      <w:lang w:val="en-US" w:eastAsia="zh-CN"/>
                    </w:rPr>
                    <w:t>（暂行）</w:t>
                  </w:r>
                </w:p>
              </w:tc>
              <w:tc>
                <w:tcPr>
                  <w:tcW w:w="1905" w:type="pct"/>
                  <w:tcBorders>
                    <w:top w:val="single" w:color="auto" w:sz="4" w:space="0"/>
                    <w:left w:val="single" w:color="auto" w:sz="4" w:space="0"/>
                    <w:bottom w:val="single" w:color="auto" w:sz="4" w:space="0"/>
                    <w:right w:val="single" w:color="auto" w:sz="4" w:space="0"/>
                  </w:tcBorders>
                  <w:vAlign w:val="center"/>
                </w:tcPr>
                <w:p w14:paraId="3C43D2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根据当地建筑垃圾条件及资源化利用方式等因素，综合确定建筑垃圾资源化利用项目的年处置能力，鼓励规模化发展。大型建筑垃圾资源化项目年处置生产能力不低于100万 吨，中型不低于50万吨，小型不低于25万吨</w:t>
                  </w:r>
                  <w:r>
                    <w:rPr>
                      <w:rFonts w:hint="eastAsia" w:eastAsia="宋体" w:cs="Times New Roman"/>
                      <w:color w:val="auto"/>
                      <w:sz w:val="21"/>
                      <w:szCs w:val="21"/>
                      <w:highlight w:val="none"/>
                      <w:lang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04EAEA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本项目设计年处理规模约40万t建筑废弃物，属于小型规模的</w:t>
                  </w:r>
                  <w:r>
                    <w:rPr>
                      <w:rFonts w:hint="default" w:ascii="Times New Roman" w:hAnsi="Times New Roman" w:eastAsia="宋体" w:cs="Times New Roman"/>
                      <w:color w:val="auto"/>
                      <w:sz w:val="21"/>
                      <w:szCs w:val="21"/>
                      <w:highlight w:val="none"/>
                      <w:lang w:eastAsia="zh-CN"/>
                    </w:rPr>
                    <w:t>建筑垃圾资源化项目</w:t>
                  </w:r>
                  <w:r>
                    <w:rPr>
                      <w:rFonts w:hint="eastAsia" w:ascii="Times New Roman" w:hAnsi="Times New Roman" w:eastAsia="宋体" w:cs="Times New Roman"/>
                      <w:color w:val="auto"/>
                      <w:sz w:val="21"/>
                      <w:szCs w:val="21"/>
                      <w:highlight w:val="none"/>
                      <w:lang w:eastAsia="zh-CN"/>
                    </w:rPr>
                    <w:t>。</w:t>
                  </w:r>
                </w:p>
              </w:tc>
              <w:tc>
                <w:tcPr>
                  <w:tcW w:w="579" w:type="pct"/>
                  <w:tcBorders>
                    <w:top w:val="single" w:color="auto" w:sz="4" w:space="0"/>
                    <w:left w:val="single" w:color="auto" w:sz="4" w:space="0"/>
                    <w:bottom w:val="single" w:color="auto" w:sz="4" w:space="0"/>
                  </w:tcBorders>
                  <w:vAlign w:val="center"/>
                </w:tcPr>
                <w:p w14:paraId="073517BD">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507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3B083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5C20E3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 xml:space="preserve">建筑垃圾资源化利用企业应全面接收当地产生的符合相关规范要求的建筑垃圾（有毒有害垃圾除外）。 </w:t>
                  </w:r>
                </w:p>
                <w:p w14:paraId="4AEC44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鼓励企业根据进场建筑垃圾的特点，选择合适的工艺装备，在全面资源化利用处理的前提下，生产混凝土和砂浆用骨料等再生产品。</w:t>
                  </w:r>
                </w:p>
              </w:tc>
              <w:tc>
                <w:tcPr>
                  <w:tcW w:w="1763" w:type="pct"/>
                  <w:tcBorders>
                    <w:top w:val="single" w:color="auto" w:sz="4" w:space="0"/>
                    <w:left w:val="single" w:color="auto" w:sz="4" w:space="0"/>
                    <w:bottom w:val="single" w:color="auto" w:sz="4" w:space="0"/>
                    <w:right w:val="single" w:color="auto" w:sz="4" w:space="0"/>
                  </w:tcBorders>
                  <w:vAlign w:val="center"/>
                </w:tcPr>
                <w:p w14:paraId="105D49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本项目收购的建筑垃圾主要成分为混凝土块、隧道施工废渣、碎砖瓦石块等，以其为原料进行建筑垃圾综合利用，</w:t>
                  </w:r>
                  <w:r>
                    <w:rPr>
                      <w:rFonts w:hint="eastAsia" w:ascii="Times New Roman" w:hAnsi="Times New Roman" w:cs="Times New Roman"/>
                      <w:color w:val="auto"/>
                      <w:sz w:val="21"/>
                      <w:szCs w:val="21"/>
                      <w:highlight w:val="none"/>
                      <w:lang w:val="en-US" w:eastAsia="zh-CN"/>
                    </w:rPr>
                    <w:t>垃圾收集过程中明确不收集有毒有害建筑垃圾。企业将收购的原料进行破碎筛分，</w:t>
                  </w:r>
                  <w:r>
                    <w:rPr>
                      <w:rFonts w:hint="eastAsia" w:cs="Times New Roman"/>
                      <w:color w:val="auto"/>
                      <w:sz w:val="21"/>
                      <w:szCs w:val="21"/>
                      <w:highlight w:val="none"/>
                      <w:lang w:val="en-US" w:eastAsia="zh-CN"/>
                    </w:rPr>
                    <w:t>生</w:t>
                  </w:r>
                  <w:r>
                    <w:rPr>
                      <w:rFonts w:hint="eastAsia" w:ascii="Times New Roman" w:hAnsi="Times New Roman" w:cs="Times New Roman"/>
                      <w:color w:val="auto"/>
                      <w:sz w:val="21"/>
                      <w:szCs w:val="21"/>
                      <w:highlight w:val="none"/>
                      <w:lang w:val="en-US" w:eastAsia="zh-CN"/>
                    </w:rPr>
                    <w:t>产的再生骨料供</w:t>
                  </w:r>
                  <w:r>
                    <w:rPr>
                      <w:rFonts w:hint="eastAsia" w:cs="Times New Roman"/>
                      <w:color w:val="auto"/>
                      <w:sz w:val="21"/>
                      <w:szCs w:val="21"/>
                      <w:highlight w:val="none"/>
                      <w:lang w:val="en-US" w:eastAsia="zh-CN"/>
                    </w:rPr>
                    <w:t>附近路桥施工</w:t>
                  </w:r>
                  <w:r>
                    <w:rPr>
                      <w:rFonts w:hint="eastAsia" w:ascii="Times New Roman" w:hAnsi="Times New Roman" w:cs="Times New Roman"/>
                      <w:color w:val="auto"/>
                      <w:sz w:val="21"/>
                      <w:szCs w:val="21"/>
                      <w:highlight w:val="none"/>
                      <w:lang w:val="en-US" w:eastAsia="zh-CN"/>
                    </w:rPr>
                    <w:t>使用。</w:t>
                  </w:r>
                </w:p>
              </w:tc>
              <w:tc>
                <w:tcPr>
                  <w:tcW w:w="579" w:type="pct"/>
                  <w:tcBorders>
                    <w:top w:val="single" w:color="auto" w:sz="4" w:space="0"/>
                    <w:left w:val="single" w:color="auto" w:sz="4" w:space="0"/>
                    <w:bottom w:val="single" w:color="auto" w:sz="4" w:space="0"/>
                  </w:tcBorders>
                  <w:vAlign w:val="center"/>
                </w:tcPr>
                <w:p w14:paraId="60F2B40C">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128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659B3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2A73AA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建筑垃圾资源化利用企业根据生产需要应设置粉尘回收和储存设备，厂区环境空气质量应达到《环境空气质量标准》GB3095 要求，且符合企业所在地的相关地方标准和环境影响评价要求</w:t>
                  </w:r>
                  <w:r>
                    <w:rPr>
                      <w:rFonts w:hint="eastAsia" w:eastAsia="宋体" w:cs="Times New Roman"/>
                      <w:color w:val="auto"/>
                      <w:sz w:val="21"/>
                      <w:szCs w:val="21"/>
                      <w:highlight w:val="none"/>
                      <w:lang w:val="en-US"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750B83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目建筑废弃物破碎、筛分工序产尘点设置集气罩，收集至一套袋式除尘器处理，无组织排放；生产过程中物料输送采用封闭式传送带，均设置于封闭式厂房内。物料堆场设置在封闭厂房内，水泥贮存在密闭筒仓，仓顶自带布袋除尘器对进料时呼吸孔处粉尘进行收集；在搅拌机处设集气罩通过袋式除尘器对粉尘进行处理后在封闭厂房无组织排放，同时厂房顶部设置安装雾化喷淋装置，进行喷雾抑尘。采用上述各项处理措施后厂区环境空气质量满足《环境空气质量标准》GB 3095要求，对环境空气影响在可接受范围内。</w:t>
                  </w:r>
                </w:p>
              </w:tc>
              <w:tc>
                <w:tcPr>
                  <w:tcW w:w="579" w:type="pct"/>
                  <w:tcBorders>
                    <w:top w:val="single" w:color="auto" w:sz="4" w:space="0"/>
                    <w:left w:val="single" w:color="auto" w:sz="4" w:space="0"/>
                    <w:bottom w:val="single" w:color="auto" w:sz="4" w:space="0"/>
                  </w:tcBorders>
                  <w:vAlign w:val="center"/>
                </w:tcPr>
                <w:p w14:paraId="2160B0F2">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6C30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781D8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1577D2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建筑垃圾资源化利用企业应根据生产工艺的需求，建设生产废水处理系统，实现生产废水循环利用和零排放</w:t>
                  </w:r>
                  <w:r>
                    <w:rPr>
                      <w:rFonts w:hint="eastAsia" w:eastAsia="宋体" w:cs="Times New Roman"/>
                      <w:color w:val="auto"/>
                      <w:sz w:val="21"/>
                      <w:szCs w:val="21"/>
                      <w:highlight w:val="none"/>
                      <w:lang w:eastAsia="zh-CN"/>
                    </w:rPr>
                    <w:t>。</w:t>
                  </w:r>
                </w:p>
              </w:tc>
              <w:tc>
                <w:tcPr>
                  <w:tcW w:w="1763" w:type="pct"/>
                  <w:tcBorders>
                    <w:top w:val="single" w:color="auto" w:sz="4" w:space="0"/>
                    <w:left w:val="single" w:color="auto" w:sz="4" w:space="0"/>
                    <w:bottom w:val="single" w:color="auto" w:sz="4" w:space="0"/>
                    <w:right w:val="single" w:color="auto" w:sz="4" w:space="0"/>
                  </w:tcBorders>
                  <w:vAlign w:val="center"/>
                </w:tcPr>
                <w:p w14:paraId="147C2E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本项目运营时生产配比用水、喷淋抑尘用水和道路清扫用水全部进入产品或损耗，无废水产生。洗车废水经洗车台沉淀处理后循环使用。项目可实现生产废水循环利用和零排放。</w:t>
                  </w:r>
                </w:p>
              </w:tc>
              <w:tc>
                <w:tcPr>
                  <w:tcW w:w="579" w:type="pct"/>
                  <w:tcBorders>
                    <w:top w:val="single" w:color="auto" w:sz="4" w:space="0"/>
                    <w:left w:val="single" w:color="auto" w:sz="4" w:space="0"/>
                    <w:bottom w:val="single" w:color="auto" w:sz="4" w:space="0"/>
                  </w:tcBorders>
                  <w:vAlign w:val="center"/>
                </w:tcPr>
                <w:p w14:paraId="41557CDF">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0A6F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right w:val="single" w:color="auto" w:sz="4" w:space="0"/>
                  </w:tcBorders>
                  <w:vAlign w:val="center"/>
                </w:tcPr>
                <w:p w14:paraId="13951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p>
              </w:tc>
              <w:tc>
                <w:tcPr>
                  <w:tcW w:w="1905" w:type="pct"/>
                  <w:tcBorders>
                    <w:top w:val="single" w:color="auto" w:sz="4" w:space="0"/>
                    <w:left w:val="single" w:color="auto" w:sz="4" w:space="0"/>
                    <w:bottom w:val="single" w:color="auto" w:sz="4" w:space="0"/>
                    <w:right w:val="single" w:color="auto" w:sz="4" w:space="0"/>
                  </w:tcBorders>
                  <w:vAlign w:val="center"/>
                </w:tcPr>
                <w:p w14:paraId="1F3C9C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建筑垃圾资源化利用企业应对噪声污染采取防治措施，达到《工业企业厂界环境噪声排放标准》GB12348 的要求，且符合企业所在地的相关地方标准和环境影响评价要求。</w:t>
                  </w:r>
                </w:p>
              </w:tc>
              <w:tc>
                <w:tcPr>
                  <w:tcW w:w="1763" w:type="pct"/>
                  <w:tcBorders>
                    <w:top w:val="single" w:color="auto" w:sz="4" w:space="0"/>
                    <w:left w:val="single" w:color="auto" w:sz="4" w:space="0"/>
                    <w:bottom w:val="single" w:color="auto" w:sz="4" w:space="0"/>
                    <w:right w:val="single" w:color="auto" w:sz="4" w:space="0"/>
                  </w:tcBorders>
                  <w:vAlign w:val="center"/>
                </w:tcPr>
                <w:p w14:paraId="24D6A4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本项目噪声主要为设备运行产生的噪声，通过设置减振基座、厂房隔声等措施，可有效降低噪声。经预测满足</w:t>
                  </w:r>
                  <w:r>
                    <w:rPr>
                      <w:rFonts w:hint="default" w:ascii="Times New Roman" w:hAnsi="Times New Roman" w:eastAsia="宋体" w:cs="Times New Roman"/>
                      <w:color w:val="auto"/>
                      <w:sz w:val="21"/>
                      <w:szCs w:val="21"/>
                      <w:highlight w:val="none"/>
                      <w:lang w:val="en-US" w:eastAsia="zh-CN"/>
                    </w:rPr>
                    <w:t>《工业企业厂界环境噪声排放标准》（GB 12348-2008）</w:t>
                  </w:r>
                  <w:r>
                    <w:rPr>
                      <w:rFonts w:hint="eastAsia" w:eastAsia="宋体" w:cs="Times New Roman"/>
                      <w:color w:val="auto"/>
                      <w:sz w:val="21"/>
                      <w:szCs w:val="21"/>
                      <w:highlight w:val="none"/>
                      <w:lang w:val="en-US" w:eastAsia="zh-CN"/>
                    </w:rPr>
                    <w:t>中</w:t>
                  </w:r>
                  <w:r>
                    <w:rPr>
                      <w:rFonts w:hint="default" w:ascii="Times New Roman" w:hAnsi="Times New Roman" w:eastAsia="宋体" w:cs="Times New Roman"/>
                      <w:color w:val="auto"/>
                      <w:sz w:val="21"/>
                      <w:szCs w:val="21"/>
                      <w:highlight w:val="none"/>
                      <w:lang w:val="en-US" w:eastAsia="zh-CN"/>
                    </w:rPr>
                    <w:t>2类</w:t>
                  </w:r>
                  <w:r>
                    <w:rPr>
                      <w:rFonts w:hint="eastAsia" w:ascii="Times New Roman" w:hAnsi="Times New Roman" w:eastAsia="宋体" w:cs="Times New Roman"/>
                      <w:color w:val="auto"/>
                      <w:sz w:val="21"/>
                      <w:szCs w:val="21"/>
                      <w:highlight w:val="none"/>
                      <w:lang w:val="en-US" w:eastAsia="zh-CN"/>
                    </w:rPr>
                    <w:t>要求</w:t>
                  </w:r>
                  <w:r>
                    <w:rPr>
                      <w:rFonts w:hint="eastAsia" w:eastAsia="宋体" w:cs="Times New Roman"/>
                      <w:color w:val="auto"/>
                      <w:sz w:val="21"/>
                      <w:szCs w:val="21"/>
                      <w:highlight w:val="none"/>
                      <w:lang w:val="en-US" w:eastAsia="zh-CN"/>
                    </w:rPr>
                    <w:t>。</w:t>
                  </w:r>
                </w:p>
              </w:tc>
              <w:tc>
                <w:tcPr>
                  <w:tcW w:w="579" w:type="pct"/>
                  <w:tcBorders>
                    <w:top w:val="single" w:color="auto" w:sz="4" w:space="0"/>
                    <w:left w:val="single" w:color="auto" w:sz="4" w:space="0"/>
                    <w:bottom w:val="single" w:color="auto" w:sz="4" w:space="0"/>
                  </w:tcBorders>
                  <w:vAlign w:val="center"/>
                </w:tcPr>
                <w:p w14:paraId="493EABF9">
                  <w:pPr>
                    <w:pStyle w:val="3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bl>
          <w:p w14:paraId="5F0D00DE">
            <w:pPr>
              <w:adjustRightInd w:val="0"/>
              <w:snapToGrid w:val="0"/>
              <w:ind w:firstLine="480" w:firstLineChars="200"/>
              <w:rPr>
                <w:color w:val="auto"/>
                <w:highlight w:val="none"/>
              </w:rPr>
            </w:pPr>
          </w:p>
        </w:tc>
      </w:tr>
    </w:tbl>
    <w:p w14:paraId="58E0F8D4">
      <w:pPr>
        <w:rPr>
          <w:rFonts w:cs="Times New Roman"/>
          <w:color w:val="auto"/>
          <w:highlight w:val="none"/>
        </w:rPr>
        <w:sectPr>
          <w:pgSz w:w="11906" w:h="16838"/>
          <w:pgMar w:top="1440" w:right="1083" w:bottom="1440" w:left="1083" w:header="851" w:footer="992" w:gutter="0"/>
          <w:pgBorders>
            <w:top w:val="none" w:sz="0" w:space="0"/>
            <w:left w:val="none" w:sz="0" w:space="0"/>
            <w:bottom w:val="none" w:sz="0" w:space="0"/>
            <w:right w:val="none" w:sz="0" w:space="0"/>
          </w:pgBorders>
          <w:pgNumType w:fmt="numberInDash"/>
          <w:cols w:space="0" w:num="1"/>
          <w:rtlGutter w:val="0"/>
          <w:docGrid w:type="lines" w:linePitch="335" w:charSpace="0"/>
        </w:sectPr>
      </w:pPr>
    </w:p>
    <w:p w14:paraId="1E1B3401">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bCs/>
          <w:color w:val="auto"/>
          <w:sz w:val="28"/>
          <w:szCs w:val="24"/>
          <w:highlight w:val="none"/>
        </w:rPr>
      </w:pPr>
      <w:r>
        <w:rPr>
          <w:rFonts w:hint="eastAsia" w:cs="Times New Roman"/>
          <w:b/>
          <w:bCs/>
          <w:color w:val="auto"/>
          <w:sz w:val="28"/>
          <w:szCs w:val="24"/>
          <w:highlight w:val="none"/>
          <w:lang w:val="en-US" w:eastAsia="zh-CN"/>
        </w:rPr>
        <w:t>二</w:t>
      </w:r>
      <w:r>
        <w:rPr>
          <w:rFonts w:cs="Times New Roman"/>
          <w:b/>
          <w:bCs/>
          <w:color w:val="auto"/>
          <w:sz w:val="28"/>
          <w:szCs w:val="24"/>
          <w:highlight w:val="none"/>
        </w:rPr>
        <w:t>、建设项目工程分析</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506"/>
      </w:tblGrid>
      <w:tr w14:paraId="3C79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 w:type="pct"/>
            <w:vAlign w:val="center"/>
          </w:tcPr>
          <w:p w14:paraId="456932C9">
            <w:pPr>
              <w:adjustRightInd w:val="0"/>
              <w:snapToGrid w:val="0"/>
              <w:spacing w:line="240" w:lineRule="auto"/>
              <w:jc w:val="center"/>
              <w:rPr>
                <w:rFonts w:cs="Times New Roman"/>
                <w:color w:val="auto"/>
                <w:highlight w:val="none"/>
              </w:rPr>
            </w:pPr>
            <w:r>
              <w:rPr>
                <w:rFonts w:cs="Times New Roman"/>
                <w:color w:val="auto"/>
                <w:highlight w:val="none"/>
              </w:rPr>
              <w:t>建设内容</w:t>
            </w:r>
          </w:p>
        </w:tc>
        <w:tc>
          <w:tcPr>
            <w:tcW w:w="4796" w:type="pct"/>
          </w:tcPr>
          <w:p w14:paraId="41D4EAC1">
            <w:pPr>
              <w:ind w:firstLine="482" w:firstLineChars="200"/>
              <w:rPr>
                <w:rFonts w:cs="Times New Roman"/>
                <w:b/>
                <w:bCs/>
                <w:color w:val="auto"/>
                <w:highlight w:val="none"/>
              </w:rPr>
            </w:pPr>
            <w:r>
              <w:rPr>
                <w:rFonts w:cs="Times New Roman"/>
                <w:b/>
                <w:bCs/>
                <w:color w:val="auto"/>
                <w:highlight w:val="none"/>
              </w:rPr>
              <w:t>1、项目由来</w:t>
            </w:r>
          </w:p>
          <w:p w14:paraId="04FE6B1A">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为落实鄠邑区区政府与陕西交通控股集团有限公司战略合作协议及鄠邑区资源及建材综合开发类项目有关工作要求，陕西交控资源开发有限公司、西安鄠邑建设集团有限公司、西安昊立土方工程有限公司共同成立了陕西交控鄠邑资源开发有限公司。</w:t>
            </w:r>
          </w:p>
          <w:p w14:paraId="7C60E2D1">
            <w:pPr>
              <w:ind w:firstLine="480" w:firstLineChars="200"/>
              <w:rPr>
                <w:rFonts w:cs="Times New Roman"/>
                <w:color w:val="auto"/>
                <w:highlight w:val="none"/>
              </w:rPr>
            </w:pPr>
            <w:r>
              <w:rPr>
                <w:rFonts w:hint="eastAsia" w:cs="Times New Roman"/>
                <w:color w:val="auto"/>
                <w:highlight w:val="none"/>
                <w:lang w:val="en-US" w:eastAsia="zh-CN"/>
              </w:rPr>
              <w:t>为全力推进鄠邑区路桥建设，由陕西交控鄠邑资源开发有限公司Hx12-(1)-7号宗地的厂区承接鄠邑辖区内路桥工程类建筑骨料代加工业务，本项目为永久性建设项目。本项目占地范围为原京昆高速公路蒲城至涝峪段改扩建工程JK-ZC02合同段2#集中场站，本次租用其封闭厂房新建1条机制骨料生产线和1条</w:t>
            </w:r>
            <w:r>
              <w:rPr>
                <w:rFonts w:hint="eastAsia" w:cs="Times New Roman"/>
                <w:color w:val="auto"/>
                <w:highlight w:val="none"/>
                <w:lang w:eastAsia="zh-CN"/>
              </w:rPr>
              <w:t>水稳材料生产线，建成后</w:t>
            </w:r>
            <w:r>
              <w:rPr>
                <w:rFonts w:hint="eastAsia" w:cs="Times New Roman"/>
                <w:color w:val="auto"/>
                <w:highlight w:val="none"/>
                <w:lang w:val="en-US" w:eastAsia="zh-CN"/>
              </w:rPr>
              <w:t>年处理建筑废弃物约40</w:t>
            </w:r>
            <w:r>
              <w:rPr>
                <w:rFonts w:cs="Times New Roman"/>
                <w:color w:val="auto"/>
                <w:highlight w:val="none"/>
              </w:rPr>
              <w:t>万吨</w:t>
            </w:r>
            <w:r>
              <w:rPr>
                <w:rFonts w:hint="eastAsia" w:cs="Times New Roman"/>
                <w:color w:val="auto"/>
                <w:highlight w:val="none"/>
                <w:lang w:eastAsia="zh-CN"/>
              </w:rPr>
              <w:t>，</w:t>
            </w:r>
            <w:r>
              <w:rPr>
                <w:rFonts w:hint="eastAsia" w:cs="Times New Roman"/>
                <w:color w:val="auto"/>
                <w:highlight w:val="none"/>
                <w:lang w:val="en-US" w:eastAsia="zh-CN"/>
              </w:rPr>
              <w:t>年生产</w:t>
            </w:r>
            <w:r>
              <w:rPr>
                <w:rFonts w:hint="eastAsia" w:cs="Times New Roman"/>
                <w:color w:val="auto"/>
                <w:highlight w:val="none"/>
                <w:lang w:eastAsia="zh-CN"/>
              </w:rPr>
              <w:t>水泥稳定材</w:t>
            </w:r>
            <w:r>
              <w:rPr>
                <w:rFonts w:cs="Times New Roman"/>
                <w:color w:val="auto"/>
                <w:highlight w:val="none"/>
              </w:rPr>
              <w:t>料</w:t>
            </w:r>
            <w:r>
              <w:rPr>
                <w:rFonts w:hint="eastAsia" w:cs="Times New Roman"/>
                <w:color w:val="auto"/>
                <w:highlight w:val="none"/>
                <w:lang w:val="en-US" w:eastAsia="zh-CN"/>
              </w:rPr>
              <w:t>30</w:t>
            </w:r>
            <w:r>
              <w:rPr>
                <w:rFonts w:cs="Times New Roman"/>
                <w:color w:val="auto"/>
                <w:highlight w:val="none"/>
              </w:rPr>
              <w:t>万吨</w:t>
            </w:r>
            <w:r>
              <w:rPr>
                <w:rFonts w:hint="eastAsia"/>
                <w:color w:val="auto"/>
                <w:highlight w:val="none"/>
                <w:lang w:val="en-US" w:eastAsia="zh-CN"/>
              </w:rPr>
              <w:t>。</w:t>
            </w:r>
          </w:p>
          <w:p w14:paraId="108E69B5">
            <w:pPr>
              <w:ind w:firstLine="480" w:firstLineChars="200"/>
              <w:rPr>
                <w:rFonts w:hint="default" w:cs="Times New Roman" w:eastAsiaTheme="minorEastAsia"/>
                <w:color w:val="auto"/>
                <w:highlight w:val="none"/>
                <w:lang w:val="en-US" w:eastAsia="zh-CN"/>
              </w:rPr>
            </w:pPr>
            <w:r>
              <w:rPr>
                <w:rFonts w:cs="Times New Roman"/>
                <w:color w:val="auto"/>
                <w:highlight w:val="none"/>
              </w:rPr>
              <w:t>依据《建设项目环境影响评价分类管理名录》（2021版），本项目属于二十七</w:t>
            </w:r>
            <w:r>
              <w:rPr>
                <w:rFonts w:hint="eastAsia" w:cs="Times New Roman"/>
                <w:color w:val="auto"/>
                <w:highlight w:val="none"/>
                <w:lang w:eastAsia="zh-CN"/>
              </w:rPr>
              <w:t>、</w:t>
            </w:r>
            <w:r>
              <w:rPr>
                <w:rFonts w:cs="Times New Roman"/>
                <w:color w:val="auto"/>
                <w:highlight w:val="none"/>
              </w:rPr>
              <w:t>非金属矿物制品业30</w:t>
            </w:r>
            <w:r>
              <w:rPr>
                <w:rFonts w:hint="eastAsia" w:cs="Times New Roman"/>
                <w:color w:val="auto"/>
                <w:highlight w:val="none"/>
                <w:lang w:val="en-US" w:eastAsia="zh-CN"/>
              </w:rPr>
              <w:t>——55</w:t>
            </w:r>
            <w:r>
              <w:rPr>
                <w:rFonts w:cs="Times New Roman"/>
                <w:color w:val="auto"/>
                <w:highlight w:val="none"/>
              </w:rPr>
              <w:t>石膏、水泥制品及类似制品制造302</w:t>
            </w:r>
            <w:r>
              <w:rPr>
                <w:rFonts w:hint="eastAsia" w:cs="Times New Roman"/>
                <w:color w:val="auto"/>
                <w:highlight w:val="none"/>
                <w:lang w:eastAsia="zh-CN"/>
              </w:rPr>
              <w:t>，</w:t>
            </w:r>
            <w:r>
              <w:rPr>
                <w:rFonts w:hint="eastAsia" w:ascii="Times New Roman" w:hAnsi="Times New Roman" w:eastAsia="宋体" w:cs="Times New Roman"/>
                <w:color w:val="auto"/>
                <w:sz w:val="24"/>
                <w:szCs w:val="24"/>
                <w:highlight w:val="none"/>
                <w:lang w:val="en-US" w:eastAsia="zh-CN"/>
              </w:rPr>
              <w:t>四十七、生态保护和环境治理业</w:t>
            </w:r>
            <w:r>
              <w:rPr>
                <w:rFonts w:hint="eastAsia" w:cs="Times New Roman"/>
                <w:color w:val="auto"/>
                <w:highlight w:val="none"/>
                <w:lang w:val="en-US" w:eastAsia="zh-CN"/>
              </w:rPr>
              <w:t>——</w:t>
            </w:r>
            <w:r>
              <w:rPr>
                <w:rFonts w:hint="eastAsia" w:cs="Times New Roman"/>
                <w:color w:val="auto"/>
                <w:sz w:val="24"/>
                <w:szCs w:val="24"/>
                <w:highlight w:val="none"/>
                <w:lang w:val="en-US" w:eastAsia="zh-CN"/>
              </w:rPr>
              <w:t>103 一般工业固体废物（含污水处理污泥）、建筑施工废弃物处置及综合利用</w:t>
            </w:r>
            <w:r>
              <w:rPr>
                <w:rFonts w:cs="Times New Roman"/>
                <w:color w:val="auto"/>
                <w:highlight w:val="none"/>
              </w:rPr>
              <w:t>，应当编制环境影响报告表。</w:t>
            </w:r>
          </w:p>
          <w:p w14:paraId="10EAE815">
            <w:pPr>
              <w:ind w:firstLine="482" w:firstLineChars="200"/>
              <w:rPr>
                <w:rFonts w:cs="Times New Roman"/>
                <w:b/>
                <w:bCs/>
                <w:color w:val="auto"/>
                <w:highlight w:val="none"/>
              </w:rPr>
            </w:pPr>
            <w:r>
              <w:rPr>
                <w:rFonts w:cs="Times New Roman"/>
                <w:b/>
                <w:bCs/>
                <w:color w:val="auto"/>
                <w:highlight w:val="none"/>
              </w:rPr>
              <w:t>2、项目组成及建设内容</w:t>
            </w:r>
          </w:p>
          <w:p w14:paraId="1C917F28">
            <w:pPr>
              <w:ind w:firstLine="480" w:firstLineChars="200"/>
              <w:rPr>
                <w:rFonts w:hint="eastAsia" w:cs="Times New Roman" w:eastAsiaTheme="minorEastAsia"/>
                <w:color w:val="auto"/>
                <w:highlight w:val="none"/>
                <w:lang w:eastAsia="zh-CN"/>
              </w:rPr>
            </w:pPr>
            <w:r>
              <w:rPr>
                <w:rFonts w:cs="Times New Roman"/>
                <w:color w:val="auto"/>
                <w:highlight w:val="none"/>
              </w:rPr>
              <w:t>本项目</w:t>
            </w:r>
            <w:r>
              <w:rPr>
                <w:rFonts w:hint="eastAsia" w:cs="Times New Roman"/>
                <w:color w:val="auto"/>
                <w:highlight w:val="none"/>
                <w:lang w:val="en-US" w:eastAsia="zh-CN"/>
              </w:rPr>
              <w:t>位于陕西省西安市鄠邑区玉蝉街道天桥片区南北四号路以东罗蒋路以南</w:t>
            </w:r>
            <w:r>
              <w:rPr>
                <w:rFonts w:ascii="Times New Roman" w:hAnsi="Times New Roman" w:cs="Times New Roman"/>
                <w:color w:val="auto"/>
                <w:highlight w:val="none"/>
                <w:lang w:val="en-US" w:eastAsia="zh-CN"/>
              </w:rPr>
              <w:t>，</w:t>
            </w:r>
            <w:r>
              <w:rPr>
                <w:rFonts w:hint="eastAsia" w:cs="Times New Roman"/>
                <w:color w:val="auto"/>
                <w:highlight w:val="none"/>
                <w:lang w:val="en-US" w:eastAsia="zh-CN"/>
              </w:rPr>
              <w:t>占地面积约97</w:t>
            </w:r>
            <w:r>
              <w:rPr>
                <w:rFonts w:ascii="Times New Roman" w:hAnsi="Times New Roman" w:cs="Times New Roman"/>
                <w:color w:val="auto"/>
                <w:highlight w:val="none"/>
                <w:lang w:val="en-US" w:eastAsia="zh-CN"/>
              </w:rPr>
              <w:t>亩</w:t>
            </w:r>
            <w:r>
              <w:rPr>
                <w:rFonts w:hint="eastAsia" w:ascii="Times New Roman" w:hAnsi="Times New Roman" w:cs="Times New Roman"/>
                <w:color w:val="auto"/>
                <w:highlight w:val="none"/>
                <w:lang w:val="en-US" w:eastAsia="zh-CN"/>
              </w:rPr>
              <w:t>（</w:t>
            </w:r>
            <w:r>
              <w:rPr>
                <w:rFonts w:hint="eastAsia"/>
                <w:color w:val="auto"/>
                <w:sz w:val="24"/>
                <w:szCs w:val="24"/>
                <w:highlight w:val="none"/>
                <w:lang w:val="en-US" w:eastAsia="zh-CN"/>
              </w:rPr>
              <w:t>64716</w:t>
            </w:r>
            <w:r>
              <w:rPr>
                <w:color w:val="auto"/>
                <w:sz w:val="24"/>
                <w:szCs w:val="24"/>
                <w:highlight w:val="none"/>
              </w:rPr>
              <w:t>m</w:t>
            </w:r>
            <w:r>
              <w:rPr>
                <w:color w:val="auto"/>
                <w:sz w:val="24"/>
                <w:szCs w:val="24"/>
                <w:highlight w:val="none"/>
                <w:vertAlign w:val="superscript"/>
              </w:rPr>
              <w:t>2</w:t>
            </w:r>
            <w:r>
              <w:rPr>
                <w:rFonts w:hint="eastAsia" w:ascii="Times New Roman" w:hAnsi="Times New Roman" w:cs="Times New Roman"/>
                <w:color w:val="auto"/>
                <w:highlight w:val="none"/>
                <w:lang w:val="en-US" w:eastAsia="zh-CN"/>
              </w:rPr>
              <w:t>）</w:t>
            </w:r>
            <w:r>
              <w:rPr>
                <w:rFonts w:cs="Times New Roman"/>
                <w:color w:val="auto"/>
                <w:highlight w:val="none"/>
              </w:rPr>
              <w:t>，</w:t>
            </w:r>
            <w:r>
              <w:rPr>
                <w:rFonts w:hint="eastAsia" w:cs="Times New Roman"/>
                <w:color w:val="auto"/>
                <w:highlight w:val="none"/>
                <w:lang w:val="en-US" w:eastAsia="zh-CN"/>
              </w:rPr>
              <w:t>利用</w:t>
            </w:r>
            <w:r>
              <w:rPr>
                <w:rFonts w:hint="eastAsia"/>
                <w:color w:val="auto"/>
                <w:sz w:val="24"/>
                <w:szCs w:val="24"/>
                <w:highlight w:val="none"/>
                <w:lang w:val="en-US" w:eastAsia="zh-CN"/>
              </w:rPr>
              <w:t>1座</w:t>
            </w:r>
            <w:r>
              <w:rPr>
                <w:rFonts w:hint="eastAsia" w:cs="Times New Roman"/>
                <w:color w:val="auto"/>
                <w:highlight w:val="none"/>
                <w:lang w:val="en-US" w:eastAsia="zh-CN"/>
              </w:rPr>
              <w:t>现有</w:t>
            </w:r>
            <w:r>
              <w:rPr>
                <w:rFonts w:hint="eastAsia"/>
                <w:color w:val="auto"/>
                <w:sz w:val="24"/>
                <w:szCs w:val="24"/>
                <w:highlight w:val="none"/>
                <w:lang w:val="en-US" w:eastAsia="zh-CN"/>
              </w:rPr>
              <w:t>钢构生产厂房</w:t>
            </w:r>
            <w:r>
              <w:rPr>
                <w:rFonts w:cs="Times New Roman"/>
                <w:color w:val="auto"/>
                <w:highlight w:val="none"/>
              </w:rPr>
              <w:t>。购置</w:t>
            </w:r>
            <w:r>
              <w:rPr>
                <w:rFonts w:hint="eastAsia" w:cs="Times New Roman"/>
                <w:color w:val="auto"/>
                <w:highlight w:val="none"/>
                <w:lang w:val="en-US" w:eastAsia="zh-CN"/>
              </w:rPr>
              <w:t>破碎机、筛分机、</w:t>
            </w:r>
            <w:r>
              <w:rPr>
                <w:rFonts w:cs="Times New Roman"/>
                <w:color w:val="auto"/>
                <w:highlight w:val="none"/>
              </w:rPr>
              <w:t>水泥筒仓、搅拌</w:t>
            </w:r>
            <w:r>
              <w:rPr>
                <w:rFonts w:hint="eastAsia" w:cs="Times New Roman"/>
                <w:color w:val="auto"/>
                <w:highlight w:val="none"/>
                <w:lang w:val="en-US" w:eastAsia="zh-CN"/>
              </w:rPr>
              <w:t>机</w:t>
            </w:r>
            <w:r>
              <w:rPr>
                <w:rFonts w:cs="Times New Roman"/>
                <w:color w:val="auto"/>
                <w:highlight w:val="none"/>
              </w:rPr>
              <w:t>、传送带等生产设备及辅助设施</w:t>
            </w:r>
            <w:r>
              <w:rPr>
                <w:rFonts w:hint="eastAsia" w:cs="Times New Roman"/>
                <w:color w:val="auto"/>
                <w:highlight w:val="none"/>
                <w:lang w:val="en-US" w:eastAsia="zh-CN"/>
              </w:rPr>
              <w:t>，在厂房内建设机制骨料生产线</w:t>
            </w:r>
            <w:r>
              <w:rPr>
                <w:rFonts w:cs="Times New Roman"/>
                <w:color w:val="auto"/>
                <w:highlight w:val="none"/>
              </w:rPr>
              <w:t>1条</w:t>
            </w:r>
            <w:r>
              <w:rPr>
                <w:rFonts w:hint="eastAsia" w:cs="Times New Roman"/>
                <w:color w:val="auto"/>
                <w:highlight w:val="none"/>
                <w:lang w:val="en-US" w:eastAsia="zh-CN"/>
              </w:rPr>
              <w:t>、</w:t>
            </w:r>
            <w:r>
              <w:rPr>
                <w:rFonts w:cs="Times New Roman"/>
                <w:color w:val="auto"/>
                <w:highlight w:val="none"/>
              </w:rPr>
              <w:t>水泥稳定材料生产线1条</w:t>
            </w:r>
            <w:r>
              <w:rPr>
                <w:rFonts w:hint="eastAsia" w:cs="Times New Roman"/>
                <w:color w:val="auto"/>
                <w:highlight w:val="none"/>
                <w:lang w:eastAsia="zh-CN"/>
              </w:rPr>
              <w:t>。</w:t>
            </w:r>
          </w:p>
          <w:p w14:paraId="73CA51DE">
            <w:pPr>
              <w:ind w:firstLine="480" w:firstLineChars="200"/>
              <w:rPr>
                <w:rFonts w:cs="Times New Roman"/>
                <w:color w:val="auto"/>
                <w:highlight w:val="none"/>
              </w:rPr>
            </w:pPr>
            <w:r>
              <w:rPr>
                <w:rFonts w:cs="Times New Roman"/>
                <w:color w:val="auto"/>
                <w:highlight w:val="none"/>
              </w:rPr>
              <w:t>本</w:t>
            </w:r>
            <w:r>
              <w:rPr>
                <w:rFonts w:hint="eastAsia" w:cs="Times New Roman"/>
                <w:color w:val="auto"/>
                <w:highlight w:val="none"/>
                <w:lang w:eastAsia="zh-CN"/>
              </w:rPr>
              <w:t>项目</w:t>
            </w:r>
            <w:r>
              <w:rPr>
                <w:rFonts w:cs="Times New Roman"/>
                <w:color w:val="auto"/>
                <w:highlight w:val="none"/>
              </w:rPr>
              <w:t>由主体工程、储运工程、辅助工程、公用工程、环保工程组成，详见表2-1。</w:t>
            </w:r>
          </w:p>
          <w:p w14:paraId="127EC5F0">
            <w:pPr>
              <w:pStyle w:val="31"/>
              <w:rPr>
                <w:rFonts w:cs="Times New Roman"/>
                <w:color w:val="auto"/>
                <w:highlight w:val="none"/>
              </w:rPr>
            </w:pPr>
            <w:r>
              <w:rPr>
                <w:rFonts w:cs="Times New Roman"/>
                <w:color w:val="auto"/>
                <w:highlight w:val="none"/>
              </w:rPr>
              <w:t>表2-1 项目组成一览表</w:t>
            </w:r>
          </w:p>
          <w:tbl>
            <w:tblPr>
              <w:tblStyle w:val="25"/>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414"/>
              <w:gridCol w:w="1206"/>
              <w:gridCol w:w="5065"/>
              <w:gridCol w:w="918"/>
            </w:tblGrid>
            <w:tr w14:paraId="429D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3" w:type="pct"/>
                  <w:gridSpan w:val="2"/>
                  <w:tcBorders>
                    <w:tl2br w:val="nil"/>
                    <w:tr2bl w:val="nil"/>
                  </w:tcBorders>
                  <w:vAlign w:val="center"/>
                </w:tcPr>
                <w:p w14:paraId="28BE8473">
                  <w:pPr>
                    <w:pStyle w:val="30"/>
                    <w:jc w:val="center"/>
                    <w:rPr>
                      <w:b/>
                      <w:bCs/>
                      <w:color w:val="auto"/>
                      <w:highlight w:val="none"/>
                    </w:rPr>
                  </w:pPr>
                  <w:r>
                    <w:rPr>
                      <w:b/>
                      <w:bCs/>
                      <w:color w:val="auto"/>
                      <w:highlight w:val="none"/>
                    </w:rPr>
                    <w:t>项目组成</w:t>
                  </w:r>
                </w:p>
              </w:tc>
              <w:tc>
                <w:tcPr>
                  <w:tcW w:w="3380" w:type="pct"/>
                  <w:gridSpan w:val="2"/>
                  <w:tcBorders>
                    <w:tl2br w:val="nil"/>
                    <w:tr2bl w:val="nil"/>
                  </w:tcBorders>
                  <w:vAlign w:val="center"/>
                </w:tcPr>
                <w:p w14:paraId="273E9D93">
                  <w:pPr>
                    <w:pStyle w:val="30"/>
                    <w:jc w:val="center"/>
                    <w:rPr>
                      <w:b/>
                      <w:bCs/>
                      <w:color w:val="auto"/>
                      <w:highlight w:val="none"/>
                    </w:rPr>
                  </w:pPr>
                  <w:r>
                    <w:rPr>
                      <w:b/>
                      <w:bCs/>
                      <w:color w:val="auto"/>
                      <w:highlight w:val="none"/>
                    </w:rPr>
                    <w:t>建设内容</w:t>
                  </w:r>
                </w:p>
              </w:tc>
              <w:tc>
                <w:tcPr>
                  <w:tcW w:w="495" w:type="pct"/>
                  <w:tcBorders>
                    <w:tl2br w:val="nil"/>
                    <w:tr2bl w:val="nil"/>
                  </w:tcBorders>
                  <w:vAlign w:val="center"/>
                </w:tcPr>
                <w:p w14:paraId="1568314B">
                  <w:pPr>
                    <w:pStyle w:val="30"/>
                    <w:jc w:val="center"/>
                    <w:rPr>
                      <w:b/>
                      <w:bCs/>
                      <w:color w:val="auto"/>
                      <w:highlight w:val="none"/>
                    </w:rPr>
                  </w:pPr>
                  <w:r>
                    <w:rPr>
                      <w:b/>
                      <w:bCs/>
                      <w:color w:val="auto"/>
                      <w:highlight w:val="none"/>
                    </w:rPr>
                    <w:t>备注</w:t>
                  </w:r>
                </w:p>
              </w:tc>
            </w:tr>
            <w:tr w14:paraId="2E74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61" w:type="pct"/>
                  <w:tcBorders>
                    <w:tl2br w:val="nil"/>
                    <w:tr2bl w:val="nil"/>
                  </w:tcBorders>
                  <w:vAlign w:val="center"/>
                </w:tcPr>
                <w:p w14:paraId="1029D465">
                  <w:pPr>
                    <w:pStyle w:val="30"/>
                    <w:jc w:val="center"/>
                    <w:rPr>
                      <w:color w:val="auto"/>
                      <w:highlight w:val="none"/>
                    </w:rPr>
                  </w:pPr>
                  <w:r>
                    <w:rPr>
                      <w:color w:val="auto"/>
                      <w:highlight w:val="none"/>
                    </w:rPr>
                    <w:t>主体工程</w:t>
                  </w:r>
                </w:p>
              </w:tc>
              <w:tc>
                <w:tcPr>
                  <w:tcW w:w="762" w:type="pct"/>
                  <w:tcBorders>
                    <w:tl2br w:val="nil"/>
                    <w:tr2bl w:val="nil"/>
                  </w:tcBorders>
                  <w:vAlign w:val="center"/>
                </w:tcPr>
                <w:p w14:paraId="61EC1639">
                  <w:pPr>
                    <w:pStyle w:val="30"/>
                    <w:jc w:val="center"/>
                    <w:rPr>
                      <w:rFonts w:hint="eastAsia" w:eastAsia="宋体"/>
                      <w:color w:val="auto"/>
                      <w:highlight w:val="none"/>
                      <w:lang w:eastAsia="zh-CN"/>
                    </w:rPr>
                  </w:pPr>
                  <w:r>
                    <w:rPr>
                      <w:rFonts w:hint="eastAsia"/>
                      <w:color w:val="auto"/>
                      <w:highlight w:val="none"/>
                      <w:lang w:val="en-US" w:eastAsia="zh-CN"/>
                    </w:rPr>
                    <w:t>生产厂房</w:t>
                  </w:r>
                </w:p>
              </w:tc>
              <w:tc>
                <w:tcPr>
                  <w:tcW w:w="3380" w:type="pct"/>
                  <w:gridSpan w:val="2"/>
                  <w:tcBorders>
                    <w:tl2br w:val="nil"/>
                    <w:tr2bl w:val="nil"/>
                  </w:tcBorders>
                  <w:vAlign w:val="center"/>
                </w:tcPr>
                <w:p w14:paraId="28464B19">
                  <w:pPr>
                    <w:pStyle w:val="30"/>
                    <w:jc w:val="both"/>
                    <w:rPr>
                      <w:rFonts w:hint="eastAsia" w:eastAsia="宋体"/>
                      <w:color w:val="auto"/>
                      <w:highlight w:val="none"/>
                      <w:lang w:eastAsia="zh-CN"/>
                    </w:rPr>
                  </w:pPr>
                  <w:r>
                    <w:rPr>
                      <w:rFonts w:hint="eastAsia"/>
                      <w:color w:val="auto"/>
                      <w:highlight w:val="none"/>
                      <w:lang w:val="en-US" w:eastAsia="zh-CN"/>
                    </w:rPr>
                    <w:t>封闭式钢构厂房</w:t>
                  </w:r>
                  <w:r>
                    <w:rPr>
                      <w:rFonts w:hint="eastAsia"/>
                      <w:color w:val="auto"/>
                      <w:highlight w:val="none"/>
                      <w:lang w:eastAsia="zh-CN"/>
                    </w:rPr>
                    <w:t>，建筑面积</w:t>
                  </w:r>
                  <w:r>
                    <w:rPr>
                      <w:rFonts w:hint="eastAsia"/>
                      <w:color w:val="auto"/>
                      <w:highlight w:val="none"/>
                      <w:lang w:val="en-US" w:eastAsia="zh-CN"/>
                    </w:rPr>
                    <w:t>约18981.43</w:t>
                  </w:r>
                  <w:r>
                    <w:rPr>
                      <w:color w:val="auto"/>
                      <w:highlight w:val="none"/>
                    </w:rPr>
                    <w:t>m</w:t>
                  </w:r>
                  <w:r>
                    <w:rPr>
                      <w:color w:val="auto"/>
                      <w:highlight w:val="none"/>
                      <w:vertAlign w:val="superscript"/>
                    </w:rPr>
                    <w:t>2</w:t>
                  </w:r>
                  <w:r>
                    <w:rPr>
                      <w:rFonts w:hint="eastAsia"/>
                      <w:color w:val="auto"/>
                      <w:highlight w:val="none"/>
                      <w:lang w:val="en-US" w:eastAsia="zh-CN"/>
                    </w:rPr>
                    <w:t>，位于厂区西侧</w:t>
                  </w:r>
                  <w:r>
                    <w:rPr>
                      <w:rFonts w:hint="eastAsia"/>
                      <w:color w:val="auto"/>
                      <w:highlight w:val="none"/>
                      <w:lang w:eastAsia="zh-CN"/>
                    </w:rPr>
                    <w:t>。</w:t>
                  </w:r>
                  <w:r>
                    <w:rPr>
                      <w:rFonts w:hint="eastAsia"/>
                      <w:color w:val="auto"/>
                      <w:highlight w:val="none"/>
                      <w:lang w:val="en-US" w:eastAsia="zh-CN"/>
                    </w:rPr>
                    <w:t>购置</w:t>
                  </w:r>
                  <w:r>
                    <w:rPr>
                      <w:rFonts w:hint="eastAsia" w:cs="Times New Roman"/>
                      <w:color w:val="auto"/>
                      <w:highlight w:val="none"/>
                      <w:lang w:val="en-US" w:eastAsia="zh-CN"/>
                    </w:rPr>
                    <w:t>破碎机、筛分机、</w:t>
                  </w:r>
                  <w:r>
                    <w:rPr>
                      <w:rFonts w:cs="Times New Roman"/>
                      <w:color w:val="auto"/>
                      <w:highlight w:val="none"/>
                    </w:rPr>
                    <w:t>水泥筒仓、搅拌</w:t>
                  </w:r>
                  <w:r>
                    <w:rPr>
                      <w:rFonts w:hint="eastAsia" w:cs="Times New Roman"/>
                      <w:color w:val="auto"/>
                      <w:highlight w:val="none"/>
                      <w:lang w:val="en-US" w:eastAsia="zh-CN"/>
                    </w:rPr>
                    <w:t>机</w:t>
                  </w:r>
                  <w:r>
                    <w:rPr>
                      <w:rFonts w:cs="Times New Roman"/>
                      <w:color w:val="auto"/>
                      <w:highlight w:val="none"/>
                    </w:rPr>
                    <w:t>、传送带等生产设备及辅助设施</w:t>
                  </w:r>
                  <w:r>
                    <w:rPr>
                      <w:rFonts w:hint="eastAsia" w:cs="Times New Roman"/>
                      <w:color w:val="auto"/>
                      <w:highlight w:val="none"/>
                      <w:lang w:eastAsia="zh-CN"/>
                    </w:rPr>
                    <w:t>，</w:t>
                  </w:r>
                  <w:r>
                    <w:rPr>
                      <w:rFonts w:hint="eastAsia"/>
                      <w:color w:val="auto"/>
                      <w:highlight w:val="none"/>
                      <w:lang w:val="en-US" w:eastAsia="zh-CN"/>
                    </w:rPr>
                    <w:t>在</w:t>
                  </w:r>
                  <w:r>
                    <w:rPr>
                      <w:color w:val="auto"/>
                      <w:highlight w:val="none"/>
                    </w:rPr>
                    <w:t>厂房内</w:t>
                  </w:r>
                  <w:r>
                    <w:rPr>
                      <w:rFonts w:hint="eastAsia"/>
                      <w:color w:val="auto"/>
                      <w:highlight w:val="none"/>
                      <w:lang w:val="en-US" w:eastAsia="zh-CN"/>
                    </w:rPr>
                    <w:t>建设</w:t>
                  </w:r>
                  <w:r>
                    <w:rPr>
                      <w:rFonts w:hint="eastAsia" w:cs="Times New Roman"/>
                      <w:color w:val="auto"/>
                      <w:highlight w:val="none"/>
                      <w:lang w:val="en-US" w:eastAsia="zh-CN"/>
                    </w:rPr>
                    <w:t>机制骨料生产线</w:t>
                  </w:r>
                  <w:r>
                    <w:rPr>
                      <w:rFonts w:hint="eastAsia"/>
                      <w:color w:val="auto"/>
                      <w:highlight w:val="none"/>
                      <w:lang w:val="en-US" w:eastAsia="zh-CN"/>
                    </w:rPr>
                    <w:t>1条，水泥稳定材料生产线1条。</w:t>
                  </w:r>
                </w:p>
              </w:tc>
              <w:tc>
                <w:tcPr>
                  <w:tcW w:w="495" w:type="pct"/>
                  <w:tcBorders>
                    <w:tl2br w:val="nil"/>
                    <w:tr2bl w:val="nil"/>
                  </w:tcBorders>
                  <w:vAlign w:val="center"/>
                </w:tcPr>
                <w:p w14:paraId="511E5A4E">
                  <w:pPr>
                    <w:pStyle w:val="30"/>
                    <w:jc w:val="center"/>
                    <w:rPr>
                      <w:rFonts w:hint="default" w:eastAsia="宋体"/>
                      <w:color w:val="auto"/>
                      <w:highlight w:val="none"/>
                      <w:vertAlign w:val="baseline"/>
                      <w:lang w:val="en-US" w:eastAsia="zh-CN"/>
                    </w:rPr>
                  </w:pPr>
                  <w:r>
                    <w:rPr>
                      <w:rFonts w:hint="eastAsia" w:cs="Times New Roman"/>
                      <w:color w:val="auto"/>
                      <w:highlight w:val="none"/>
                      <w:lang w:val="en-US" w:eastAsia="zh-CN"/>
                    </w:rPr>
                    <w:t>租赁原有厂房</w:t>
                  </w:r>
                </w:p>
              </w:tc>
            </w:tr>
            <w:tr w14:paraId="76D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61" w:type="pct"/>
                  <w:vMerge w:val="restart"/>
                  <w:tcBorders>
                    <w:tl2br w:val="nil"/>
                    <w:tr2bl w:val="nil"/>
                  </w:tcBorders>
                  <w:vAlign w:val="center"/>
                </w:tcPr>
                <w:p w14:paraId="182F00B4">
                  <w:pPr>
                    <w:pStyle w:val="30"/>
                    <w:jc w:val="center"/>
                    <w:rPr>
                      <w:color w:val="auto"/>
                      <w:highlight w:val="none"/>
                    </w:rPr>
                  </w:pPr>
                  <w:r>
                    <w:rPr>
                      <w:color w:val="auto"/>
                      <w:highlight w:val="none"/>
                    </w:rPr>
                    <w:t>储运工程</w:t>
                  </w:r>
                </w:p>
              </w:tc>
              <w:tc>
                <w:tcPr>
                  <w:tcW w:w="762" w:type="pct"/>
                  <w:tcBorders>
                    <w:tl2br w:val="nil"/>
                    <w:tr2bl w:val="nil"/>
                  </w:tcBorders>
                  <w:vAlign w:val="center"/>
                </w:tcPr>
                <w:p w14:paraId="325E3870">
                  <w:pPr>
                    <w:pStyle w:val="30"/>
                    <w:jc w:val="center"/>
                    <w:rPr>
                      <w:rFonts w:hint="default" w:eastAsia="宋体"/>
                      <w:color w:val="auto"/>
                      <w:highlight w:val="none"/>
                      <w:lang w:val="en-US" w:eastAsia="zh-CN"/>
                    </w:rPr>
                  </w:pPr>
                  <w:r>
                    <w:rPr>
                      <w:rFonts w:hint="eastAsia"/>
                      <w:color w:val="auto"/>
                      <w:highlight w:val="none"/>
                      <w:lang w:val="en-US" w:eastAsia="zh-CN"/>
                    </w:rPr>
                    <w:t>原料区</w:t>
                  </w:r>
                </w:p>
              </w:tc>
              <w:tc>
                <w:tcPr>
                  <w:tcW w:w="3380" w:type="pct"/>
                  <w:gridSpan w:val="2"/>
                  <w:tcBorders>
                    <w:tl2br w:val="nil"/>
                    <w:tr2bl w:val="nil"/>
                  </w:tcBorders>
                  <w:vAlign w:val="center"/>
                </w:tcPr>
                <w:p w14:paraId="5C0C0E28">
                  <w:pPr>
                    <w:pStyle w:val="30"/>
                    <w:jc w:val="both"/>
                    <w:rPr>
                      <w:rFonts w:hint="eastAsia" w:eastAsia="宋体"/>
                      <w:color w:val="auto"/>
                      <w:highlight w:val="none"/>
                      <w:vertAlign w:val="baseline"/>
                      <w:lang w:val="en-US" w:eastAsia="zh-CN"/>
                    </w:rPr>
                  </w:pPr>
                  <w:r>
                    <w:rPr>
                      <w:rFonts w:hint="eastAsia"/>
                      <w:color w:val="auto"/>
                      <w:highlight w:val="none"/>
                      <w:lang w:eastAsia="zh-CN"/>
                    </w:rPr>
                    <w:t>建筑面积</w:t>
                  </w:r>
                  <w:r>
                    <w:rPr>
                      <w:rFonts w:hint="eastAsia"/>
                      <w:color w:val="auto"/>
                      <w:highlight w:val="none"/>
                      <w:lang w:val="en-US" w:eastAsia="zh-CN"/>
                    </w:rPr>
                    <w:t>约5000</w:t>
                  </w:r>
                  <w:r>
                    <w:rPr>
                      <w:color w:val="auto"/>
                      <w:highlight w:val="none"/>
                    </w:rPr>
                    <w:t>m</w:t>
                  </w:r>
                  <w:r>
                    <w:rPr>
                      <w:color w:val="auto"/>
                      <w:highlight w:val="none"/>
                      <w:vertAlign w:val="superscript"/>
                    </w:rPr>
                    <w:t>2</w:t>
                  </w:r>
                  <w:r>
                    <w:rPr>
                      <w:rFonts w:hint="eastAsia"/>
                      <w:color w:val="auto"/>
                      <w:highlight w:val="none"/>
                      <w:lang w:val="en-US" w:eastAsia="zh-CN"/>
                    </w:rPr>
                    <w:t>，位于生产厂房西侧。用于堆放收购入场的建筑废弃物。</w:t>
                  </w:r>
                </w:p>
              </w:tc>
              <w:tc>
                <w:tcPr>
                  <w:tcW w:w="495" w:type="pct"/>
                  <w:tcBorders>
                    <w:tl2br w:val="nil"/>
                    <w:tr2bl w:val="nil"/>
                  </w:tcBorders>
                  <w:vAlign w:val="center"/>
                </w:tcPr>
                <w:p w14:paraId="5EBC1322">
                  <w:pPr>
                    <w:pStyle w:val="30"/>
                    <w:jc w:val="center"/>
                    <w:rPr>
                      <w:rFonts w:hint="default"/>
                      <w:color w:val="auto"/>
                      <w:highlight w:val="none"/>
                      <w:lang w:val="en-US" w:eastAsia="zh-CN"/>
                    </w:rPr>
                  </w:pPr>
                  <w:r>
                    <w:rPr>
                      <w:rFonts w:hint="eastAsia"/>
                      <w:color w:val="auto"/>
                      <w:highlight w:val="none"/>
                      <w:lang w:val="en-US" w:eastAsia="zh-CN"/>
                    </w:rPr>
                    <w:t>利旧</w:t>
                  </w:r>
                </w:p>
              </w:tc>
            </w:tr>
            <w:tr w14:paraId="376C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0F84ABB9">
                  <w:pPr>
                    <w:pStyle w:val="30"/>
                    <w:jc w:val="center"/>
                    <w:rPr>
                      <w:color w:val="auto"/>
                      <w:highlight w:val="none"/>
                    </w:rPr>
                  </w:pPr>
                </w:p>
              </w:tc>
              <w:tc>
                <w:tcPr>
                  <w:tcW w:w="762" w:type="pct"/>
                  <w:tcBorders>
                    <w:tl2br w:val="nil"/>
                    <w:tr2bl w:val="nil"/>
                  </w:tcBorders>
                  <w:vAlign w:val="center"/>
                </w:tcPr>
                <w:p w14:paraId="1E7833CF">
                  <w:pPr>
                    <w:pStyle w:val="30"/>
                    <w:jc w:val="center"/>
                    <w:rPr>
                      <w:color w:val="auto"/>
                      <w:highlight w:val="none"/>
                    </w:rPr>
                  </w:pPr>
                  <w:r>
                    <w:rPr>
                      <w:color w:val="auto"/>
                      <w:highlight w:val="none"/>
                    </w:rPr>
                    <w:t>水泥筒仓</w:t>
                  </w:r>
                </w:p>
              </w:tc>
              <w:tc>
                <w:tcPr>
                  <w:tcW w:w="3380" w:type="pct"/>
                  <w:gridSpan w:val="2"/>
                  <w:tcBorders>
                    <w:tl2br w:val="nil"/>
                    <w:tr2bl w:val="nil"/>
                  </w:tcBorders>
                  <w:vAlign w:val="center"/>
                </w:tcPr>
                <w:p w14:paraId="15AEC2AB">
                  <w:pPr>
                    <w:pStyle w:val="30"/>
                    <w:jc w:val="both"/>
                    <w:rPr>
                      <w:color w:val="auto"/>
                      <w:highlight w:val="none"/>
                    </w:rPr>
                  </w:pPr>
                  <w:r>
                    <w:rPr>
                      <w:color w:val="auto"/>
                      <w:highlight w:val="none"/>
                    </w:rPr>
                    <w:t>位于</w:t>
                  </w:r>
                  <w:r>
                    <w:rPr>
                      <w:rFonts w:hint="eastAsia"/>
                      <w:color w:val="auto"/>
                      <w:highlight w:val="none"/>
                      <w:lang w:val="en-US" w:eastAsia="zh-CN"/>
                    </w:rPr>
                    <w:t>生产厂房水稳材料生产线拌合站</w:t>
                  </w:r>
                  <w:r>
                    <w:rPr>
                      <w:color w:val="auto"/>
                      <w:highlight w:val="none"/>
                    </w:rPr>
                    <w:t>，设置</w:t>
                  </w:r>
                  <w:r>
                    <w:rPr>
                      <w:rFonts w:hint="eastAsia"/>
                      <w:color w:val="auto"/>
                      <w:highlight w:val="none"/>
                      <w:lang w:val="en-US" w:eastAsia="zh-CN"/>
                    </w:rPr>
                    <w:t>2</w:t>
                  </w:r>
                  <w:r>
                    <w:rPr>
                      <w:color w:val="auto"/>
                      <w:highlight w:val="none"/>
                    </w:rPr>
                    <w:t>座水泥筒仓，每个筒仓均为100t。</w:t>
                  </w:r>
                </w:p>
              </w:tc>
              <w:tc>
                <w:tcPr>
                  <w:tcW w:w="495" w:type="pct"/>
                  <w:tcBorders>
                    <w:tl2br w:val="nil"/>
                    <w:tr2bl w:val="nil"/>
                  </w:tcBorders>
                  <w:vAlign w:val="center"/>
                </w:tcPr>
                <w:p w14:paraId="0E77ABC0">
                  <w:pPr>
                    <w:pStyle w:val="30"/>
                    <w:jc w:val="center"/>
                    <w:rPr>
                      <w:rFonts w:hint="eastAsia" w:eastAsia="宋体"/>
                      <w:color w:val="auto"/>
                      <w:highlight w:val="none"/>
                      <w:lang w:eastAsia="zh-CN"/>
                    </w:rPr>
                  </w:pPr>
                  <w:r>
                    <w:rPr>
                      <w:rFonts w:hint="eastAsia"/>
                      <w:color w:val="auto"/>
                      <w:highlight w:val="none"/>
                      <w:lang w:val="en-US" w:eastAsia="zh-CN"/>
                    </w:rPr>
                    <w:t>利旧</w:t>
                  </w:r>
                </w:p>
              </w:tc>
            </w:tr>
            <w:tr w14:paraId="4B11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40FC8EC3">
                  <w:pPr>
                    <w:pStyle w:val="30"/>
                    <w:jc w:val="center"/>
                    <w:rPr>
                      <w:color w:val="auto"/>
                      <w:highlight w:val="none"/>
                    </w:rPr>
                  </w:pPr>
                </w:p>
              </w:tc>
              <w:tc>
                <w:tcPr>
                  <w:tcW w:w="762" w:type="pct"/>
                  <w:tcBorders>
                    <w:tl2br w:val="nil"/>
                    <w:tr2bl w:val="nil"/>
                  </w:tcBorders>
                  <w:vAlign w:val="center"/>
                </w:tcPr>
                <w:p w14:paraId="199BF6EE">
                  <w:pPr>
                    <w:pStyle w:val="30"/>
                    <w:jc w:val="center"/>
                    <w:rPr>
                      <w:color w:val="auto"/>
                      <w:highlight w:val="none"/>
                    </w:rPr>
                  </w:pPr>
                  <w:r>
                    <w:rPr>
                      <w:color w:val="auto"/>
                      <w:highlight w:val="none"/>
                    </w:rPr>
                    <w:t>成品运输</w:t>
                  </w:r>
                </w:p>
              </w:tc>
              <w:tc>
                <w:tcPr>
                  <w:tcW w:w="3380" w:type="pct"/>
                  <w:gridSpan w:val="2"/>
                  <w:tcBorders>
                    <w:tl2br w:val="nil"/>
                    <w:tr2bl w:val="nil"/>
                  </w:tcBorders>
                  <w:vAlign w:val="center"/>
                </w:tcPr>
                <w:p w14:paraId="39AFF2A0">
                  <w:pPr>
                    <w:pStyle w:val="30"/>
                    <w:jc w:val="both"/>
                    <w:rPr>
                      <w:rFonts w:hint="eastAsia"/>
                      <w:color w:val="auto"/>
                      <w:highlight w:val="none"/>
                      <w:lang w:val="en-US" w:eastAsia="zh-CN"/>
                    </w:rPr>
                  </w:pPr>
                  <w:r>
                    <w:rPr>
                      <w:rFonts w:hint="eastAsia"/>
                      <w:color w:val="auto"/>
                      <w:highlight w:val="none"/>
                      <w:lang w:val="en-US" w:eastAsia="zh-CN"/>
                    </w:rPr>
                    <w:t>机制骨料生产线的成品（再生骨料颗粒）堆放于生产厂房内成品堆放区，占地约3000</w:t>
                  </w:r>
                  <w:r>
                    <w:rPr>
                      <w:color w:val="auto"/>
                      <w:highlight w:val="none"/>
                    </w:rPr>
                    <w:t>m</w:t>
                  </w:r>
                  <w:r>
                    <w:rPr>
                      <w:color w:val="auto"/>
                      <w:highlight w:val="none"/>
                      <w:vertAlign w:val="superscript"/>
                    </w:rPr>
                    <w:t>2</w:t>
                  </w:r>
                  <w:r>
                    <w:rPr>
                      <w:rFonts w:hint="eastAsia"/>
                      <w:color w:val="auto"/>
                      <w:highlight w:val="none"/>
                      <w:lang w:val="en-US" w:eastAsia="zh-CN"/>
                    </w:rPr>
                    <w:t>。</w:t>
                  </w:r>
                </w:p>
                <w:p w14:paraId="6CA461CA">
                  <w:pPr>
                    <w:pStyle w:val="30"/>
                    <w:jc w:val="both"/>
                    <w:rPr>
                      <w:color w:val="auto"/>
                      <w:highlight w:val="none"/>
                    </w:rPr>
                  </w:pPr>
                  <w:r>
                    <w:rPr>
                      <w:color w:val="auto"/>
                      <w:highlight w:val="none"/>
                    </w:rPr>
                    <w:t>水泥稳定材料</w:t>
                  </w:r>
                  <w:r>
                    <w:rPr>
                      <w:rFonts w:hint="eastAsia"/>
                      <w:color w:val="auto"/>
                      <w:highlight w:val="none"/>
                      <w:lang w:val="en-US" w:eastAsia="zh-CN"/>
                    </w:rPr>
                    <w:t>原料堆放于水稳原料仓，占地约2000</w:t>
                  </w:r>
                  <w:r>
                    <w:rPr>
                      <w:color w:val="auto"/>
                      <w:highlight w:val="none"/>
                    </w:rPr>
                    <w:t>m</w:t>
                  </w:r>
                  <w:r>
                    <w:rPr>
                      <w:color w:val="auto"/>
                      <w:highlight w:val="none"/>
                      <w:vertAlign w:val="superscript"/>
                    </w:rPr>
                    <w:t>2</w:t>
                  </w:r>
                  <w:r>
                    <w:rPr>
                      <w:rFonts w:hint="eastAsia"/>
                      <w:color w:val="auto"/>
                      <w:highlight w:val="none"/>
                      <w:lang w:val="en-US" w:eastAsia="zh-CN"/>
                    </w:rPr>
                    <w:t>。</w:t>
                  </w:r>
                  <w:r>
                    <w:rPr>
                      <w:color w:val="auto"/>
                      <w:highlight w:val="none"/>
                    </w:rPr>
                    <w:t>成品通过装卸台由外部运输车辆</w:t>
                  </w:r>
                  <w:r>
                    <w:rPr>
                      <w:rFonts w:hint="eastAsia"/>
                      <w:color w:val="auto"/>
                      <w:highlight w:val="none"/>
                      <w:lang w:val="en-US" w:eastAsia="zh-CN"/>
                    </w:rPr>
                    <w:t>直接</w:t>
                  </w:r>
                  <w:r>
                    <w:rPr>
                      <w:color w:val="auto"/>
                      <w:highlight w:val="none"/>
                    </w:rPr>
                    <w:t>运输至建筑工地</w:t>
                  </w:r>
                  <w:r>
                    <w:rPr>
                      <w:rFonts w:hint="eastAsia"/>
                      <w:color w:val="auto"/>
                      <w:highlight w:val="none"/>
                      <w:lang w:eastAsia="zh-CN"/>
                    </w:rPr>
                    <w:t>，</w:t>
                  </w:r>
                  <w:r>
                    <w:rPr>
                      <w:color w:val="auto"/>
                      <w:highlight w:val="none"/>
                    </w:rPr>
                    <w:t>项目地不设</w:t>
                  </w:r>
                  <w:r>
                    <w:rPr>
                      <w:rFonts w:hint="eastAsia"/>
                      <w:color w:val="auto"/>
                      <w:highlight w:val="none"/>
                      <w:lang w:val="en-US" w:eastAsia="zh-CN"/>
                    </w:rPr>
                    <w:t>水稳料</w:t>
                  </w:r>
                  <w:r>
                    <w:rPr>
                      <w:color w:val="auto"/>
                      <w:highlight w:val="none"/>
                    </w:rPr>
                    <w:t>成品区。</w:t>
                  </w:r>
                  <w:r>
                    <w:rPr>
                      <w:rFonts w:hint="eastAsia"/>
                      <w:color w:val="auto"/>
                      <w:highlight w:val="none"/>
                      <w:lang w:val="en-US" w:eastAsia="zh-CN"/>
                    </w:rPr>
                    <w:t>厂内地面均硬化。</w:t>
                  </w:r>
                </w:p>
              </w:tc>
              <w:tc>
                <w:tcPr>
                  <w:tcW w:w="495" w:type="pct"/>
                  <w:tcBorders>
                    <w:tl2br w:val="nil"/>
                    <w:tr2bl w:val="nil"/>
                  </w:tcBorders>
                  <w:vAlign w:val="center"/>
                </w:tcPr>
                <w:p w14:paraId="4768C05C">
                  <w:pPr>
                    <w:pStyle w:val="30"/>
                    <w:jc w:val="center"/>
                    <w:rPr>
                      <w:color w:val="auto"/>
                      <w:highlight w:val="none"/>
                    </w:rPr>
                  </w:pPr>
                  <w:r>
                    <w:rPr>
                      <w:rFonts w:hint="eastAsia"/>
                      <w:color w:val="auto"/>
                      <w:highlight w:val="none"/>
                      <w:lang w:val="en-US" w:eastAsia="zh-CN"/>
                    </w:rPr>
                    <w:t>利旧</w:t>
                  </w:r>
                </w:p>
              </w:tc>
            </w:tr>
            <w:tr w14:paraId="6D34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restart"/>
                  <w:tcBorders>
                    <w:tl2br w:val="nil"/>
                    <w:tr2bl w:val="nil"/>
                  </w:tcBorders>
                  <w:vAlign w:val="center"/>
                </w:tcPr>
                <w:p w14:paraId="1B725C7E">
                  <w:pPr>
                    <w:pStyle w:val="30"/>
                    <w:jc w:val="center"/>
                    <w:rPr>
                      <w:color w:val="auto"/>
                      <w:highlight w:val="none"/>
                    </w:rPr>
                  </w:pPr>
                  <w:r>
                    <w:rPr>
                      <w:color w:val="auto"/>
                      <w:highlight w:val="none"/>
                    </w:rPr>
                    <w:t>辅助工程</w:t>
                  </w:r>
                </w:p>
              </w:tc>
              <w:tc>
                <w:tcPr>
                  <w:tcW w:w="762" w:type="pct"/>
                  <w:tcBorders>
                    <w:tl2br w:val="nil"/>
                    <w:tr2bl w:val="nil"/>
                  </w:tcBorders>
                  <w:vAlign w:val="center"/>
                </w:tcPr>
                <w:p w14:paraId="29330148">
                  <w:pPr>
                    <w:pStyle w:val="30"/>
                    <w:jc w:val="center"/>
                    <w:rPr>
                      <w:color w:val="auto"/>
                      <w:highlight w:val="none"/>
                    </w:rPr>
                  </w:pPr>
                  <w:r>
                    <w:rPr>
                      <w:color w:val="auto"/>
                      <w:highlight w:val="none"/>
                    </w:rPr>
                    <w:t>办公区</w:t>
                  </w:r>
                </w:p>
              </w:tc>
              <w:tc>
                <w:tcPr>
                  <w:tcW w:w="3380" w:type="pct"/>
                  <w:gridSpan w:val="2"/>
                  <w:tcBorders>
                    <w:tl2br w:val="nil"/>
                    <w:tr2bl w:val="nil"/>
                  </w:tcBorders>
                  <w:vAlign w:val="center"/>
                </w:tcPr>
                <w:p w14:paraId="178AFD65">
                  <w:pPr>
                    <w:spacing w:line="240" w:lineRule="auto"/>
                    <w:jc w:val="both"/>
                    <w:rPr>
                      <w:rFonts w:eastAsia="宋体" w:cs="Times New Roman"/>
                      <w:color w:val="auto"/>
                      <w:sz w:val="21"/>
                      <w:szCs w:val="21"/>
                      <w:highlight w:val="none"/>
                    </w:rPr>
                  </w:pPr>
                  <w:r>
                    <w:rPr>
                      <w:rFonts w:hint="eastAsia" w:eastAsia="宋体" w:cs="Times New Roman"/>
                      <w:color w:val="auto"/>
                      <w:sz w:val="21"/>
                      <w:szCs w:val="21"/>
                      <w:highlight w:val="none"/>
                      <w:lang w:val="en-US" w:eastAsia="zh-CN"/>
                    </w:rPr>
                    <w:t>1栋办公楼，</w:t>
                  </w:r>
                  <w:r>
                    <w:rPr>
                      <w:rFonts w:hint="eastAsia" w:eastAsia="宋体" w:cs="Times New Roman"/>
                      <w:color w:val="auto"/>
                      <w:sz w:val="21"/>
                      <w:szCs w:val="21"/>
                      <w:highlight w:val="none"/>
                      <w:lang w:eastAsia="zh-CN"/>
                    </w:rPr>
                    <w:t>位于厂区</w:t>
                  </w:r>
                  <w:r>
                    <w:rPr>
                      <w:rFonts w:hint="eastAsia" w:eastAsia="宋体" w:cs="Times New Roman"/>
                      <w:color w:val="auto"/>
                      <w:sz w:val="21"/>
                      <w:szCs w:val="21"/>
                      <w:highlight w:val="none"/>
                      <w:lang w:val="en-US" w:eastAsia="zh-CN"/>
                    </w:rPr>
                    <w:t>东北侧</w:t>
                  </w:r>
                  <w:r>
                    <w:rPr>
                      <w:rFonts w:hint="eastAsia" w:eastAsia="宋体" w:cs="Times New Roman"/>
                      <w:color w:val="auto"/>
                      <w:sz w:val="21"/>
                      <w:szCs w:val="21"/>
                      <w:highlight w:val="none"/>
                      <w:lang w:eastAsia="zh-CN"/>
                    </w:rPr>
                    <w:t>，</w:t>
                  </w:r>
                  <w:r>
                    <w:rPr>
                      <w:rFonts w:eastAsia="宋体" w:cs="Times New Roman"/>
                      <w:color w:val="auto"/>
                      <w:sz w:val="21"/>
                      <w:szCs w:val="21"/>
                      <w:highlight w:val="none"/>
                    </w:rPr>
                    <w:t>建筑面积约</w:t>
                  </w:r>
                  <w:r>
                    <w:rPr>
                      <w:rFonts w:hint="eastAsia" w:eastAsia="宋体" w:cs="Times New Roman"/>
                      <w:color w:val="auto"/>
                      <w:sz w:val="21"/>
                      <w:szCs w:val="21"/>
                      <w:highlight w:val="none"/>
                      <w:lang w:val="en-US" w:eastAsia="zh-CN"/>
                    </w:rPr>
                    <w:t>500</w:t>
                  </w:r>
                  <w:r>
                    <w:rPr>
                      <w:rFonts w:eastAsia="宋体" w:cs="Times New Roman"/>
                      <w:color w:val="auto"/>
                      <w:sz w:val="21"/>
                      <w:szCs w:val="21"/>
                      <w:highlight w:val="none"/>
                    </w:rPr>
                    <w:t>m</w:t>
                  </w:r>
                  <w:r>
                    <w:rPr>
                      <w:rFonts w:eastAsia="宋体" w:cs="Times New Roman"/>
                      <w:color w:val="auto"/>
                      <w:sz w:val="21"/>
                      <w:szCs w:val="21"/>
                      <w:highlight w:val="none"/>
                      <w:vertAlign w:val="superscript"/>
                    </w:rPr>
                    <w:t>2</w:t>
                  </w:r>
                  <w:r>
                    <w:rPr>
                      <w:rFonts w:hint="eastAsia" w:eastAsia="宋体" w:cs="Times New Roman"/>
                      <w:color w:val="auto"/>
                      <w:sz w:val="21"/>
                      <w:szCs w:val="21"/>
                      <w:highlight w:val="none"/>
                      <w:lang w:val="en-US" w:eastAsia="zh-CN"/>
                    </w:rPr>
                    <w:t>。</w:t>
                  </w:r>
                  <w:r>
                    <w:rPr>
                      <w:rFonts w:hint="eastAsia" w:eastAsia="宋体" w:cs="Times New Roman"/>
                      <w:color w:val="auto"/>
                      <w:sz w:val="21"/>
                      <w:szCs w:val="21"/>
                      <w:highlight w:val="none"/>
                      <w:lang w:eastAsia="zh-CN"/>
                    </w:rPr>
                    <w:t>用于员工办公。</w:t>
                  </w:r>
                </w:p>
              </w:tc>
              <w:tc>
                <w:tcPr>
                  <w:tcW w:w="495" w:type="pct"/>
                  <w:tcBorders>
                    <w:tl2br w:val="nil"/>
                    <w:tr2bl w:val="nil"/>
                  </w:tcBorders>
                  <w:vAlign w:val="center"/>
                </w:tcPr>
                <w:p w14:paraId="2C3C4ACD">
                  <w:pPr>
                    <w:pStyle w:val="30"/>
                    <w:jc w:val="center"/>
                    <w:rPr>
                      <w:rFonts w:hint="default" w:eastAsia="宋体"/>
                      <w:color w:val="auto"/>
                      <w:highlight w:val="none"/>
                      <w:lang w:val="en-US" w:eastAsia="zh-CN"/>
                    </w:rPr>
                  </w:pPr>
                  <w:r>
                    <w:rPr>
                      <w:rFonts w:hint="eastAsia"/>
                      <w:color w:val="auto"/>
                      <w:highlight w:val="none"/>
                      <w:lang w:val="en-US" w:eastAsia="zh-CN"/>
                    </w:rPr>
                    <w:t>利旧</w:t>
                  </w:r>
                </w:p>
              </w:tc>
            </w:tr>
            <w:tr w14:paraId="1D97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176283EB">
                  <w:pPr>
                    <w:pStyle w:val="30"/>
                    <w:jc w:val="center"/>
                    <w:rPr>
                      <w:color w:val="auto"/>
                      <w:highlight w:val="none"/>
                    </w:rPr>
                  </w:pPr>
                </w:p>
              </w:tc>
              <w:tc>
                <w:tcPr>
                  <w:tcW w:w="762" w:type="pct"/>
                  <w:tcBorders>
                    <w:tl2br w:val="nil"/>
                    <w:tr2bl w:val="nil"/>
                  </w:tcBorders>
                  <w:vAlign w:val="center"/>
                </w:tcPr>
                <w:p w14:paraId="43F2AA2B">
                  <w:pPr>
                    <w:pStyle w:val="30"/>
                    <w:jc w:val="center"/>
                    <w:rPr>
                      <w:rFonts w:hint="eastAsia" w:eastAsia="宋体"/>
                      <w:color w:val="auto"/>
                      <w:highlight w:val="none"/>
                      <w:lang w:val="en-US" w:eastAsia="zh-CN"/>
                    </w:rPr>
                  </w:pPr>
                  <w:r>
                    <w:rPr>
                      <w:rFonts w:hint="eastAsia"/>
                      <w:color w:val="auto"/>
                      <w:highlight w:val="none"/>
                      <w:lang w:val="en-US" w:eastAsia="zh-CN"/>
                    </w:rPr>
                    <w:t>宿舍</w:t>
                  </w:r>
                </w:p>
              </w:tc>
              <w:tc>
                <w:tcPr>
                  <w:tcW w:w="3380" w:type="pct"/>
                  <w:gridSpan w:val="2"/>
                  <w:tcBorders>
                    <w:tl2br w:val="nil"/>
                    <w:tr2bl w:val="nil"/>
                  </w:tcBorders>
                  <w:vAlign w:val="center"/>
                </w:tcPr>
                <w:p w14:paraId="2E5363BF">
                  <w:pPr>
                    <w:spacing w:line="240" w:lineRule="auto"/>
                    <w:jc w:val="both"/>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1栋宿舍，位于厂区东南侧，建筑面积约300</w:t>
                  </w:r>
                  <w:r>
                    <w:rPr>
                      <w:rFonts w:eastAsia="宋体" w:cs="Times New Roman"/>
                      <w:color w:val="auto"/>
                      <w:sz w:val="21"/>
                      <w:szCs w:val="21"/>
                      <w:highlight w:val="none"/>
                    </w:rPr>
                    <w:t>m</w:t>
                  </w:r>
                  <w:r>
                    <w:rPr>
                      <w:rFonts w:eastAsia="宋体" w:cs="Times New Roman"/>
                      <w:color w:val="auto"/>
                      <w:sz w:val="21"/>
                      <w:szCs w:val="21"/>
                      <w:highlight w:val="none"/>
                      <w:vertAlign w:val="superscript"/>
                    </w:rPr>
                    <w:t>2</w:t>
                  </w:r>
                  <w:r>
                    <w:rPr>
                      <w:rFonts w:hint="eastAsia" w:eastAsia="宋体" w:cs="Times New Roman"/>
                      <w:color w:val="auto"/>
                      <w:sz w:val="21"/>
                      <w:szCs w:val="21"/>
                      <w:highlight w:val="none"/>
                      <w:lang w:val="en-US" w:eastAsia="zh-CN"/>
                    </w:rPr>
                    <w:t>。</w:t>
                  </w:r>
                </w:p>
              </w:tc>
              <w:tc>
                <w:tcPr>
                  <w:tcW w:w="495" w:type="pct"/>
                  <w:tcBorders>
                    <w:tl2br w:val="nil"/>
                    <w:tr2bl w:val="nil"/>
                  </w:tcBorders>
                  <w:vAlign w:val="center"/>
                </w:tcPr>
                <w:p w14:paraId="50D44BF3">
                  <w:pPr>
                    <w:pStyle w:val="30"/>
                    <w:jc w:val="center"/>
                    <w:rPr>
                      <w:rFonts w:hint="eastAsia"/>
                      <w:color w:val="auto"/>
                      <w:highlight w:val="none"/>
                      <w:lang w:val="en-US" w:eastAsia="zh-CN"/>
                    </w:rPr>
                  </w:pPr>
                  <w:r>
                    <w:rPr>
                      <w:rFonts w:hint="eastAsia"/>
                      <w:color w:val="auto"/>
                      <w:highlight w:val="none"/>
                      <w:lang w:val="en-US" w:eastAsia="zh-CN"/>
                    </w:rPr>
                    <w:t>利旧</w:t>
                  </w:r>
                </w:p>
              </w:tc>
            </w:tr>
            <w:tr w14:paraId="1CB5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0FBFE05D">
                  <w:pPr>
                    <w:pStyle w:val="30"/>
                    <w:jc w:val="center"/>
                    <w:rPr>
                      <w:color w:val="auto"/>
                      <w:highlight w:val="none"/>
                    </w:rPr>
                  </w:pPr>
                </w:p>
              </w:tc>
              <w:tc>
                <w:tcPr>
                  <w:tcW w:w="762" w:type="pct"/>
                  <w:tcBorders>
                    <w:tl2br w:val="nil"/>
                    <w:tr2bl w:val="nil"/>
                  </w:tcBorders>
                  <w:vAlign w:val="center"/>
                </w:tcPr>
                <w:p w14:paraId="21E21951">
                  <w:pPr>
                    <w:pStyle w:val="30"/>
                    <w:jc w:val="center"/>
                    <w:rPr>
                      <w:color w:val="auto"/>
                      <w:highlight w:val="none"/>
                    </w:rPr>
                  </w:pPr>
                  <w:r>
                    <w:rPr>
                      <w:color w:val="auto"/>
                      <w:highlight w:val="none"/>
                    </w:rPr>
                    <w:t>洗车台</w:t>
                  </w:r>
                </w:p>
              </w:tc>
              <w:tc>
                <w:tcPr>
                  <w:tcW w:w="3380" w:type="pct"/>
                  <w:gridSpan w:val="2"/>
                  <w:tcBorders>
                    <w:tl2br w:val="nil"/>
                    <w:tr2bl w:val="nil"/>
                  </w:tcBorders>
                  <w:vAlign w:val="center"/>
                </w:tcPr>
                <w:p w14:paraId="4B8825CE">
                  <w:pPr>
                    <w:spacing w:line="240" w:lineRule="auto"/>
                    <w:jc w:val="both"/>
                    <w:rPr>
                      <w:rFonts w:eastAsia="宋体" w:cs="Times New Roman"/>
                      <w:color w:val="auto"/>
                      <w:sz w:val="21"/>
                      <w:szCs w:val="21"/>
                      <w:highlight w:val="none"/>
                    </w:rPr>
                  </w:pPr>
                  <w:r>
                    <w:rPr>
                      <w:rFonts w:hint="eastAsia" w:eastAsia="宋体" w:cs="Times New Roman"/>
                      <w:color w:val="auto"/>
                      <w:sz w:val="21"/>
                      <w:szCs w:val="21"/>
                      <w:highlight w:val="none"/>
                    </w:rPr>
                    <w:t>位于厂区入口，并配置自动洗车设备，对车辆车轮进行全方位清洗。</w:t>
                  </w:r>
                </w:p>
              </w:tc>
              <w:tc>
                <w:tcPr>
                  <w:tcW w:w="495" w:type="pct"/>
                  <w:tcBorders>
                    <w:tl2br w:val="nil"/>
                    <w:tr2bl w:val="nil"/>
                  </w:tcBorders>
                  <w:vAlign w:val="center"/>
                </w:tcPr>
                <w:p w14:paraId="0D339817">
                  <w:pPr>
                    <w:pStyle w:val="30"/>
                    <w:jc w:val="center"/>
                    <w:rPr>
                      <w:rFonts w:hint="default" w:cs="Times New Roman"/>
                      <w:color w:val="auto"/>
                      <w:sz w:val="21"/>
                      <w:szCs w:val="21"/>
                      <w:highlight w:val="none"/>
                      <w:lang w:val="en-US"/>
                    </w:rPr>
                  </w:pPr>
                  <w:r>
                    <w:rPr>
                      <w:rFonts w:hint="eastAsia"/>
                      <w:color w:val="auto"/>
                      <w:highlight w:val="none"/>
                      <w:lang w:val="en-US" w:eastAsia="zh-CN"/>
                    </w:rPr>
                    <w:t>利旧</w:t>
                  </w:r>
                </w:p>
              </w:tc>
            </w:tr>
            <w:tr w14:paraId="281A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61" w:type="pct"/>
                  <w:vMerge w:val="restart"/>
                  <w:tcBorders>
                    <w:tl2br w:val="nil"/>
                    <w:tr2bl w:val="nil"/>
                  </w:tcBorders>
                  <w:vAlign w:val="center"/>
                </w:tcPr>
                <w:p w14:paraId="4FFCECD3">
                  <w:pPr>
                    <w:pStyle w:val="30"/>
                    <w:jc w:val="center"/>
                    <w:rPr>
                      <w:color w:val="auto"/>
                      <w:highlight w:val="none"/>
                    </w:rPr>
                  </w:pPr>
                  <w:r>
                    <w:rPr>
                      <w:color w:val="auto"/>
                      <w:highlight w:val="none"/>
                    </w:rPr>
                    <w:t>公用工程</w:t>
                  </w:r>
                </w:p>
              </w:tc>
              <w:tc>
                <w:tcPr>
                  <w:tcW w:w="762" w:type="pct"/>
                  <w:tcBorders>
                    <w:tl2br w:val="nil"/>
                    <w:tr2bl w:val="nil"/>
                  </w:tcBorders>
                  <w:vAlign w:val="center"/>
                </w:tcPr>
                <w:p w14:paraId="221CB6B5">
                  <w:pPr>
                    <w:pStyle w:val="30"/>
                    <w:jc w:val="center"/>
                    <w:rPr>
                      <w:color w:val="auto"/>
                      <w:highlight w:val="none"/>
                    </w:rPr>
                  </w:pPr>
                  <w:r>
                    <w:rPr>
                      <w:color w:val="auto"/>
                      <w:highlight w:val="none"/>
                      <w:lang w:val="en-GB"/>
                    </w:rPr>
                    <w:t>给水</w:t>
                  </w:r>
                </w:p>
              </w:tc>
              <w:tc>
                <w:tcPr>
                  <w:tcW w:w="3380" w:type="pct"/>
                  <w:gridSpan w:val="2"/>
                  <w:tcBorders>
                    <w:tl2br w:val="nil"/>
                    <w:tr2bl w:val="nil"/>
                  </w:tcBorders>
                  <w:vAlign w:val="center"/>
                </w:tcPr>
                <w:p w14:paraId="2D22FCE1">
                  <w:pPr>
                    <w:pStyle w:val="30"/>
                    <w:jc w:val="both"/>
                    <w:rPr>
                      <w:rFonts w:hint="default"/>
                      <w:color w:val="auto"/>
                      <w:highlight w:val="none"/>
                      <w:lang w:val="en-US"/>
                    </w:rPr>
                  </w:pPr>
                  <w:r>
                    <w:rPr>
                      <w:rFonts w:hint="eastAsia"/>
                      <w:color w:val="auto"/>
                      <w:highlight w:val="none"/>
                      <w:lang w:eastAsia="zh-CN"/>
                    </w:rPr>
                    <w:t>由市政供水管网供给。</w:t>
                  </w:r>
                </w:p>
              </w:tc>
              <w:tc>
                <w:tcPr>
                  <w:tcW w:w="495" w:type="pct"/>
                  <w:tcBorders>
                    <w:tl2br w:val="nil"/>
                    <w:tr2bl w:val="nil"/>
                  </w:tcBorders>
                  <w:vAlign w:val="center"/>
                </w:tcPr>
                <w:p w14:paraId="5D966809">
                  <w:pPr>
                    <w:pStyle w:val="30"/>
                    <w:jc w:val="center"/>
                    <w:rPr>
                      <w:rFonts w:hint="eastAsia" w:eastAsia="宋体"/>
                      <w:color w:val="auto"/>
                      <w:highlight w:val="none"/>
                      <w:lang w:eastAsia="zh-CN"/>
                    </w:rPr>
                  </w:pPr>
                  <w:r>
                    <w:rPr>
                      <w:rFonts w:hint="eastAsia"/>
                      <w:color w:val="auto"/>
                      <w:highlight w:val="none"/>
                      <w:lang w:val="en-US" w:eastAsia="zh-CN"/>
                    </w:rPr>
                    <w:t>利旧</w:t>
                  </w:r>
                </w:p>
              </w:tc>
            </w:tr>
            <w:tr w14:paraId="5097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61" w:type="pct"/>
                  <w:vMerge w:val="continue"/>
                  <w:tcBorders>
                    <w:tl2br w:val="nil"/>
                    <w:tr2bl w:val="nil"/>
                  </w:tcBorders>
                  <w:vAlign w:val="center"/>
                </w:tcPr>
                <w:p w14:paraId="65556DE5">
                  <w:pPr>
                    <w:pStyle w:val="30"/>
                    <w:jc w:val="center"/>
                    <w:rPr>
                      <w:color w:val="auto"/>
                      <w:highlight w:val="none"/>
                    </w:rPr>
                  </w:pPr>
                </w:p>
              </w:tc>
              <w:tc>
                <w:tcPr>
                  <w:tcW w:w="762" w:type="pct"/>
                  <w:vMerge w:val="restart"/>
                  <w:tcBorders>
                    <w:tl2br w:val="nil"/>
                    <w:tr2bl w:val="nil"/>
                  </w:tcBorders>
                  <w:vAlign w:val="center"/>
                </w:tcPr>
                <w:p w14:paraId="1C38E425">
                  <w:pPr>
                    <w:pStyle w:val="30"/>
                    <w:jc w:val="center"/>
                    <w:rPr>
                      <w:color w:val="auto"/>
                      <w:highlight w:val="none"/>
                      <w:lang w:val="en-GB"/>
                    </w:rPr>
                  </w:pPr>
                  <w:r>
                    <w:rPr>
                      <w:color w:val="auto"/>
                      <w:highlight w:val="none"/>
                      <w:lang w:val="en-GB"/>
                    </w:rPr>
                    <w:t>排水</w:t>
                  </w:r>
                </w:p>
              </w:tc>
              <w:tc>
                <w:tcPr>
                  <w:tcW w:w="3380" w:type="pct"/>
                  <w:gridSpan w:val="2"/>
                  <w:tcBorders>
                    <w:tl2br w:val="nil"/>
                    <w:tr2bl w:val="nil"/>
                  </w:tcBorders>
                  <w:vAlign w:val="center"/>
                </w:tcPr>
                <w:p w14:paraId="68D9DF57">
                  <w:pPr>
                    <w:pStyle w:val="30"/>
                    <w:jc w:val="both"/>
                    <w:rPr>
                      <w:rFonts w:hint="eastAsia"/>
                      <w:color w:val="auto"/>
                      <w:highlight w:val="none"/>
                      <w:lang w:val="en-GB" w:eastAsia="zh-CN"/>
                    </w:rPr>
                  </w:pPr>
                  <w:r>
                    <w:rPr>
                      <w:rFonts w:hint="eastAsia"/>
                      <w:color w:val="auto"/>
                      <w:highlight w:val="none"/>
                      <w:lang w:val="en-GB" w:eastAsia="zh-CN"/>
                    </w:rPr>
                    <w:t>生活污水排入化粪池，定期清掏用作农肥，不外排</w:t>
                  </w:r>
                  <w:r>
                    <w:rPr>
                      <w:rFonts w:hint="eastAsia"/>
                      <w:color w:val="auto"/>
                      <w:highlight w:val="none"/>
                      <w:lang w:val="en-US" w:eastAsia="zh-CN"/>
                    </w:rPr>
                    <w:t>。</w:t>
                  </w:r>
                </w:p>
              </w:tc>
              <w:tc>
                <w:tcPr>
                  <w:tcW w:w="495" w:type="pct"/>
                  <w:tcBorders>
                    <w:tl2br w:val="nil"/>
                    <w:tr2bl w:val="nil"/>
                  </w:tcBorders>
                  <w:vAlign w:val="center"/>
                </w:tcPr>
                <w:p w14:paraId="4AC46DB4">
                  <w:pPr>
                    <w:pStyle w:val="30"/>
                    <w:jc w:val="center"/>
                    <w:rPr>
                      <w:rFonts w:hint="default" w:cs="Times New Roman"/>
                      <w:color w:val="auto"/>
                      <w:sz w:val="21"/>
                      <w:szCs w:val="21"/>
                      <w:highlight w:val="none"/>
                      <w:lang w:val="en-US" w:eastAsia="zh-CN"/>
                    </w:rPr>
                  </w:pPr>
                  <w:r>
                    <w:rPr>
                      <w:rFonts w:hint="eastAsia"/>
                      <w:color w:val="auto"/>
                      <w:highlight w:val="none"/>
                      <w:lang w:val="en-US" w:eastAsia="zh-CN"/>
                    </w:rPr>
                    <w:t>利旧</w:t>
                  </w:r>
                </w:p>
              </w:tc>
            </w:tr>
            <w:tr w14:paraId="382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61" w:type="pct"/>
                  <w:vMerge w:val="continue"/>
                  <w:tcBorders>
                    <w:tl2br w:val="nil"/>
                    <w:tr2bl w:val="nil"/>
                  </w:tcBorders>
                  <w:vAlign w:val="center"/>
                </w:tcPr>
                <w:p w14:paraId="21C09CA4">
                  <w:pPr>
                    <w:pStyle w:val="30"/>
                    <w:jc w:val="center"/>
                    <w:rPr>
                      <w:color w:val="auto"/>
                      <w:highlight w:val="none"/>
                    </w:rPr>
                  </w:pPr>
                </w:p>
              </w:tc>
              <w:tc>
                <w:tcPr>
                  <w:tcW w:w="762" w:type="pct"/>
                  <w:vMerge w:val="continue"/>
                  <w:tcBorders>
                    <w:tl2br w:val="nil"/>
                    <w:tr2bl w:val="nil"/>
                  </w:tcBorders>
                  <w:vAlign w:val="center"/>
                </w:tcPr>
                <w:p w14:paraId="030A6CB0">
                  <w:pPr>
                    <w:pStyle w:val="30"/>
                    <w:jc w:val="center"/>
                    <w:rPr>
                      <w:color w:val="auto"/>
                      <w:highlight w:val="none"/>
                      <w:lang w:val="en-GB"/>
                    </w:rPr>
                  </w:pPr>
                </w:p>
              </w:tc>
              <w:tc>
                <w:tcPr>
                  <w:tcW w:w="3380" w:type="pct"/>
                  <w:gridSpan w:val="2"/>
                  <w:tcBorders>
                    <w:tl2br w:val="nil"/>
                    <w:tr2bl w:val="nil"/>
                  </w:tcBorders>
                  <w:vAlign w:val="center"/>
                </w:tcPr>
                <w:p w14:paraId="3E590D86">
                  <w:pPr>
                    <w:pStyle w:val="30"/>
                    <w:jc w:val="both"/>
                    <w:rPr>
                      <w:rFonts w:hint="eastAsia"/>
                      <w:color w:val="auto"/>
                      <w:highlight w:val="none"/>
                      <w:lang w:val="en-GB" w:eastAsia="zh-CN"/>
                    </w:rPr>
                  </w:pPr>
                  <w:r>
                    <w:rPr>
                      <w:rFonts w:hint="eastAsia"/>
                      <w:color w:val="auto"/>
                      <w:highlight w:val="none"/>
                      <w:lang w:val="en-GB" w:eastAsia="zh-CN"/>
                    </w:rPr>
                    <w:t>车辆冲洗废水经沉淀池沉淀后回用，不外排。</w:t>
                  </w:r>
                </w:p>
              </w:tc>
              <w:tc>
                <w:tcPr>
                  <w:tcW w:w="495" w:type="pct"/>
                  <w:tcBorders>
                    <w:tl2br w:val="nil"/>
                    <w:tr2bl w:val="nil"/>
                  </w:tcBorders>
                  <w:vAlign w:val="center"/>
                </w:tcPr>
                <w:p w14:paraId="055C8554">
                  <w:pPr>
                    <w:pStyle w:val="30"/>
                    <w:jc w:val="center"/>
                    <w:rPr>
                      <w:rFonts w:hint="default"/>
                      <w:color w:val="auto"/>
                      <w:highlight w:val="none"/>
                      <w:lang w:val="en-US"/>
                    </w:rPr>
                  </w:pPr>
                  <w:r>
                    <w:rPr>
                      <w:rFonts w:hint="eastAsia"/>
                      <w:color w:val="auto"/>
                      <w:highlight w:val="none"/>
                      <w:lang w:val="en-US" w:eastAsia="zh-CN"/>
                    </w:rPr>
                    <w:t>利旧</w:t>
                  </w:r>
                </w:p>
              </w:tc>
            </w:tr>
            <w:tr w14:paraId="42B5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0D8613EC">
                  <w:pPr>
                    <w:pStyle w:val="30"/>
                    <w:jc w:val="center"/>
                    <w:rPr>
                      <w:color w:val="auto"/>
                      <w:highlight w:val="none"/>
                    </w:rPr>
                  </w:pPr>
                </w:p>
              </w:tc>
              <w:tc>
                <w:tcPr>
                  <w:tcW w:w="762" w:type="pct"/>
                  <w:tcBorders>
                    <w:tl2br w:val="nil"/>
                    <w:tr2bl w:val="nil"/>
                  </w:tcBorders>
                  <w:vAlign w:val="center"/>
                </w:tcPr>
                <w:p w14:paraId="18A9EE44">
                  <w:pPr>
                    <w:pStyle w:val="30"/>
                    <w:jc w:val="center"/>
                    <w:rPr>
                      <w:color w:val="auto"/>
                      <w:highlight w:val="none"/>
                      <w:lang w:val="en-GB"/>
                    </w:rPr>
                  </w:pPr>
                  <w:r>
                    <w:rPr>
                      <w:color w:val="auto"/>
                      <w:highlight w:val="none"/>
                    </w:rPr>
                    <w:t>供电</w:t>
                  </w:r>
                </w:p>
              </w:tc>
              <w:tc>
                <w:tcPr>
                  <w:tcW w:w="3380" w:type="pct"/>
                  <w:gridSpan w:val="2"/>
                  <w:tcBorders>
                    <w:tl2br w:val="nil"/>
                    <w:tr2bl w:val="nil"/>
                  </w:tcBorders>
                  <w:vAlign w:val="center"/>
                </w:tcPr>
                <w:p w14:paraId="024894F9">
                  <w:pPr>
                    <w:pStyle w:val="30"/>
                    <w:jc w:val="both"/>
                    <w:rPr>
                      <w:rFonts w:hint="eastAsia" w:eastAsia="宋体"/>
                      <w:color w:val="auto"/>
                      <w:highlight w:val="none"/>
                      <w:lang w:eastAsia="zh-CN"/>
                    </w:rPr>
                  </w:pPr>
                  <w:r>
                    <w:rPr>
                      <w:rFonts w:hint="eastAsia"/>
                      <w:color w:val="auto"/>
                      <w:highlight w:val="none"/>
                      <w:lang w:val="en-US" w:eastAsia="zh-CN"/>
                    </w:rPr>
                    <w:t>采用</w:t>
                  </w:r>
                  <w:r>
                    <w:rPr>
                      <w:rFonts w:hint="default"/>
                      <w:color w:val="auto"/>
                      <w:highlight w:val="none"/>
                      <w:lang w:eastAsia="zh-CN"/>
                    </w:rPr>
                    <w:t>市政供电。</w:t>
                  </w:r>
                </w:p>
              </w:tc>
              <w:tc>
                <w:tcPr>
                  <w:tcW w:w="495" w:type="pct"/>
                  <w:tcBorders>
                    <w:tl2br w:val="nil"/>
                    <w:tr2bl w:val="nil"/>
                  </w:tcBorders>
                  <w:vAlign w:val="center"/>
                </w:tcPr>
                <w:p w14:paraId="71B9FAAF">
                  <w:pPr>
                    <w:adjustRightInd w:val="0"/>
                    <w:snapToGrid w:val="0"/>
                    <w:spacing w:line="240" w:lineRule="auto"/>
                    <w:jc w:val="center"/>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w:t>
                  </w:r>
                </w:p>
              </w:tc>
            </w:tr>
            <w:tr w14:paraId="5C3E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58295E3A">
                  <w:pPr>
                    <w:pStyle w:val="30"/>
                    <w:jc w:val="center"/>
                    <w:rPr>
                      <w:color w:val="auto"/>
                      <w:highlight w:val="none"/>
                    </w:rPr>
                  </w:pPr>
                </w:p>
              </w:tc>
              <w:tc>
                <w:tcPr>
                  <w:tcW w:w="762" w:type="pct"/>
                  <w:tcBorders>
                    <w:tl2br w:val="nil"/>
                    <w:tr2bl w:val="nil"/>
                  </w:tcBorders>
                  <w:vAlign w:val="center"/>
                </w:tcPr>
                <w:p w14:paraId="545CE900">
                  <w:pPr>
                    <w:pStyle w:val="30"/>
                    <w:jc w:val="center"/>
                    <w:rPr>
                      <w:color w:val="auto"/>
                      <w:highlight w:val="none"/>
                      <w:lang w:val="en-GB"/>
                    </w:rPr>
                  </w:pPr>
                  <w:r>
                    <w:rPr>
                      <w:color w:val="auto"/>
                      <w:highlight w:val="none"/>
                    </w:rPr>
                    <w:t>采暖及制冷</w:t>
                  </w:r>
                </w:p>
              </w:tc>
              <w:tc>
                <w:tcPr>
                  <w:tcW w:w="3380" w:type="pct"/>
                  <w:gridSpan w:val="2"/>
                  <w:tcBorders>
                    <w:tl2br w:val="nil"/>
                    <w:tr2bl w:val="nil"/>
                  </w:tcBorders>
                  <w:vAlign w:val="center"/>
                </w:tcPr>
                <w:p w14:paraId="0FD7C92F">
                  <w:pPr>
                    <w:pStyle w:val="30"/>
                    <w:jc w:val="both"/>
                    <w:rPr>
                      <w:color w:val="auto"/>
                      <w:highlight w:val="none"/>
                    </w:rPr>
                  </w:pPr>
                  <w:r>
                    <w:rPr>
                      <w:rFonts w:hint="default"/>
                      <w:color w:val="auto"/>
                      <w:highlight w:val="none"/>
                      <w:lang w:eastAsia="zh-CN"/>
                    </w:rPr>
                    <w:t>生活办公区采用空调制冷和取暖</w:t>
                  </w:r>
                  <w:r>
                    <w:rPr>
                      <w:rFonts w:hint="eastAsia"/>
                      <w:color w:val="auto"/>
                      <w:highlight w:val="none"/>
                      <w:lang w:eastAsia="zh-CN"/>
                    </w:rPr>
                    <w:t>。</w:t>
                  </w:r>
                </w:p>
              </w:tc>
              <w:tc>
                <w:tcPr>
                  <w:tcW w:w="495" w:type="pct"/>
                  <w:tcBorders>
                    <w:tl2br w:val="nil"/>
                    <w:tr2bl w:val="nil"/>
                  </w:tcBorders>
                  <w:vAlign w:val="center"/>
                </w:tcPr>
                <w:p w14:paraId="503747C0">
                  <w:pPr>
                    <w:adjustRightInd w:val="0"/>
                    <w:snapToGrid w:val="0"/>
                    <w:spacing w:line="240" w:lineRule="auto"/>
                    <w:jc w:val="center"/>
                    <w:rPr>
                      <w:rFonts w:hint="eastAsia" w:cs="Times New Roman" w:eastAsiaTheme="minorEastAsia"/>
                      <w:color w:val="auto"/>
                      <w:sz w:val="21"/>
                      <w:szCs w:val="21"/>
                      <w:highlight w:val="none"/>
                      <w:lang w:eastAsia="zh-CN"/>
                    </w:rPr>
                  </w:pPr>
                  <w:r>
                    <w:rPr>
                      <w:rFonts w:hint="eastAsia"/>
                      <w:color w:val="auto"/>
                      <w:highlight w:val="none"/>
                      <w:lang w:val="en-US" w:eastAsia="zh-CN"/>
                    </w:rPr>
                    <w:t>利旧</w:t>
                  </w:r>
                </w:p>
              </w:tc>
            </w:tr>
            <w:tr w14:paraId="5921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restart"/>
                  <w:tcBorders>
                    <w:tl2br w:val="nil"/>
                    <w:tr2bl w:val="nil"/>
                  </w:tcBorders>
                  <w:vAlign w:val="center"/>
                </w:tcPr>
                <w:p w14:paraId="09430529">
                  <w:pPr>
                    <w:pStyle w:val="30"/>
                    <w:jc w:val="center"/>
                    <w:rPr>
                      <w:color w:val="auto"/>
                      <w:highlight w:val="none"/>
                    </w:rPr>
                  </w:pPr>
                  <w:r>
                    <w:rPr>
                      <w:color w:val="auto"/>
                      <w:highlight w:val="none"/>
                    </w:rPr>
                    <w:t>环保工程</w:t>
                  </w:r>
                </w:p>
              </w:tc>
              <w:tc>
                <w:tcPr>
                  <w:tcW w:w="762" w:type="pct"/>
                  <w:vMerge w:val="restart"/>
                  <w:tcBorders>
                    <w:tl2br w:val="nil"/>
                    <w:tr2bl w:val="nil"/>
                  </w:tcBorders>
                  <w:vAlign w:val="center"/>
                </w:tcPr>
                <w:p w14:paraId="42D5A587">
                  <w:pPr>
                    <w:pStyle w:val="30"/>
                    <w:jc w:val="center"/>
                    <w:rPr>
                      <w:color w:val="auto"/>
                      <w:highlight w:val="none"/>
                    </w:rPr>
                  </w:pPr>
                  <w:r>
                    <w:rPr>
                      <w:color w:val="auto"/>
                      <w:highlight w:val="none"/>
                    </w:rPr>
                    <w:t>废气</w:t>
                  </w:r>
                </w:p>
              </w:tc>
              <w:tc>
                <w:tcPr>
                  <w:tcW w:w="650" w:type="pct"/>
                  <w:tcBorders>
                    <w:tl2br w:val="nil"/>
                    <w:tr2bl w:val="nil"/>
                  </w:tcBorders>
                  <w:vAlign w:val="center"/>
                </w:tcPr>
                <w:p w14:paraId="45FB0E48">
                  <w:pPr>
                    <w:pStyle w:val="30"/>
                    <w:jc w:val="center"/>
                    <w:rPr>
                      <w:color w:val="auto"/>
                      <w:highlight w:val="none"/>
                    </w:rPr>
                  </w:pPr>
                  <w:r>
                    <w:rPr>
                      <w:color w:val="auto"/>
                      <w:highlight w:val="none"/>
                    </w:rPr>
                    <w:t>装卸、堆存粉尘</w:t>
                  </w:r>
                </w:p>
              </w:tc>
              <w:tc>
                <w:tcPr>
                  <w:tcW w:w="2730" w:type="pct"/>
                  <w:tcBorders>
                    <w:tl2br w:val="nil"/>
                    <w:tr2bl w:val="nil"/>
                  </w:tcBorders>
                  <w:vAlign w:val="center"/>
                </w:tcPr>
                <w:p w14:paraId="75E9E7AB">
                  <w:pPr>
                    <w:pStyle w:val="30"/>
                    <w:jc w:val="both"/>
                    <w:rPr>
                      <w:color w:val="auto"/>
                      <w:highlight w:val="none"/>
                    </w:rPr>
                  </w:pPr>
                  <w:r>
                    <w:rPr>
                      <w:color w:val="auto"/>
                      <w:highlight w:val="none"/>
                    </w:rPr>
                    <w:t>厂区地面硬化，物料的装卸和堆</w:t>
                  </w:r>
                  <w:r>
                    <w:rPr>
                      <w:rFonts w:hint="eastAsia"/>
                      <w:color w:val="auto"/>
                      <w:highlight w:val="none"/>
                      <w:lang w:val="en-US" w:eastAsia="zh-CN"/>
                    </w:rPr>
                    <w:t>存</w:t>
                  </w:r>
                  <w:r>
                    <w:rPr>
                      <w:color w:val="auto"/>
                      <w:highlight w:val="none"/>
                    </w:rPr>
                    <w:t>在</w:t>
                  </w:r>
                  <w:r>
                    <w:rPr>
                      <w:rFonts w:hint="eastAsia"/>
                      <w:color w:val="auto"/>
                      <w:highlight w:val="none"/>
                      <w:lang w:val="en-US" w:eastAsia="zh-CN"/>
                    </w:rPr>
                    <w:t>封闭式</w:t>
                  </w:r>
                  <w:r>
                    <w:rPr>
                      <w:color w:val="auto"/>
                      <w:highlight w:val="none"/>
                    </w:rPr>
                    <w:t>厂房内进行，厂房</w:t>
                  </w:r>
                  <w:r>
                    <w:rPr>
                      <w:rFonts w:hint="eastAsia"/>
                      <w:color w:val="auto"/>
                      <w:highlight w:val="none"/>
                      <w:lang w:val="en-US" w:eastAsia="zh-CN"/>
                    </w:rPr>
                    <w:t>顶部</w:t>
                  </w:r>
                  <w:r>
                    <w:rPr>
                      <w:rFonts w:hint="default"/>
                      <w:color w:val="auto"/>
                      <w:highlight w:val="none"/>
                      <w:lang w:val="en-US" w:eastAsia="zh-CN"/>
                    </w:rPr>
                    <w:t>安装</w:t>
                  </w:r>
                  <w:r>
                    <w:rPr>
                      <w:rFonts w:hint="eastAsia" w:eastAsia="宋体" w:cs="Times New Roman"/>
                      <w:color w:val="auto"/>
                      <w:sz w:val="21"/>
                      <w:szCs w:val="21"/>
                      <w:highlight w:val="none"/>
                      <w:lang w:val="en-US" w:eastAsia="zh-CN"/>
                    </w:rPr>
                    <w:t>雾化喷淋</w:t>
                  </w:r>
                  <w:r>
                    <w:rPr>
                      <w:rFonts w:hint="eastAsia" w:cs="Times New Roman"/>
                      <w:color w:val="auto"/>
                      <w:sz w:val="21"/>
                      <w:szCs w:val="21"/>
                      <w:highlight w:val="none"/>
                      <w:lang w:val="en-US" w:eastAsia="zh-CN"/>
                    </w:rPr>
                    <w:t>和雾炮机</w:t>
                  </w:r>
                  <w:r>
                    <w:rPr>
                      <w:color w:val="auto"/>
                      <w:highlight w:val="none"/>
                    </w:rPr>
                    <w:t>。</w:t>
                  </w:r>
                </w:p>
              </w:tc>
              <w:tc>
                <w:tcPr>
                  <w:tcW w:w="495" w:type="pct"/>
                  <w:tcBorders>
                    <w:tl2br w:val="nil"/>
                    <w:tr2bl w:val="nil"/>
                  </w:tcBorders>
                  <w:vAlign w:val="center"/>
                </w:tcPr>
                <w:p w14:paraId="4F545388">
                  <w:pPr>
                    <w:adjustRightInd w:val="0"/>
                    <w:snapToGrid w:val="0"/>
                    <w:spacing w:line="240" w:lineRule="auto"/>
                    <w:jc w:val="center"/>
                    <w:rPr>
                      <w:rFonts w:hint="default" w:cs="Times New Roman" w:eastAsiaTheme="minorEastAsia"/>
                      <w:color w:val="auto"/>
                      <w:sz w:val="21"/>
                      <w:szCs w:val="21"/>
                      <w:highlight w:val="none"/>
                      <w:lang w:val="en-US" w:eastAsia="zh-CN"/>
                    </w:rPr>
                  </w:pPr>
                  <w:r>
                    <w:rPr>
                      <w:rFonts w:hint="default" w:cs="Times New Roman" w:eastAsiaTheme="minorEastAsia"/>
                      <w:color w:val="auto"/>
                      <w:sz w:val="21"/>
                      <w:szCs w:val="21"/>
                      <w:highlight w:val="none"/>
                      <w:lang w:val="en-US" w:eastAsia="zh-CN"/>
                    </w:rPr>
                    <w:t>新建</w:t>
                  </w:r>
                </w:p>
              </w:tc>
            </w:tr>
            <w:tr w14:paraId="6F9D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7A6CB71F">
                  <w:pPr>
                    <w:pStyle w:val="30"/>
                    <w:jc w:val="center"/>
                    <w:rPr>
                      <w:color w:val="auto"/>
                      <w:highlight w:val="none"/>
                    </w:rPr>
                  </w:pPr>
                </w:p>
              </w:tc>
              <w:tc>
                <w:tcPr>
                  <w:tcW w:w="762" w:type="pct"/>
                  <w:vMerge w:val="continue"/>
                  <w:tcBorders>
                    <w:tl2br w:val="nil"/>
                    <w:tr2bl w:val="nil"/>
                  </w:tcBorders>
                  <w:vAlign w:val="center"/>
                </w:tcPr>
                <w:p w14:paraId="3192E24C">
                  <w:pPr>
                    <w:pStyle w:val="30"/>
                    <w:jc w:val="center"/>
                    <w:rPr>
                      <w:color w:val="auto"/>
                      <w:highlight w:val="none"/>
                    </w:rPr>
                  </w:pPr>
                </w:p>
              </w:tc>
              <w:tc>
                <w:tcPr>
                  <w:tcW w:w="650" w:type="pct"/>
                  <w:tcBorders>
                    <w:tl2br w:val="nil"/>
                    <w:tr2bl w:val="nil"/>
                  </w:tcBorders>
                  <w:vAlign w:val="center"/>
                </w:tcPr>
                <w:p w14:paraId="728D101C">
                  <w:pPr>
                    <w:pStyle w:val="30"/>
                    <w:jc w:val="center"/>
                    <w:rPr>
                      <w:rFonts w:hint="default" w:eastAsia="宋体"/>
                      <w:color w:val="auto"/>
                      <w:highlight w:val="none"/>
                      <w:lang w:val="en-US" w:eastAsia="zh-CN"/>
                    </w:rPr>
                  </w:pPr>
                  <w:r>
                    <w:rPr>
                      <w:rFonts w:hint="eastAsia"/>
                      <w:color w:val="auto"/>
                      <w:highlight w:val="none"/>
                      <w:lang w:val="en-US" w:eastAsia="zh-CN"/>
                    </w:rPr>
                    <w:t>破碎、筛分粉尘</w:t>
                  </w:r>
                </w:p>
              </w:tc>
              <w:tc>
                <w:tcPr>
                  <w:tcW w:w="2730" w:type="pct"/>
                  <w:tcBorders>
                    <w:tl2br w:val="nil"/>
                    <w:tr2bl w:val="nil"/>
                  </w:tcBorders>
                  <w:vAlign w:val="center"/>
                </w:tcPr>
                <w:p w14:paraId="2C9DFAB9">
                  <w:pPr>
                    <w:pStyle w:val="30"/>
                    <w:jc w:val="both"/>
                    <w:rPr>
                      <w:rFonts w:hint="default" w:eastAsia="宋体"/>
                      <w:color w:val="auto"/>
                      <w:highlight w:val="none"/>
                      <w:lang w:val="en-US" w:eastAsia="zh-CN"/>
                    </w:rPr>
                  </w:pPr>
                  <w:r>
                    <w:rPr>
                      <w:rFonts w:hint="eastAsia"/>
                      <w:color w:val="auto"/>
                      <w:highlight w:val="none"/>
                      <w:lang w:val="en-US" w:eastAsia="zh-CN"/>
                    </w:rPr>
                    <w:t>破碎筛分工序产生的粉尘采用集气罩收集，经袋式除尘器处理后排放。</w:t>
                  </w:r>
                </w:p>
              </w:tc>
              <w:tc>
                <w:tcPr>
                  <w:tcW w:w="495" w:type="pct"/>
                  <w:tcBorders>
                    <w:tl2br w:val="nil"/>
                    <w:tr2bl w:val="nil"/>
                  </w:tcBorders>
                  <w:vAlign w:val="center"/>
                </w:tcPr>
                <w:p w14:paraId="66F2B521">
                  <w:pPr>
                    <w:adjustRightInd w:val="0"/>
                    <w:snapToGrid w:val="0"/>
                    <w:spacing w:line="240" w:lineRule="auto"/>
                    <w:jc w:val="center"/>
                    <w:rPr>
                      <w:rFonts w:hint="default" w:cs="Times New Roman"/>
                      <w:color w:val="auto"/>
                      <w:sz w:val="21"/>
                      <w:szCs w:val="21"/>
                      <w:highlight w:val="none"/>
                      <w:lang w:val="en-US"/>
                    </w:rPr>
                  </w:pPr>
                  <w:r>
                    <w:rPr>
                      <w:rFonts w:hint="default" w:cs="Times New Roman" w:eastAsiaTheme="minorEastAsia"/>
                      <w:color w:val="auto"/>
                      <w:sz w:val="21"/>
                      <w:szCs w:val="21"/>
                      <w:highlight w:val="none"/>
                      <w:lang w:val="en-US" w:eastAsia="zh-CN"/>
                    </w:rPr>
                    <w:t>新建</w:t>
                  </w:r>
                </w:p>
              </w:tc>
            </w:tr>
            <w:tr w14:paraId="7918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2D7B8E42">
                  <w:pPr>
                    <w:pStyle w:val="30"/>
                    <w:jc w:val="center"/>
                    <w:rPr>
                      <w:color w:val="auto"/>
                      <w:highlight w:val="none"/>
                    </w:rPr>
                  </w:pPr>
                </w:p>
              </w:tc>
              <w:tc>
                <w:tcPr>
                  <w:tcW w:w="762" w:type="pct"/>
                  <w:vMerge w:val="continue"/>
                  <w:tcBorders>
                    <w:tl2br w:val="nil"/>
                    <w:tr2bl w:val="nil"/>
                  </w:tcBorders>
                  <w:vAlign w:val="center"/>
                </w:tcPr>
                <w:p w14:paraId="2A4B5566">
                  <w:pPr>
                    <w:pStyle w:val="30"/>
                    <w:jc w:val="center"/>
                    <w:rPr>
                      <w:color w:val="auto"/>
                      <w:highlight w:val="none"/>
                    </w:rPr>
                  </w:pPr>
                </w:p>
              </w:tc>
              <w:tc>
                <w:tcPr>
                  <w:tcW w:w="650" w:type="pct"/>
                  <w:tcBorders>
                    <w:tl2br w:val="nil"/>
                    <w:tr2bl w:val="nil"/>
                  </w:tcBorders>
                  <w:vAlign w:val="center"/>
                </w:tcPr>
                <w:p w14:paraId="3DAEE71E">
                  <w:pPr>
                    <w:pStyle w:val="30"/>
                    <w:jc w:val="center"/>
                    <w:rPr>
                      <w:color w:val="auto"/>
                      <w:highlight w:val="none"/>
                    </w:rPr>
                  </w:pPr>
                  <w:r>
                    <w:rPr>
                      <w:color w:val="auto"/>
                      <w:highlight w:val="none"/>
                    </w:rPr>
                    <w:t>物料输送</w:t>
                  </w:r>
                  <w:r>
                    <w:rPr>
                      <w:rFonts w:hint="eastAsia"/>
                      <w:color w:val="auto"/>
                      <w:highlight w:val="none"/>
                      <w:lang w:val="en-US" w:eastAsia="zh-CN"/>
                    </w:rPr>
                    <w:t>及</w:t>
                  </w:r>
                  <w:r>
                    <w:rPr>
                      <w:rFonts w:hint="default" w:ascii="Times New Roman" w:hAnsi="Times New Roman" w:eastAsia="宋体" w:cs="Times New Roman"/>
                      <w:b w:val="0"/>
                      <w:color w:val="auto"/>
                      <w:kern w:val="2"/>
                      <w:sz w:val="21"/>
                      <w:szCs w:val="21"/>
                      <w:highlight w:val="none"/>
                      <w:vertAlign w:val="baseline"/>
                      <w:lang w:val="en-US" w:eastAsia="zh-CN" w:bidi="ar-SA"/>
                    </w:rPr>
                    <w:t>搅拌</w:t>
                  </w:r>
                  <w:r>
                    <w:rPr>
                      <w:color w:val="auto"/>
                      <w:highlight w:val="none"/>
                    </w:rPr>
                    <w:t>粉尘</w:t>
                  </w:r>
                </w:p>
              </w:tc>
              <w:tc>
                <w:tcPr>
                  <w:tcW w:w="2730" w:type="pct"/>
                  <w:tcBorders>
                    <w:tl2br w:val="nil"/>
                    <w:tr2bl w:val="nil"/>
                  </w:tcBorders>
                  <w:vAlign w:val="center"/>
                </w:tcPr>
                <w:p w14:paraId="77107344">
                  <w:pPr>
                    <w:pStyle w:val="30"/>
                    <w:jc w:val="both"/>
                    <w:rPr>
                      <w:rFonts w:hint="eastAsia"/>
                      <w:color w:val="auto"/>
                      <w:highlight w:val="none"/>
                      <w:lang w:val="en-US" w:eastAsia="zh-CN"/>
                    </w:rPr>
                  </w:pPr>
                  <w:r>
                    <w:rPr>
                      <w:rFonts w:hint="eastAsia"/>
                      <w:color w:val="auto"/>
                      <w:highlight w:val="none"/>
                      <w:lang w:val="en-US" w:eastAsia="zh-CN"/>
                    </w:rPr>
                    <w:t>破碎生产线的原料位于封闭式厂房内破碎生产线前端的原料区，采用铲车输送至给料机，通过</w:t>
                  </w:r>
                  <w:r>
                    <w:rPr>
                      <w:color w:val="auto"/>
                      <w:highlight w:val="none"/>
                    </w:rPr>
                    <w:t>传送带</w:t>
                  </w:r>
                  <w:r>
                    <w:rPr>
                      <w:rFonts w:hint="eastAsia"/>
                      <w:color w:val="auto"/>
                      <w:highlight w:val="none"/>
                      <w:lang w:val="en-US" w:eastAsia="zh-CN"/>
                    </w:rPr>
                    <w:t>输送至破碎机、筛分机进行后续加工；</w:t>
                  </w:r>
                </w:p>
                <w:p w14:paraId="60819B89">
                  <w:pPr>
                    <w:pStyle w:val="30"/>
                    <w:jc w:val="both"/>
                    <w:rPr>
                      <w:rFonts w:hint="eastAsia"/>
                      <w:color w:val="auto"/>
                      <w:highlight w:val="none"/>
                      <w:lang w:eastAsia="zh-CN"/>
                    </w:rPr>
                  </w:pPr>
                  <w:r>
                    <w:rPr>
                      <w:color w:val="auto"/>
                      <w:highlight w:val="none"/>
                    </w:rPr>
                    <w:t>水泥采用</w:t>
                  </w:r>
                  <w:r>
                    <w:rPr>
                      <w:rFonts w:hint="eastAsia"/>
                      <w:color w:val="auto"/>
                      <w:highlight w:val="none"/>
                      <w:lang w:val="en-US" w:eastAsia="zh-CN"/>
                    </w:rPr>
                    <w:t>密闭</w:t>
                  </w:r>
                  <w:r>
                    <w:rPr>
                      <w:color w:val="auto"/>
                      <w:highlight w:val="none"/>
                    </w:rPr>
                    <w:t>螺旋输送机输送至拌合设备</w:t>
                  </w:r>
                  <w:r>
                    <w:rPr>
                      <w:rFonts w:hint="eastAsia"/>
                      <w:color w:val="auto"/>
                      <w:highlight w:val="none"/>
                      <w:lang w:eastAsia="zh-CN"/>
                    </w:rPr>
                    <w:t>；</w:t>
                  </w:r>
                </w:p>
                <w:p w14:paraId="1C773547">
                  <w:pPr>
                    <w:pStyle w:val="30"/>
                    <w:jc w:val="both"/>
                    <w:rPr>
                      <w:color w:val="auto"/>
                      <w:highlight w:val="none"/>
                    </w:rPr>
                  </w:pPr>
                  <w:r>
                    <w:rPr>
                      <w:color w:val="auto"/>
                      <w:highlight w:val="none"/>
                    </w:rPr>
                    <w:t>在搅拌机</w:t>
                  </w:r>
                  <w:r>
                    <w:rPr>
                      <w:rFonts w:hint="eastAsia"/>
                      <w:color w:val="auto"/>
                      <w:highlight w:val="none"/>
                      <w:lang w:val="en-US" w:eastAsia="zh-CN"/>
                    </w:rPr>
                    <w:t>进料口和</w:t>
                  </w:r>
                  <w:r>
                    <w:rPr>
                      <w:color w:val="auto"/>
                      <w:highlight w:val="none"/>
                    </w:rPr>
                    <w:t>下料口处设置集尘罩收集至一套袋式除尘器处理后在车间内无组织排放；</w:t>
                  </w:r>
                </w:p>
                <w:p w14:paraId="7EE9F01B">
                  <w:pPr>
                    <w:pStyle w:val="30"/>
                    <w:jc w:val="both"/>
                    <w:rPr>
                      <w:color w:val="auto"/>
                      <w:highlight w:val="none"/>
                    </w:rPr>
                  </w:pPr>
                  <w:r>
                    <w:rPr>
                      <w:rFonts w:hint="eastAsia" w:cs="Times New Roman"/>
                      <w:color w:val="auto"/>
                      <w:sz w:val="21"/>
                      <w:szCs w:val="21"/>
                      <w:highlight w:val="none"/>
                      <w:lang w:val="en-US" w:eastAsia="zh-CN"/>
                    </w:rPr>
                    <w:t>厂房顶部</w:t>
                  </w:r>
                  <w:r>
                    <w:rPr>
                      <w:color w:val="auto"/>
                      <w:highlight w:val="none"/>
                    </w:rPr>
                    <w:t>设置</w:t>
                  </w:r>
                  <w:r>
                    <w:rPr>
                      <w:rFonts w:hint="eastAsia" w:eastAsia="宋体" w:cs="Times New Roman"/>
                      <w:color w:val="auto"/>
                      <w:sz w:val="21"/>
                      <w:szCs w:val="21"/>
                      <w:highlight w:val="none"/>
                      <w:lang w:val="en-US" w:eastAsia="zh-CN"/>
                    </w:rPr>
                    <w:t>雾化喷淋装置</w:t>
                  </w:r>
                  <w:r>
                    <w:rPr>
                      <w:rFonts w:hint="eastAsia"/>
                      <w:color w:val="auto"/>
                      <w:highlight w:val="none"/>
                      <w:lang w:val="en-US" w:eastAsia="zh-CN"/>
                    </w:rPr>
                    <w:t>，进行喷雾抑尘</w:t>
                  </w:r>
                  <w:r>
                    <w:rPr>
                      <w:color w:val="auto"/>
                      <w:highlight w:val="none"/>
                    </w:rPr>
                    <w:t>。</w:t>
                  </w:r>
                </w:p>
              </w:tc>
              <w:tc>
                <w:tcPr>
                  <w:tcW w:w="495" w:type="pct"/>
                  <w:tcBorders>
                    <w:tl2br w:val="nil"/>
                    <w:tr2bl w:val="nil"/>
                  </w:tcBorders>
                  <w:vAlign w:val="center"/>
                </w:tcPr>
                <w:p w14:paraId="18E315C7">
                  <w:pPr>
                    <w:adjustRightInd w:val="0"/>
                    <w:snapToGrid w:val="0"/>
                    <w:spacing w:line="240" w:lineRule="auto"/>
                    <w:jc w:val="center"/>
                    <w:rPr>
                      <w:rFonts w:hint="default" w:cs="Times New Roman" w:eastAsiaTheme="minorEastAsia"/>
                      <w:color w:val="auto"/>
                      <w:sz w:val="21"/>
                      <w:szCs w:val="21"/>
                      <w:highlight w:val="none"/>
                      <w:lang w:val="en-US" w:eastAsia="zh-CN"/>
                    </w:rPr>
                  </w:pPr>
                  <w:r>
                    <w:rPr>
                      <w:rFonts w:hint="default" w:cs="Times New Roman" w:eastAsiaTheme="minorEastAsia"/>
                      <w:color w:val="auto"/>
                      <w:sz w:val="21"/>
                      <w:szCs w:val="21"/>
                      <w:highlight w:val="none"/>
                      <w:lang w:val="en-US" w:eastAsia="zh-CN"/>
                    </w:rPr>
                    <w:t>新建</w:t>
                  </w:r>
                </w:p>
              </w:tc>
            </w:tr>
            <w:tr w14:paraId="3CA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6D7C2C14">
                  <w:pPr>
                    <w:pStyle w:val="30"/>
                    <w:jc w:val="center"/>
                    <w:rPr>
                      <w:color w:val="auto"/>
                      <w:highlight w:val="none"/>
                    </w:rPr>
                  </w:pPr>
                </w:p>
              </w:tc>
              <w:tc>
                <w:tcPr>
                  <w:tcW w:w="762" w:type="pct"/>
                  <w:vMerge w:val="continue"/>
                  <w:tcBorders>
                    <w:tl2br w:val="nil"/>
                    <w:tr2bl w:val="nil"/>
                  </w:tcBorders>
                  <w:vAlign w:val="center"/>
                </w:tcPr>
                <w:p w14:paraId="6598354A">
                  <w:pPr>
                    <w:pStyle w:val="30"/>
                    <w:jc w:val="center"/>
                    <w:rPr>
                      <w:color w:val="auto"/>
                      <w:highlight w:val="none"/>
                    </w:rPr>
                  </w:pPr>
                </w:p>
              </w:tc>
              <w:tc>
                <w:tcPr>
                  <w:tcW w:w="650" w:type="pct"/>
                  <w:tcBorders>
                    <w:tl2br w:val="nil"/>
                    <w:tr2bl w:val="nil"/>
                  </w:tcBorders>
                  <w:vAlign w:val="center"/>
                </w:tcPr>
                <w:p w14:paraId="1373021A">
                  <w:pPr>
                    <w:pStyle w:val="30"/>
                    <w:jc w:val="center"/>
                    <w:rPr>
                      <w:color w:val="auto"/>
                      <w:highlight w:val="none"/>
                    </w:rPr>
                  </w:pPr>
                  <w:r>
                    <w:rPr>
                      <w:rFonts w:hint="eastAsia"/>
                      <w:color w:val="auto"/>
                      <w:highlight w:val="none"/>
                      <w:lang w:eastAsia="zh-CN"/>
                    </w:rPr>
                    <w:t>水泥</w:t>
                  </w:r>
                  <w:r>
                    <w:rPr>
                      <w:color w:val="auto"/>
                      <w:highlight w:val="none"/>
                    </w:rPr>
                    <w:t>筒仓呼吸粉尘</w:t>
                  </w:r>
                </w:p>
              </w:tc>
              <w:tc>
                <w:tcPr>
                  <w:tcW w:w="2730" w:type="pct"/>
                  <w:tcBorders>
                    <w:tl2br w:val="nil"/>
                    <w:tr2bl w:val="nil"/>
                  </w:tcBorders>
                  <w:vAlign w:val="center"/>
                </w:tcPr>
                <w:p w14:paraId="6B2BCAEC">
                  <w:pPr>
                    <w:pStyle w:val="30"/>
                    <w:jc w:val="both"/>
                    <w:rPr>
                      <w:color w:val="auto"/>
                      <w:highlight w:val="none"/>
                    </w:rPr>
                  </w:pPr>
                  <w:r>
                    <w:rPr>
                      <w:color w:val="auto"/>
                      <w:highlight w:val="none"/>
                    </w:rPr>
                    <w:t>经顶部自带的布袋除尘器处理后在车间内无组织排放，车间</w:t>
                  </w:r>
                  <w:r>
                    <w:rPr>
                      <w:rFonts w:hint="eastAsia"/>
                      <w:color w:val="auto"/>
                      <w:highlight w:val="none"/>
                      <w:lang w:val="en-US" w:eastAsia="zh-CN"/>
                    </w:rPr>
                    <w:t>顶部安装喷雾抑尘装置</w:t>
                  </w:r>
                  <w:r>
                    <w:rPr>
                      <w:color w:val="auto"/>
                      <w:highlight w:val="none"/>
                    </w:rPr>
                    <w:t>。</w:t>
                  </w:r>
                </w:p>
              </w:tc>
              <w:tc>
                <w:tcPr>
                  <w:tcW w:w="918" w:type="dxa"/>
                  <w:tcBorders>
                    <w:tl2br w:val="nil"/>
                    <w:tr2bl w:val="nil"/>
                  </w:tcBorders>
                  <w:vAlign w:val="center"/>
                </w:tcPr>
                <w:p w14:paraId="4EDF907C">
                  <w:pPr>
                    <w:adjustRightInd w:val="0"/>
                    <w:snapToGrid w:val="0"/>
                    <w:spacing w:line="240" w:lineRule="auto"/>
                    <w:jc w:val="center"/>
                    <w:rPr>
                      <w:rFonts w:cs="Times New Roman"/>
                      <w:color w:val="auto"/>
                      <w:sz w:val="21"/>
                      <w:szCs w:val="21"/>
                      <w:highlight w:val="none"/>
                    </w:rPr>
                  </w:pPr>
                  <w:r>
                    <w:rPr>
                      <w:rFonts w:hint="eastAsia" w:cs="Times New Roman" w:eastAsiaTheme="minorEastAsia"/>
                      <w:color w:val="auto"/>
                      <w:sz w:val="21"/>
                      <w:szCs w:val="21"/>
                      <w:highlight w:val="none"/>
                      <w:lang w:val="en-US" w:eastAsia="zh-CN"/>
                    </w:rPr>
                    <w:t>利旧</w:t>
                  </w:r>
                </w:p>
              </w:tc>
            </w:tr>
            <w:tr w14:paraId="3E40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5CE0217B">
                  <w:pPr>
                    <w:pStyle w:val="30"/>
                    <w:jc w:val="center"/>
                    <w:rPr>
                      <w:color w:val="auto"/>
                      <w:highlight w:val="none"/>
                    </w:rPr>
                  </w:pPr>
                </w:p>
              </w:tc>
              <w:tc>
                <w:tcPr>
                  <w:tcW w:w="762" w:type="pct"/>
                  <w:vMerge w:val="continue"/>
                  <w:tcBorders>
                    <w:tl2br w:val="nil"/>
                    <w:tr2bl w:val="nil"/>
                  </w:tcBorders>
                  <w:vAlign w:val="center"/>
                </w:tcPr>
                <w:p w14:paraId="53272C4B">
                  <w:pPr>
                    <w:pStyle w:val="30"/>
                    <w:jc w:val="center"/>
                    <w:rPr>
                      <w:color w:val="auto"/>
                      <w:highlight w:val="none"/>
                    </w:rPr>
                  </w:pPr>
                </w:p>
              </w:tc>
              <w:tc>
                <w:tcPr>
                  <w:tcW w:w="650" w:type="pct"/>
                  <w:tcBorders>
                    <w:tl2br w:val="nil"/>
                    <w:tr2bl w:val="nil"/>
                  </w:tcBorders>
                  <w:vAlign w:val="center"/>
                </w:tcPr>
                <w:p w14:paraId="0C9C992E">
                  <w:pPr>
                    <w:pStyle w:val="30"/>
                    <w:jc w:val="center"/>
                    <w:rPr>
                      <w:color w:val="auto"/>
                      <w:highlight w:val="none"/>
                    </w:rPr>
                  </w:pPr>
                  <w:r>
                    <w:rPr>
                      <w:color w:val="auto"/>
                      <w:highlight w:val="none"/>
                    </w:rPr>
                    <w:t>车辆运输扬尘</w:t>
                  </w:r>
                </w:p>
              </w:tc>
              <w:tc>
                <w:tcPr>
                  <w:tcW w:w="2730" w:type="pct"/>
                  <w:tcBorders>
                    <w:tl2br w:val="nil"/>
                    <w:tr2bl w:val="nil"/>
                  </w:tcBorders>
                  <w:vAlign w:val="center"/>
                </w:tcPr>
                <w:p w14:paraId="299846CA">
                  <w:pPr>
                    <w:pStyle w:val="30"/>
                    <w:jc w:val="both"/>
                    <w:rPr>
                      <w:color w:val="auto"/>
                      <w:highlight w:val="none"/>
                    </w:rPr>
                  </w:pPr>
                  <w:r>
                    <w:rPr>
                      <w:rFonts w:hint="eastAsia"/>
                      <w:color w:val="auto"/>
                      <w:highlight w:val="none"/>
                      <w:lang w:val="en-US" w:eastAsia="zh-CN"/>
                    </w:rPr>
                    <w:t>车辆</w:t>
                  </w:r>
                  <w:r>
                    <w:rPr>
                      <w:color w:val="auto"/>
                      <w:highlight w:val="none"/>
                    </w:rPr>
                    <w:t>运输过程中覆盖篷布，厂区定期洒水抑尘，并设洗车台，清洗车辆。</w:t>
                  </w:r>
                </w:p>
              </w:tc>
              <w:tc>
                <w:tcPr>
                  <w:tcW w:w="918" w:type="dxa"/>
                  <w:tcBorders>
                    <w:tl2br w:val="nil"/>
                    <w:tr2bl w:val="nil"/>
                  </w:tcBorders>
                  <w:vAlign w:val="center"/>
                </w:tcPr>
                <w:p w14:paraId="5719D61F">
                  <w:pPr>
                    <w:adjustRightInd w:val="0"/>
                    <w:snapToGrid w:val="0"/>
                    <w:spacing w:line="240" w:lineRule="auto"/>
                    <w:jc w:val="center"/>
                    <w:rPr>
                      <w:rFonts w:hint="eastAsia" w:cs="Times New Roman" w:eastAsiaTheme="minorEastAsia"/>
                      <w:color w:val="auto"/>
                      <w:sz w:val="21"/>
                      <w:szCs w:val="21"/>
                      <w:highlight w:val="none"/>
                      <w:lang w:eastAsia="zh-CN"/>
                    </w:rPr>
                  </w:pPr>
                  <w:r>
                    <w:rPr>
                      <w:rFonts w:hint="eastAsia" w:cs="Times New Roman" w:eastAsiaTheme="minorEastAsia"/>
                      <w:color w:val="auto"/>
                      <w:sz w:val="21"/>
                      <w:szCs w:val="21"/>
                      <w:highlight w:val="none"/>
                      <w:lang w:val="en-US" w:eastAsia="zh-CN"/>
                    </w:rPr>
                    <w:t>利旧</w:t>
                  </w:r>
                </w:p>
              </w:tc>
            </w:tr>
            <w:tr w14:paraId="519F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1" w:type="pct"/>
                  <w:vMerge w:val="continue"/>
                  <w:tcBorders>
                    <w:tl2br w:val="nil"/>
                    <w:tr2bl w:val="nil"/>
                  </w:tcBorders>
                  <w:vAlign w:val="center"/>
                </w:tcPr>
                <w:p w14:paraId="2905BBCA">
                  <w:pPr>
                    <w:pStyle w:val="30"/>
                    <w:jc w:val="center"/>
                    <w:rPr>
                      <w:color w:val="auto"/>
                      <w:highlight w:val="none"/>
                    </w:rPr>
                  </w:pPr>
                </w:p>
              </w:tc>
              <w:tc>
                <w:tcPr>
                  <w:tcW w:w="762" w:type="pct"/>
                  <w:vMerge w:val="restart"/>
                  <w:tcBorders>
                    <w:tl2br w:val="nil"/>
                    <w:tr2bl w:val="nil"/>
                  </w:tcBorders>
                  <w:vAlign w:val="center"/>
                </w:tcPr>
                <w:p w14:paraId="560CD6C4">
                  <w:pPr>
                    <w:pStyle w:val="30"/>
                    <w:jc w:val="center"/>
                    <w:rPr>
                      <w:color w:val="auto"/>
                      <w:highlight w:val="none"/>
                    </w:rPr>
                  </w:pPr>
                  <w:r>
                    <w:rPr>
                      <w:color w:val="auto"/>
                      <w:highlight w:val="none"/>
                    </w:rPr>
                    <w:t>废水</w:t>
                  </w:r>
                </w:p>
              </w:tc>
              <w:tc>
                <w:tcPr>
                  <w:tcW w:w="650" w:type="pct"/>
                  <w:tcBorders>
                    <w:tl2br w:val="nil"/>
                    <w:tr2bl w:val="nil"/>
                  </w:tcBorders>
                  <w:vAlign w:val="center"/>
                </w:tcPr>
                <w:p w14:paraId="54EA09CE">
                  <w:pPr>
                    <w:pStyle w:val="30"/>
                    <w:jc w:val="center"/>
                    <w:rPr>
                      <w:rFonts w:hint="eastAsia" w:eastAsia="宋体"/>
                      <w:color w:val="auto"/>
                      <w:highlight w:val="none"/>
                      <w:lang w:val="en-US" w:eastAsia="zh-CN"/>
                    </w:rPr>
                  </w:pPr>
                  <w:r>
                    <w:rPr>
                      <w:rFonts w:hint="eastAsia"/>
                      <w:color w:val="auto"/>
                      <w:highlight w:val="none"/>
                      <w:lang w:val="en-US" w:eastAsia="zh-CN"/>
                    </w:rPr>
                    <w:t>生活污水</w:t>
                  </w:r>
                </w:p>
              </w:tc>
              <w:tc>
                <w:tcPr>
                  <w:tcW w:w="2730" w:type="pct"/>
                  <w:tcBorders>
                    <w:tl2br w:val="nil"/>
                    <w:tr2bl w:val="nil"/>
                  </w:tcBorders>
                  <w:vAlign w:val="center"/>
                </w:tcPr>
                <w:p w14:paraId="36533F23">
                  <w:pPr>
                    <w:pStyle w:val="30"/>
                    <w:jc w:val="both"/>
                    <w:rPr>
                      <w:rFonts w:hint="eastAsia"/>
                      <w:color w:val="auto"/>
                      <w:highlight w:val="none"/>
                      <w:lang w:val="en-GB" w:eastAsia="zh-CN"/>
                    </w:rPr>
                  </w:pPr>
                  <w:r>
                    <w:rPr>
                      <w:rFonts w:hint="eastAsia"/>
                      <w:color w:val="auto"/>
                      <w:highlight w:val="none"/>
                      <w:lang w:val="en-GB" w:eastAsia="zh-CN"/>
                    </w:rPr>
                    <w:t>生活污水排入化粪池，定期清掏用作农肥，不外排。</w:t>
                  </w:r>
                </w:p>
              </w:tc>
              <w:tc>
                <w:tcPr>
                  <w:tcW w:w="495" w:type="pct"/>
                  <w:tcBorders>
                    <w:tl2br w:val="nil"/>
                    <w:tr2bl w:val="nil"/>
                  </w:tcBorders>
                  <w:vAlign w:val="center"/>
                </w:tcPr>
                <w:p w14:paraId="56C2063B">
                  <w:pPr>
                    <w:adjustRightInd w:val="0"/>
                    <w:snapToGrid w:val="0"/>
                    <w:spacing w:line="240" w:lineRule="auto"/>
                    <w:jc w:val="center"/>
                    <w:rPr>
                      <w:rFonts w:hint="eastAsia" w:cs="Times New Roman" w:eastAsiaTheme="minorEastAsia"/>
                      <w:color w:val="auto"/>
                      <w:sz w:val="21"/>
                      <w:szCs w:val="21"/>
                      <w:highlight w:val="none"/>
                      <w:lang w:eastAsia="zh-CN"/>
                    </w:rPr>
                  </w:pPr>
                  <w:r>
                    <w:rPr>
                      <w:rFonts w:hint="eastAsia" w:cs="Times New Roman" w:eastAsiaTheme="minorEastAsia"/>
                      <w:color w:val="auto"/>
                      <w:sz w:val="21"/>
                      <w:szCs w:val="21"/>
                      <w:highlight w:val="none"/>
                      <w:lang w:val="en-US" w:eastAsia="zh-CN"/>
                    </w:rPr>
                    <w:t>利旧</w:t>
                  </w:r>
                </w:p>
              </w:tc>
            </w:tr>
            <w:tr w14:paraId="1AA8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61" w:type="pct"/>
                  <w:vMerge w:val="continue"/>
                  <w:tcBorders>
                    <w:tl2br w:val="nil"/>
                    <w:tr2bl w:val="nil"/>
                  </w:tcBorders>
                  <w:vAlign w:val="center"/>
                </w:tcPr>
                <w:p w14:paraId="02592990">
                  <w:pPr>
                    <w:pStyle w:val="30"/>
                    <w:jc w:val="center"/>
                    <w:rPr>
                      <w:color w:val="auto"/>
                      <w:highlight w:val="none"/>
                    </w:rPr>
                  </w:pPr>
                </w:p>
              </w:tc>
              <w:tc>
                <w:tcPr>
                  <w:tcW w:w="762" w:type="pct"/>
                  <w:vMerge w:val="continue"/>
                  <w:tcBorders>
                    <w:tl2br w:val="nil"/>
                    <w:tr2bl w:val="nil"/>
                  </w:tcBorders>
                  <w:vAlign w:val="center"/>
                </w:tcPr>
                <w:p w14:paraId="276D3CA5">
                  <w:pPr>
                    <w:pStyle w:val="30"/>
                    <w:jc w:val="center"/>
                    <w:rPr>
                      <w:color w:val="auto"/>
                      <w:highlight w:val="none"/>
                    </w:rPr>
                  </w:pPr>
                </w:p>
              </w:tc>
              <w:tc>
                <w:tcPr>
                  <w:tcW w:w="650" w:type="pct"/>
                  <w:tcBorders>
                    <w:tl2br w:val="nil"/>
                    <w:tr2bl w:val="nil"/>
                  </w:tcBorders>
                  <w:vAlign w:val="center"/>
                </w:tcPr>
                <w:p w14:paraId="1D58BDB8">
                  <w:pPr>
                    <w:pStyle w:val="30"/>
                    <w:jc w:val="center"/>
                    <w:rPr>
                      <w:rFonts w:hint="eastAsia"/>
                      <w:color w:val="auto"/>
                      <w:highlight w:val="none"/>
                      <w:lang w:val="en-GB" w:eastAsia="zh-CN"/>
                    </w:rPr>
                  </w:pPr>
                  <w:r>
                    <w:rPr>
                      <w:rFonts w:hint="eastAsia"/>
                      <w:color w:val="auto"/>
                      <w:highlight w:val="none"/>
                      <w:lang w:val="en-GB" w:eastAsia="zh-CN"/>
                    </w:rPr>
                    <w:t>生产废水</w:t>
                  </w:r>
                </w:p>
              </w:tc>
              <w:tc>
                <w:tcPr>
                  <w:tcW w:w="2730" w:type="pct"/>
                  <w:tcBorders>
                    <w:tl2br w:val="nil"/>
                    <w:tr2bl w:val="nil"/>
                  </w:tcBorders>
                  <w:vAlign w:val="center"/>
                </w:tcPr>
                <w:p w14:paraId="4B8E6885">
                  <w:pPr>
                    <w:pStyle w:val="30"/>
                    <w:jc w:val="both"/>
                    <w:rPr>
                      <w:rFonts w:hint="eastAsia"/>
                      <w:color w:val="auto"/>
                      <w:highlight w:val="none"/>
                      <w:lang w:val="en-GB" w:eastAsia="zh-CN"/>
                    </w:rPr>
                  </w:pPr>
                  <w:r>
                    <w:rPr>
                      <w:rFonts w:hint="eastAsia"/>
                      <w:color w:val="auto"/>
                      <w:highlight w:val="none"/>
                      <w:lang w:val="en-GB" w:eastAsia="zh-CN"/>
                    </w:rPr>
                    <w:t>车辆冲洗废水经沉淀池沉淀后回用不外排。</w:t>
                  </w:r>
                </w:p>
              </w:tc>
              <w:tc>
                <w:tcPr>
                  <w:tcW w:w="495" w:type="pct"/>
                  <w:tcBorders>
                    <w:tl2br w:val="nil"/>
                    <w:tr2bl w:val="nil"/>
                  </w:tcBorders>
                  <w:vAlign w:val="center"/>
                </w:tcPr>
                <w:p w14:paraId="0888DDFE">
                  <w:pPr>
                    <w:pStyle w:val="30"/>
                    <w:jc w:val="center"/>
                    <w:rPr>
                      <w:rFonts w:hint="eastAsia" w:ascii="Times New Roman" w:hAnsi="Times New Roman" w:eastAsia="宋体" w:cs="Times New Roman"/>
                      <w:color w:val="auto"/>
                      <w:kern w:val="2"/>
                      <w:sz w:val="21"/>
                      <w:szCs w:val="21"/>
                      <w:highlight w:val="none"/>
                      <w:lang w:val="en-GB" w:eastAsia="zh-CN" w:bidi="ar-SA"/>
                    </w:rPr>
                  </w:pPr>
                  <w:r>
                    <w:rPr>
                      <w:rFonts w:hint="eastAsia"/>
                      <w:color w:val="auto"/>
                      <w:highlight w:val="none"/>
                      <w:lang w:val="en-US" w:eastAsia="zh-CN"/>
                    </w:rPr>
                    <w:t>利旧</w:t>
                  </w:r>
                </w:p>
              </w:tc>
            </w:tr>
            <w:tr w14:paraId="36D8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61" w:type="pct"/>
                  <w:vMerge w:val="continue"/>
                  <w:tcBorders>
                    <w:tl2br w:val="nil"/>
                    <w:tr2bl w:val="nil"/>
                  </w:tcBorders>
                  <w:vAlign w:val="center"/>
                </w:tcPr>
                <w:p w14:paraId="2D836009">
                  <w:pPr>
                    <w:pStyle w:val="30"/>
                    <w:jc w:val="center"/>
                    <w:rPr>
                      <w:color w:val="auto"/>
                      <w:highlight w:val="none"/>
                    </w:rPr>
                  </w:pPr>
                </w:p>
              </w:tc>
              <w:tc>
                <w:tcPr>
                  <w:tcW w:w="762" w:type="pct"/>
                  <w:vMerge w:val="continue"/>
                  <w:tcBorders>
                    <w:tl2br w:val="nil"/>
                    <w:tr2bl w:val="nil"/>
                  </w:tcBorders>
                  <w:vAlign w:val="center"/>
                </w:tcPr>
                <w:p w14:paraId="394B2B75">
                  <w:pPr>
                    <w:pStyle w:val="30"/>
                    <w:jc w:val="center"/>
                    <w:rPr>
                      <w:color w:val="auto"/>
                      <w:highlight w:val="none"/>
                    </w:rPr>
                  </w:pPr>
                </w:p>
              </w:tc>
              <w:tc>
                <w:tcPr>
                  <w:tcW w:w="650" w:type="pct"/>
                  <w:tcBorders>
                    <w:tl2br w:val="nil"/>
                    <w:tr2bl w:val="nil"/>
                  </w:tcBorders>
                  <w:vAlign w:val="center"/>
                </w:tcPr>
                <w:p w14:paraId="115B5C4A">
                  <w:pPr>
                    <w:pStyle w:val="30"/>
                    <w:jc w:val="center"/>
                    <w:rPr>
                      <w:rFonts w:hint="default"/>
                      <w:color w:val="auto"/>
                      <w:highlight w:val="none"/>
                      <w:lang w:val="en-US" w:eastAsia="zh-CN"/>
                    </w:rPr>
                  </w:pPr>
                  <w:r>
                    <w:rPr>
                      <w:rFonts w:hint="eastAsia"/>
                      <w:color w:val="auto"/>
                      <w:highlight w:val="none"/>
                      <w:lang w:val="en-US" w:eastAsia="zh-CN"/>
                    </w:rPr>
                    <w:t>初期雨水</w:t>
                  </w:r>
                </w:p>
              </w:tc>
              <w:tc>
                <w:tcPr>
                  <w:tcW w:w="2730" w:type="pct"/>
                  <w:tcBorders>
                    <w:tl2br w:val="nil"/>
                    <w:tr2bl w:val="nil"/>
                  </w:tcBorders>
                  <w:vAlign w:val="center"/>
                </w:tcPr>
                <w:p w14:paraId="4D8A3090">
                  <w:pPr>
                    <w:pStyle w:val="30"/>
                    <w:jc w:val="both"/>
                    <w:rPr>
                      <w:rFonts w:hint="eastAsia"/>
                      <w:color w:val="auto"/>
                      <w:highlight w:val="none"/>
                      <w:lang w:val="en-GB" w:eastAsia="zh-CN"/>
                    </w:rPr>
                  </w:pPr>
                  <w:r>
                    <w:rPr>
                      <w:rFonts w:hint="default" w:ascii="Times New Roman" w:hAnsi="Times New Roman" w:cs="Times New Roman"/>
                      <w:color w:val="auto"/>
                      <w:kern w:val="0"/>
                      <w:szCs w:val="21"/>
                      <w:highlight w:val="none"/>
                      <w:lang w:bidi="ar"/>
                    </w:rPr>
                    <w:t>项目雨污分流，厂区设置一个</w:t>
                  </w:r>
                  <w:r>
                    <w:rPr>
                      <w:rFonts w:hint="eastAsia" w:cs="Times New Roman"/>
                      <w:color w:val="auto"/>
                      <w:kern w:val="0"/>
                      <w:szCs w:val="21"/>
                      <w:highlight w:val="none"/>
                      <w:lang w:val="en-US" w:eastAsia="zh-CN" w:bidi="ar"/>
                    </w:rPr>
                    <w:t>50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3</w:t>
                  </w:r>
                  <w:r>
                    <w:rPr>
                      <w:rFonts w:hint="default" w:ascii="Times New Roman" w:hAnsi="Times New Roman" w:cs="Times New Roman"/>
                      <w:color w:val="auto"/>
                      <w:kern w:val="0"/>
                      <w:szCs w:val="21"/>
                      <w:highlight w:val="none"/>
                      <w:lang w:bidi="ar"/>
                    </w:rPr>
                    <w:t>的初期雨水收集池收集初期雨水，初期雨水</w:t>
                  </w:r>
                  <w:r>
                    <w:rPr>
                      <w:rFonts w:hint="eastAsia" w:cs="Times New Roman"/>
                      <w:color w:val="auto"/>
                      <w:kern w:val="0"/>
                      <w:szCs w:val="21"/>
                      <w:highlight w:val="none"/>
                      <w:lang w:val="en-US" w:eastAsia="zh-CN" w:bidi="ar"/>
                    </w:rPr>
                    <w:t>经沉淀池</w:t>
                  </w:r>
                  <w:r>
                    <w:rPr>
                      <w:rFonts w:hint="default" w:ascii="Times New Roman" w:hAnsi="Times New Roman" w:cs="Times New Roman"/>
                      <w:color w:val="auto"/>
                      <w:kern w:val="0"/>
                      <w:szCs w:val="21"/>
                      <w:highlight w:val="none"/>
                      <w:lang w:bidi="ar"/>
                    </w:rPr>
                    <w:t>沉淀处理后回用。</w:t>
                  </w:r>
                </w:p>
              </w:tc>
              <w:tc>
                <w:tcPr>
                  <w:tcW w:w="495" w:type="pct"/>
                  <w:tcBorders>
                    <w:tl2br w:val="nil"/>
                    <w:tr2bl w:val="nil"/>
                  </w:tcBorders>
                  <w:vAlign w:val="center"/>
                </w:tcPr>
                <w:p w14:paraId="6A9AFE90">
                  <w:pPr>
                    <w:pStyle w:val="30"/>
                    <w:jc w:val="center"/>
                    <w:rPr>
                      <w:rFonts w:hint="eastAsia"/>
                      <w:color w:val="auto"/>
                      <w:highlight w:val="none"/>
                      <w:lang w:val="en-US" w:eastAsia="zh-CN"/>
                    </w:rPr>
                  </w:pPr>
                  <w:r>
                    <w:rPr>
                      <w:rFonts w:hint="eastAsia"/>
                      <w:color w:val="auto"/>
                      <w:highlight w:val="none"/>
                      <w:lang w:val="en-US" w:eastAsia="zh-CN"/>
                    </w:rPr>
                    <w:t>利旧</w:t>
                  </w:r>
                </w:p>
              </w:tc>
            </w:tr>
            <w:tr w14:paraId="673E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5D34C60C">
                  <w:pPr>
                    <w:pStyle w:val="30"/>
                    <w:jc w:val="center"/>
                    <w:rPr>
                      <w:color w:val="auto"/>
                      <w:highlight w:val="none"/>
                    </w:rPr>
                  </w:pPr>
                </w:p>
              </w:tc>
              <w:tc>
                <w:tcPr>
                  <w:tcW w:w="762" w:type="pct"/>
                  <w:vMerge w:val="restart"/>
                  <w:tcBorders>
                    <w:tl2br w:val="nil"/>
                    <w:tr2bl w:val="nil"/>
                  </w:tcBorders>
                  <w:vAlign w:val="center"/>
                </w:tcPr>
                <w:p w14:paraId="3DA9C624">
                  <w:pPr>
                    <w:pStyle w:val="30"/>
                    <w:jc w:val="center"/>
                    <w:rPr>
                      <w:color w:val="auto"/>
                      <w:highlight w:val="none"/>
                    </w:rPr>
                  </w:pPr>
                  <w:r>
                    <w:rPr>
                      <w:color w:val="auto"/>
                      <w:highlight w:val="none"/>
                    </w:rPr>
                    <w:t>固体废物</w:t>
                  </w:r>
                </w:p>
              </w:tc>
              <w:tc>
                <w:tcPr>
                  <w:tcW w:w="650" w:type="pct"/>
                  <w:tcBorders>
                    <w:tl2br w:val="nil"/>
                    <w:tr2bl w:val="nil"/>
                  </w:tcBorders>
                  <w:vAlign w:val="center"/>
                </w:tcPr>
                <w:p w14:paraId="4F449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color w:val="auto"/>
                      <w:kern w:val="2"/>
                      <w:sz w:val="21"/>
                      <w:szCs w:val="21"/>
                      <w:highlight w:val="none"/>
                      <w:vertAlign w:val="baseline"/>
                      <w:lang w:val="en-US" w:eastAsia="zh-CN" w:bidi="ar-SA"/>
                    </w:rPr>
                  </w:pPr>
                  <w:r>
                    <w:rPr>
                      <w:rFonts w:hint="eastAsia" w:ascii="Times New Roman" w:hAnsi="Times New Roman" w:eastAsia="宋体" w:cs="Times New Roman"/>
                      <w:b w:val="0"/>
                      <w:color w:val="auto"/>
                      <w:kern w:val="2"/>
                      <w:sz w:val="21"/>
                      <w:szCs w:val="21"/>
                      <w:highlight w:val="none"/>
                      <w:vertAlign w:val="baseline"/>
                      <w:lang w:val="en-US" w:eastAsia="zh-CN" w:bidi="ar-SA"/>
                    </w:rPr>
                    <w:t>生活垃圾</w:t>
                  </w:r>
                </w:p>
              </w:tc>
              <w:tc>
                <w:tcPr>
                  <w:tcW w:w="2730" w:type="pct"/>
                  <w:tcBorders>
                    <w:tl2br w:val="nil"/>
                    <w:tr2bl w:val="nil"/>
                  </w:tcBorders>
                  <w:vAlign w:val="center"/>
                </w:tcPr>
                <w:p w14:paraId="58D12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厂区内设分类垃圾桶收集，定期交环卫部门外运处置。</w:t>
                  </w:r>
                </w:p>
              </w:tc>
              <w:tc>
                <w:tcPr>
                  <w:tcW w:w="495" w:type="pct"/>
                  <w:tcBorders>
                    <w:tl2br w:val="nil"/>
                    <w:tr2bl w:val="nil"/>
                  </w:tcBorders>
                  <w:vAlign w:val="center"/>
                </w:tcPr>
                <w:p w14:paraId="3068F2F0">
                  <w:pPr>
                    <w:adjustRightInd w:val="0"/>
                    <w:snapToGrid w:val="0"/>
                    <w:spacing w:line="240" w:lineRule="auto"/>
                    <w:jc w:val="center"/>
                    <w:rPr>
                      <w:rFonts w:hint="default" w:cs="Times New Roman"/>
                      <w:color w:val="auto"/>
                      <w:sz w:val="21"/>
                      <w:szCs w:val="21"/>
                      <w:highlight w:val="none"/>
                      <w:lang w:val="en-US"/>
                    </w:rPr>
                  </w:pPr>
                  <w:r>
                    <w:rPr>
                      <w:rFonts w:hint="default" w:cs="Times New Roman" w:eastAsiaTheme="minorEastAsia"/>
                      <w:color w:val="auto"/>
                      <w:sz w:val="21"/>
                      <w:szCs w:val="21"/>
                      <w:highlight w:val="none"/>
                      <w:lang w:val="en-US" w:eastAsia="zh-CN"/>
                    </w:rPr>
                    <w:t>新建</w:t>
                  </w:r>
                </w:p>
              </w:tc>
            </w:tr>
            <w:tr w14:paraId="219F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0A19EA62">
                  <w:pPr>
                    <w:pStyle w:val="30"/>
                    <w:jc w:val="center"/>
                    <w:rPr>
                      <w:color w:val="auto"/>
                      <w:highlight w:val="none"/>
                    </w:rPr>
                  </w:pPr>
                </w:p>
              </w:tc>
              <w:tc>
                <w:tcPr>
                  <w:tcW w:w="762" w:type="pct"/>
                  <w:vMerge w:val="continue"/>
                  <w:tcBorders>
                    <w:tl2br w:val="nil"/>
                    <w:tr2bl w:val="nil"/>
                  </w:tcBorders>
                  <w:vAlign w:val="center"/>
                </w:tcPr>
                <w:p w14:paraId="460FB1D4">
                  <w:pPr>
                    <w:pStyle w:val="30"/>
                    <w:jc w:val="center"/>
                    <w:rPr>
                      <w:color w:val="auto"/>
                      <w:highlight w:val="none"/>
                    </w:rPr>
                  </w:pPr>
                </w:p>
              </w:tc>
              <w:tc>
                <w:tcPr>
                  <w:tcW w:w="650" w:type="pct"/>
                  <w:tcBorders>
                    <w:tl2br w:val="nil"/>
                    <w:tr2bl w:val="nil"/>
                  </w:tcBorders>
                  <w:vAlign w:val="center"/>
                </w:tcPr>
                <w:p w14:paraId="556EBA41">
                  <w:pPr>
                    <w:pStyle w:val="30"/>
                    <w:jc w:val="center"/>
                    <w:rPr>
                      <w:color w:val="auto"/>
                      <w:highlight w:val="none"/>
                    </w:rPr>
                  </w:pPr>
                  <w:r>
                    <w:rPr>
                      <w:color w:val="auto"/>
                      <w:highlight w:val="none"/>
                    </w:rPr>
                    <w:t>一般固体废物</w:t>
                  </w:r>
                </w:p>
              </w:tc>
              <w:tc>
                <w:tcPr>
                  <w:tcW w:w="2730" w:type="pct"/>
                  <w:tcBorders>
                    <w:tl2br w:val="nil"/>
                    <w:tr2bl w:val="nil"/>
                  </w:tcBorders>
                  <w:vAlign w:val="center"/>
                </w:tcPr>
                <w:p w14:paraId="13BC5904">
                  <w:pPr>
                    <w:pStyle w:val="30"/>
                    <w:jc w:val="both"/>
                    <w:rPr>
                      <w:rFonts w:hint="default"/>
                      <w:color w:val="auto"/>
                      <w:highlight w:val="none"/>
                      <w:lang w:val="en-US"/>
                    </w:rPr>
                  </w:pPr>
                  <w:r>
                    <w:rPr>
                      <w:rFonts w:hint="eastAsia"/>
                      <w:color w:val="auto"/>
                      <w:highlight w:val="none"/>
                      <w:lang w:eastAsia="zh-CN"/>
                    </w:rPr>
                    <w:t>除尘装置收集的粉尘</w:t>
                  </w:r>
                  <w:r>
                    <w:rPr>
                      <w:rFonts w:hint="eastAsia"/>
                      <w:color w:val="auto"/>
                      <w:highlight w:val="none"/>
                      <w:lang w:val="en-US" w:eastAsia="zh-CN"/>
                    </w:rPr>
                    <w:t>、</w:t>
                  </w:r>
                  <w:r>
                    <w:rPr>
                      <w:rFonts w:hint="eastAsia"/>
                      <w:color w:val="auto"/>
                      <w:highlight w:val="none"/>
                      <w:lang w:eastAsia="zh-CN"/>
                    </w:rPr>
                    <w:t>沉淀池</w:t>
                  </w:r>
                  <w:r>
                    <w:rPr>
                      <w:rFonts w:hint="eastAsia"/>
                      <w:color w:val="auto"/>
                      <w:highlight w:val="none"/>
                      <w:lang w:val="en-US" w:eastAsia="zh-CN"/>
                    </w:rPr>
                    <w:t>沉渣</w:t>
                  </w:r>
                  <w:r>
                    <w:rPr>
                      <w:rFonts w:hint="eastAsia"/>
                      <w:color w:val="auto"/>
                      <w:highlight w:val="none"/>
                      <w:lang w:eastAsia="zh-CN"/>
                    </w:rPr>
                    <w:t>综合利用，</w:t>
                  </w:r>
                  <w:r>
                    <w:rPr>
                      <w:rFonts w:hint="eastAsia"/>
                      <w:color w:val="auto"/>
                      <w:highlight w:val="none"/>
                      <w:lang w:val="en-US" w:eastAsia="zh-CN"/>
                    </w:rPr>
                    <w:t>定期清出直接</w:t>
                  </w:r>
                  <w:r>
                    <w:rPr>
                      <w:rFonts w:hint="eastAsia"/>
                      <w:color w:val="auto"/>
                      <w:highlight w:val="none"/>
                      <w:lang w:eastAsia="zh-CN"/>
                    </w:rPr>
                    <w:t>回用于生产</w:t>
                  </w:r>
                  <w:r>
                    <w:rPr>
                      <w:rFonts w:hint="eastAsia"/>
                      <w:color w:val="auto"/>
                      <w:highlight w:val="none"/>
                      <w:lang w:val="en-US" w:eastAsia="zh-CN"/>
                    </w:rPr>
                    <w:t>。</w:t>
                  </w:r>
                </w:p>
              </w:tc>
              <w:tc>
                <w:tcPr>
                  <w:tcW w:w="495" w:type="pct"/>
                  <w:tcBorders>
                    <w:tl2br w:val="nil"/>
                    <w:tr2bl w:val="nil"/>
                  </w:tcBorders>
                  <w:vAlign w:val="center"/>
                </w:tcPr>
                <w:p w14:paraId="2D6ECF5A">
                  <w:pPr>
                    <w:adjustRightInd w:val="0"/>
                    <w:snapToGrid w:val="0"/>
                    <w:spacing w:line="240" w:lineRule="auto"/>
                    <w:jc w:val="center"/>
                    <w:rPr>
                      <w:rFonts w:hint="eastAsia" w:cs="Times New Roman" w:eastAsiaTheme="minorEastAsia"/>
                      <w:color w:val="auto"/>
                      <w:sz w:val="21"/>
                      <w:szCs w:val="21"/>
                      <w:highlight w:val="none"/>
                      <w:lang w:eastAsia="zh-CN"/>
                    </w:rPr>
                  </w:pPr>
                  <w:r>
                    <w:rPr>
                      <w:rFonts w:hint="default" w:cs="Times New Roman" w:eastAsiaTheme="minorEastAsia"/>
                      <w:color w:val="auto"/>
                      <w:sz w:val="21"/>
                      <w:szCs w:val="21"/>
                      <w:highlight w:val="none"/>
                      <w:lang w:val="en-US" w:eastAsia="zh-CN"/>
                    </w:rPr>
                    <w:t>新建</w:t>
                  </w:r>
                </w:p>
              </w:tc>
            </w:tr>
            <w:tr w14:paraId="2C71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646DC7B5">
                  <w:pPr>
                    <w:pStyle w:val="30"/>
                    <w:jc w:val="center"/>
                    <w:rPr>
                      <w:color w:val="auto"/>
                      <w:highlight w:val="none"/>
                    </w:rPr>
                  </w:pPr>
                </w:p>
              </w:tc>
              <w:tc>
                <w:tcPr>
                  <w:tcW w:w="762" w:type="pct"/>
                  <w:vMerge w:val="continue"/>
                  <w:tcBorders>
                    <w:tl2br w:val="nil"/>
                    <w:tr2bl w:val="nil"/>
                  </w:tcBorders>
                  <w:vAlign w:val="center"/>
                </w:tcPr>
                <w:p w14:paraId="165D813B">
                  <w:pPr>
                    <w:pStyle w:val="30"/>
                    <w:jc w:val="center"/>
                    <w:rPr>
                      <w:color w:val="auto"/>
                      <w:highlight w:val="none"/>
                    </w:rPr>
                  </w:pPr>
                </w:p>
              </w:tc>
              <w:tc>
                <w:tcPr>
                  <w:tcW w:w="650" w:type="pct"/>
                  <w:tcBorders>
                    <w:tl2br w:val="nil"/>
                    <w:tr2bl w:val="nil"/>
                  </w:tcBorders>
                  <w:vAlign w:val="center"/>
                </w:tcPr>
                <w:p w14:paraId="2BA4D982">
                  <w:pPr>
                    <w:pStyle w:val="30"/>
                    <w:jc w:val="center"/>
                    <w:rPr>
                      <w:color w:val="auto"/>
                      <w:highlight w:val="none"/>
                    </w:rPr>
                  </w:pPr>
                  <w:r>
                    <w:rPr>
                      <w:color w:val="auto"/>
                      <w:highlight w:val="none"/>
                    </w:rPr>
                    <w:t>危险废物</w:t>
                  </w:r>
                </w:p>
              </w:tc>
              <w:tc>
                <w:tcPr>
                  <w:tcW w:w="2730" w:type="pct"/>
                  <w:tcBorders>
                    <w:tl2br w:val="nil"/>
                    <w:tr2bl w:val="nil"/>
                  </w:tcBorders>
                  <w:vAlign w:val="center"/>
                </w:tcPr>
                <w:p w14:paraId="2175AC62">
                  <w:pPr>
                    <w:pStyle w:val="30"/>
                    <w:jc w:val="both"/>
                    <w:rPr>
                      <w:color w:val="auto"/>
                      <w:highlight w:val="none"/>
                    </w:rPr>
                  </w:pPr>
                  <w:r>
                    <w:rPr>
                      <w:rFonts w:hint="eastAsia"/>
                      <w:color w:val="auto"/>
                      <w:highlight w:val="none"/>
                      <w:lang w:val="en-US" w:eastAsia="zh-CN"/>
                    </w:rPr>
                    <w:t>1间危废贮存点，</w:t>
                  </w:r>
                  <w:r>
                    <w:rPr>
                      <w:rFonts w:hint="eastAsia"/>
                      <w:color w:val="auto"/>
                      <w:highlight w:val="none"/>
                      <w:lang w:eastAsia="zh-CN"/>
                    </w:rPr>
                    <w:t>建筑面积</w:t>
                  </w:r>
                  <w:r>
                    <w:rPr>
                      <w:rFonts w:hint="eastAsia"/>
                      <w:color w:val="auto"/>
                      <w:highlight w:val="none"/>
                      <w:lang w:val="en-US" w:eastAsia="zh-CN"/>
                    </w:rPr>
                    <w:t>10</w:t>
                  </w:r>
                  <w:r>
                    <w:rPr>
                      <w:color w:val="auto"/>
                      <w:highlight w:val="none"/>
                    </w:rPr>
                    <w:t>m</w:t>
                  </w:r>
                  <w:r>
                    <w:rPr>
                      <w:color w:val="auto"/>
                      <w:highlight w:val="none"/>
                      <w:vertAlign w:val="superscript"/>
                    </w:rPr>
                    <w:t>2</w:t>
                  </w:r>
                  <w:r>
                    <w:rPr>
                      <w:rFonts w:hint="eastAsia"/>
                      <w:color w:val="auto"/>
                      <w:highlight w:val="none"/>
                      <w:lang w:val="en-US" w:eastAsia="zh-CN"/>
                    </w:rPr>
                    <w:t>，位于厂区北侧</w:t>
                  </w:r>
                  <w:r>
                    <w:rPr>
                      <w:rFonts w:hint="eastAsia"/>
                      <w:color w:val="auto"/>
                      <w:highlight w:val="none"/>
                      <w:lang w:eastAsia="zh-CN"/>
                    </w:rPr>
                    <w:t>。</w:t>
                  </w:r>
                  <w:r>
                    <w:rPr>
                      <w:rFonts w:hint="eastAsia"/>
                      <w:color w:val="auto"/>
                      <w:highlight w:val="none"/>
                      <w:lang w:val="en-US" w:eastAsia="zh-CN"/>
                    </w:rPr>
                    <w:t>废机油、废油桶、废油手套暂存于危废贮存点</w:t>
                  </w:r>
                  <w:r>
                    <w:rPr>
                      <w:rFonts w:hint="eastAsia"/>
                      <w:color w:val="auto"/>
                      <w:highlight w:val="none"/>
                      <w:lang w:eastAsia="zh-CN"/>
                    </w:rPr>
                    <w:t>，</w:t>
                  </w:r>
                  <w:r>
                    <w:rPr>
                      <w:rFonts w:hint="eastAsia"/>
                      <w:color w:val="auto"/>
                      <w:highlight w:val="none"/>
                      <w:lang w:val="en-US" w:eastAsia="zh-CN"/>
                    </w:rPr>
                    <w:t>定期交由有资质的单位处置。</w:t>
                  </w:r>
                </w:p>
              </w:tc>
              <w:tc>
                <w:tcPr>
                  <w:tcW w:w="495" w:type="pct"/>
                  <w:tcBorders>
                    <w:tl2br w:val="nil"/>
                    <w:tr2bl w:val="nil"/>
                  </w:tcBorders>
                  <w:vAlign w:val="center"/>
                </w:tcPr>
                <w:p w14:paraId="5A49DC60">
                  <w:pPr>
                    <w:adjustRightInd w:val="0"/>
                    <w:snapToGrid w:val="0"/>
                    <w:spacing w:line="240" w:lineRule="auto"/>
                    <w:jc w:val="center"/>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利旧</w:t>
                  </w:r>
                </w:p>
              </w:tc>
            </w:tr>
            <w:tr w14:paraId="5C7B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1" w:type="pct"/>
                  <w:vMerge w:val="continue"/>
                  <w:tcBorders>
                    <w:tl2br w:val="nil"/>
                    <w:tr2bl w:val="nil"/>
                  </w:tcBorders>
                  <w:vAlign w:val="center"/>
                </w:tcPr>
                <w:p w14:paraId="00300CEE">
                  <w:pPr>
                    <w:pStyle w:val="30"/>
                    <w:jc w:val="center"/>
                    <w:rPr>
                      <w:color w:val="auto"/>
                      <w:highlight w:val="none"/>
                    </w:rPr>
                  </w:pPr>
                </w:p>
              </w:tc>
              <w:tc>
                <w:tcPr>
                  <w:tcW w:w="762" w:type="pct"/>
                  <w:tcBorders>
                    <w:tl2br w:val="nil"/>
                    <w:tr2bl w:val="nil"/>
                  </w:tcBorders>
                  <w:vAlign w:val="center"/>
                </w:tcPr>
                <w:p w14:paraId="1202CE45">
                  <w:pPr>
                    <w:pStyle w:val="30"/>
                    <w:jc w:val="center"/>
                    <w:rPr>
                      <w:color w:val="auto"/>
                      <w:highlight w:val="none"/>
                    </w:rPr>
                  </w:pPr>
                  <w:r>
                    <w:rPr>
                      <w:color w:val="auto"/>
                      <w:highlight w:val="none"/>
                    </w:rPr>
                    <w:t>噪声</w:t>
                  </w:r>
                </w:p>
              </w:tc>
              <w:tc>
                <w:tcPr>
                  <w:tcW w:w="3380" w:type="pct"/>
                  <w:gridSpan w:val="2"/>
                  <w:tcBorders>
                    <w:tl2br w:val="nil"/>
                    <w:tr2bl w:val="nil"/>
                  </w:tcBorders>
                  <w:vAlign w:val="center"/>
                </w:tcPr>
                <w:p w14:paraId="6C2A16B5">
                  <w:pPr>
                    <w:pStyle w:val="30"/>
                    <w:jc w:val="both"/>
                    <w:rPr>
                      <w:color w:val="auto"/>
                      <w:highlight w:val="none"/>
                    </w:rPr>
                  </w:pPr>
                  <w:r>
                    <w:rPr>
                      <w:color w:val="auto"/>
                      <w:highlight w:val="none"/>
                    </w:rPr>
                    <w:t>设备运行过程产生噪声，通过设置减振基座、厂房隔声等措施降低噪声影响。</w:t>
                  </w:r>
                </w:p>
              </w:tc>
              <w:tc>
                <w:tcPr>
                  <w:tcW w:w="495" w:type="pct"/>
                  <w:tcBorders>
                    <w:tl2br w:val="nil"/>
                    <w:tr2bl w:val="nil"/>
                  </w:tcBorders>
                  <w:vAlign w:val="center"/>
                </w:tcPr>
                <w:p w14:paraId="535A0308">
                  <w:pPr>
                    <w:adjustRightInd w:val="0"/>
                    <w:snapToGrid w:val="0"/>
                    <w:spacing w:line="240" w:lineRule="auto"/>
                    <w:jc w:val="center"/>
                    <w:rPr>
                      <w:rFonts w:hint="default" w:cs="Times New Roman" w:eastAsiaTheme="minorEastAsia"/>
                      <w:color w:val="auto"/>
                      <w:sz w:val="21"/>
                      <w:szCs w:val="21"/>
                      <w:highlight w:val="none"/>
                      <w:lang w:val="en-US" w:eastAsia="zh-CN"/>
                    </w:rPr>
                  </w:pPr>
                  <w:r>
                    <w:rPr>
                      <w:rFonts w:hint="default" w:cs="Times New Roman" w:eastAsiaTheme="minorEastAsia"/>
                      <w:color w:val="auto"/>
                      <w:sz w:val="21"/>
                      <w:szCs w:val="21"/>
                      <w:highlight w:val="none"/>
                      <w:lang w:val="en-US" w:eastAsia="zh-CN"/>
                    </w:rPr>
                    <w:t>新建</w:t>
                  </w:r>
                </w:p>
              </w:tc>
            </w:tr>
          </w:tbl>
          <w:p w14:paraId="1E97B0AF">
            <w:pPr>
              <w:tabs>
                <w:tab w:val="left" w:pos="2130"/>
              </w:tabs>
              <w:ind w:firstLine="482" w:firstLineChars="200"/>
              <w:rPr>
                <w:rFonts w:cs="Times New Roman"/>
                <w:color w:val="auto"/>
                <w:highlight w:val="none"/>
              </w:rPr>
            </w:pPr>
            <w:r>
              <w:rPr>
                <w:rFonts w:cs="Times New Roman"/>
                <w:b/>
                <w:color w:val="auto"/>
                <w:highlight w:val="none"/>
              </w:rPr>
              <w:t>3、项目产品方案</w:t>
            </w:r>
          </w:p>
          <w:p w14:paraId="41361DC2">
            <w:pPr>
              <w:ind w:firstLine="480" w:firstLineChars="200"/>
              <w:rPr>
                <w:rFonts w:cs="Times New Roman"/>
                <w:color w:val="auto"/>
                <w:highlight w:val="none"/>
              </w:rPr>
            </w:pPr>
            <w:r>
              <w:rPr>
                <w:rFonts w:cs="Times New Roman"/>
                <w:color w:val="auto"/>
                <w:highlight w:val="none"/>
              </w:rPr>
              <w:t>本项目建成后</w:t>
            </w:r>
            <w:r>
              <w:rPr>
                <w:rFonts w:hint="eastAsia" w:cs="Times New Roman"/>
                <w:color w:val="auto"/>
                <w:highlight w:val="none"/>
                <w:lang w:val="en-US" w:eastAsia="zh-CN"/>
              </w:rPr>
              <w:t>产品方案及生产规模见下表</w:t>
            </w:r>
            <w:r>
              <w:rPr>
                <w:rFonts w:cs="Times New Roman"/>
                <w:color w:val="auto"/>
                <w:highlight w:val="none"/>
              </w:rPr>
              <w:t>。</w:t>
            </w:r>
          </w:p>
          <w:p w14:paraId="7BC0EEFE">
            <w:pPr>
              <w:autoSpaceDE w:val="0"/>
              <w:autoSpaceDN w:val="0"/>
              <w:adjustRightInd w:val="0"/>
              <w:snapToGrid w:val="0"/>
              <w:spacing w:line="240" w:lineRule="auto"/>
              <w:jc w:val="center"/>
              <w:rPr>
                <w:rFonts w:eastAsia="宋体" w:cs="Times New Roman"/>
                <w:b/>
                <w:color w:val="auto"/>
                <w:sz w:val="21"/>
                <w:szCs w:val="21"/>
                <w:highlight w:val="none"/>
                <w:lang w:val="zh-CN" w:bidi="zh-CN"/>
              </w:rPr>
            </w:pPr>
            <w:r>
              <w:rPr>
                <w:rFonts w:eastAsia="宋体" w:cs="Times New Roman"/>
                <w:b/>
                <w:color w:val="auto"/>
                <w:sz w:val="21"/>
                <w:szCs w:val="21"/>
                <w:highlight w:val="none"/>
                <w:lang w:val="zh-CN" w:bidi="zh-CN"/>
              </w:rPr>
              <w:t>表2-2 项目生产规模一览表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091"/>
              <w:gridCol w:w="1529"/>
              <w:gridCol w:w="1756"/>
              <w:gridCol w:w="3554"/>
            </w:tblGrid>
            <w:tr w14:paraId="2D0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6B0E1594">
                  <w:pPr>
                    <w:adjustRightInd w:val="0"/>
                    <w:snapToGrid w:val="0"/>
                    <w:spacing w:line="240" w:lineRule="auto"/>
                    <w:jc w:val="center"/>
                    <w:rPr>
                      <w:rFonts w:cs="Times New Roman"/>
                      <w:b/>
                      <w:color w:val="auto"/>
                      <w:sz w:val="21"/>
                      <w:szCs w:val="21"/>
                      <w:highlight w:val="none"/>
                    </w:rPr>
                  </w:pPr>
                  <w:r>
                    <w:rPr>
                      <w:rFonts w:cs="Times New Roman"/>
                      <w:b/>
                      <w:color w:val="auto"/>
                      <w:sz w:val="21"/>
                      <w:szCs w:val="21"/>
                      <w:highlight w:val="none"/>
                    </w:rPr>
                    <w:t>产品名称</w:t>
                  </w:r>
                </w:p>
              </w:tc>
              <w:tc>
                <w:tcPr>
                  <w:tcW w:w="588" w:type="pct"/>
                  <w:tcBorders>
                    <w:tl2br w:val="nil"/>
                    <w:tr2bl w:val="nil"/>
                  </w:tcBorders>
                  <w:vAlign w:val="center"/>
                </w:tcPr>
                <w:p w14:paraId="7E967734">
                  <w:pPr>
                    <w:adjustRightInd w:val="0"/>
                    <w:snapToGrid w:val="0"/>
                    <w:spacing w:line="240" w:lineRule="auto"/>
                    <w:jc w:val="center"/>
                    <w:rPr>
                      <w:rFonts w:cs="Times New Roman"/>
                      <w:b/>
                      <w:color w:val="auto"/>
                      <w:sz w:val="21"/>
                      <w:szCs w:val="21"/>
                      <w:highlight w:val="none"/>
                    </w:rPr>
                  </w:pPr>
                  <w:r>
                    <w:rPr>
                      <w:rFonts w:cs="Times New Roman"/>
                      <w:b/>
                      <w:color w:val="auto"/>
                      <w:sz w:val="21"/>
                      <w:szCs w:val="21"/>
                      <w:highlight w:val="none"/>
                    </w:rPr>
                    <w:t>年产量</w:t>
                  </w:r>
                </w:p>
              </w:tc>
              <w:tc>
                <w:tcPr>
                  <w:tcW w:w="824" w:type="pct"/>
                  <w:tcBorders>
                    <w:tl2br w:val="nil"/>
                    <w:tr2bl w:val="nil"/>
                  </w:tcBorders>
                  <w:vAlign w:val="center"/>
                </w:tcPr>
                <w:p w14:paraId="6B99BA5B">
                  <w:pPr>
                    <w:adjustRightInd w:val="0"/>
                    <w:snapToGrid w:val="0"/>
                    <w:spacing w:line="240" w:lineRule="auto"/>
                    <w:jc w:val="center"/>
                    <w:rPr>
                      <w:rFonts w:hint="default" w:cs="Times New Roman" w:eastAsiaTheme="minorEastAsia"/>
                      <w:b/>
                      <w:color w:val="auto"/>
                      <w:sz w:val="21"/>
                      <w:szCs w:val="21"/>
                      <w:highlight w:val="none"/>
                      <w:lang w:val="en-US" w:eastAsia="zh-CN"/>
                    </w:rPr>
                  </w:pPr>
                  <w:r>
                    <w:rPr>
                      <w:rFonts w:hint="eastAsia" w:cs="Times New Roman"/>
                      <w:b/>
                      <w:color w:val="auto"/>
                      <w:sz w:val="21"/>
                      <w:szCs w:val="21"/>
                      <w:highlight w:val="none"/>
                      <w:lang w:val="en-US" w:eastAsia="zh-CN"/>
                    </w:rPr>
                    <w:t>规格</w:t>
                  </w:r>
                </w:p>
              </w:tc>
              <w:tc>
                <w:tcPr>
                  <w:tcW w:w="946" w:type="pct"/>
                  <w:tcBorders>
                    <w:tl2br w:val="nil"/>
                    <w:tr2bl w:val="nil"/>
                  </w:tcBorders>
                  <w:vAlign w:val="center"/>
                </w:tcPr>
                <w:p w14:paraId="43FFB6C8">
                  <w:pPr>
                    <w:adjustRightInd w:val="0"/>
                    <w:snapToGrid w:val="0"/>
                    <w:spacing w:line="240" w:lineRule="auto"/>
                    <w:jc w:val="center"/>
                    <w:rPr>
                      <w:rFonts w:cs="Times New Roman"/>
                      <w:b/>
                      <w:color w:val="auto"/>
                      <w:sz w:val="21"/>
                      <w:szCs w:val="21"/>
                      <w:highlight w:val="none"/>
                    </w:rPr>
                  </w:pPr>
                  <w:r>
                    <w:rPr>
                      <w:rFonts w:cs="Times New Roman"/>
                      <w:b/>
                      <w:color w:val="auto"/>
                      <w:sz w:val="21"/>
                      <w:szCs w:val="21"/>
                      <w:highlight w:val="none"/>
                    </w:rPr>
                    <w:t>用途</w:t>
                  </w:r>
                </w:p>
              </w:tc>
              <w:tc>
                <w:tcPr>
                  <w:tcW w:w="1915" w:type="pct"/>
                  <w:tcBorders>
                    <w:tl2br w:val="nil"/>
                    <w:tr2bl w:val="nil"/>
                  </w:tcBorders>
                  <w:vAlign w:val="center"/>
                </w:tcPr>
                <w:p w14:paraId="65117390">
                  <w:pPr>
                    <w:adjustRightInd w:val="0"/>
                    <w:snapToGrid w:val="0"/>
                    <w:spacing w:line="240" w:lineRule="auto"/>
                    <w:jc w:val="center"/>
                    <w:rPr>
                      <w:rFonts w:hint="default" w:cs="Times New Roman" w:eastAsiaTheme="minorEastAsia"/>
                      <w:b/>
                      <w:color w:val="auto"/>
                      <w:sz w:val="21"/>
                      <w:szCs w:val="21"/>
                      <w:highlight w:val="none"/>
                      <w:lang w:val="en-US" w:eastAsia="zh-CN"/>
                    </w:rPr>
                  </w:pPr>
                  <w:r>
                    <w:rPr>
                      <w:rFonts w:hint="eastAsia" w:cs="Times New Roman"/>
                      <w:b/>
                      <w:color w:val="auto"/>
                      <w:sz w:val="21"/>
                      <w:szCs w:val="21"/>
                      <w:highlight w:val="none"/>
                      <w:lang w:val="en-US" w:eastAsia="zh-CN"/>
                    </w:rPr>
                    <w:t>备注</w:t>
                  </w:r>
                </w:p>
              </w:tc>
            </w:tr>
            <w:tr w14:paraId="0112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70795098">
                  <w:pPr>
                    <w:adjustRightInd w:val="0"/>
                    <w:snapToGrid w:val="0"/>
                    <w:spacing w:line="240" w:lineRule="auto"/>
                    <w:jc w:val="center"/>
                    <w:rPr>
                      <w:rFonts w:hint="eastAsia" w:cs="Times New Roman" w:eastAsiaTheme="minorEastAsia"/>
                      <w:bCs/>
                      <w:color w:val="auto"/>
                      <w:sz w:val="21"/>
                      <w:szCs w:val="21"/>
                      <w:highlight w:val="none"/>
                      <w:lang w:eastAsia="zh-CN"/>
                    </w:rPr>
                  </w:pPr>
                  <w:r>
                    <w:rPr>
                      <w:rFonts w:hint="eastAsia" w:cs="Times New Roman"/>
                      <w:bCs/>
                      <w:color w:val="auto"/>
                      <w:sz w:val="21"/>
                      <w:szCs w:val="21"/>
                      <w:highlight w:val="none"/>
                      <w:lang w:val="en-US" w:eastAsia="zh-CN"/>
                    </w:rPr>
                    <w:t>再生骨料颗粒</w:t>
                  </w:r>
                </w:p>
              </w:tc>
              <w:tc>
                <w:tcPr>
                  <w:tcW w:w="588" w:type="pct"/>
                  <w:tcBorders>
                    <w:tl2br w:val="nil"/>
                    <w:tr2bl w:val="nil"/>
                  </w:tcBorders>
                  <w:vAlign w:val="center"/>
                </w:tcPr>
                <w:p w14:paraId="39B28853">
                  <w:pPr>
                    <w:adjustRightInd w:val="0"/>
                    <w:snapToGrid w:val="0"/>
                    <w:spacing w:line="240" w:lineRule="auto"/>
                    <w:jc w:val="center"/>
                    <w:rPr>
                      <w:rFonts w:cs="Times New Roman"/>
                      <w:bCs/>
                      <w:color w:val="auto"/>
                      <w:sz w:val="21"/>
                      <w:szCs w:val="21"/>
                      <w:highlight w:val="none"/>
                    </w:rPr>
                  </w:pPr>
                  <w:r>
                    <w:rPr>
                      <w:rFonts w:hint="eastAsia" w:cs="Times New Roman"/>
                      <w:bCs/>
                      <w:color w:val="auto"/>
                      <w:sz w:val="21"/>
                      <w:szCs w:val="21"/>
                      <w:highlight w:val="none"/>
                      <w:lang w:val="en-US" w:eastAsia="zh-CN"/>
                    </w:rPr>
                    <w:t>40</w:t>
                  </w:r>
                  <w:r>
                    <w:rPr>
                      <w:rFonts w:cs="Times New Roman"/>
                      <w:bCs/>
                      <w:color w:val="auto"/>
                      <w:sz w:val="21"/>
                      <w:szCs w:val="21"/>
                      <w:highlight w:val="none"/>
                    </w:rPr>
                    <w:t>万吨</w:t>
                  </w:r>
                </w:p>
              </w:tc>
              <w:tc>
                <w:tcPr>
                  <w:tcW w:w="824" w:type="pct"/>
                  <w:tcBorders>
                    <w:tl2br w:val="nil"/>
                    <w:tr2bl w:val="nil"/>
                  </w:tcBorders>
                  <w:vAlign w:val="center"/>
                </w:tcPr>
                <w:p w14:paraId="5D5BFCF6">
                  <w:pPr>
                    <w:adjustRightInd w:val="0"/>
                    <w:snapToGrid w:val="0"/>
                    <w:spacing w:line="240" w:lineRule="auto"/>
                    <w:jc w:val="center"/>
                    <w:rPr>
                      <w:rFonts w:cs="Times New Roman"/>
                      <w:bCs/>
                      <w:color w:val="auto"/>
                      <w:sz w:val="21"/>
                      <w:szCs w:val="21"/>
                      <w:highlight w:val="none"/>
                    </w:rPr>
                  </w:pPr>
                  <w:r>
                    <w:rPr>
                      <w:rFonts w:hint="eastAsia" w:cs="Times New Roman"/>
                      <w:bCs/>
                      <w:color w:val="auto"/>
                      <w:sz w:val="21"/>
                      <w:szCs w:val="21"/>
                      <w:highlight w:val="none"/>
                      <w:lang w:val="en-US" w:eastAsia="zh-CN"/>
                    </w:rPr>
                    <w:t>WDB800S</w:t>
                  </w:r>
                </w:p>
              </w:tc>
              <w:tc>
                <w:tcPr>
                  <w:tcW w:w="946" w:type="pct"/>
                  <w:tcBorders>
                    <w:tl2br w:val="nil"/>
                    <w:tr2bl w:val="nil"/>
                  </w:tcBorders>
                  <w:vAlign w:val="center"/>
                </w:tcPr>
                <w:p w14:paraId="02D6456C">
                  <w:pPr>
                    <w:adjustRightInd w:val="0"/>
                    <w:snapToGrid w:val="0"/>
                    <w:spacing w:line="240" w:lineRule="auto"/>
                    <w:jc w:val="center"/>
                    <w:rPr>
                      <w:rFonts w:hint="default" w:cs="Times New Roman"/>
                      <w:bCs/>
                      <w:color w:val="auto"/>
                      <w:sz w:val="21"/>
                      <w:szCs w:val="21"/>
                      <w:highlight w:val="none"/>
                      <w:lang w:val="en-US"/>
                    </w:rPr>
                  </w:pPr>
                  <w:r>
                    <w:rPr>
                      <w:rFonts w:hint="eastAsia" w:cs="Times New Roman"/>
                      <w:bCs/>
                      <w:color w:val="auto"/>
                      <w:sz w:val="21"/>
                      <w:szCs w:val="21"/>
                      <w:highlight w:val="none"/>
                      <w:lang w:val="en-US" w:eastAsia="zh-CN"/>
                    </w:rPr>
                    <w:t>外售，作为路基基础层，</w:t>
                  </w:r>
                  <w:r>
                    <w:rPr>
                      <w:rFonts w:cs="Times New Roman"/>
                      <w:bCs/>
                      <w:color w:val="auto"/>
                      <w:sz w:val="21"/>
                      <w:szCs w:val="21"/>
                      <w:highlight w:val="none"/>
                    </w:rPr>
                    <w:t>用于</w:t>
                  </w:r>
                  <w:r>
                    <w:rPr>
                      <w:rFonts w:hint="eastAsia" w:cs="Times New Roman"/>
                      <w:bCs/>
                      <w:color w:val="auto"/>
                      <w:sz w:val="21"/>
                      <w:szCs w:val="21"/>
                      <w:highlight w:val="none"/>
                      <w:lang w:val="en-US" w:eastAsia="zh-CN"/>
                    </w:rPr>
                    <w:t>鄠邑辖区周边路桥建设</w:t>
                  </w:r>
                </w:p>
              </w:tc>
              <w:tc>
                <w:tcPr>
                  <w:tcW w:w="1915" w:type="pct"/>
                  <w:tcBorders>
                    <w:tl2br w:val="nil"/>
                    <w:tr2bl w:val="nil"/>
                  </w:tcBorders>
                  <w:vAlign w:val="center"/>
                </w:tcPr>
                <w:p w14:paraId="38B90EAB">
                  <w:pPr>
                    <w:adjustRightInd w:val="0"/>
                    <w:snapToGrid w:val="0"/>
                    <w:spacing w:line="240" w:lineRule="auto"/>
                    <w:jc w:val="both"/>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年处理约40万吨建筑废弃物。生产细骨</w:t>
                  </w:r>
                  <w:r>
                    <w:rPr>
                      <w:rFonts w:hint="eastAsia" w:ascii="Times New Roman" w:hAnsi="Times New Roman" w:cs="Times New Roman"/>
                      <w:bCs/>
                      <w:color w:val="auto"/>
                      <w:sz w:val="21"/>
                      <w:szCs w:val="21"/>
                      <w:highlight w:val="none"/>
                      <w:lang w:val="en-US" w:eastAsia="zh-CN"/>
                    </w:rPr>
                    <w:t>料约</w:t>
                  </w:r>
                  <w:r>
                    <w:rPr>
                      <w:rFonts w:hint="eastAsia" w:cs="Times New Roman"/>
                      <w:bCs/>
                      <w:color w:val="auto"/>
                      <w:sz w:val="21"/>
                      <w:szCs w:val="21"/>
                      <w:highlight w:val="none"/>
                      <w:lang w:val="en-US" w:eastAsia="zh-CN"/>
                    </w:rPr>
                    <w:t>12</w:t>
                  </w:r>
                  <w:r>
                    <w:rPr>
                      <w:rFonts w:hint="eastAsia" w:ascii="Times New Roman" w:hAnsi="Times New Roman" w:cs="Times New Roman"/>
                      <w:bCs/>
                      <w:color w:val="auto"/>
                      <w:sz w:val="21"/>
                      <w:szCs w:val="21"/>
                      <w:highlight w:val="none"/>
                      <w:lang w:val="en-US" w:eastAsia="zh-CN"/>
                    </w:rPr>
                    <w:t>万t/a（粒径</w:t>
                  </w:r>
                  <w:r>
                    <w:rPr>
                      <w:rFonts w:hint="default" w:ascii="Times New Roman" w:hAnsi="Times New Roman" w:cs="Times New Roman"/>
                      <w:bCs/>
                      <w:color w:val="auto"/>
                      <w:sz w:val="21"/>
                      <w:szCs w:val="21"/>
                      <w:highlight w:val="none"/>
                      <w:lang w:val="en-US" w:eastAsia="zh-CN"/>
                    </w:rPr>
                    <w:t>0~5mm</w:t>
                  </w:r>
                  <w:r>
                    <w:rPr>
                      <w:rFonts w:hint="eastAsia" w:ascii="Times New Roman" w:hAnsi="Times New Roman" w:cs="Times New Roman"/>
                      <w:bCs/>
                      <w:color w:val="auto"/>
                      <w:sz w:val="21"/>
                      <w:szCs w:val="21"/>
                      <w:highlight w:val="none"/>
                      <w:lang w:val="en-US" w:eastAsia="zh-CN"/>
                    </w:rPr>
                    <w:t>），</w:t>
                  </w:r>
                  <w:r>
                    <w:rPr>
                      <w:rFonts w:hint="eastAsia" w:cs="Times New Roman"/>
                      <w:bCs/>
                      <w:color w:val="auto"/>
                      <w:sz w:val="21"/>
                      <w:szCs w:val="21"/>
                      <w:highlight w:val="none"/>
                      <w:lang w:val="en-US" w:eastAsia="zh-CN"/>
                    </w:rPr>
                    <w:t>最大存储量为1万t，</w:t>
                  </w:r>
                  <w:r>
                    <w:rPr>
                      <w:rFonts w:hint="eastAsia" w:ascii="Times New Roman" w:hAnsi="Times New Roman" w:cs="Times New Roman"/>
                      <w:bCs/>
                      <w:color w:val="auto"/>
                      <w:sz w:val="21"/>
                      <w:szCs w:val="21"/>
                      <w:highlight w:val="none"/>
                      <w:lang w:val="en-US" w:eastAsia="zh-CN"/>
                    </w:rPr>
                    <w:t>粗骨料约</w:t>
                  </w:r>
                  <w:r>
                    <w:rPr>
                      <w:rFonts w:hint="eastAsia" w:cs="Times New Roman"/>
                      <w:bCs/>
                      <w:color w:val="auto"/>
                      <w:sz w:val="21"/>
                      <w:szCs w:val="21"/>
                      <w:highlight w:val="none"/>
                      <w:lang w:val="en-US" w:eastAsia="zh-CN"/>
                    </w:rPr>
                    <w:t>28</w:t>
                  </w:r>
                  <w:r>
                    <w:rPr>
                      <w:rFonts w:hint="eastAsia" w:ascii="Times New Roman" w:hAnsi="Times New Roman" w:cs="Times New Roman"/>
                      <w:bCs/>
                      <w:color w:val="auto"/>
                      <w:sz w:val="21"/>
                      <w:szCs w:val="21"/>
                      <w:highlight w:val="none"/>
                      <w:lang w:val="en-US" w:eastAsia="zh-CN"/>
                    </w:rPr>
                    <w:t>万t/a（粒径</w:t>
                  </w:r>
                  <w:r>
                    <w:rPr>
                      <w:rFonts w:hint="default" w:ascii="Times New Roman" w:hAnsi="Times New Roman" w:cs="Times New Roman"/>
                      <w:bCs/>
                      <w:color w:val="auto"/>
                      <w:sz w:val="21"/>
                      <w:szCs w:val="21"/>
                      <w:highlight w:val="none"/>
                      <w:lang w:val="en-US" w:eastAsia="zh-CN"/>
                    </w:rPr>
                    <w:t>5~</w:t>
                  </w:r>
                  <w:r>
                    <w:rPr>
                      <w:rFonts w:hint="eastAsia" w:ascii="Times New Roman" w:hAnsi="Times New Roman" w:cs="Times New Roman"/>
                      <w:bCs/>
                      <w:color w:val="auto"/>
                      <w:sz w:val="21"/>
                      <w:szCs w:val="21"/>
                      <w:highlight w:val="none"/>
                      <w:lang w:val="en-US" w:eastAsia="zh-CN"/>
                    </w:rPr>
                    <w:t>20</w:t>
                  </w:r>
                  <w:r>
                    <w:rPr>
                      <w:rFonts w:hint="default" w:ascii="Times New Roman" w:hAnsi="Times New Roman" w:cs="Times New Roman"/>
                      <w:bCs/>
                      <w:color w:val="auto"/>
                      <w:sz w:val="21"/>
                      <w:szCs w:val="21"/>
                      <w:highlight w:val="none"/>
                      <w:lang w:val="en-US" w:eastAsia="zh-CN"/>
                    </w:rPr>
                    <w:t>mm</w:t>
                  </w:r>
                  <w:r>
                    <w:rPr>
                      <w:rFonts w:hint="eastAsia" w:ascii="Times New Roman" w:hAnsi="Times New Roman" w:cs="Times New Roman"/>
                      <w:bCs/>
                      <w:color w:val="auto"/>
                      <w:sz w:val="21"/>
                      <w:szCs w:val="21"/>
                      <w:highlight w:val="none"/>
                      <w:lang w:val="en-US" w:eastAsia="zh-CN"/>
                    </w:rPr>
                    <w:t>）</w:t>
                  </w:r>
                  <w:r>
                    <w:rPr>
                      <w:rFonts w:hint="eastAsia" w:cs="Times New Roman"/>
                      <w:bCs/>
                      <w:color w:val="auto"/>
                      <w:sz w:val="21"/>
                      <w:szCs w:val="21"/>
                      <w:highlight w:val="none"/>
                      <w:lang w:val="en-US" w:eastAsia="zh-CN"/>
                    </w:rPr>
                    <w:t>，最大存储量为2万t。</w:t>
                  </w:r>
                </w:p>
              </w:tc>
            </w:tr>
            <w:tr w14:paraId="1241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pct"/>
                  <w:tcBorders>
                    <w:tl2br w:val="nil"/>
                    <w:tr2bl w:val="nil"/>
                  </w:tcBorders>
                  <w:vAlign w:val="center"/>
                </w:tcPr>
                <w:p w14:paraId="669FA120">
                  <w:pPr>
                    <w:adjustRightInd w:val="0"/>
                    <w:snapToGrid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cs="Times New Roman"/>
                      <w:bCs/>
                      <w:color w:val="auto"/>
                      <w:sz w:val="21"/>
                      <w:szCs w:val="21"/>
                      <w:highlight w:val="none"/>
                    </w:rPr>
                    <w:t>水泥稳定材料</w:t>
                  </w:r>
                </w:p>
              </w:tc>
              <w:tc>
                <w:tcPr>
                  <w:tcW w:w="588" w:type="pct"/>
                  <w:tcBorders>
                    <w:tl2br w:val="nil"/>
                    <w:tr2bl w:val="nil"/>
                  </w:tcBorders>
                  <w:vAlign w:val="center"/>
                </w:tcPr>
                <w:p w14:paraId="130C6024">
                  <w:pPr>
                    <w:adjustRightInd w:val="0"/>
                    <w:snapToGrid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cs="Times New Roman"/>
                      <w:bCs/>
                      <w:color w:val="auto"/>
                      <w:sz w:val="21"/>
                      <w:szCs w:val="21"/>
                      <w:highlight w:val="none"/>
                      <w:lang w:val="en-US" w:eastAsia="zh-CN"/>
                    </w:rPr>
                    <w:t>30</w:t>
                  </w:r>
                  <w:r>
                    <w:rPr>
                      <w:rFonts w:cs="Times New Roman"/>
                      <w:bCs/>
                      <w:color w:val="auto"/>
                      <w:sz w:val="21"/>
                      <w:szCs w:val="21"/>
                      <w:highlight w:val="none"/>
                    </w:rPr>
                    <w:t>万吨</w:t>
                  </w:r>
                </w:p>
              </w:tc>
              <w:tc>
                <w:tcPr>
                  <w:tcW w:w="824" w:type="pct"/>
                  <w:tcBorders>
                    <w:tl2br w:val="nil"/>
                    <w:tr2bl w:val="nil"/>
                  </w:tcBorders>
                  <w:vAlign w:val="center"/>
                </w:tcPr>
                <w:p w14:paraId="42BD984F">
                  <w:pPr>
                    <w:adjustRightInd w:val="0"/>
                    <w:snapToGrid w:val="0"/>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HD98</w:t>
                  </w:r>
                </w:p>
              </w:tc>
              <w:tc>
                <w:tcPr>
                  <w:tcW w:w="946" w:type="pct"/>
                  <w:tcBorders>
                    <w:tl2br w:val="nil"/>
                    <w:tr2bl w:val="nil"/>
                  </w:tcBorders>
                  <w:vAlign w:val="center"/>
                </w:tcPr>
                <w:p w14:paraId="23283F38">
                  <w:pPr>
                    <w:adjustRightInd w:val="0"/>
                    <w:snapToGrid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cs="Times New Roman"/>
                      <w:bCs/>
                      <w:color w:val="auto"/>
                      <w:sz w:val="21"/>
                      <w:szCs w:val="21"/>
                      <w:highlight w:val="none"/>
                      <w:lang w:val="en-US" w:eastAsia="zh-CN"/>
                    </w:rPr>
                    <w:t>外售，</w:t>
                  </w:r>
                  <w:r>
                    <w:rPr>
                      <w:rFonts w:cs="Times New Roman"/>
                      <w:bCs/>
                      <w:color w:val="auto"/>
                      <w:sz w:val="21"/>
                      <w:szCs w:val="21"/>
                      <w:highlight w:val="none"/>
                    </w:rPr>
                    <w:t>用于道路的基层和底基层</w:t>
                  </w:r>
                </w:p>
              </w:tc>
              <w:tc>
                <w:tcPr>
                  <w:tcW w:w="1915" w:type="pct"/>
                  <w:tcBorders>
                    <w:tl2br w:val="nil"/>
                    <w:tr2bl w:val="nil"/>
                  </w:tcBorders>
                  <w:vAlign w:val="center"/>
                </w:tcPr>
                <w:p w14:paraId="15CF261D">
                  <w:pPr>
                    <w:adjustRightInd w:val="0"/>
                    <w:snapToGrid w:val="0"/>
                    <w:spacing w:line="240" w:lineRule="auto"/>
                    <w:jc w:val="center"/>
                    <w:rPr>
                      <w:rFonts w:hint="eastAsia" w:cs="Times New Roman" w:eastAsiaTheme="minorEastAsia"/>
                      <w:bCs/>
                      <w:color w:val="auto"/>
                      <w:sz w:val="21"/>
                      <w:szCs w:val="21"/>
                      <w:highlight w:val="none"/>
                      <w:lang w:val="en-US" w:eastAsia="zh-CN"/>
                    </w:rPr>
                  </w:pPr>
                  <w:r>
                    <w:rPr>
                      <w:rFonts w:hint="eastAsia" w:eastAsia="宋体" w:cs="Times New Roman"/>
                      <w:b w:val="0"/>
                      <w:color w:val="auto"/>
                      <w:kern w:val="2"/>
                      <w:sz w:val="21"/>
                      <w:szCs w:val="21"/>
                      <w:highlight w:val="none"/>
                      <w:vertAlign w:val="baseline"/>
                      <w:lang w:val="en-US" w:eastAsia="zh-CN" w:bidi="ar-SA"/>
                    </w:rPr>
                    <w:t>按订单生产，</w:t>
                  </w:r>
                  <w:r>
                    <w:rPr>
                      <w:rFonts w:hint="eastAsia" w:ascii="Times New Roman" w:hAnsi="Times New Roman" w:eastAsia="宋体" w:cs="Times New Roman"/>
                      <w:b w:val="0"/>
                      <w:color w:val="auto"/>
                      <w:kern w:val="2"/>
                      <w:sz w:val="21"/>
                      <w:szCs w:val="21"/>
                      <w:highlight w:val="none"/>
                      <w:vertAlign w:val="baseline"/>
                      <w:lang w:val="en-US" w:eastAsia="zh-CN" w:bidi="ar-SA"/>
                    </w:rPr>
                    <w:t>出厂产品应满足《城镇道路路面设计规范》（CJJ 169-2012）等文件要求。</w:t>
                  </w:r>
                </w:p>
              </w:tc>
            </w:tr>
          </w:tbl>
          <w:p w14:paraId="629EE7BA">
            <w:pPr>
              <w:ind w:firstLine="482" w:firstLineChars="200"/>
              <w:rPr>
                <w:rFonts w:cs="Times New Roman"/>
                <w:b/>
                <w:bCs/>
                <w:color w:val="auto"/>
                <w:highlight w:val="none"/>
              </w:rPr>
            </w:pPr>
            <w:r>
              <w:rPr>
                <w:rFonts w:cs="Times New Roman"/>
                <w:b/>
                <w:color w:val="auto"/>
                <w:highlight w:val="none"/>
              </w:rPr>
              <w:t>4、主要原辅材</w:t>
            </w:r>
            <w:r>
              <w:rPr>
                <w:rFonts w:cs="Times New Roman"/>
                <w:b/>
                <w:bCs/>
                <w:color w:val="auto"/>
                <w:highlight w:val="none"/>
              </w:rPr>
              <w:t>料</w:t>
            </w:r>
          </w:p>
          <w:p w14:paraId="0A5E7262">
            <w:pPr>
              <w:ind w:firstLine="480" w:firstLineChars="200"/>
              <w:rPr>
                <w:rFonts w:hint="eastAsia"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cs="Times New Roman"/>
                <w:color w:val="auto"/>
                <w:highlight w:val="none"/>
                <w:lang w:val="en-US" w:eastAsia="zh-CN"/>
              </w:rPr>
              <w:t>原辅料用量</w:t>
            </w:r>
          </w:p>
          <w:p w14:paraId="19FDA487">
            <w:pPr>
              <w:ind w:firstLine="480" w:firstLineChars="200"/>
              <w:rPr>
                <w:rFonts w:cs="Times New Roman"/>
                <w:bCs/>
                <w:color w:val="auto"/>
                <w:highlight w:val="none"/>
              </w:rPr>
            </w:pPr>
            <w:r>
              <w:rPr>
                <w:rFonts w:cs="Times New Roman"/>
                <w:color w:val="auto"/>
                <w:highlight w:val="none"/>
              </w:rPr>
              <w:t>根据建设单位提供资料，</w:t>
            </w:r>
            <w:r>
              <w:rPr>
                <w:rFonts w:cs="Times New Roman"/>
                <w:bCs/>
                <w:color w:val="auto"/>
                <w:highlight w:val="none"/>
              </w:rPr>
              <w:t>本</w:t>
            </w:r>
            <w:r>
              <w:rPr>
                <w:rFonts w:cs="Times New Roman"/>
                <w:color w:val="auto"/>
                <w:highlight w:val="none"/>
              </w:rPr>
              <w:t>项目能耗和主要原辅材料情况</w:t>
            </w:r>
            <w:r>
              <w:rPr>
                <w:rFonts w:cs="Times New Roman"/>
                <w:bCs/>
                <w:color w:val="auto"/>
                <w:highlight w:val="none"/>
              </w:rPr>
              <w:t>见下表。</w:t>
            </w:r>
          </w:p>
          <w:p w14:paraId="3C22E27A">
            <w:pPr>
              <w:autoSpaceDE w:val="0"/>
              <w:autoSpaceDN w:val="0"/>
              <w:spacing w:line="240" w:lineRule="auto"/>
              <w:jc w:val="center"/>
              <w:rPr>
                <w:rFonts w:eastAsia="宋体" w:cs="Times New Roman"/>
                <w:b/>
                <w:color w:val="auto"/>
                <w:sz w:val="21"/>
                <w:szCs w:val="21"/>
                <w:highlight w:val="none"/>
                <w:lang w:val="zh-CN" w:bidi="zh-CN"/>
              </w:rPr>
            </w:pPr>
            <w:r>
              <w:rPr>
                <w:rFonts w:eastAsia="宋体" w:cs="Times New Roman"/>
                <w:b/>
                <w:color w:val="auto"/>
                <w:sz w:val="21"/>
                <w:szCs w:val="21"/>
                <w:highlight w:val="none"/>
                <w:lang w:val="zh-CN" w:bidi="zh-CN"/>
              </w:rPr>
              <w:t>表2-3 本项目主要原辅材料情况一览表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autofit"/>
              <w:tblCellMar>
                <w:top w:w="0" w:type="dxa"/>
                <w:left w:w="108" w:type="dxa"/>
                <w:bottom w:w="0" w:type="dxa"/>
                <w:right w:w="108" w:type="dxa"/>
              </w:tblCellMar>
            </w:tblPr>
            <w:tblGrid>
              <w:gridCol w:w="851"/>
              <w:gridCol w:w="740"/>
              <w:gridCol w:w="1005"/>
              <w:gridCol w:w="1671"/>
              <w:gridCol w:w="5006"/>
            </w:tblGrid>
            <w:tr w14:paraId="73D17AA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7D3C677C">
                  <w:pPr>
                    <w:pStyle w:val="47"/>
                    <w:jc w:val="center"/>
                    <w:rPr>
                      <w:rFonts w:hint="eastAsia" w:cs="Times New Roman" w:eastAsiaTheme="minorEastAsia"/>
                      <w:b/>
                      <w:bCs/>
                      <w:color w:val="auto"/>
                      <w:highlight w:val="none"/>
                      <w:lang w:eastAsia="zh-CN"/>
                    </w:rPr>
                  </w:pPr>
                  <w:r>
                    <w:rPr>
                      <w:rFonts w:hint="eastAsia" w:cs="Times New Roman"/>
                      <w:b/>
                      <w:bCs/>
                      <w:color w:val="auto"/>
                      <w:highlight w:val="none"/>
                      <w:lang w:eastAsia="zh-CN"/>
                    </w:rPr>
                    <w:t>序号</w:t>
                  </w:r>
                </w:p>
              </w:tc>
              <w:tc>
                <w:tcPr>
                  <w:tcW w:w="941" w:type="pct"/>
                  <w:gridSpan w:val="2"/>
                  <w:vAlign w:val="center"/>
                </w:tcPr>
                <w:p w14:paraId="34431408">
                  <w:pPr>
                    <w:pStyle w:val="47"/>
                    <w:jc w:val="center"/>
                    <w:rPr>
                      <w:rFonts w:ascii="Times New Roman" w:hAnsi="Times New Roman" w:cs="Times New Roman" w:eastAsiaTheme="minorEastAsia"/>
                      <w:b/>
                      <w:bCs/>
                      <w:color w:val="auto"/>
                      <w:kern w:val="2"/>
                      <w:sz w:val="21"/>
                      <w:szCs w:val="22"/>
                      <w:highlight w:val="none"/>
                      <w:lang w:val="en-US" w:eastAsia="zh-CN" w:bidi="ar-SA"/>
                    </w:rPr>
                  </w:pPr>
                  <w:r>
                    <w:rPr>
                      <w:rFonts w:cs="Times New Roman"/>
                      <w:b/>
                      <w:bCs/>
                      <w:color w:val="auto"/>
                      <w:highlight w:val="none"/>
                    </w:rPr>
                    <w:t>名称</w:t>
                  </w:r>
                </w:p>
              </w:tc>
              <w:tc>
                <w:tcPr>
                  <w:tcW w:w="901" w:type="pct"/>
                  <w:vAlign w:val="center"/>
                </w:tcPr>
                <w:p w14:paraId="4A860A87">
                  <w:pPr>
                    <w:pStyle w:val="47"/>
                    <w:jc w:val="center"/>
                    <w:rPr>
                      <w:rFonts w:cs="Times New Roman"/>
                      <w:b/>
                      <w:bCs/>
                      <w:color w:val="auto"/>
                      <w:highlight w:val="none"/>
                    </w:rPr>
                  </w:pPr>
                  <w:r>
                    <w:rPr>
                      <w:rFonts w:hint="eastAsia" w:cs="Times New Roman"/>
                      <w:b/>
                      <w:bCs/>
                      <w:color w:val="auto"/>
                      <w:highlight w:val="none"/>
                      <w:lang w:eastAsia="zh-CN"/>
                    </w:rPr>
                    <w:t>消耗</w:t>
                  </w:r>
                  <w:r>
                    <w:rPr>
                      <w:rFonts w:cs="Times New Roman"/>
                      <w:b/>
                      <w:bCs/>
                      <w:color w:val="auto"/>
                      <w:highlight w:val="none"/>
                    </w:rPr>
                    <w:t>量</w:t>
                  </w:r>
                </w:p>
              </w:tc>
              <w:tc>
                <w:tcPr>
                  <w:tcW w:w="2697" w:type="pct"/>
                  <w:vAlign w:val="center"/>
                </w:tcPr>
                <w:p w14:paraId="194BBBC1">
                  <w:pPr>
                    <w:pStyle w:val="47"/>
                    <w:jc w:val="center"/>
                    <w:rPr>
                      <w:rFonts w:cs="Times New Roman"/>
                      <w:b/>
                      <w:bCs/>
                      <w:color w:val="auto"/>
                      <w:highlight w:val="none"/>
                    </w:rPr>
                  </w:pPr>
                  <w:r>
                    <w:rPr>
                      <w:rFonts w:cs="Times New Roman"/>
                      <w:b/>
                      <w:bCs/>
                      <w:color w:val="auto"/>
                      <w:highlight w:val="none"/>
                    </w:rPr>
                    <w:t>备注</w:t>
                  </w:r>
                </w:p>
              </w:tc>
            </w:tr>
            <w:tr w14:paraId="5838B6F9">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vAlign w:val="center"/>
                </w:tcPr>
                <w:p w14:paraId="0425A3BC">
                  <w:pPr>
                    <w:pStyle w:val="47"/>
                    <w:jc w:val="center"/>
                    <w:rPr>
                      <w:rFonts w:hint="default" w:cs="Times New Roman"/>
                      <w:color w:val="auto"/>
                      <w:highlight w:val="none"/>
                      <w:lang w:val="en-US" w:eastAsia="zh-CN"/>
                    </w:rPr>
                  </w:pPr>
                  <w:r>
                    <w:rPr>
                      <w:rFonts w:hint="eastAsia" w:cs="Times New Roman"/>
                      <w:b/>
                      <w:bCs/>
                      <w:color w:val="auto"/>
                      <w:highlight w:val="none"/>
                      <w:lang w:val="en-US" w:eastAsia="zh-CN"/>
                    </w:rPr>
                    <w:t>再生骨料颗粒生产</w:t>
                  </w:r>
                </w:p>
              </w:tc>
            </w:tr>
            <w:tr w14:paraId="6251EE5D">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2D59F35C">
                  <w:pPr>
                    <w:pageBreakBefore w:val="0"/>
                    <w:kinsoku/>
                    <w:overflowPunct/>
                    <w:topLinePunct w:val="0"/>
                    <w:bidi w:val="0"/>
                    <w:adjustRightInd w:val="0"/>
                    <w:snapToGrid w:val="0"/>
                    <w:spacing w:line="240" w:lineRule="auto"/>
                    <w:jc w:val="center"/>
                    <w:rPr>
                      <w:rFonts w:hint="default" w:ascii="Times New Roman" w:hAnsi="Times New Roman"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1</w:t>
                  </w:r>
                </w:p>
              </w:tc>
              <w:tc>
                <w:tcPr>
                  <w:tcW w:w="941" w:type="pct"/>
                  <w:gridSpan w:val="2"/>
                  <w:vAlign w:val="center"/>
                </w:tcPr>
                <w:p w14:paraId="529B2A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建筑废弃物</w:t>
                  </w:r>
                </w:p>
              </w:tc>
              <w:tc>
                <w:tcPr>
                  <w:tcW w:w="901" w:type="pct"/>
                  <w:vAlign w:val="center"/>
                </w:tcPr>
                <w:p w14:paraId="4ECCB63B">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40</w:t>
                  </w:r>
                  <w:r>
                    <w:rPr>
                      <w:rFonts w:cs="Times New Roman"/>
                      <w:bCs/>
                      <w:color w:val="auto"/>
                      <w:sz w:val="21"/>
                      <w:szCs w:val="21"/>
                      <w:highlight w:val="none"/>
                    </w:rPr>
                    <w:t>万</w:t>
                  </w:r>
                  <w:r>
                    <w:rPr>
                      <w:rFonts w:hint="default" w:eastAsia="宋体" w:cs="Times New Roman"/>
                      <w:color w:val="auto"/>
                      <w:highlight w:val="none"/>
                      <w:lang w:val="en-US" w:eastAsia="zh-CN"/>
                    </w:rPr>
                    <w:t>t/a</w:t>
                  </w:r>
                </w:p>
              </w:tc>
              <w:tc>
                <w:tcPr>
                  <w:tcW w:w="2697" w:type="pct"/>
                  <w:vAlign w:val="center"/>
                </w:tcPr>
                <w:p w14:paraId="295B03AE">
                  <w:pPr>
                    <w:adjustRightInd w:val="0"/>
                    <w:snapToGrid w:val="0"/>
                    <w:spacing w:line="240" w:lineRule="auto"/>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eastAsia="zh-CN"/>
                    </w:rPr>
                    <w:t>外购</w:t>
                  </w:r>
                  <w:r>
                    <w:rPr>
                      <w:rFonts w:hint="eastAsia" w:eastAsia="宋体" w:cs="Times New Roman"/>
                      <w:color w:val="auto"/>
                      <w:kern w:val="0"/>
                      <w:sz w:val="21"/>
                      <w:szCs w:val="21"/>
                      <w:highlight w:val="none"/>
                      <w:lang w:eastAsia="zh-CN"/>
                    </w:rPr>
                    <w:t>（</w:t>
                  </w:r>
                  <w:r>
                    <w:rPr>
                      <w:rFonts w:hint="eastAsia" w:eastAsia="宋体" w:cs="Times New Roman"/>
                      <w:color w:val="auto"/>
                      <w:kern w:val="0"/>
                      <w:sz w:val="21"/>
                      <w:szCs w:val="21"/>
                      <w:highlight w:val="none"/>
                      <w:lang w:val="en-US" w:eastAsia="zh-CN"/>
                    </w:rPr>
                    <w:t>主要为水泥混凝土块、隧道施工废渣、碎砖瓦石块等，粒径小于800mm</w:t>
                  </w:r>
                  <w:r>
                    <w:rPr>
                      <w:rFonts w:hint="eastAsia" w:eastAsia="宋体" w:cs="Times New Roman"/>
                      <w:color w:val="auto"/>
                      <w:kern w:val="0"/>
                      <w:sz w:val="21"/>
                      <w:szCs w:val="21"/>
                      <w:highlight w:val="none"/>
                      <w:lang w:eastAsia="zh-CN"/>
                    </w:rPr>
                    <w:t>）</w:t>
                  </w:r>
                </w:p>
              </w:tc>
            </w:tr>
            <w:tr w14:paraId="5F9AC62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vAlign w:val="center"/>
                </w:tcPr>
                <w:p w14:paraId="597B3520">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eastAsiaTheme="minorEastAsia"/>
                      <w:b/>
                      <w:bCs/>
                      <w:color w:val="auto"/>
                      <w:kern w:val="2"/>
                      <w:sz w:val="21"/>
                      <w:szCs w:val="22"/>
                      <w:highlight w:val="none"/>
                      <w:lang w:val="en-US" w:eastAsia="zh-CN" w:bidi="ar-SA"/>
                    </w:rPr>
                    <w:t>水稳材料生产</w:t>
                  </w:r>
                </w:p>
              </w:tc>
            </w:tr>
            <w:tr w14:paraId="581DF2F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3D727DAF">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2</w:t>
                  </w:r>
                </w:p>
              </w:tc>
              <w:tc>
                <w:tcPr>
                  <w:tcW w:w="941" w:type="pct"/>
                  <w:gridSpan w:val="2"/>
                  <w:vAlign w:val="center"/>
                </w:tcPr>
                <w:p w14:paraId="469907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水泥</w:t>
                  </w:r>
                </w:p>
              </w:tc>
              <w:tc>
                <w:tcPr>
                  <w:tcW w:w="1671" w:type="dxa"/>
                  <w:vAlign w:val="center"/>
                </w:tcPr>
                <w:p w14:paraId="12BE694F">
                  <w:pPr>
                    <w:adjustRightInd w:val="0"/>
                    <w:snapToGrid w:val="0"/>
                    <w:spacing w:line="240" w:lineRule="auto"/>
                    <w:jc w:val="center"/>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1.2万</w:t>
                  </w:r>
                  <w:r>
                    <w:rPr>
                      <w:rFonts w:hint="default" w:eastAsia="宋体" w:cs="Times New Roman"/>
                      <w:color w:val="auto"/>
                      <w:kern w:val="0"/>
                      <w:sz w:val="21"/>
                      <w:szCs w:val="21"/>
                      <w:highlight w:val="none"/>
                      <w:lang w:val="en-US" w:eastAsia="zh-CN" w:bidi="ar-SA"/>
                    </w:rPr>
                    <w:t>t/a</w:t>
                  </w:r>
                </w:p>
              </w:tc>
              <w:tc>
                <w:tcPr>
                  <w:tcW w:w="2697" w:type="pct"/>
                  <w:vAlign w:val="center"/>
                </w:tcPr>
                <w:p w14:paraId="33D25E0F">
                  <w:pPr>
                    <w:adjustRightInd w:val="0"/>
                    <w:snapToGrid w:val="0"/>
                    <w:spacing w:line="240" w:lineRule="auto"/>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eastAsia="zh-CN"/>
                    </w:rPr>
                    <w:t>外购</w:t>
                  </w:r>
                </w:p>
              </w:tc>
            </w:tr>
            <w:tr w14:paraId="1D2D211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Merge w:val="restart"/>
                  <w:vAlign w:val="center"/>
                </w:tcPr>
                <w:p w14:paraId="0B05786A">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3</w:t>
                  </w:r>
                </w:p>
              </w:tc>
              <w:tc>
                <w:tcPr>
                  <w:tcW w:w="399" w:type="pct"/>
                  <w:vMerge w:val="restart"/>
                  <w:tcBorders>
                    <w:right w:val="single" w:color="auto" w:sz="4" w:space="0"/>
                  </w:tcBorders>
                  <w:vAlign w:val="center"/>
                </w:tcPr>
                <w:p w14:paraId="16D82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骨料</w:t>
                  </w:r>
                </w:p>
              </w:tc>
              <w:tc>
                <w:tcPr>
                  <w:tcW w:w="542" w:type="pct"/>
                  <w:tcBorders>
                    <w:left w:val="single" w:color="auto" w:sz="4" w:space="0"/>
                  </w:tcBorders>
                  <w:vAlign w:val="center"/>
                </w:tcPr>
                <w:p w14:paraId="1E2F48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粗骨料</w:t>
                  </w:r>
                </w:p>
              </w:tc>
              <w:tc>
                <w:tcPr>
                  <w:tcW w:w="1671" w:type="dxa"/>
                  <w:vAlign w:val="center"/>
                </w:tcPr>
                <w:p w14:paraId="02C839DE">
                  <w:pPr>
                    <w:adjustRightInd w:val="0"/>
                    <w:snapToGrid w:val="0"/>
                    <w:spacing w:line="240" w:lineRule="auto"/>
                    <w:jc w:val="center"/>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19.5万</w:t>
                  </w:r>
                  <w:r>
                    <w:rPr>
                      <w:rFonts w:hint="default" w:eastAsia="宋体" w:cs="Times New Roman"/>
                      <w:color w:val="auto"/>
                      <w:kern w:val="0"/>
                      <w:sz w:val="21"/>
                      <w:szCs w:val="21"/>
                      <w:highlight w:val="none"/>
                      <w:lang w:val="en-US" w:eastAsia="zh-CN" w:bidi="ar-SA"/>
                    </w:rPr>
                    <w:t>t/a</w:t>
                  </w:r>
                </w:p>
              </w:tc>
              <w:tc>
                <w:tcPr>
                  <w:tcW w:w="2697" w:type="pct"/>
                  <w:vAlign w:val="center"/>
                </w:tcPr>
                <w:p w14:paraId="72196176">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粒径5~20mm，外购</w:t>
                  </w:r>
                </w:p>
              </w:tc>
            </w:tr>
            <w:tr w14:paraId="1272E87E">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Merge w:val="continue"/>
                  <w:vAlign w:val="center"/>
                </w:tcPr>
                <w:p w14:paraId="15306AFE">
                  <w:pPr>
                    <w:pageBreakBefore w:val="0"/>
                    <w:kinsoku/>
                    <w:overflowPunct/>
                    <w:topLinePunct w:val="0"/>
                    <w:bidi w:val="0"/>
                    <w:adjustRightInd w:val="0"/>
                    <w:snapToGrid w:val="0"/>
                    <w:spacing w:line="240" w:lineRule="auto"/>
                    <w:jc w:val="center"/>
                    <w:rPr>
                      <w:rFonts w:hint="eastAsia" w:eastAsia="宋体" w:cs="Times New Roman"/>
                      <w:color w:val="auto"/>
                      <w:kern w:val="0"/>
                      <w:sz w:val="22"/>
                      <w:szCs w:val="22"/>
                      <w:highlight w:val="none"/>
                      <w:lang w:val="en-US" w:eastAsia="zh-CN"/>
                    </w:rPr>
                  </w:pPr>
                </w:p>
              </w:tc>
              <w:tc>
                <w:tcPr>
                  <w:tcW w:w="399" w:type="pct"/>
                  <w:vMerge w:val="continue"/>
                  <w:tcBorders>
                    <w:right w:val="single" w:color="auto" w:sz="4" w:space="0"/>
                  </w:tcBorders>
                  <w:vAlign w:val="center"/>
                </w:tcPr>
                <w:p w14:paraId="6DF361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kern w:val="0"/>
                      <w:sz w:val="21"/>
                      <w:szCs w:val="21"/>
                      <w:highlight w:val="none"/>
                      <w:lang w:val="en-US" w:eastAsia="zh-CN" w:bidi="ar-SA"/>
                    </w:rPr>
                  </w:pPr>
                </w:p>
              </w:tc>
              <w:tc>
                <w:tcPr>
                  <w:tcW w:w="542" w:type="pct"/>
                  <w:tcBorders>
                    <w:left w:val="single" w:color="auto" w:sz="4" w:space="0"/>
                  </w:tcBorders>
                  <w:vAlign w:val="center"/>
                </w:tcPr>
                <w:p w14:paraId="72C6C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细骨料</w:t>
                  </w:r>
                </w:p>
              </w:tc>
              <w:tc>
                <w:tcPr>
                  <w:tcW w:w="1671" w:type="dxa"/>
                  <w:vAlign w:val="center"/>
                </w:tcPr>
                <w:p w14:paraId="0466FB37">
                  <w:pPr>
                    <w:adjustRightInd w:val="0"/>
                    <w:snapToGrid w:val="0"/>
                    <w:spacing w:line="240" w:lineRule="auto"/>
                    <w:jc w:val="center"/>
                    <w:rPr>
                      <w:rFonts w:hint="eastAsia"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9万</w:t>
                  </w:r>
                  <w:r>
                    <w:rPr>
                      <w:rFonts w:hint="default" w:eastAsia="宋体" w:cs="Times New Roman"/>
                      <w:color w:val="auto"/>
                      <w:kern w:val="0"/>
                      <w:sz w:val="21"/>
                      <w:szCs w:val="21"/>
                      <w:highlight w:val="none"/>
                      <w:lang w:val="en-US" w:eastAsia="zh-CN" w:bidi="ar-SA"/>
                    </w:rPr>
                    <w:t>t/a</w:t>
                  </w:r>
                </w:p>
              </w:tc>
              <w:tc>
                <w:tcPr>
                  <w:tcW w:w="2697" w:type="pct"/>
                  <w:vAlign w:val="center"/>
                </w:tcPr>
                <w:p w14:paraId="55DFAC09">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粒径0~5mm，外购</w:t>
                  </w:r>
                </w:p>
              </w:tc>
            </w:tr>
            <w:tr w14:paraId="420FF91B">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19DE630F">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4</w:t>
                  </w:r>
                </w:p>
              </w:tc>
              <w:tc>
                <w:tcPr>
                  <w:tcW w:w="941" w:type="pct"/>
                  <w:gridSpan w:val="2"/>
                  <w:vAlign w:val="center"/>
                </w:tcPr>
                <w:p w14:paraId="2B5E9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水</w:t>
                  </w:r>
                </w:p>
              </w:tc>
              <w:tc>
                <w:tcPr>
                  <w:tcW w:w="1671" w:type="dxa"/>
                  <w:vAlign w:val="center"/>
                </w:tcPr>
                <w:p w14:paraId="668FE6F4">
                  <w:pPr>
                    <w:adjustRightInd w:val="0"/>
                    <w:snapToGrid w:val="0"/>
                    <w:spacing w:line="240" w:lineRule="auto"/>
                    <w:jc w:val="center"/>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0.3万</w:t>
                  </w:r>
                  <w:r>
                    <w:rPr>
                      <w:rFonts w:hint="default" w:eastAsia="宋体" w:cs="Times New Roman"/>
                      <w:color w:val="auto"/>
                      <w:kern w:val="0"/>
                      <w:sz w:val="21"/>
                      <w:szCs w:val="21"/>
                      <w:highlight w:val="none"/>
                      <w:lang w:val="en-US" w:eastAsia="zh-CN" w:bidi="ar-SA"/>
                    </w:rPr>
                    <w:t>t/a</w:t>
                  </w:r>
                </w:p>
              </w:tc>
              <w:tc>
                <w:tcPr>
                  <w:tcW w:w="2697" w:type="pct"/>
                  <w:vAlign w:val="center"/>
                </w:tcPr>
                <w:p w14:paraId="6ECC5C16">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用于生产配比用水</w:t>
                  </w:r>
                </w:p>
              </w:tc>
            </w:tr>
            <w:tr w14:paraId="108E4BD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vAlign w:val="center"/>
                </w:tcPr>
                <w:p w14:paraId="0EF80641">
                  <w:pPr>
                    <w:pageBreakBefore w:val="0"/>
                    <w:kinsoku/>
                    <w:overflowPunct/>
                    <w:topLinePunct w:val="0"/>
                    <w:bidi w:val="0"/>
                    <w:adjustRightInd w:val="0"/>
                    <w:snapToGrid w:val="0"/>
                    <w:spacing w:line="240" w:lineRule="auto"/>
                    <w:jc w:val="center"/>
                    <w:rPr>
                      <w:rFonts w:hint="default" w:ascii="Times New Roman" w:hAnsi="Times New Roman" w:cs="Times New Roman" w:eastAsiaTheme="minorEastAsia"/>
                      <w:color w:val="auto"/>
                      <w:kern w:val="2"/>
                      <w:sz w:val="21"/>
                      <w:szCs w:val="22"/>
                      <w:highlight w:val="none"/>
                      <w:lang w:val="en-US" w:eastAsia="zh-CN" w:bidi="ar-SA"/>
                    </w:rPr>
                  </w:pPr>
                  <w:r>
                    <w:rPr>
                      <w:rFonts w:hint="eastAsia" w:cs="Times New Roman"/>
                      <w:b/>
                      <w:bCs/>
                      <w:color w:val="auto"/>
                      <w:kern w:val="2"/>
                      <w:sz w:val="21"/>
                      <w:szCs w:val="22"/>
                      <w:highlight w:val="none"/>
                      <w:lang w:val="en-US" w:eastAsia="zh-CN" w:bidi="ar-SA"/>
                    </w:rPr>
                    <w:t>其他</w:t>
                  </w:r>
                </w:p>
              </w:tc>
            </w:tr>
            <w:tr w14:paraId="7D1291B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5B89CBBC">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5</w:t>
                  </w:r>
                </w:p>
              </w:tc>
              <w:tc>
                <w:tcPr>
                  <w:tcW w:w="941" w:type="pct"/>
                  <w:gridSpan w:val="2"/>
                  <w:vAlign w:val="center"/>
                </w:tcPr>
                <w:p w14:paraId="56BBCD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机油</w:t>
                  </w:r>
                </w:p>
              </w:tc>
              <w:tc>
                <w:tcPr>
                  <w:tcW w:w="901" w:type="pct"/>
                  <w:vAlign w:val="center"/>
                </w:tcPr>
                <w:p w14:paraId="0CD32F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w:t>
                  </w:r>
                  <w:r>
                    <w:rPr>
                      <w:rFonts w:hint="eastAsia" w:eastAsia="宋体" w:cs="Times New Roman"/>
                      <w:b w:val="0"/>
                      <w:bCs w:val="0"/>
                      <w:color w:val="auto"/>
                      <w:sz w:val="21"/>
                      <w:szCs w:val="21"/>
                      <w:highlight w:val="none"/>
                      <w:vertAlign w:val="baseline"/>
                      <w:lang w:val="en-US" w:eastAsia="zh-CN"/>
                    </w:rPr>
                    <w:t>6</w:t>
                  </w:r>
                  <w:r>
                    <w:rPr>
                      <w:rFonts w:hint="default" w:ascii="Times New Roman" w:hAnsi="Times New Roman" w:eastAsia="宋体" w:cs="Times New Roman"/>
                      <w:b w:val="0"/>
                      <w:bCs w:val="0"/>
                      <w:color w:val="auto"/>
                      <w:sz w:val="21"/>
                      <w:szCs w:val="21"/>
                      <w:highlight w:val="none"/>
                      <w:vertAlign w:val="baseline"/>
                      <w:lang w:val="en-US" w:eastAsia="zh-CN"/>
                    </w:rPr>
                    <w:t>t/a</w:t>
                  </w:r>
                </w:p>
              </w:tc>
              <w:tc>
                <w:tcPr>
                  <w:tcW w:w="2697" w:type="pct"/>
                  <w:vAlign w:val="center"/>
                </w:tcPr>
                <w:p w14:paraId="571161D7">
                  <w:pPr>
                    <w:pageBreakBefore w:val="0"/>
                    <w:kinsoku/>
                    <w:overflowPunct/>
                    <w:topLinePunct w:val="0"/>
                    <w:bidi w:val="0"/>
                    <w:adjustRightInd w:val="0"/>
                    <w:snapToGrid w:val="0"/>
                    <w:spacing w:line="240" w:lineRule="auto"/>
                    <w:jc w:val="center"/>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外购；设备运行维护，年用约</w:t>
                  </w:r>
                  <w:r>
                    <w:rPr>
                      <w:rFonts w:hint="eastAsia" w:cs="Times New Roman"/>
                      <w:color w:val="auto"/>
                      <w:kern w:val="2"/>
                      <w:sz w:val="21"/>
                      <w:szCs w:val="22"/>
                      <w:highlight w:val="none"/>
                      <w:lang w:val="en-US" w:eastAsia="zh-CN" w:bidi="ar-SA"/>
                    </w:rPr>
                    <w:t>30</w:t>
                  </w:r>
                  <w:r>
                    <w:rPr>
                      <w:rFonts w:hint="default" w:ascii="Times New Roman" w:hAnsi="Times New Roman" w:cs="Times New Roman" w:eastAsiaTheme="minorEastAsia"/>
                      <w:color w:val="auto"/>
                      <w:kern w:val="2"/>
                      <w:sz w:val="21"/>
                      <w:szCs w:val="22"/>
                      <w:highlight w:val="none"/>
                      <w:lang w:val="en-US" w:eastAsia="zh-CN" w:bidi="ar-SA"/>
                    </w:rPr>
                    <w:t>桶，规格</w:t>
                  </w:r>
                  <w:r>
                    <w:rPr>
                      <w:rFonts w:hint="eastAsia" w:cs="Times New Roman"/>
                      <w:color w:val="auto"/>
                      <w:kern w:val="2"/>
                      <w:sz w:val="21"/>
                      <w:szCs w:val="22"/>
                      <w:highlight w:val="none"/>
                      <w:lang w:val="en-US" w:eastAsia="zh-CN" w:bidi="ar-SA"/>
                    </w:rPr>
                    <w:t>20</w:t>
                  </w:r>
                  <w:r>
                    <w:rPr>
                      <w:rFonts w:hint="default" w:ascii="Times New Roman" w:hAnsi="Times New Roman" w:cs="Times New Roman" w:eastAsiaTheme="minorEastAsia"/>
                      <w:color w:val="auto"/>
                      <w:kern w:val="2"/>
                      <w:sz w:val="21"/>
                      <w:szCs w:val="22"/>
                      <w:highlight w:val="none"/>
                      <w:lang w:val="en-US" w:eastAsia="zh-CN" w:bidi="ar-SA"/>
                    </w:rPr>
                    <w:t>kg</w:t>
                  </w:r>
                  <w:r>
                    <w:rPr>
                      <w:rFonts w:hint="eastAsia" w:ascii="Times New Roman" w:hAnsi="Times New Roman" w:cs="Times New Roman" w:eastAsiaTheme="minorEastAsia"/>
                      <w:color w:val="auto"/>
                      <w:kern w:val="2"/>
                      <w:sz w:val="21"/>
                      <w:szCs w:val="22"/>
                      <w:highlight w:val="none"/>
                      <w:lang w:val="en-US" w:eastAsia="zh-CN" w:bidi="ar-SA"/>
                    </w:rPr>
                    <w:t>/</w:t>
                  </w:r>
                  <w:r>
                    <w:rPr>
                      <w:rFonts w:hint="default" w:ascii="Times New Roman" w:hAnsi="Times New Roman" w:cs="Times New Roman" w:eastAsiaTheme="minorEastAsia"/>
                      <w:color w:val="auto"/>
                      <w:kern w:val="2"/>
                      <w:sz w:val="21"/>
                      <w:szCs w:val="22"/>
                      <w:highlight w:val="none"/>
                      <w:lang w:val="en-US" w:eastAsia="zh-CN" w:bidi="ar-SA"/>
                    </w:rPr>
                    <w:t>桶</w:t>
                  </w:r>
                </w:p>
              </w:tc>
            </w:tr>
            <w:tr w14:paraId="075AABCA">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67CE504B">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6</w:t>
                  </w:r>
                </w:p>
              </w:tc>
              <w:tc>
                <w:tcPr>
                  <w:tcW w:w="941" w:type="pct"/>
                  <w:gridSpan w:val="2"/>
                  <w:vAlign w:val="center"/>
                </w:tcPr>
                <w:p w14:paraId="77CFC3AC">
                  <w:pPr>
                    <w:adjustRightInd w:val="0"/>
                    <w:snapToGrid w:val="0"/>
                    <w:spacing w:line="240" w:lineRule="auto"/>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color w:val="auto"/>
                      <w:kern w:val="0"/>
                      <w:sz w:val="21"/>
                      <w:szCs w:val="21"/>
                      <w:highlight w:val="none"/>
                      <w:lang w:eastAsia="zh-CN"/>
                    </w:rPr>
                    <w:t>水</w:t>
                  </w:r>
                </w:p>
              </w:tc>
              <w:tc>
                <w:tcPr>
                  <w:tcW w:w="901" w:type="pct"/>
                  <w:vAlign w:val="center"/>
                </w:tcPr>
                <w:p w14:paraId="11CEED36">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3927m³</w:t>
                  </w:r>
                  <w:r>
                    <w:rPr>
                      <w:rFonts w:hint="eastAsia" w:ascii="Times New Roman" w:hAnsi="Times New Roman" w:eastAsia="宋体" w:cs="Times New Roman"/>
                      <w:color w:val="auto"/>
                      <w:kern w:val="0"/>
                      <w:sz w:val="21"/>
                      <w:szCs w:val="21"/>
                      <w:highlight w:val="none"/>
                      <w:lang w:val="en-US" w:eastAsia="zh-CN"/>
                    </w:rPr>
                    <w:t>/a</w:t>
                  </w:r>
                </w:p>
              </w:tc>
              <w:tc>
                <w:tcPr>
                  <w:tcW w:w="2697" w:type="pct"/>
                  <w:vAlign w:val="center"/>
                </w:tcPr>
                <w:p w14:paraId="123F957A">
                  <w:pPr>
                    <w:adjustRightInd w:val="0"/>
                    <w:snapToGrid w:val="0"/>
                    <w:spacing w:line="240" w:lineRule="auto"/>
                    <w:jc w:val="center"/>
                    <w:rPr>
                      <w:rFonts w:hint="eastAsia" w:cs="Times New Roman"/>
                      <w:color w:val="auto"/>
                      <w:highlight w:val="none"/>
                      <w:lang w:eastAsia="zh-CN"/>
                    </w:rPr>
                  </w:pPr>
                  <w:r>
                    <w:rPr>
                      <w:rFonts w:hint="eastAsia" w:cs="Times New Roman"/>
                      <w:color w:val="auto"/>
                      <w:kern w:val="0"/>
                      <w:sz w:val="21"/>
                      <w:szCs w:val="21"/>
                      <w:highlight w:val="none"/>
                      <w:lang w:eastAsia="zh-CN"/>
                    </w:rPr>
                    <w:t>生活、车辆冲洗、</w:t>
                  </w:r>
                  <w:r>
                    <w:rPr>
                      <w:rFonts w:hint="eastAsia" w:cs="Times New Roman"/>
                      <w:color w:val="auto"/>
                      <w:kern w:val="0"/>
                      <w:sz w:val="21"/>
                      <w:szCs w:val="21"/>
                      <w:highlight w:val="none"/>
                      <w:lang w:val="en-US" w:eastAsia="zh-CN"/>
                    </w:rPr>
                    <w:t>厂房内喷淋抑尘</w:t>
                  </w:r>
                  <w:r>
                    <w:rPr>
                      <w:rFonts w:hint="eastAsia" w:cs="Times New Roman"/>
                      <w:color w:val="auto"/>
                      <w:kern w:val="0"/>
                      <w:sz w:val="21"/>
                      <w:szCs w:val="21"/>
                      <w:highlight w:val="none"/>
                      <w:lang w:eastAsia="zh-CN"/>
                    </w:rPr>
                    <w:t>等用水</w:t>
                  </w:r>
                </w:p>
              </w:tc>
            </w:tr>
            <w:tr w14:paraId="76D61321">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5503F95B">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7</w:t>
                  </w:r>
                </w:p>
              </w:tc>
              <w:tc>
                <w:tcPr>
                  <w:tcW w:w="941" w:type="pct"/>
                  <w:gridSpan w:val="2"/>
                  <w:vAlign w:val="center"/>
                </w:tcPr>
                <w:p w14:paraId="5C6E9247">
                  <w:pPr>
                    <w:adjustRightInd w:val="0"/>
                    <w:snapToGrid w:val="0"/>
                    <w:spacing w:line="240" w:lineRule="auto"/>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color w:val="auto"/>
                      <w:kern w:val="0"/>
                      <w:sz w:val="21"/>
                      <w:szCs w:val="21"/>
                      <w:highlight w:val="none"/>
                      <w:lang w:eastAsia="zh-CN"/>
                    </w:rPr>
                    <w:t>电</w:t>
                  </w:r>
                </w:p>
              </w:tc>
              <w:tc>
                <w:tcPr>
                  <w:tcW w:w="901" w:type="pct"/>
                  <w:vAlign w:val="center"/>
                </w:tcPr>
                <w:p w14:paraId="15ECD536">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100万kW·h</w:t>
                  </w:r>
                  <w:r>
                    <w:rPr>
                      <w:rFonts w:hint="eastAsia" w:ascii="Times New Roman" w:hAnsi="Times New Roman" w:eastAsia="宋体" w:cs="Times New Roman"/>
                      <w:color w:val="auto"/>
                      <w:kern w:val="0"/>
                      <w:sz w:val="21"/>
                      <w:szCs w:val="21"/>
                      <w:highlight w:val="none"/>
                      <w:lang w:val="en-US" w:eastAsia="zh-CN"/>
                    </w:rPr>
                    <w:t>/a</w:t>
                  </w:r>
                </w:p>
              </w:tc>
              <w:tc>
                <w:tcPr>
                  <w:tcW w:w="2697" w:type="pct"/>
                  <w:vAlign w:val="center"/>
                </w:tcPr>
                <w:p w14:paraId="484EDFA4">
                  <w:pPr>
                    <w:adjustRightInd w:val="0"/>
                    <w:snapToGrid w:val="0"/>
                    <w:spacing w:line="240" w:lineRule="auto"/>
                    <w:jc w:val="center"/>
                    <w:rPr>
                      <w:rFonts w:hint="eastAsia" w:cs="Times New Roman"/>
                      <w:color w:val="auto"/>
                      <w:highlight w:val="none"/>
                      <w:lang w:eastAsia="zh-CN"/>
                    </w:rPr>
                  </w:pPr>
                  <w:r>
                    <w:rPr>
                      <w:rFonts w:hint="eastAsia" w:ascii="Times New Roman" w:hAnsi="Times New Roman" w:eastAsia="宋体" w:cs="Times New Roman"/>
                      <w:b w:val="0"/>
                      <w:color w:val="auto"/>
                      <w:kern w:val="2"/>
                      <w:sz w:val="21"/>
                      <w:szCs w:val="21"/>
                      <w:highlight w:val="none"/>
                      <w:vertAlign w:val="baseline"/>
                      <w:lang w:val="en-US" w:eastAsia="zh-CN" w:bidi="ar-SA"/>
                    </w:rPr>
                    <w:t>电源引自市政供电</w:t>
                  </w:r>
                </w:p>
              </w:tc>
            </w:tr>
            <w:tr w14:paraId="7F108C5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59" w:type="pct"/>
                  <w:vAlign w:val="center"/>
                </w:tcPr>
                <w:p w14:paraId="2CB24426">
                  <w:pPr>
                    <w:pageBreakBefore w:val="0"/>
                    <w:kinsoku/>
                    <w:overflowPunct/>
                    <w:topLinePunct w:val="0"/>
                    <w:bidi w:val="0"/>
                    <w:adjustRightInd w:val="0"/>
                    <w:snapToGrid w:val="0"/>
                    <w:spacing w:line="240" w:lineRule="auto"/>
                    <w:jc w:val="center"/>
                    <w:rPr>
                      <w:rFonts w:hint="default" w:eastAsia="宋体" w:cs="Times New Roman"/>
                      <w:color w:val="auto"/>
                      <w:kern w:val="0"/>
                      <w:sz w:val="22"/>
                      <w:szCs w:val="22"/>
                      <w:highlight w:val="none"/>
                      <w:lang w:val="en-US" w:eastAsia="zh-CN"/>
                    </w:rPr>
                  </w:pPr>
                  <w:r>
                    <w:rPr>
                      <w:rFonts w:hint="eastAsia" w:eastAsia="宋体" w:cs="Times New Roman"/>
                      <w:color w:val="auto"/>
                      <w:kern w:val="0"/>
                      <w:sz w:val="22"/>
                      <w:szCs w:val="22"/>
                      <w:highlight w:val="none"/>
                      <w:lang w:val="en-US" w:eastAsia="zh-CN"/>
                    </w:rPr>
                    <w:t>8</w:t>
                  </w:r>
                </w:p>
              </w:tc>
              <w:tc>
                <w:tcPr>
                  <w:tcW w:w="941" w:type="pct"/>
                  <w:gridSpan w:val="2"/>
                  <w:vAlign w:val="center"/>
                </w:tcPr>
                <w:p w14:paraId="2918931F">
                  <w:pPr>
                    <w:adjustRightInd w:val="0"/>
                    <w:snapToGrid w:val="0"/>
                    <w:spacing w:line="240" w:lineRule="auto"/>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废机油</w:t>
                  </w:r>
                </w:p>
              </w:tc>
              <w:tc>
                <w:tcPr>
                  <w:tcW w:w="901" w:type="pct"/>
                  <w:vAlign w:val="center"/>
                </w:tcPr>
                <w:p w14:paraId="71ABA996">
                  <w:pPr>
                    <w:adjustRightInd w:val="0"/>
                    <w:snapToGrid w:val="0"/>
                    <w:spacing w:line="240" w:lineRule="auto"/>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c>
                <w:tcPr>
                  <w:tcW w:w="2697" w:type="pct"/>
                  <w:vAlign w:val="center"/>
                </w:tcPr>
                <w:p w14:paraId="2A450282">
                  <w:pPr>
                    <w:adjustRightInd w:val="0"/>
                    <w:snapToGrid w:val="0"/>
                    <w:spacing w:line="240" w:lineRule="auto"/>
                    <w:jc w:val="center"/>
                    <w:rPr>
                      <w:rFonts w:hint="eastAsia" w:ascii="Times New Roman" w:hAnsi="Times New Roman" w:eastAsia="宋体" w:cs="Times New Roman"/>
                      <w:b w:val="0"/>
                      <w:color w:val="auto"/>
                      <w:kern w:val="2"/>
                      <w:sz w:val="21"/>
                      <w:szCs w:val="21"/>
                      <w:highlight w:val="none"/>
                      <w:vertAlign w:val="baseline"/>
                      <w:lang w:val="en-US" w:eastAsia="zh-CN" w:bidi="ar-SA"/>
                    </w:rPr>
                  </w:pPr>
                  <w:r>
                    <w:rPr>
                      <w:rFonts w:hint="eastAsia" w:ascii="Times New Roman" w:hAnsi="Times New Roman" w:eastAsia="宋体" w:cs="Times New Roman"/>
                      <w:b w:val="0"/>
                      <w:color w:val="auto"/>
                      <w:kern w:val="2"/>
                      <w:sz w:val="21"/>
                      <w:szCs w:val="21"/>
                      <w:highlight w:val="none"/>
                      <w:vertAlign w:val="baseline"/>
                      <w:lang w:val="en-US" w:eastAsia="zh-CN" w:bidi="ar-SA"/>
                    </w:rPr>
                    <w:t>最大储存量</w:t>
                  </w:r>
                  <w:r>
                    <w:rPr>
                      <w:rFonts w:hint="eastAsia" w:eastAsia="宋体" w:cs="Times New Roman"/>
                      <w:b w:val="0"/>
                      <w:color w:val="auto"/>
                      <w:kern w:val="2"/>
                      <w:sz w:val="21"/>
                      <w:szCs w:val="21"/>
                      <w:highlight w:val="none"/>
                      <w:vertAlign w:val="baseline"/>
                      <w:lang w:val="en-US" w:eastAsia="zh-CN" w:bidi="ar-SA"/>
                    </w:rPr>
                    <w:t>0.06</w:t>
                  </w:r>
                  <w:r>
                    <w:rPr>
                      <w:rFonts w:hint="eastAsia" w:ascii="Times New Roman" w:hAnsi="Times New Roman" w:eastAsia="宋体" w:cs="Times New Roman"/>
                      <w:b w:val="0"/>
                      <w:color w:val="auto"/>
                      <w:kern w:val="2"/>
                      <w:sz w:val="21"/>
                      <w:szCs w:val="21"/>
                      <w:highlight w:val="none"/>
                      <w:vertAlign w:val="baseline"/>
                      <w:lang w:val="en-US" w:eastAsia="zh-CN" w:bidi="ar-SA"/>
                    </w:rPr>
                    <w:t>t/a</w:t>
                  </w:r>
                </w:p>
              </w:tc>
            </w:tr>
          </w:tbl>
          <w:p w14:paraId="266B27B9">
            <w:pPr>
              <w:ind w:firstLine="480" w:firstLineChars="200"/>
              <w:rPr>
                <w:rFonts w:hint="eastAsia" w:cs="Times New Roman"/>
                <w:strike w:val="0"/>
                <w:dstrike w:val="0"/>
                <w:color w:val="auto"/>
                <w:highlight w:val="none"/>
                <w:lang w:val="en-US" w:eastAsia="zh-CN"/>
              </w:rPr>
            </w:pPr>
            <w:r>
              <w:rPr>
                <w:rFonts w:hint="eastAsia" w:cs="Times New Roman"/>
                <w:color w:val="auto"/>
                <w:highlight w:val="none"/>
                <w:lang w:val="en-US" w:eastAsia="zh-CN"/>
              </w:rPr>
              <w:t>本项目购入的建筑垃圾主要来源于周边水泥道路路面开挖、隧道工程施工以及旧</w:t>
            </w:r>
            <w:r>
              <w:rPr>
                <w:rFonts w:hint="eastAsia" w:cs="Times New Roman"/>
                <w:color w:val="auto"/>
                <w:highlight w:val="none"/>
                <w:lang w:val="en-US" w:eastAsia="zh-CN"/>
              </w:rPr>
              <w:fldChar w:fldCharType="begin"/>
            </w:r>
            <w:r>
              <w:rPr>
                <w:rFonts w:hint="eastAsia" w:cs="Times New Roman"/>
                <w:color w:val="auto"/>
                <w:highlight w:val="none"/>
                <w:lang w:val="en-US" w:eastAsia="zh-CN"/>
              </w:rPr>
              <w:instrText xml:space="preserve"> HYPERLINK "https://zhidao.baidu.com/search?word=%E7%A0%96%E6%B7%B7%E7%BB%93%E6%9E%84&amp;fr=iknow_pc_qb_highlight" </w:instrText>
            </w:r>
            <w:r>
              <w:rPr>
                <w:rFonts w:hint="eastAsia" w:cs="Times New Roman"/>
                <w:color w:val="auto"/>
                <w:highlight w:val="none"/>
                <w:lang w:val="en-US" w:eastAsia="zh-CN"/>
              </w:rPr>
              <w:fldChar w:fldCharType="separate"/>
            </w:r>
            <w:r>
              <w:rPr>
                <w:rFonts w:hint="eastAsia" w:cs="Times New Roman"/>
                <w:color w:val="auto"/>
                <w:highlight w:val="none"/>
                <w:lang w:val="en-US" w:eastAsia="zh-CN"/>
              </w:rPr>
              <w:t>砖混结构</w:t>
            </w:r>
            <w:r>
              <w:rPr>
                <w:rFonts w:hint="eastAsia" w:cs="Times New Roman"/>
                <w:color w:val="auto"/>
                <w:highlight w:val="none"/>
                <w:lang w:val="en-US" w:eastAsia="zh-CN"/>
              </w:rPr>
              <w:fldChar w:fldCharType="end"/>
            </w:r>
            <w:r>
              <w:rPr>
                <w:rFonts w:hint="eastAsia" w:cs="Times New Roman"/>
                <w:color w:val="auto"/>
                <w:highlight w:val="none"/>
                <w:lang w:val="en-US" w:eastAsia="zh-CN"/>
              </w:rPr>
              <w:t>建筑拆除产生的建筑废弃物，主要成分为水泥</w:t>
            </w:r>
            <w:r>
              <w:rPr>
                <w:rFonts w:hint="eastAsia" w:cs="Times New Roman"/>
                <w:strike w:val="0"/>
                <w:dstrike w:val="0"/>
                <w:color w:val="auto"/>
                <w:highlight w:val="none"/>
                <w:lang w:val="en-US" w:eastAsia="zh-CN"/>
              </w:rPr>
              <w:t>混凝土块、隧道施工废渣（本项目隧道施工废渣无放射性）、碎砖瓦石块等，</w:t>
            </w:r>
            <w:r>
              <w:rPr>
                <w:rFonts w:hint="eastAsia"/>
                <w:color w:val="auto"/>
                <w:kern w:val="0"/>
                <w:sz w:val="24"/>
                <w:highlight w:val="none"/>
              </w:rPr>
              <w:t>有毒有害物质</w:t>
            </w:r>
            <w:r>
              <w:rPr>
                <w:rFonts w:hint="eastAsia"/>
                <w:color w:val="auto"/>
                <w:kern w:val="0"/>
                <w:sz w:val="24"/>
                <w:highlight w:val="none"/>
                <w:lang w:val="en-US" w:eastAsia="zh-CN"/>
              </w:rPr>
              <w:t>和危险废物禁止入场</w:t>
            </w:r>
            <w:r>
              <w:rPr>
                <w:rFonts w:hint="eastAsia" w:cs="Times New Roman"/>
                <w:strike w:val="0"/>
                <w:dstrike w:val="0"/>
                <w:color w:val="auto"/>
                <w:highlight w:val="none"/>
                <w:lang w:val="en-US" w:eastAsia="zh-CN"/>
              </w:rPr>
              <w:t>。</w:t>
            </w:r>
          </w:p>
          <w:p w14:paraId="362EFAE7">
            <w:pPr>
              <w:ind w:firstLine="480" w:firstLineChars="200"/>
              <w:rPr>
                <w:rFonts w:hint="eastAsia" w:cs="Times New Roman"/>
                <w:color w:val="auto"/>
                <w:highlight w:val="none"/>
                <w:lang w:val="en-US" w:eastAsia="zh-CN"/>
              </w:rPr>
            </w:pPr>
            <w:r>
              <w:rPr>
                <w:rFonts w:hint="eastAsia" w:cs="Times New Roman"/>
                <w:color w:val="auto"/>
                <w:highlight w:val="none"/>
                <w:lang w:eastAsia="zh-CN"/>
              </w:rPr>
              <w:t>（</w:t>
            </w:r>
            <w:r>
              <w:rPr>
                <w:rFonts w:hint="eastAsia" w:cs="Times New Roman"/>
                <w:color w:val="auto"/>
                <w:highlight w:val="none"/>
                <w:lang w:val="en-US" w:eastAsia="zh-CN"/>
              </w:rPr>
              <w:t>2</w:t>
            </w:r>
            <w:r>
              <w:rPr>
                <w:rFonts w:hint="eastAsia" w:cs="Times New Roman"/>
                <w:color w:val="auto"/>
                <w:highlight w:val="none"/>
                <w:lang w:eastAsia="zh-CN"/>
              </w:rPr>
              <w:t>）</w:t>
            </w:r>
            <w:r>
              <w:rPr>
                <w:rFonts w:hint="eastAsia" w:cs="Times New Roman"/>
                <w:color w:val="auto"/>
                <w:highlight w:val="none"/>
                <w:lang w:val="en-US" w:eastAsia="zh-CN"/>
              </w:rPr>
              <w:t>物料平衡</w:t>
            </w:r>
          </w:p>
          <w:p w14:paraId="2237E61B">
            <w:pPr>
              <w:ind w:firstLine="480" w:firstLineChars="200"/>
              <w:rPr>
                <w:rFonts w:cs="Times New Roman"/>
                <w:bCs/>
                <w:color w:val="auto"/>
                <w:highlight w:val="none"/>
              </w:rPr>
            </w:pPr>
            <w:r>
              <w:rPr>
                <w:rFonts w:hint="eastAsia" w:cs="Times New Roman"/>
                <w:color w:val="auto"/>
                <w:highlight w:val="none"/>
                <w:lang w:val="en-US" w:eastAsia="zh-CN"/>
              </w:rPr>
              <w:t>本项目物料平衡表见表2-4~表2-6</w:t>
            </w:r>
            <w:r>
              <w:rPr>
                <w:rFonts w:cs="Times New Roman"/>
                <w:bCs/>
                <w:color w:val="auto"/>
                <w:highlight w:val="none"/>
              </w:rPr>
              <w:t>。</w:t>
            </w:r>
          </w:p>
          <w:p w14:paraId="322C8F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2-</w:t>
            </w:r>
            <w:r>
              <w:rPr>
                <w:rFonts w:hint="eastAsia" w:eastAsia="宋体" w:cs="Times New Roman"/>
                <w:b/>
                <w:bCs/>
                <w:color w:val="auto"/>
                <w:sz w:val="21"/>
                <w:szCs w:val="21"/>
                <w:highlight w:val="none"/>
                <w:lang w:val="en-US" w:eastAsia="zh-CN"/>
              </w:rPr>
              <w:t>4 本项目机制骨料生产线</w:t>
            </w:r>
            <w:r>
              <w:rPr>
                <w:rFonts w:hint="default" w:ascii="Times New Roman" w:hAnsi="Times New Roman" w:eastAsia="宋体" w:cs="Times New Roman"/>
                <w:b/>
                <w:bCs/>
                <w:color w:val="auto"/>
                <w:sz w:val="21"/>
                <w:szCs w:val="21"/>
                <w:highlight w:val="none"/>
                <w:lang w:val="en-US" w:eastAsia="zh-CN"/>
              </w:rPr>
              <w:t>物料平衡表</w:t>
            </w:r>
          </w:p>
          <w:tbl>
            <w:tblPr>
              <w:tblStyle w:val="24"/>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769"/>
              <w:gridCol w:w="1170"/>
              <w:gridCol w:w="914"/>
              <w:gridCol w:w="1809"/>
              <w:gridCol w:w="2045"/>
            </w:tblGrid>
            <w:tr w14:paraId="46F6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75" w:type="dxa"/>
                  <w:gridSpan w:val="2"/>
                  <w:noWrap w:val="0"/>
                  <w:vAlign w:val="center"/>
                </w:tcPr>
                <w:p w14:paraId="1AE32D9F">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投入</w:t>
                  </w:r>
                </w:p>
              </w:tc>
              <w:tc>
                <w:tcPr>
                  <w:tcW w:w="3911" w:type="dxa"/>
                  <w:gridSpan w:val="3"/>
                  <w:noWrap w:val="0"/>
                  <w:vAlign w:val="center"/>
                </w:tcPr>
                <w:p w14:paraId="46A6C6E1">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产出</w:t>
                  </w:r>
                </w:p>
              </w:tc>
              <w:tc>
                <w:tcPr>
                  <w:tcW w:w="2059" w:type="dxa"/>
                  <w:vMerge w:val="restart"/>
                  <w:noWrap w:val="0"/>
                  <w:vAlign w:val="center"/>
                </w:tcPr>
                <w:p w14:paraId="0C442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heme="minorEastAsia"/>
                      <w:color w:val="auto"/>
                      <w:kern w:val="0"/>
                      <w:sz w:val="21"/>
                      <w:szCs w:val="21"/>
                      <w:highlight w:val="none"/>
                      <w:lang w:val="en-US" w:eastAsia="zh-CN"/>
                    </w:rPr>
                  </w:pPr>
                  <w:r>
                    <w:rPr>
                      <w:rFonts w:hint="eastAsia"/>
                      <w:color w:val="auto"/>
                      <w:kern w:val="0"/>
                      <w:sz w:val="21"/>
                      <w:szCs w:val="21"/>
                      <w:highlight w:val="none"/>
                      <w:lang w:val="en-US" w:eastAsia="zh-CN"/>
                    </w:rPr>
                    <w:t>备注</w:t>
                  </w:r>
                </w:p>
              </w:tc>
            </w:tr>
            <w:tr w14:paraId="5999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noWrap w:val="0"/>
                  <w:vAlign w:val="center"/>
                </w:tcPr>
                <w:p w14:paraId="5E8D9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名称</w:t>
                  </w:r>
                </w:p>
              </w:tc>
              <w:tc>
                <w:tcPr>
                  <w:tcW w:w="1778" w:type="dxa"/>
                  <w:noWrap w:val="0"/>
                  <w:vAlign w:val="center"/>
                </w:tcPr>
                <w:p w14:paraId="3BF9F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ascii="Times New Roman" w:hAnsi="Times New Roman" w:eastAsia="宋体" w:cs="Times New Roman"/>
                      <w:color w:val="auto"/>
                      <w:kern w:val="0"/>
                      <w:sz w:val="21"/>
                      <w:szCs w:val="21"/>
                      <w:highlight w:val="none"/>
                    </w:rPr>
                    <w:t>数量</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val="en-US" w:eastAsia="zh-CN"/>
                    </w:rPr>
                    <w:t>t/a</w:t>
                  </w:r>
                  <w:r>
                    <w:rPr>
                      <w:rFonts w:hint="eastAsia" w:ascii="Times New Roman" w:hAnsi="Times New Roman" w:eastAsia="宋体" w:cs="Times New Roman"/>
                      <w:color w:val="auto"/>
                      <w:kern w:val="0"/>
                      <w:sz w:val="21"/>
                      <w:szCs w:val="21"/>
                      <w:highlight w:val="none"/>
                      <w:lang w:eastAsia="zh-CN"/>
                    </w:rPr>
                    <w:t>）</w:t>
                  </w:r>
                </w:p>
              </w:tc>
              <w:tc>
                <w:tcPr>
                  <w:tcW w:w="2096" w:type="dxa"/>
                  <w:gridSpan w:val="2"/>
                  <w:noWrap w:val="0"/>
                  <w:vAlign w:val="center"/>
                </w:tcPr>
                <w:p w14:paraId="4DB24DF0">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名称</w:t>
                  </w:r>
                </w:p>
              </w:tc>
              <w:tc>
                <w:tcPr>
                  <w:tcW w:w="1815" w:type="dxa"/>
                  <w:noWrap w:val="0"/>
                  <w:vAlign w:val="center"/>
                </w:tcPr>
                <w:p w14:paraId="33358600">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数量</w:t>
                  </w:r>
                  <w:r>
                    <w:rPr>
                      <w:rFonts w:hint="eastAsia"/>
                      <w:color w:val="auto"/>
                      <w:kern w:val="0"/>
                      <w:sz w:val="21"/>
                      <w:szCs w:val="21"/>
                      <w:highlight w:val="none"/>
                      <w:lang w:eastAsia="zh-CN"/>
                    </w:rPr>
                    <w:t>（</w:t>
                  </w:r>
                  <w:r>
                    <w:rPr>
                      <w:rFonts w:hint="eastAsia"/>
                      <w:color w:val="auto"/>
                      <w:kern w:val="0"/>
                      <w:sz w:val="21"/>
                      <w:szCs w:val="21"/>
                      <w:highlight w:val="none"/>
                      <w:lang w:val="en-US" w:eastAsia="zh-CN"/>
                    </w:rPr>
                    <w:t>t/a</w:t>
                  </w:r>
                  <w:r>
                    <w:rPr>
                      <w:rFonts w:hint="eastAsia"/>
                      <w:color w:val="auto"/>
                      <w:kern w:val="0"/>
                      <w:sz w:val="21"/>
                      <w:szCs w:val="21"/>
                      <w:highlight w:val="none"/>
                      <w:lang w:eastAsia="zh-CN"/>
                    </w:rPr>
                    <w:t>）</w:t>
                  </w:r>
                </w:p>
              </w:tc>
              <w:tc>
                <w:tcPr>
                  <w:tcW w:w="2059" w:type="dxa"/>
                  <w:vMerge w:val="continue"/>
                  <w:noWrap w:val="0"/>
                  <w:vAlign w:val="center"/>
                </w:tcPr>
                <w:p w14:paraId="2DAA7C6F">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p>
              </w:tc>
            </w:tr>
            <w:tr w14:paraId="1E50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vMerge w:val="restart"/>
                  <w:noWrap w:val="0"/>
                  <w:vAlign w:val="center"/>
                </w:tcPr>
                <w:p w14:paraId="759718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建筑废</w:t>
                  </w:r>
                  <w:r>
                    <w:rPr>
                      <w:rFonts w:hint="default" w:eastAsia="宋体"/>
                      <w:color w:val="auto"/>
                      <w:kern w:val="0"/>
                      <w:sz w:val="21"/>
                      <w:szCs w:val="21"/>
                      <w:highlight w:val="none"/>
                      <w:lang w:val="en-US" w:eastAsia="zh-CN"/>
                    </w:rPr>
                    <w:t>弃</w:t>
                  </w:r>
                  <w:r>
                    <w:rPr>
                      <w:rFonts w:hint="eastAsia" w:eastAsia="宋体"/>
                      <w:color w:val="auto"/>
                      <w:kern w:val="0"/>
                      <w:sz w:val="21"/>
                      <w:szCs w:val="21"/>
                      <w:highlight w:val="none"/>
                      <w:lang w:val="en-US" w:eastAsia="zh-CN"/>
                    </w:rPr>
                    <w:t>物</w:t>
                  </w:r>
                </w:p>
              </w:tc>
              <w:tc>
                <w:tcPr>
                  <w:tcW w:w="1778" w:type="dxa"/>
                  <w:vMerge w:val="restart"/>
                  <w:noWrap w:val="0"/>
                  <w:vAlign w:val="center"/>
                </w:tcPr>
                <w:p w14:paraId="3F8E3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400000</w:t>
                  </w:r>
                </w:p>
              </w:tc>
              <w:tc>
                <w:tcPr>
                  <w:tcW w:w="1177" w:type="dxa"/>
                  <w:vMerge w:val="restart"/>
                  <w:noWrap w:val="0"/>
                  <w:vAlign w:val="center"/>
                </w:tcPr>
                <w:p w14:paraId="161B35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heme="minorEastAsia"/>
                      <w:color w:val="auto"/>
                      <w:kern w:val="0"/>
                      <w:sz w:val="21"/>
                      <w:szCs w:val="21"/>
                      <w:highlight w:val="none"/>
                      <w:lang w:eastAsia="zh-CN"/>
                    </w:rPr>
                  </w:pPr>
                  <w:r>
                    <w:rPr>
                      <w:rFonts w:hint="eastAsia"/>
                      <w:color w:val="auto"/>
                      <w:kern w:val="0"/>
                      <w:sz w:val="21"/>
                      <w:szCs w:val="21"/>
                      <w:highlight w:val="none"/>
                      <w:lang w:val="en-US" w:eastAsia="zh-CN"/>
                    </w:rPr>
                    <w:t>再生骨料</w:t>
                  </w:r>
                </w:p>
              </w:tc>
              <w:tc>
                <w:tcPr>
                  <w:tcW w:w="919" w:type="dxa"/>
                  <w:noWrap w:val="0"/>
                  <w:vAlign w:val="center"/>
                </w:tcPr>
                <w:p w14:paraId="045ED0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 w:val="21"/>
                      <w:szCs w:val="21"/>
                      <w:highlight w:val="none"/>
                      <w:lang w:val="en-US" w:eastAsia="zh-CN"/>
                    </w:rPr>
                  </w:pPr>
                  <w:r>
                    <w:rPr>
                      <w:rFonts w:hint="eastAsia"/>
                      <w:color w:val="auto"/>
                      <w:kern w:val="0"/>
                      <w:sz w:val="21"/>
                      <w:szCs w:val="21"/>
                      <w:highlight w:val="none"/>
                      <w:lang w:val="en-US" w:eastAsia="zh-CN"/>
                    </w:rPr>
                    <w:t>粗骨料</w:t>
                  </w:r>
                </w:p>
              </w:tc>
              <w:tc>
                <w:tcPr>
                  <w:tcW w:w="1815" w:type="dxa"/>
                  <w:shd w:val="clear" w:color="auto" w:fill="auto"/>
                  <w:noWrap w:val="0"/>
                  <w:vAlign w:val="center"/>
                </w:tcPr>
                <w:p w14:paraId="5CD07E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279772.767</w:t>
                  </w:r>
                </w:p>
              </w:tc>
              <w:tc>
                <w:tcPr>
                  <w:tcW w:w="2059" w:type="dxa"/>
                  <w:vMerge w:val="restart"/>
                  <w:noWrap w:val="0"/>
                  <w:vAlign w:val="center"/>
                </w:tcPr>
                <w:p w14:paraId="622E670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成品外售，用于鄠邑区路桥建设</w:t>
                  </w:r>
                </w:p>
              </w:tc>
            </w:tr>
            <w:tr w14:paraId="5506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vMerge w:val="continue"/>
                  <w:noWrap w:val="0"/>
                  <w:vAlign w:val="center"/>
                </w:tcPr>
                <w:p w14:paraId="3BB6C6D9">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rPr>
                  </w:pPr>
                </w:p>
              </w:tc>
              <w:tc>
                <w:tcPr>
                  <w:tcW w:w="1778" w:type="dxa"/>
                  <w:vMerge w:val="continue"/>
                  <w:noWrap w:val="0"/>
                  <w:vAlign w:val="center"/>
                </w:tcPr>
                <w:p w14:paraId="6B68E6B3">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rPr>
                  </w:pPr>
                </w:p>
              </w:tc>
              <w:tc>
                <w:tcPr>
                  <w:tcW w:w="1177" w:type="dxa"/>
                  <w:vMerge w:val="continue"/>
                  <w:noWrap w:val="0"/>
                  <w:vAlign w:val="center"/>
                </w:tcPr>
                <w:p w14:paraId="38DDBD48">
                  <w:pPr>
                    <w:keepNext w:val="0"/>
                    <w:keepLines w:val="0"/>
                    <w:pageBreakBefore w:val="0"/>
                    <w:kinsoku/>
                    <w:wordWrap/>
                    <w:overflowPunct/>
                    <w:topLinePunct w:val="0"/>
                    <w:autoSpaceDE/>
                    <w:autoSpaceDN/>
                    <w:bidi w:val="0"/>
                    <w:adjustRightInd/>
                    <w:snapToGrid/>
                    <w:spacing w:line="240" w:lineRule="auto"/>
                    <w:jc w:val="center"/>
                    <w:textAlignment w:val="auto"/>
                    <w:rPr>
                      <w:color w:val="auto"/>
                      <w:highlight w:val="none"/>
                    </w:rPr>
                  </w:pPr>
                </w:p>
              </w:tc>
              <w:tc>
                <w:tcPr>
                  <w:tcW w:w="919" w:type="dxa"/>
                  <w:noWrap w:val="0"/>
                  <w:vAlign w:val="center"/>
                </w:tcPr>
                <w:p w14:paraId="36ED03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 w:val="21"/>
                      <w:szCs w:val="21"/>
                      <w:highlight w:val="none"/>
                      <w:lang w:val="en-US" w:eastAsia="zh-CN"/>
                    </w:rPr>
                  </w:pPr>
                  <w:r>
                    <w:rPr>
                      <w:rFonts w:hint="eastAsia"/>
                      <w:color w:val="auto"/>
                      <w:kern w:val="0"/>
                      <w:sz w:val="21"/>
                      <w:szCs w:val="21"/>
                      <w:highlight w:val="none"/>
                      <w:lang w:val="en-US" w:eastAsia="zh-CN"/>
                    </w:rPr>
                    <w:t>细骨料</w:t>
                  </w:r>
                </w:p>
              </w:tc>
              <w:tc>
                <w:tcPr>
                  <w:tcW w:w="1815" w:type="dxa"/>
                  <w:noWrap w:val="0"/>
                  <w:vAlign w:val="center"/>
                </w:tcPr>
                <w:p w14:paraId="366CD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120000</w:t>
                  </w:r>
                </w:p>
              </w:tc>
              <w:tc>
                <w:tcPr>
                  <w:tcW w:w="2059" w:type="dxa"/>
                  <w:vMerge w:val="continue"/>
                  <w:noWrap w:val="0"/>
                  <w:vAlign w:val="center"/>
                </w:tcPr>
                <w:p w14:paraId="5518653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p>
              </w:tc>
            </w:tr>
            <w:tr w14:paraId="79F8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noWrap w:val="0"/>
                  <w:vAlign w:val="center"/>
                </w:tcPr>
                <w:p w14:paraId="24053F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heme="minorBidi"/>
                      <w:color w:val="auto"/>
                      <w:kern w:val="2"/>
                      <w:sz w:val="21"/>
                      <w:szCs w:val="21"/>
                      <w:highlight w:val="none"/>
                      <w:lang w:val="en-US" w:eastAsia="zh-CN" w:bidi="ar-SA"/>
                    </w:rPr>
                    <w:t>/</w:t>
                  </w:r>
                </w:p>
              </w:tc>
              <w:tc>
                <w:tcPr>
                  <w:tcW w:w="1778" w:type="dxa"/>
                  <w:noWrap w:val="0"/>
                  <w:vAlign w:val="center"/>
                </w:tcPr>
                <w:p w14:paraId="543F45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heme="minorBidi"/>
                      <w:color w:val="auto"/>
                      <w:kern w:val="2"/>
                      <w:sz w:val="21"/>
                      <w:szCs w:val="21"/>
                      <w:highlight w:val="none"/>
                      <w:lang w:val="en-US" w:eastAsia="zh-CN" w:bidi="ar-SA"/>
                    </w:rPr>
                    <w:t>/</w:t>
                  </w:r>
                </w:p>
              </w:tc>
              <w:tc>
                <w:tcPr>
                  <w:tcW w:w="2096" w:type="dxa"/>
                  <w:gridSpan w:val="2"/>
                  <w:shd w:val="clear" w:color="auto" w:fill="auto"/>
                  <w:noWrap w:val="0"/>
                  <w:vAlign w:val="center"/>
                </w:tcPr>
                <w:p w14:paraId="1D1B68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Theme="minorEastAsia" w:cstheme="minorBidi"/>
                      <w:color w:val="auto"/>
                      <w:kern w:val="0"/>
                      <w:sz w:val="21"/>
                      <w:szCs w:val="21"/>
                      <w:highlight w:val="none"/>
                      <w:lang w:val="en-US" w:eastAsia="zh-CN" w:bidi="ar-SA"/>
                    </w:rPr>
                  </w:pPr>
                  <w:r>
                    <w:rPr>
                      <w:rFonts w:hint="eastAsia"/>
                      <w:color w:val="auto"/>
                      <w:kern w:val="0"/>
                      <w:sz w:val="21"/>
                      <w:szCs w:val="21"/>
                      <w:highlight w:val="none"/>
                      <w:lang w:val="en-US" w:eastAsia="zh-CN"/>
                    </w:rPr>
                    <w:t>无组织排放</w:t>
                  </w:r>
                </w:p>
              </w:tc>
              <w:tc>
                <w:tcPr>
                  <w:tcW w:w="1815" w:type="dxa"/>
                  <w:noWrap w:val="0"/>
                  <w:vAlign w:val="center"/>
                </w:tcPr>
                <w:p w14:paraId="58A27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12.233</w:t>
                  </w:r>
                </w:p>
              </w:tc>
              <w:tc>
                <w:tcPr>
                  <w:tcW w:w="2059" w:type="dxa"/>
                  <w:noWrap w:val="0"/>
                  <w:vAlign w:val="center"/>
                </w:tcPr>
                <w:p w14:paraId="630812C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heme="minorEastAsia"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w:t>
                  </w:r>
                </w:p>
              </w:tc>
            </w:tr>
            <w:tr w14:paraId="1453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noWrap w:val="0"/>
                  <w:vAlign w:val="center"/>
                </w:tcPr>
                <w:p w14:paraId="5BDC60D2">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p>
              </w:tc>
              <w:tc>
                <w:tcPr>
                  <w:tcW w:w="1778" w:type="dxa"/>
                  <w:noWrap w:val="0"/>
                  <w:vAlign w:val="center"/>
                </w:tcPr>
                <w:p w14:paraId="5605DB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Times New Roman"/>
                      <w:color w:val="auto"/>
                      <w:kern w:val="0"/>
                      <w:sz w:val="21"/>
                      <w:szCs w:val="21"/>
                      <w:highlight w:val="none"/>
                      <w:lang w:val="en-US" w:eastAsia="zh-CN"/>
                    </w:rPr>
                  </w:pPr>
                </w:p>
              </w:tc>
              <w:tc>
                <w:tcPr>
                  <w:tcW w:w="2096" w:type="dxa"/>
                  <w:gridSpan w:val="2"/>
                  <w:noWrap w:val="0"/>
                  <w:vAlign w:val="center"/>
                </w:tcPr>
                <w:p w14:paraId="4D757C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钢筋、</w:t>
                  </w:r>
                  <w:r>
                    <w:rPr>
                      <w:rFonts w:hint="eastAsia" w:ascii="Times New Roman" w:hAnsi="Times New Roman" w:eastAsia="宋体" w:cs="Times New Roman"/>
                      <w:color w:val="auto"/>
                      <w:kern w:val="0"/>
                      <w:sz w:val="21"/>
                      <w:szCs w:val="21"/>
                      <w:highlight w:val="none"/>
                      <w:lang w:val="en-US" w:eastAsia="zh-CN"/>
                    </w:rPr>
                    <w:t>木材、塑料等</w:t>
                  </w:r>
                  <w:r>
                    <w:rPr>
                      <w:rFonts w:hint="eastAsia" w:eastAsia="宋体" w:cs="Times New Roman"/>
                      <w:color w:val="auto"/>
                      <w:kern w:val="0"/>
                      <w:sz w:val="21"/>
                      <w:szCs w:val="21"/>
                      <w:highlight w:val="none"/>
                      <w:lang w:val="en-US" w:eastAsia="zh-CN"/>
                    </w:rPr>
                    <w:t>杂质</w:t>
                  </w:r>
                </w:p>
              </w:tc>
              <w:tc>
                <w:tcPr>
                  <w:tcW w:w="1815" w:type="dxa"/>
                  <w:noWrap w:val="0"/>
                  <w:vAlign w:val="center"/>
                </w:tcPr>
                <w:p w14:paraId="7614C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215</w:t>
                  </w:r>
                </w:p>
              </w:tc>
              <w:tc>
                <w:tcPr>
                  <w:tcW w:w="2059" w:type="dxa"/>
                  <w:noWrap w:val="0"/>
                  <w:vAlign w:val="center"/>
                </w:tcPr>
                <w:p w14:paraId="17AC68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外售至</w:t>
                  </w:r>
                  <w:r>
                    <w:rPr>
                      <w:rFonts w:hint="eastAsia" w:ascii="Times New Roman" w:hAnsi="Times New Roman" w:eastAsia="宋体" w:cs="Times New Roman"/>
                      <w:color w:val="auto"/>
                      <w:kern w:val="0"/>
                      <w:sz w:val="21"/>
                      <w:szCs w:val="21"/>
                      <w:highlight w:val="none"/>
                      <w:lang w:val="en-US" w:eastAsia="zh-CN"/>
                    </w:rPr>
                    <w:t>至西安龙创建筑科技有限公司综合利用</w:t>
                  </w:r>
                </w:p>
              </w:tc>
            </w:tr>
            <w:tr w14:paraId="6B62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7" w:type="dxa"/>
                  <w:noWrap w:val="0"/>
                  <w:vAlign w:val="center"/>
                </w:tcPr>
                <w:p w14:paraId="468A18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lang w:val="en-US" w:eastAsia="zh-CN" w:bidi="ar-SA"/>
                    </w:rPr>
                  </w:pPr>
                  <w:r>
                    <w:rPr>
                      <w:color w:val="auto"/>
                      <w:kern w:val="0"/>
                      <w:sz w:val="21"/>
                      <w:szCs w:val="21"/>
                      <w:highlight w:val="none"/>
                    </w:rPr>
                    <w:t>小计</w:t>
                  </w:r>
                </w:p>
              </w:tc>
              <w:tc>
                <w:tcPr>
                  <w:tcW w:w="1778" w:type="dxa"/>
                  <w:noWrap w:val="0"/>
                  <w:vAlign w:val="center"/>
                </w:tcPr>
                <w:p w14:paraId="2F75AC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400000</w:t>
                  </w:r>
                </w:p>
              </w:tc>
              <w:tc>
                <w:tcPr>
                  <w:tcW w:w="2096" w:type="dxa"/>
                  <w:gridSpan w:val="2"/>
                  <w:noWrap w:val="0"/>
                  <w:vAlign w:val="center"/>
                </w:tcPr>
                <w:p w14:paraId="45C90673">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kern w:val="0"/>
                      <w:sz w:val="21"/>
                      <w:szCs w:val="21"/>
                      <w:highlight w:val="none"/>
                    </w:rPr>
                  </w:pPr>
                  <w:r>
                    <w:rPr>
                      <w:color w:val="auto"/>
                      <w:kern w:val="0"/>
                      <w:sz w:val="21"/>
                      <w:szCs w:val="21"/>
                      <w:highlight w:val="none"/>
                    </w:rPr>
                    <w:t>小计</w:t>
                  </w:r>
                </w:p>
              </w:tc>
              <w:tc>
                <w:tcPr>
                  <w:tcW w:w="1815" w:type="dxa"/>
                  <w:noWrap w:val="0"/>
                  <w:vAlign w:val="center"/>
                </w:tcPr>
                <w:p w14:paraId="755B0F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400000</w:t>
                  </w:r>
                </w:p>
              </w:tc>
              <w:tc>
                <w:tcPr>
                  <w:tcW w:w="2059" w:type="dxa"/>
                  <w:noWrap w:val="0"/>
                  <w:vAlign w:val="center"/>
                </w:tcPr>
                <w:p w14:paraId="766268F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color w:val="auto"/>
                      <w:kern w:val="0"/>
                      <w:sz w:val="21"/>
                      <w:szCs w:val="21"/>
                      <w:highlight w:val="none"/>
                      <w:lang w:val="en-US" w:eastAsia="zh-CN"/>
                    </w:rPr>
                  </w:pPr>
                  <w:r>
                    <w:rPr>
                      <w:rFonts w:hint="eastAsia"/>
                      <w:color w:val="auto"/>
                      <w:kern w:val="0"/>
                      <w:sz w:val="21"/>
                      <w:szCs w:val="21"/>
                      <w:highlight w:val="none"/>
                      <w:lang w:val="en-US" w:eastAsia="zh-CN"/>
                    </w:rPr>
                    <w:t>/</w:t>
                  </w:r>
                </w:p>
              </w:tc>
            </w:tr>
          </w:tbl>
          <w:p w14:paraId="228F3F34">
            <w:pPr>
              <w:keepNext w:val="0"/>
              <w:keepLines w:val="0"/>
              <w:pageBreakBefore w:val="0"/>
              <w:widowControl w:val="0"/>
              <w:kinsoku/>
              <w:wordWrap/>
              <w:overflowPunct/>
              <w:topLinePunct w:val="0"/>
              <w:autoSpaceDE/>
              <w:autoSpaceDN/>
              <w:bidi w:val="0"/>
              <w:adjustRightInd w:val="0"/>
              <w:snapToGrid w:val="0"/>
              <w:spacing w:before="313" w:beforeLines="100"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2-</w:t>
            </w:r>
            <w:r>
              <w:rPr>
                <w:rFonts w:hint="eastAsia" w:eastAsia="宋体" w:cs="Times New Roman"/>
                <w:b/>
                <w:bCs/>
                <w:color w:val="auto"/>
                <w:sz w:val="21"/>
                <w:szCs w:val="21"/>
                <w:highlight w:val="none"/>
                <w:lang w:val="en-US" w:eastAsia="zh-CN"/>
              </w:rPr>
              <w:t>5 项目水稳材料生产线</w:t>
            </w:r>
            <w:r>
              <w:rPr>
                <w:rFonts w:hint="default" w:ascii="Times New Roman" w:hAnsi="Times New Roman" w:eastAsia="宋体" w:cs="Times New Roman"/>
                <w:b/>
                <w:bCs/>
                <w:color w:val="auto"/>
                <w:sz w:val="21"/>
                <w:szCs w:val="21"/>
                <w:highlight w:val="none"/>
                <w:lang w:val="en-US" w:eastAsia="zh-CN"/>
              </w:rPr>
              <w:t>物料平衡表</w:t>
            </w:r>
          </w:p>
          <w:tbl>
            <w:tblPr>
              <w:tblStyle w:val="24"/>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25"/>
              <w:gridCol w:w="1618"/>
              <w:gridCol w:w="2080"/>
              <w:gridCol w:w="1547"/>
              <w:gridCol w:w="2345"/>
            </w:tblGrid>
            <w:tr w14:paraId="49B4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26" w:type="dxa"/>
                  <w:gridSpan w:val="3"/>
                  <w:noWrap w:val="0"/>
                  <w:vAlign w:val="center"/>
                </w:tcPr>
                <w:p w14:paraId="21DE36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lang w:val="en-US" w:eastAsia="zh-CN"/>
                    </w:rPr>
                  </w:pPr>
                  <w:r>
                    <w:rPr>
                      <w:color w:val="auto"/>
                      <w:kern w:val="0"/>
                      <w:sz w:val="21"/>
                      <w:szCs w:val="21"/>
                      <w:highlight w:val="none"/>
                    </w:rPr>
                    <w:t>投入</w:t>
                  </w:r>
                </w:p>
              </w:tc>
              <w:tc>
                <w:tcPr>
                  <w:tcW w:w="3628" w:type="dxa"/>
                  <w:gridSpan w:val="2"/>
                  <w:noWrap w:val="0"/>
                  <w:vAlign w:val="center"/>
                </w:tcPr>
                <w:p w14:paraId="24466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lang w:val="en-US" w:eastAsia="zh-CN"/>
                    </w:rPr>
                  </w:pPr>
                  <w:r>
                    <w:rPr>
                      <w:color w:val="auto"/>
                      <w:kern w:val="0"/>
                      <w:sz w:val="21"/>
                      <w:szCs w:val="21"/>
                      <w:highlight w:val="none"/>
                    </w:rPr>
                    <w:t>产出</w:t>
                  </w:r>
                </w:p>
              </w:tc>
              <w:tc>
                <w:tcPr>
                  <w:tcW w:w="2346" w:type="dxa"/>
                  <w:vMerge w:val="restart"/>
                  <w:noWrap w:val="0"/>
                  <w:vAlign w:val="center"/>
                </w:tcPr>
                <w:p w14:paraId="3659DBD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lang w:val="en-US" w:eastAsia="zh-CN"/>
                    </w:rPr>
                  </w:pPr>
                  <w:r>
                    <w:rPr>
                      <w:rFonts w:hint="eastAsia"/>
                      <w:color w:val="auto"/>
                      <w:kern w:val="0"/>
                      <w:sz w:val="21"/>
                      <w:szCs w:val="21"/>
                      <w:highlight w:val="none"/>
                      <w:lang w:val="en-US" w:eastAsia="zh-CN"/>
                    </w:rPr>
                    <w:t>备注</w:t>
                  </w:r>
                </w:p>
              </w:tc>
            </w:tr>
            <w:tr w14:paraId="753B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08" w:type="dxa"/>
                  <w:gridSpan w:val="2"/>
                  <w:noWrap w:val="0"/>
                  <w:vAlign w:val="center"/>
                </w:tcPr>
                <w:p w14:paraId="48E502D4">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ascii="Times New Roman" w:hAnsi="Times New Roman" w:eastAsia="宋体" w:cs="Times New Roman"/>
                      <w:color w:val="auto"/>
                      <w:kern w:val="0"/>
                      <w:sz w:val="21"/>
                      <w:szCs w:val="21"/>
                      <w:highlight w:val="none"/>
                    </w:rPr>
                    <w:t>名称</w:t>
                  </w:r>
                </w:p>
              </w:tc>
              <w:tc>
                <w:tcPr>
                  <w:tcW w:w="1618" w:type="dxa"/>
                  <w:noWrap w:val="0"/>
                  <w:vAlign w:val="center"/>
                </w:tcPr>
                <w:p w14:paraId="08ED23F8">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r>
                    <w:rPr>
                      <w:rFonts w:ascii="Times New Roman" w:hAnsi="Times New Roman" w:eastAsia="宋体" w:cs="Times New Roman"/>
                      <w:color w:val="auto"/>
                      <w:kern w:val="0"/>
                      <w:sz w:val="21"/>
                      <w:szCs w:val="21"/>
                      <w:highlight w:val="none"/>
                    </w:rPr>
                    <w:t>数量</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val="en-US" w:eastAsia="zh-CN"/>
                    </w:rPr>
                    <w:t>t/a</w:t>
                  </w:r>
                  <w:r>
                    <w:rPr>
                      <w:rFonts w:hint="eastAsia" w:ascii="Times New Roman" w:hAnsi="Times New Roman" w:eastAsia="宋体" w:cs="Times New Roman"/>
                      <w:color w:val="auto"/>
                      <w:kern w:val="0"/>
                      <w:sz w:val="21"/>
                      <w:szCs w:val="21"/>
                      <w:highlight w:val="none"/>
                      <w:lang w:eastAsia="zh-CN"/>
                    </w:rPr>
                    <w:t>）</w:t>
                  </w:r>
                </w:p>
              </w:tc>
              <w:tc>
                <w:tcPr>
                  <w:tcW w:w="2081" w:type="dxa"/>
                  <w:noWrap w:val="0"/>
                  <w:vAlign w:val="center"/>
                </w:tcPr>
                <w:p w14:paraId="3A88A1EE">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r>
                    <w:rPr>
                      <w:color w:val="auto"/>
                      <w:kern w:val="0"/>
                      <w:sz w:val="21"/>
                      <w:szCs w:val="21"/>
                      <w:highlight w:val="none"/>
                    </w:rPr>
                    <w:t>名称</w:t>
                  </w:r>
                </w:p>
              </w:tc>
              <w:tc>
                <w:tcPr>
                  <w:tcW w:w="1547" w:type="dxa"/>
                  <w:noWrap w:val="0"/>
                  <w:vAlign w:val="center"/>
                </w:tcPr>
                <w:p w14:paraId="4D7E0CE9">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 w:val="21"/>
                      <w:szCs w:val="21"/>
                      <w:highlight w:val="none"/>
                    </w:rPr>
                  </w:pPr>
                  <w:r>
                    <w:rPr>
                      <w:color w:val="auto"/>
                      <w:kern w:val="0"/>
                      <w:sz w:val="21"/>
                      <w:szCs w:val="21"/>
                      <w:highlight w:val="none"/>
                    </w:rPr>
                    <w:t>数量</w:t>
                  </w:r>
                  <w:r>
                    <w:rPr>
                      <w:rFonts w:hint="eastAsia"/>
                      <w:color w:val="auto"/>
                      <w:kern w:val="0"/>
                      <w:sz w:val="21"/>
                      <w:szCs w:val="21"/>
                      <w:highlight w:val="none"/>
                      <w:lang w:eastAsia="zh-CN"/>
                    </w:rPr>
                    <w:t>（</w:t>
                  </w:r>
                  <w:r>
                    <w:rPr>
                      <w:rFonts w:hint="eastAsia"/>
                      <w:color w:val="auto"/>
                      <w:kern w:val="0"/>
                      <w:sz w:val="21"/>
                      <w:szCs w:val="21"/>
                      <w:highlight w:val="none"/>
                      <w:lang w:val="en-US" w:eastAsia="zh-CN"/>
                    </w:rPr>
                    <w:t>t/a</w:t>
                  </w:r>
                  <w:r>
                    <w:rPr>
                      <w:rFonts w:hint="eastAsia"/>
                      <w:color w:val="auto"/>
                      <w:kern w:val="0"/>
                      <w:sz w:val="21"/>
                      <w:szCs w:val="21"/>
                      <w:highlight w:val="none"/>
                      <w:lang w:eastAsia="zh-CN"/>
                    </w:rPr>
                    <w:t>）</w:t>
                  </w:r>
                </w:p>
              </w:tc>
              <w:tc>
                <w:tcPr>
                  <w:tcW w:w="2346" w:type="dxa"/>
                  <w:vMerge w:val="continue"/>
                  <w:noWrap w:val="0"/>
                  <w:vAlign w:val="center"/>
                </w:tcPr>
                <w:p w14:paraId="554566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auto"/>
                      <w:kern w:val="0"/>
                      <w:sz w:val="21"/>
                      <w:szCs w:val="21"/>
                      <w:highlight w:val="none"/>
                      <w:lang w:val="en-US" w:eastAsia="zh-CN"/>
                    </w:rPr>
                  </w:pPr>
                </w:p>
              </w:tc>
            </w:tr>
            <w:tr w14:paraId="5394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83" w:type="dxa"/>
                  <w:vMerge w:val="restart"/>
                  <w:noWrap w:val="0"/>
                  <w:vAlign w:val="center"/>
                </w:tcPr>
                <w:p w14:paraId="4C1B34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color w:val="auto"/>
                      <w:kern w:val="0"/>
                      <w:sz w:val="21"/>
                      <w:szCs w:val="21"/>
                      <w:highlight w:val="none"/>
                      <w:lang w:val="en-US" w:eastAsia="zh-CN"/>
                    </w:rPr>
                    <w:t>成品</w:t>
                  </w:r>
                  <w:r>
                    <w:rPr>
                      <w:rFonts w:hint="eastAsia" w:ascii="Times New Roman" w:hAnsi="Times New Roman"/>
                      <w:color w:val="auto"/>
                      <w:kern w:val="0"/>
                      <w:sz w:val="21"/>
                      <w:szCs w:val="21"/>
                      <w:highlight w:val="none"/>
                      <w:lang w:val="en-US" w:eastAsia="zh-CN"/>
                    </w:rPr>
                    <w:t>骨料</w:t>
                  </w:r>
                </w:p>
              </w:tc>
              <w:tc>
                <w:tcPr>
                  <w:tcW w:w="925" w:type="dxa"/>
                  <w:noWrap w:val="0"/>
                  <w:vAlign w:val="center"/>
                </w:tcPr>
                <w:p w14:paraId="13FDAE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粗骨料</w:t>
                  </w:r>
                </w:p>
              </w:tc>
              <w:tc>
                <w:tcPr>
                  <w:tcW w:w="1618" w:type="dxa"/>
                  <w:noWrap w:val="0"/>
                  <w:vAlign w:val="center"/>
                </w:tcPr>
                <w:p w14:paraId="30DA4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195000</w:t>
                  </w:r>
                </w:p>
              </w:tc>
              <w:tc>
                <w:tcPr>
                  <w:tcW w:w="2081" w:type="dxa"/>
                  <w:noWrap w:val="0"/>
                  <w:vAlign w:val="center"/>
                </w:tcPr>
                <w:p w14:paraId="714734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成品（水稳材料）</w:t>
                  </w:r>
                </w:p>
              </w:tc>
              <w:tc>
                <w:tcPr>
                  <w:tcW w:w="1547" w:type="dxa"/>
                  <w:noWrap w:val="0"/>
                  <w:vAlign w:val="center"/>
                </w:tcPr>
                <w:p w14:paraId="69A3DC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299993.98</w:t>
                  </w:r>
                </w:p>
              </w:tc>
              <w:tc>
                <w:tcPr>
                  <w:tcW w:w="2346" w:type="dxa"/>
                  <w:noWrap w:val="0"/>
                  <w:vAlign w:val="center"/>
                </w:tcPr>
                <w:p w14:paraId="02D4F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成品外售，用于鄠邑区路桥建设</w:t>
                  </w:r>
                </w:p>
              </w:tc>
            </w:tr>
            <w:tr w14:paraId="7DF2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83" w:type="dxa"/>
                  <w:vMerge w:val="continue"/>
                  <w:noWrap w:val="0"/>
                  <w:vAlign w:val="center"/>
                </w:tcPr>
                <w:p w14:paraId="3FD436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p>
              </w:tc>
              <w:tc>
                <w:tcPr>
                  <w:tcW w:w="925" w:type="dxa"/>
                  <w:noWrap w:val="0"/>
                  <w:vAlign w:val="center"/>
                </w:tcPr>
                <w:p w14:paraId="77D097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细骨料</w:t>
                  </w:r>
                </w:p>
              </w:tc>
              <w:tc>
                <w:tcPr>
                  <w:tcW w:w="1618" w:type="dxa"/>
                  <w:noWrap w:val="0"/>
                  <w:vAlign w:val="center"/>
                </w:tcPr>
                <w:p w14:paraId="708A1E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90000</w:t>
                  </w:r>
                </w:p>
              </w:tc>
              <w:tc>
                <w:tcPr>
                  <w:tcW w:w="2081" w:type="dxa"/>
                  <w:noWrap w:val="0"/>
                  <w:vAlign w:val="center"/>
                </w:tcPr>
                <w:p w14:paraId="04AC58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无组织排放颗粒物</w:t>
                  </w:r>
                </w:p>
              </w:tc>
              <w:tc>
                <w:tcPr>
                  <w:tcW w:w="1547" w:type="dxa"/>
                  <w:noWrap w:val="0"/>
                  <w:vAlign w:val="center"/>
                </w:tcPr>
                <w:p w14:paraId="0C3C7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6.02</w:t>
                  </w:r>
                </w:p>
              </w:tc>
              <w:tc>
                <w:tcPr>
                  <w:tcW w:w="2346" w:type="dxa"/>
                  <w:noWrap w:val="0"/>
                  <w:vAlign w:val="center"/>
                </w:tcPr>
                <w:p w14:paraId="3A56DD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r>
            <w:tr w14:paraId="47A9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08" w:type="dxa"/>
                  <w:gridSpan w:val="2"/>
                  <w:noWrap w:val="0"/>
                  <w:vAlign w:val="center"/>
                </w:tcPr>
                <w:p w14:paraId="2CC77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水泥</w:t>
                  </w:r>
                </w:p>
              </w:tc>
              <w:tc>
                <w:tcPr>
                  <w:tcW w:w="1618" w:type="dxa"/>
                  <w:noWrap w:val="0"/>
                  <w:vAlign w:val="center"/>
                </w:tcPr>
                <w:p w14:paraId="708EB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12000</w:t>
                  </w:r>
                </w:p>
              </w:tc>
              <w:tc>
                <w:tcPr>
                  <w:tcW w:w="2081" w:type="dxa"/>
                  <w:noWrap w:val="0"/>
                  <w:vAlign w:val="center"/>
                </w:tcPr>
                <w:p w14:paraId="63E1D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p>
              </w:tc>
              <w:tc>
                <w:tcPr>
                  <w:tcW w:w="1547" w:type="dxa"/>
                  <w:noWrap w:val="0"/>
                  <w:vAlign w:val="center"/>
                </w:tcPr>
                <w:p w14:paraId="468B7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346" w:type="dxa"/>
                  <w:noWrap w:val="0"/>
                  <w:vAlign w:val="center"/>
                </w:tcPr>
                <w:p w14:paraId="21908F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w:t>
                  </w:r>
                </w:p>
              </w:tc>
            </w:tr>
            <w:tr w14:paraId="021B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08" w:type="dxa"/>
                  <w:gridSpan w:val="2"/>
                  <w:noWrap w:val="0"/>
                  <w:vAlign w:val="center"/>
                </w:tcPr>
                <w:p w14:paraId="5F1F7B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水</w:t>
                  </w:r>
                </w:p>
              </w:tc>
              <w:tc>
                <w:tcPr>
                  <w:tcW w:w="1618" w:type="dxa"/>
                  <w:noWrap w:val="0"/>
                  <w:vAlign w:val="center"/>
                </w:tcPr>
                <w:p w14:paraId="0176C5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3000</w:t>
                  </w:r>
                </w:p>
              </w:tc>
              <w:tc>
                <w:tcPr>
                  <w:tcW w:w="2081" w:type="dxa"/>
                  <w:shd w:val="clear" w:color="auto" w:fill="auto"/>
                  <w:noWrap w:val="0"/>
                  <w:vAlign w:val="center"/>
                </w:tcPr>
                <w:p w14:paraId="3C5416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p>
              </w:tc>
              <w:tc>
                <w:tcPr>
                  <w:tcW w:w="1547" w:type="dxa"/>
                  <w:shd w:val="clear" w:color="auto" w:fill="auto"/>
                  <w:noWrap w:val="0"/>
                  <w:vAlign w:val="center"/>
                </w:tcPr>
                <w:p w14:paraId="266B4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346" w:type="dxa"/>
                  <w:noWrap w:val="0"/>
                  <w:vAlign w:val="center"/>
                </w:tcPr>
                <w:p w14:paraId="46321E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w:t>
                  </w:r>
                </w:p>
              </w:tc>
            </w:tr>
            <w:tr w14:paraId="461B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08" w:type="dxa"/>
                  <w:gridSpan w:val="2"/>
                  <w:noWrap w:val="0"/>
                  <w:vAlign w:val="center"/>
                </w:tcPr>
                <w:p w14:paraId="3BE744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olor w:val="auto"/>
                      <w:kern w:val="0"/>
                      <w:sz w:val="21"/>
                      <w:szCs w:val="21"/>
                      <w:highlight w:val="none"/>
                    </w:rPr>
                  </w:pPr>
                  <w:r>
                    <w:rPr>
                      <w:rFonts w:ascii="Times New Roman" w:hAnsi="Times New Roman"/>
                      <w:color w:val="auto"/>
                      <w:kern w:val="0"/>
                      <w:sz w:val="21"/>
                      <w:szCs w:val="21"/>
                      <w:highlight w:val="none"/>
                    </w:rPr>
                    <w:t>小计</w:t>
                  </w:r>
                </w:p>
              </w:tc>
              <w:tc>
                <w:tcPr>
                  <w:tcW w:w="1618" w:type="dxa"/>
                  <w:noWrap w:val="0"/>
                  <w:vAlign w:val="center"/>
                </w:tcPr>
                <w:p w14:paraId="612778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300000</w:t>
                  </w:r>
                </w:p>
              </w:tc>
              <w:tc>
                <w:tcPr>
                  <w:tcW w:w="2081" w:type="dxa"/>
                  <w:noWrap w:val="0"/>
                  <w:vAlign w:val="center"/>
                </w:tcPr>
                <w:p w14:paraId="40A4E9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小计</w:t>
                  </w:r>
                </w:p>
              </w:tc>
              <w:tc>
                <w:tcPr>
                  <w:tcW w:w="1547" w:type="dxa"/>
                  <w:noWrap w:val="0"/>
                  <w:vAlign w:val="center"/>
                </w:tcPr>
                <w:p w14:paraId="736A6B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300000</w:t>
                  </w:r>
                </w:p>
              </w:tc>
              <w:tc>
                <w:tcPr>
                  <w:tcW w:w="2346" w:type="dxa"/>
                  <w:noWrap w:val="0"/>
                  <w:vAlign w:val="center"/>
                </w:tcPr>
                <w:p w14:paraId="183E68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kern w:val="0"/>
                      <w:sz w:val="21"/>
                      <w:szCs w:val="21"/>
                      <w:highlight w:val="none"/>
                      <w:lang w:val="en-US" w:eastAsia="zh-CN"/>
                    </w:rPr>
                  </w:pPr>
                  <w:r>
                    <w:rPr>
                      <w:rFonts w:hint="eastAsia" w:ascii="Times New Roman" w:hAnsi="Times New Roman"/>
                      <w:color w:val="auto"/>
                      <w:kern w:val="0"/>
                      <w:sz w:val="21"/>
                      <w:szCs w:val="21"/>
                      <w:highlight w:val="none"/>
                      <w:lang w:val="en-US" w:eastAsia="zh-CN"/>
                    </w:rPr>
                    <w:t>/</w:t>
                  </w:r>
                </w:p>
              </w:tc>
            </w:tr>
          </w:tbl>
          <w:p w14:paraId="2EA575E7">
            <w:pPr>
              <w:keepNext w:val="0"/>
              <w:keepLines w:val="0"/>
              <w:pageBreakBefore w:val="0"/>
              <w:widowControl/>
              <w:kinsoku/>
              <w:wordWrap/>
              <w:overflowPunct/>
              <w:topLinePunct w:val="0"/>
              <w:autoSpaceDE/>
              <w:autoSpaceDN/>
              <w:bidi w:val="0"/>
              <w:adjustRightInd/>
              <w:snapToGrid/>
              <w:spacing w:before="157" w:beforeLines="50" w:line="360" w:lineRule="auto"/>
              <w:jc w:val="both"/>
              <w:textAlignment w:val="auto"/>
              <w:rPr>
                <w:rFonts w:hint="eastAsia" w:ascii="Times New Roman" w:hAnsi="Times New Roman" w:eastAsia="宋体" w:cs="Times New Roman"/>
                <w:b/>
                <w:strike w:val="0"/>
                <w:color w:val="auto"/>
                <w:kern w:val="0"/>
                <w:sz w:val="21"/>
                <w:szCs w:val="21"/>
                <w:highlight w:val="none"/>
                <w:lang w:val="en-US" w:eastAsia="zh-CN" w:bidi="en-US"/>
              </w:rPr>
            </w:pPr>
          </w:p>
          <w:p w14:paraId="16F96FFA">
            <w:pPr>
              <w:ind w:firstLine="482" w:firstLineChars="200"/>
              <w:rPr>
                <w:rFonts w:cs="Times New Roman"/>
                <w:b/>
                <w:color w:val="auto"/>
                <w:highlight w:val="none"/>
                <w:lang w:val="zh-CN"/>
              </w:rPr>
            </w:pPr>
            <w:r>
              <w:rPr>
                <w:rFonts w:cs="Times New Roman"/>
                <w:b/>
                <w:color w:val="auto"/>
                <w:highlight w:val="none"/>
              </w:rPr>
              <w:t>5</w:t>
            </w:r>
            <w:r>
              <w:rPr>
                <w:rFonts w:cs="Times New Roman"/>
                <w:b/>
                <w:color w:val="auto"/>
                <w:highlight w:val="none"/>
                <w:lang w:val="zh-CN"/>
              </w:rPr>
              <w:t>、主要设备</w:t>
            </w:r>
          </w:p>
          <w:p w14:paraId="284599F4">
            <w:pPr>
              <w:tabs>
                <w:tab w:val="left" w:pos="2130"/>
              </w:tabs>
              <w:ind w:firstLine="480" w:firstLineChars="200"/>
              <w:rPr>
                <w:rFonts w:cs="Times New Roman"/>
                <w:color w:val="auto"/>
                <w:highlight w:val="none"/>
              </w:rPr>
            </w:pPr>
            <w:r>
              <w:rPr>
                <w:rFonts w:cs="Times New Roman"/>
                <w:color w:val="auto"/>
                <w:highlight w:val="none"/>
              </w:rPr>
              <w:t>根据建设单位提供，本项目主要工艺设备见表2-</w:t>
            </w:r>
            <w:r>
              <w:rPr>
                <w:rFonts w:hint="eastAsia" w:cs="Times New Roman"/>
                <w:color w:val="auto"/>
                <w:highlight w:val="none"/>
                <w:lang w:val="en-US" w:eastAsia="zh-CN"/>
              </w:rPr>
              <w:t>7</w:t>
            </w:r>
            <w:r>
              <w:rPr>
                <w:rFonts w:cs="Times New Roman"/>
                <w:color w:val="auto"/>
                <w:highlight w:val="none"/>
              </w:rPr>
              <w:t>。</w:t>
            </w:r>
          </w:p>
          <w:p w14:paraId="5E1BE3AB">
            <w:pPr>
              <w:autoSpaceDE w:val="0"/>
              <w:autoSpaceDN w:val="0"/>
              <w:spacing w:line="240" w:lineRule="auto"/>
              <w:jc w:val="center"/>
              <w:rPr>
                <w:rFonts w:eastAsia="宋体" w:cs="Times New Roman"/>
                <w:b/>
                <w:color w:val="auto"/>
                <w:sz w:val="21"/>
                <w:szCs w:val="21"/>
                <w:highlight w:val="none"/>
                <w:lang w:val="zh-CN" w:bidi="zh-CN"/>
              </w:rPr>
            </w:pPr>
            <w:r>
              <w:rPr>
                <w:rFonts w:eastAsia="宋体" w:cs="Times New Roman"/>
                <w:b/>
                <w:color w:val="auto"/>
                <w:sz w:val="21"/>
                <w:szCs w:val="21"/>
                <w:highlight w:val="none"/>
                <w:lang w:val="zh-CN" w:bidi="zh-CN"/>
              </w:rPr>
              <w:t>表2</w:t>
            </w:r>
            <w:r>
              <w:rPr>
                <w:rFonts w:hint="eastAsia" w:eastAsia="宋体" w:cs="Times New Roman"/>
                <w:b/>
                <w:color w:val="auto"/>
                <w:sz w:val="21"/>
                <w:szCs w:val="21"/>
                <w:highlight w:val="none"/>
                <w:lang w:val="en-US" w:bidi="zh-CN"/>
              </w:rPr>
              <w:t xml:space="preserve">-7 </w:t>
            </w:r>
            <w:r>
              <w:rPr>
                <w:rFonts w:eastAsia="宋体" w:cs="Times New Roman"/>
                <w:b/>
                <w:color w:val="auto"/>
                <w:sz w:val="21"/>
                <w:szCs w:val="21"/>
                <w:highlight w:val="none"/>
                <w:lang w:val="zh-CN" w:bidi="zh-CN"/>
              </w:rPr>
              <w:t>项目主要设备一览表</w:t>
            </w:r>
          </w:p>
          <w:tbl>
            <w:tblPr>
              <w:tblStyle w:val="2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2316"/>
              <w:gridCol w:w="2153"/>
              <w:gridCol w:w="655"/>
              <w:gridCol w:w="1302"/>
              <w:gridCol w:w="2372"/>
            </w:tblGrid>
            <w:tr w14:paraId="7B7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3" w:type="pct"/>
                  <w:vAlign w:val="center"/>
                </w:tcPr>
                <w:p w14:paraId="5D21ED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Times New Roman"/>
                      <w:b/>
                      <w:bCs/>
                      <w:color w:val="auto"/>
                      <w:sz w:val="21"/>
                      <w:szCs w:val="21"/>
                      <w:highlight w:val="none"/>
                    </w:rPr>
                  </w:pPr>
                  <w:r>
                    <w:rPr>
                      <w:rFonts w:hint="eastAsia" w:cs="Times New Roman"/>
                      <w:b/>
                      <w:bCs/>
                      <w:color w:val="auto"/>
                      <w:sz w:val="21"/>
                      <w:szCs w:val="21"/>
                      <w:highlight w:val="none"/>
                      <w:lang w:val="en-US" w:bidi="zh-CN"/>
                    </w:rPr>
                    <w:t>序号</w:t>
                  </w:r>
                </w:p>
              </w:tc>
              <w:tc>
                <w:tcPr>
                  <w:tcW w:w="610" w:type="pct"/>
                  <w:vAlign w:val="center"/>
                </w:tcPr>
                <w:p w14:paraId="1BEA101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auto"/>
                      <w:sz w:val="21"/>
                      <w:szCs w:val="21"/>
                      <w:highlight w:val="none"/>
                      <w:lang w:val="en-US" w:bidi="zh-CN"/>
                    </w:rPr>
                  </w:pPr>
                  <w:r>
                    <w:rPr>
                      <w:rFonts w:hint="eastAsia" w:cs="Times New Roman"/>
                      <w:b/>
                      <w:bCs/>
                      <w:color w:val="auto"/>
                      <w:sz w:val="21"/>
                      <w:szCs w:val="21"/>
                      <w:highlight w:val="none"/>
                      <w:lang w:val="en-US" w:bidi="zh-CN"/>
                    </w:rPr>
                    <w:t>工艺类别</w:t>
                  </w:r>
                </w:p>
              </w:tc>
              <w:tc>
                <w:tcPr>
                  <w:tcW w:w="1282" w:type="pct"/>
                  <w:vAlign w:val="center"/>
                </w:tcPr>
                <w:p w14:paraId="0B3265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Times New Roman"/>
                      <w:b/>
                      <w:bCs/>
                      <w:color w:val="auto"/>
                      <w:sz w:val="21"/>
                      <w:szCs w:val="21"/>
                      <w:highlight w:val="none"/>
                      <w:lang w:bidi="zh-CN"/>
                    </w:rPr>
                  </w:pPr>
                  <w:r>
                    <w:rPr>
                      <w:rFonts w:cs="Times New Roman"/>
                      <w:b/>
                      <w:bCs/>
                      <w:color w:val="auto"/>
                      <w:sz w:val="21"/>
                      <w:szCs w:val="21"/>
                      <w:highlight w:val="none"/>
                      <w:lang w:bidi="zh-CN"/>
                    </w:rPr>
                    <w:t>设备名称</w:t>
                  </w:r>
                </w:p>
              </w:tc>
              <w:tc>
                <w:tcPr>
                  <w:tcW w:w="478" w:type="pct"/>
                  <w:vAlign w:val="center"/>
                </w:tcPr>
                <w:p w14:paraId="56FB14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Times New Roman"/>
                      <w:b/>
                      <w:bCs/>
                      <w:color w:val="auto"/>
                      <w:sz w:val="21"/>
                      <w:szCs w:val="21"/>
                      <w:highlight w:val="none"/>
                    </w:rPr>
                  </w:pPr>
                  <w:r>
                    <w:rPr>
                      <w:rFonts w:hint="eastAsia" w:cs="Times New Roman"/>
                      <w:b/>
                      <w:bCs/>
                      <w:color w:val="auto"/>
                      <w:sz w:val="21"/>
                      <w:szCs w:val="21"/>
                      <w:highlight w:val="none"/>
                      <w:lang w:bidi="zh-CN"/>
                    </w:rPr>
                    <w:t>数量</w:t>
                  </w:r>
                </w:p>
              </w:tc>
              <w:tc>
                <w:tcPr>
                  <w:tcW w:w="699" w:type="pct"/>
                  <w:vAlign w:val="center"/>
                </w:tcPr>
                <w:p w14:paraId="2F50DA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b/>
                      <w:bCs/>
                      <w:color w:val="auto"/>
                      <w:sz w:val="21"/>
                      <w:szCs w:val="21"/>
                      <w:highlight w:val="none"/>
                      <w:lang w:bidi="zh-CN"/>
                    </w:rPr>
                  </w:pPr>
                  <w:r>
                    <w:rPr>
                      <w:rFonts w:hint="eastAsia" w:cs="Times New Roman"/>
                      <w:b/>
                      <w:bCs/>
                      <w:color w:val="auto"/>
                      <w:sz w:val="21"/>
                      <w:szCs w:val="21"/>
                      <w:highlight w:val="none"/>
                      <w:lang w:bidi="zh-CN"/>
                    </w:rPr>
                    <w:t>型号</w:t>
                  </w:r>
                </w:p>
              </w:tc>
              <w:tc>
                <w:tcPr>
                  <w:tcW w:w="1525" w:type="pct"/>
                  <w:vAlign w:val="center"/>
                </w:tcPr>
                <w:p w14:paraId="7676B8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cs="Times New Roman"/>
                      <w:b/>
                      <w:bCs/>
                      <w:color w:val="auto"/>
                      <w:sz w:val="21"/>
                      <w:szCs w:val="21"/>
                      <w:highlight w:val="none"/>
                      <w:lang w:bidi="zh-CN"/>
                    </w:rPr>
                  </w:pPr>
                  <w:r>
                    <w:rPr>
                      <w:rFonts w:cs="Times New Roman"/>
                      <w:b/>
                      <w:bCs/>
                      <w:color w:val="auto"/>
                      <w:sz w:val="21"/>
                      <w:szCs w:val="21"/>
                      <w:highlight w:val="none"/>
                      <w:lang w:bidi="zh-CN"/>
                    </w:rPr>
                    <w:t>备注</w:t>
                  </w:r>
                </w:p>
              </w:tc>
            </w:tr>
            <w:tr w14:paraId="25B1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466805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1</w:t>
                  </w:r>
                </w:p>
              </w:tc>
              <w:tc>
                <w:tcPr>
                  <w:tcW w:w="610" w:type="pct"/>
                  <w:vMerge w:val="restart"/>
                  <w:noWrap/>
                  <w:vAlign w:val="center"/>
                </w:tcPr>
                <w:p w14:paraId="36E68D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机制骨料生产线</w:t>
                  </w:r>
                </w:p>
              </w:tc>
              <w:tc>
                <w:tcPr>
                  <w:tcW w:w="1282" w:type="pct"/>
                  <w:noWrap/>
                  <w:vAlign w:val="center"/>
                </w:tcPr>
                <w:p w14:paraId="737CEC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给料机</w:t>
                  </w:r>
                </w:p>
              </w:tc>
              <w:tc>
                <w:tcPr>
                  <w:tcW w:w="478" w:type="pct"/>
                  <w:vAlign w:val="center"/>
                </w:tcPr>
                <w:p w14:paraId="10EEE3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1台</w:t>
                  </w:r>
                </w:p>
              </w:tc>
              <w:tc>
                <w:tcPr>
                  <w:tcW w:w="699" w:type="pct"/>
                  <w:vAlign w:val="center"/>
                </w:tcPr>
                <w:p w14:paraId="0F6201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ZSW4911</w:t>
                  </w:r>
                </w:p>
              </w:tc>
              <w:tc>
                <w:tcPr>
                  <w:tcW w:w="1525" w:type="pct"/>
                  <w:vAlign w:val="center"/>
                </w:tcPr>
                <w:p w14:paraId="785DEE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上料</w:t>
                  </w:r>
                </w:p>
              </w:tc>
            </w:tr>
            <w:tr w14:paraId="0011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1A8B8C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2</w:t>
                  </w:r>
                </w:p>
              </w:tc>
              <w:tc>
                <w:tcPr>
                  <w:tcW w:w="610" w:type="pct"/>
                  <w:vMerge w:val="continue"/>
                  <w:noWrap/>
                  <w:vAlign w:val="center"/>
                </w:tcPr>
                <w:p w14:paraId="03E3FB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1282" w:type="pct"/>
                  <w:noWrap/>
                  <w:vAlign w:val="center"/>
                </w:tcPr>
                <w:p w14:paraId="06FF94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颚式破碎机</w:t>
                  </w:r>
                </w:p>
              </w:tc>
              <w:tc>
                <w:tcPr>
                  <w:tcW w:w="478" w:type="pct"/>
                  <w:vAlign w:val="center"/>
                </w:tcPr>
                <w:p w14:paraId="6DF10B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1台</w:t>
                  </w:r>
                </w:p>
              </w:tc>
              <w:tc>
                <w:tcPr>
                  <w:tcW w:w="699" w:type="pct"/>
                  <w:vAlign w:val="center"/>
                </w:tcPr>
                <w:p w14:paraId="3D72A6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PE870*1215</w:t>
                  </w:r>
                </w:p>
              </w:tc>
              <w:tc>
                <w:tcPr>
                  <w:tcW w:w="1525" w:type="pct"/>
                  <w:vAlign w:val="center"/>
                </w:tcPr>
                <w:p w14:paraId="2FC1B9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一次破碎</w:t>
                  </w:r>
                </w:p>
              </w:tc>
            </w:tr>
            <w:tr w14:paraId="74A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5A81A4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3</w:t>
                  </w:r>
                </w:p>
              </w:tc>
              <w:tc>
                <w:tcPr>
                  <w:tcW w:w="610" w:type="pct"/>
                  <w:vMerge w:val="continue"/>
                  <w:noWrap/>
                  <w:vAlign w:val="center"/>
                </w:tcPr>
                <w:p w14:paraId="65FC60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1282" w:type="pct"/>
                  <w:noWrap/>
                  <w:vAlign w:val="center"/>
                </w:tcPr>
                <w:p w14:paraId="19DBB8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圆锥破碎机</w:t>
                  </w:r>
                </w:p>
              </w:tc>
              <w:tc>
                <w:tcPr>
                  <w:tcW w:w="478" w:type="pct"/>
                  <w:vAlign w:val="center"/>
                </w:tcPr>
                <w:p w14:paraId="5B261F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2台</w:t>
                  </w:r>
                </w:p>
              </w:tc>
              <w:tc>
                <w:tcPr>
                  <w:tcW w:w="699" w:type="pct"/>
                  <w:vAlign w:val="center"/>
                </w:tcPr>
                <w:p w14:paraId="0E351E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PF1315</w:t>
                  </w:r>
                </w:p>
              </w:tc>
              <w:tc>
                <w:tcPr>
                  <w:tcW w:w="1525" w:type="pct"/>
                  <w:vAlign w:val="center"/>
                </w:tcPr>
                <w:p w14:paraId="1839E8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二次破碎</w:t>
                  </w:r>
                </w:p>
              </w:tc>
            </w:tr>
            <w:tr w14:paraId="5E08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3F9CDC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4</w:t>
                  </w:r>
                </w:p>
              </w:tc>
              <w:tc>
                <w:tcPr>
                  <w:tcW w:w="610" w:type="pct"/>
                  <w:vMerge w:val="continue"/>
                  <w:noWrap/>
                  <w:vAlign w:val="center"/>
                </w:tcPr>
                <w:p w14:paraId="5DFE1D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1282" w:type="pct"/>
                  <w:noWrap/>
                  <w:vAlign w:val="center"/>
                </w:tcPr>
                <w:p w14:paraId="3075D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振动筛</w:t>
                  </w:r>
                </w:p>
              </w:tc>
              <w:tc>
                <w:tcPr>
                  <w:tcW w:w="478" w:type="pct"/>
                  <w:vAlign w:val="center"/>
                </w:tcPr>
                <w:p w14:paraId="002A22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4台</w:t>
                  </w:r>
                </w:p>
              </w:tc>
              <w:tc>
                <w:tcPr>
                  <w:tcW w:w="699" w:type="pct"/>
                  <w:vAlign w:val="center"/>
                </w:tcPr>
                <w:p w14:paraId="24E140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3YK3080</w:t>
                  </w:r>
                </w:p>
              </w:tc>
              <w:tc>
                <w:tcPr>
                  <w:tcW w:w="1525" w:type="pct"/>
                  <w:vAlign w:val="center"/>
                </w:tcPr>
                <w:p w14:paraId="3873AB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筛分</w:t>
                  </w:r>
                </w:p>
              </w:tc>
            </w:tr>
            <w:tr w14:paraId="2EB5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438C50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5</w:t>
                  </w:r>
                </w:p>
              </w:tc>
              <w:tc>
                <w:tcPr>
                  <w:tcW w:w="610" w:type="pct"/>
                  <w:vMerge w:val="continue"/>
                  <w:noWrap/>
                  <w:vAlign w:val="center"/>
                </w:tcPr>
                <w:p w14:paraId="3A1436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1282" w:type="pct"/>
                  <w:noWrap/>
                  <w:vAlign w:val="center"/>
                </w:tcPr>
                <w:p w14:paraId="0E55B9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传送带</w:t>
                  </w:r>
                </w:p>
              </w:tc>
              <w:tc>
                <w:tcPr>
                  <w:tcW w:w="478" w:type="pct"/>
                  <w:vAlign w:val="center"/>
                </w:tcPr>
                <w:p w14:paraId="1035BD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1套</w:t>
                  </w:r>
                </w:p>
              </w:tc>
              <w:tc>
                <w:tcPr>
                  <w:tcW w:w="699" w:type="pct"/>
                  <w:vAlign w:val="center"/>
                </w:tcPr>
                <w:p w14:paraId="3864A4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vAlign w:val="center"/>
                </w:tcPr>
                <w:p w14:paraId="4C18FA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物料输送</w:t>
                  </w:r>
                </w:p>
              </w:tc>
            </w:tr>
            <w:tr w14:paraId="7780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14BA87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w:t>
                  </w:r>
                </w:p>
              </w:tc>
              <w:tc>
                <w:tcPr>
                  <w:tcW w:w="610" w:type="pct"/>
                  <w:vMerge w:val="restart"/>
                  <w:noWrap/>
                  <w:vAlign w:val="center"/>
                </w:tcPr>
                <w:p w14:paraId="700AC3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水稳材料生产线</w:t>
                  </w:r>
                </w:p>
              </w:tc>
              <w:tc>
                <w:tcPr>
                  <w:tcW w:w="1282" w:type="pct"/>
                  <w:noWrap/>
                  <w:vAlign w:val="center"/>
                </w:tcPr>
                <w:p w14:paraId="0C06AF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auto"/>
                      <w:kern w:val="2"/>
                      <w:sz w:val="21"/>
                      <w:szCs w:val="21"/>
                      <w:highlight w:val="none"/>
                      <w:lang w:val="en-US" w:eastAsia="zh-CN" w:bidi="ar"/>
                    </w:rPr>
                  </w:pPr>
                  <w:r>
                    <w:rPr>
                      <w:rFonts w:eastAsia="宋体" w:cs="Times New Roman"/>
                      <w:color w:val="auto"/>
                      <w:sz w:val="21"/>
                      <w:szCs w:val="21"/>
                      <w:highlight w:val="none"/>
                      <w:lang w:bidi="ar"/>
                    </w:rPr>
                    <w:t>水泥筒仓</w:t>
                  </w:r>
                </w:p>
              </w:tc>
              <w:tc>
                <w:tcPr>
                  <w:tcW w:w="478" w:type="pct"/>
                  <w:vAlign w:val="center"/>
                </w:tcPr>
                <w:p w14:paraId="198372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eastAsia="宋体" w:cs="Times New Roman"/>
                      <w:color w:val="auto"/>
                      <w:sz w:val="21"/>
                      <w:szCs w:val="21"/>
                      <w:highlight w:val="none"/>
                      <w:lang w:bidi="ar"/>
                    </w:rPr>
                  </w:pPr>
                  <w:r>
                    <w:rPr>
                      <w:rFonts w:hint="eastAsia" w:eastAsia="宋体" w:cs="Times New Roman"/>
                      <w:color w:val="auto"/>
                      <w:sz w:val="21"/>
                      <w:szCs w:val="21"/>
                      <w:highlight w:val="none"/>
                      <w:lang w:val="en-US" w:eastAsia="zh-CN" w:bidi="ar"/>
                    </w:rPr>
                    <w:t>2</w:t>
                  </w:r>
                  <w:r>
                    <w:rPr>
                      <w:rFonts w:eastAsia="宋体" w:cs="Times New Roman"/>
                      <w:color w:val="auto"/>
                      <w:sz w:val="21"/>
                      <w:szCs w:val="21"/>
                      <w:highlight w:val="none"/>
                      <w:lang w:bidi="ar"/>
                    </w:rPr>
                    <w:t>座</w:t>
                  </w:r>
                </w:p>
              </w:tc>
              <w:tc>
                <w:tcPr>
                  <w:tcW w:w="699" w:type="pct"/>
                  <w:vAlign w:val="center"/>
                </w:tcPr>
                <w:p w14:paraId="08D0BC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vAlign w:val="center"/>
                </w:tcPr>
                <w:p w14:paraId="6B6372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eastAsia="宋体" w:cs="Times New Roman"/>
                      <w:color w:val="auto"/>
                      <w:sz w:val="21"/>
                      <w:szCs w:val="21"/>
                      <w:highlight w:val="none"/>
                      <w:lang w:bidi="ar"/>
                    </w:rPr>
                  </w:pPr>
                  <w:r>
                    <w:rPr>
                      <w:rFonts w:hint="eastAsia" w:eastAsia="宋体" w:cs="Times New Roman"/>
                      <w:color w:val="auto"/>
                      <w:sz w:val="21"/>
                      <w:szCs w:val="21"/>
                      <w:highlight w:val="none"/>
                      <w:lang w:val="en-US" w:eastAsia="zh-CN" w:bidi="ar"/>
                    </w:rPr>
                    <w:t>每座100t，</w:t>
                  </w:r>
                  <w:r>
                    <w:rPr>
                      <w:rFonts w:eastAsia="宋体" w:cs="Times New Roman"/>
                      <w:color w:val="auto"/>
                      <w:sz w:val="21"/>
                      <w:szCs w:val="21"/>
                      <w:highlight w:val="none"/>
                      <w:lang w:bidi="ar"/>
                    </w:rPr>
                    <w:t>用于</w:t>
                  </w:r>
                  <w:r>
                    <w:rPr>
                      <w:rFonts w:hint="eastAsia" w:eastAsia="宋体" w:cs="Times New Roman"/>
                      <w:color w:val="auto"/>
                      <w:sz w:val="21"/>
                      <w:szCs w:val="21"/>
                      <w:highlight w:val="none"/>
                      <w:lang w:val="en-US" w:eastAsia="zh-CN" w:bidi="ar"/>
                    </w:rPr>
                    <w:t>粉状</w:t>
                  </w:r>
                  <w:r>
                    <w:rPr>
                      <w:rFonts w:eastAsia="宋体" w:cs="Times New Roman"/>
                      <w:color w:val="auto"/>
                      <w:sz w:val="21"/>
                      <w:szCs w:val="21"/>
                      <w:highlight w:val="none"/>
                      <w:lang w:bidi="ar"/>
                    </w:rPr>
                    <w:t>水泥储存</w:t>
                  </w:r>
                </w:p>
              </w:tc>
            </w:tr>
            <w:tr w14:paraId="3390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1F69B8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w:t>
                  </w:r>
                </w:p>
              </w:tc>
              <w:tc>
                <w:tcPr>
                  <w:tcW w:w="610" w:type="pct"/>
                  <w:vMerge w:val="continue"/>
                  <w:noWrap/>
                  <w:vAlign w:val="center"/>
                </w:tcPr>
                <w:p w14:paraId="23B1A2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rPr>
                  </w:pPr>
                </w:p>
              </w:tc>
              <w:tc>
                <w:tcPr>
                  <w:tcW w:w="1282" w:type="pct"/>
                  <w:noWrap/>
                  <w:vAlign w:val="center"/>
                </w:tcPr>
                <w:p w14:paraId="3CB599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
                    </w:rPr>
                  </w:pPr>
                  <w:r>
                    <w:rPr>
                      <w:rFonts w:hint="default" w:eastAsia="宋体" w:cs="Times New Roman"/>
                      <w:color w:val="auto"/>
                      <w:sz w:val="21"/>
                      <w:szCs w:val="21"/>
                      <w:highlight w:val="none"/>
                      <w:lang w:eastAsia="zh-CN" w:bidi="ar"/>
                    </w:rPr>
                    <w:t>搅拌机</w:t>
                  </w:r>
                </w:p>
              </w:tc>
              <w:tc>
                <w:tcPr>
                  <w:tcW w:w="478" w:type="pct"/>
                  <w:vAlign w:val="center"/>
                </w:tcPr>
                <w:p w14:paraId="2560F9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eastAsia="zh-CN" w:bidi="ar"/>
                    </w:rPr>
                  </w:pPr>
                  <w:r>
                    <w:rPr>
                      <w:rFonts w:hint="eastAsia" w:eastAsia="宋体" w:cs="Times New Roman"/>
                      <w:color w:val="auto"/>
                      <w:sz w:val="21"/>
                      <w:szCs w:val="21"/>
                      <w:highlight w:val="none"/>
                      <w:lang w:val="en-US" w:eastAsia="zh-CN" w:bidi="ar"/>
                    </w:rPr>
                    <w:t>1</w:t>
                  </w:r>
                  <w:r>
                    <w:rPr>
                      <w:rFonts w:hint="eastAsia" w:eastAsia="宋体" w:cs="Times New Roman"/>
                      <w:color w:val="auto"/>
                      <w:sz w:val="21"/>
                      <w:szCs w:val="21"/>
                      <w:highlight w:val="none"/>
                      <w:lang w:eastAsia="zh-CN" w:bidi="ar"/>
                    </w:rPr>
                    <w:t>台</w:t>
                  </w:r>
                </w:p>
              </w:tc>
              <w:tc>
                <w:tcPr>
                  <w:tcW w:w="699" w:type="pct"/>
                  <w:vAlign w:val="center"/>
                </w:tcPr>
                <w:p w14:paraId="40FCE9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WBZL800</w:t>
                  </w:r>
                </w:p>
              </w:tc>
              <w:tc>
                <w:tcPr>
                  <w:tcW w:w="1525" w:type="pct"/>
                  <w:vAlign w:val="center"/>
                </w:tcPr>
                <w:p w14:paraId="46C9E7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eastAsia="宋体" w:cs="Times New Roman"/>
                      <w:color w:val="auto"/>
                      <w:sz w:val="21"/>
                      <w:szCs w:val="21"/>
                      <w:highlight w:val="none"/>
                      <w:lang w:bidi="ar"/>
                    </w:rPr>
                  </w:pPr>
                  <w:r>
                    <w:rPr>
                      <w:rFonts w:hint="eastAsia" w:eastAsia="宋体" w:cs="Times New Roman"/>
                      <w:color w:val="auto"/>
                      <w:sz w:val="21"/>
                      <w:szCs w:val="21"/>
                      <w:highlight w:val="none"/>
                      <w:lang w:val="en-US" w:eastAsia="zh-CN" w:bidi="ar"/>
                    </w:rPr>
                    <w:t>用于物料</w:t>
                  </w:r>
                  <w:r>
                    <w:rPr>
                      <w:rFonts w:eastAsia="宋体" w:cs="Times New Roman"/>
                      <w:color w:val="auto"/>
                      <w:sz w:val="21"/>
                      <w:szCs w:val="21"/>
                      <w:highlight w:val="none"/>
                      <w:lang w:bidi="ar"/>
                    </w:rPr>
                    <w:t>搅拌</w:t>
                  </w:r>
                </w:p>
              </w:tc>
            </w:tr>
            <w:tr w14:paraId="5F3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ign w:val="center"/>
                </w:tcPr>
                <w:p w14:paraId="68E29E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8</w:t>
                  </w:r>
                </w:p>
              </w:tc>
              <w:tc>
                <w:tcPr>
                  <w:tcW w:w="610" w:type="pct"/>
                  <w:vMerge w:val="continue"/>
                  <w:shd w:val="clear" w:color="auto" w:fill="auto"/>
                  <w:noWrap/>
                  <w:vAlign w:val="center"/>
                </w:tcPr>
                <w:p w14:paraId="032317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1282" w:type="pct"/>
                  <w:shd w:val="clear" w:color="auto" w:fill="auto"/>
                  <w:noWrap/>
                  <w:vAlign w:val="center"/>
                </w:tcPr>
                <w:p w14:paraId="5ECB26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eastAsia="宋体" w:cs="Times New Roman"/>
                      <w:color w:val="auto"/>
                      <w:sz w:val="21"/>
                      <w:szCs w:val="21"/>
                      <w:highlight w:val="none"/>
                      <w:lang w:bidi="ar"/>
                    </w:rPr>
                    <w:t>装卸台</w:t>
                  </w:r>
                </w:p>
              </w:tc>
              <w:tc>
                <w:tcPr>
                  <w:tcW w:w="478" w:type="pct"/>
                  <w:shd w:val="clear" w:color="auto" w:fill="auto"/>
                  <w:vAlign w:val="center"/>
                </w:tcPr>
                <w:p w14:paraId="357E20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eastAsia="宋体" w:cs="Times New Roman"/>
                      <w:color w:val="auto"/>
                      <w:sz w:val="21"/>
                      <w:szCs w:val="21"/>
                      <w:highlight w:val="none"/>
                      <w:lang w:bidi="ar"/>
                    </w:rPr>
                    <w:t>1座</w:t>
                  </w:r>
                </w:p>
              </w:tc>
              <w:tc>
                <w:tcPr>
                  <w:tcW w:w="699" w:type="pct"/>
                  <w:shd w:val="clear" w:color="auto" w:fill="auto"/>
                  <w:vAlign w:val="center"/>
                </w:tcPr>
                <w:p w14:paraId="08278B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362BF3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eastAsia="宋体" w:cs="Times New Roman"/>
                      <w:color w:val="auto"/>
                      <w:sz w:val="21"/>
                      <w:szCs w:val="21"/>
                      <w:highlight w:val="none"/>
                      <w:lang w:bidi="ar"/>
                    </w:rPr>
                    <w:t>产品装卸</w:t>
                  </w:r>
                </w:p>
              </w:tc>
            </w:tr>
            <w:tr w14:paraId="0F3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06EB63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610" w:type="pct"/>
                  <w:vMerge w:val="restart"/>
                  <w:shd w:val="clear" w:color="auto" w:fill="auto"/>
                  <w:noWrap/>
                  <w:vAlign w:val="center"/>
                </w:tcPr>
                <w:p w14:paraId="178CAB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辅助配套设施（公用）</w:t>
                  </w:r>
                </w:p>
              </w:tc>
              <w:tc>
                <w:tcPr>
                  <w:tcW w:w="1282" w:type="pct"/>
                  <w:shd w:val="clear" w:color="auto" w:fill="auto"/>
                  <w:noWrap/>
                  <w:vAlign w:val="center"/>
                </w:tcPr>
                <w:p w14:paraId="2FAF32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eastAsia="zh-CN"/>
                    </w:rPr>
                    <w:t>洒水车</w:t>
                  </w:r>
                </w:p>
              </w:tc>
              <w:tc>
                <w:tcPr>
                  <w:tcW w:w="478" w:type="pct"/>
                  <w:shd w:val="clear" w:color="auto" w:fill="auto"/>
                  <w:vAlign w:val="center"/>
                </w:tcPr>
                <w:p w14:paraId="75BCF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1辆</w:t>
                  </w:r>
                </w:p>
              </w:tc>
              <w:tc>
                <w:tcPr>
                  <w:tcW w:w="699" w:type="pct"/>
                  <w:shd w:val="clear" w:color="auto" w:fill="auto"/>
                  <w:vAlign w:val="center"/>
                </w:tcPr>
                <w:p w14:paraId="0D3B03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6C488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厂区洒水降尘</w:t>
                  </w:r>
                </w:p>
              </w:tc>
            </w:tr>
            <w:tr w14:paraId="24D2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76CAC2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610" w:type="pct"/>
                  <w:vMerge w:val="continue"/>
                  <w:shd w:val="clear" w:color="auto" w:fill="auto"/>
                  <w:noWrap/>
                  <w:vAlign w:val="center"/>
                </w:tcPr>
                <w:p w14:paraId="0200F6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7BE6A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铲车</w:t>
                  </w:r>
                </w:p>
              </w:tc>
              <w:tc>
                <w:tcPr>
                  <w:tcW w:w="478" w:type="pct"/>
                  <w:shd w:val="clear" w:color="auto" w:fill="auto"/>
                  <w:vAlign w:val="center"/>
                </w:tcPr>
                <w:p w14:paraId="6C199C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台</w:t>
                  </w:r>
                </w:p>
              </w:tc>
              <w:tc>
                <w:tcPr>
                  <w:tcW w:w="699" w:type="pct"/>
                  <w:shd w:val="clear" w:color="auto" w:fill="auto"/>
                  <w:vAlign w:val="center"/>
                </w:tcPr>
                <w:p w14:paraId="013F1C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18C031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eastAsia="宋体" w:cs="Times New Roman"/>
                      <w:color w:val="auto"/>
                      <w:sz w:val="21"/>
                      <w:szCs w:val="21"/>
                      <w:highlight w:val="none"/>
                      <w:lang w:bidi="ar"/>
                    </w:rPr>
                    <w:t>用于厂区物料输送</w:t>
                  </w:r>
                </w:p>
              </w:tc>
            </w:tr>
            <w:tr w14:paraId="7A5B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1B2A32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w:t>
                  </w:r>
                </w:p>
              </w:tc>
              <w:tc>
                <w:tcPr>
                  <w:tcW w:w="610" w:type="pct"/>
                  <w:vMerge w:val="continue"/>
                  <w:shd w:val="clear" w:color="auto" w:fill="auto"/>
                  <w:noWrap/>
                  <w:vAlign w:val="center"/>
                </w:tcPr>
                <w:p w14:paraId="5B9472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13188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喷淋降尘系统</w:t>
                  </w:r>
                </w:p>
              </w:tc>
              <w:tc>
                <w:tcPr>
                  <w:tcW w:w="478" w:type="pct"/>
                  <w:shd w:val="clear" w:color="auto" w:fill="auto"/>
                  <w:vAlign w:val="center"/>
                </w:tcPr>
                <w:p w14:paraId="40DC1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套</w:t>
                  </w:r>
                </w:p>
              </w:tc>
              <w:tc>
                <w:tcPr>
                  <w:tcW w:w="699" w:type="pct"/>
                  <w:shd w:val="clear" w:color="auto" w:fill="auto"/>
                  <w:vAlign w:val="center"/>
                </w:tcPr>
                <w:p w14:paraId="6458BF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7AF990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喷淋除尘</w:t>
                  </w:r>
                </w:p>
              </w:tc>
            </w:tr>
            <w:tr w14:paraId="3089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49CAB0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610" w:type="pct"/>
                  <w:vMerge w:val="continue"/>
                  <w:shd w:val="clear" w:color="auto" w:fill="auto"/>
                  <w:noWrap/>
                  <w:vAlign w:val="center"/>
                </w:tcPr>
                <w:p w14:paraId="4C4249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774AAD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洗车台</w:t>
                  </w:r>
                </w:p>
              </w:tc>
              <w:tc>
                <w:tcPr>
                  <w:tcW w:w="478" w:type="pct"/>
                  <w:shd w:val="clear" w:color="auto" w:fill="auto"/>
                  <w:vAlign w:val="center"/>
                </w:tcPr>
                <w:p w14:paraId="4F2EA1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1台</w:t>
                  </w:r>
                </w:p>
              </w:tc>
              <w:tc>
                <w:tcPr>
                  <w:tcW w:w="699" w:type="pct"/>
                  <w:shd w:val="clear" w:color="auto" w:fill="auto"/>
                  <w:vAlign w:val="center"/>
                </w:tcPr>
                <w:p w14:paraId="2FBED1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213D5A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洗车</w:t>
                  </w:r>
                </w:p>
              </w:tc>
            </w:tr>
            <w:tr w14:paraId="142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34F01E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610" w:type="pct"/>
                  <w:vMerge w:val="continue"/>
                  <w:shd w:val="clear" w:color="auto" w:fill="auto"/>
                  <w:noWrap/>
                  <w:vAlign w:val="center"/>
                </w:tcPr>
                <w:p w14:paraId="149EB8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796924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袋式</w:t>
                  </w:r>
                  <w:r>
                    <w:rPr>
                      <w:rFonts w:hint="eastAsia" w:ascii="Times New Roman" w:hAnsi="Times New Roman" w:eastAsia="宋体" w:cs="Times New Roman"/>
                      <w:color w:val="auto"/>
                      <w:kern w:val="0"/>
                      <w:sz w:val="21"/>
                      <w:szCs w:val="21"/>
                      <w:highlight w:val="none"/>
                      <w:lang w:val="en-US" w:eastAsia="zh-CN" w:bidi="ar-SA"/>
                    </w:rPr>
                    <w:t>除尘器</w:t>
                  </w:r>
                </w:p>
              </w:tc>
              <w:tc>
                <w:tcPr>
                  <w:tcW w:w="478" w:type="pct"/>
                  <w:shd w:val="clear" w:color="auto" w:fill="auto"/>
                  <w:vAlign w:val="center"/>
                </w:tcPr>
                <w:p w14:paraId="3EA403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2套</w:t>
                  </w:r>
                </w:p>
              </w:tc>
              <w:tc>
                <w:tcPr>
                  <w:tcW w:w="699" w:type="pct"/>
                  <w:shd w:val="clear" w:color="auto" w:fill="auto"/>
                  <w:vAlign w:val="center"/>
                </w:tcPr>
                <w:p w14:paraId="542A0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6A485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破碎工序、水稳搅拌除尘</w:t>
                  </w:r>
                </w:p>
              </w:tc>
            </w:tr>
            <w:tr w14:paraId="1CA0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2250D1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610" w:type="pct"/>
                  <w:vMerge w:val="continue"/>
                  <w:shd w:val="clear" w:color="auto" w:fill="auto"/>
                  <w:noWrap/>
                  <w:vAlign w:val="center"/>
                </w:tcPr>
                <w:p w14:paraId="283C4B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0C2285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风机</w:t>
                  </w:r>
                </w:p>
              </w:tc>
              <w:tc>
                <w:tcPr>
                  <w:tcW w:w="478" w:type="pct"/>
                  <w:shd w:val="clear" w:color="auto" w:fill="auto"/>
                  <w:vAlign w:val="center"/>
                </w:tcPr>
                <w:p w14:paraId="5D588E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2套</w:t>
                  </w:r>
                </w:p>
              </w:tc>
              <w:tc>
                <w:tcPr>
                  <w:tcW w:w="699" w:type="pct"/>
                  <w:shd w:val="clear" w:color="auto" w:fill="auto"/>
                  <w:vAlign w:val="center"/>
                </w:tcPr>
                <w:p w14:paraId="1C7264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
                    </w:rPr>
                  </w:pPr>
                  <w:r>
                    <w:rPr>
                      <w:rFonts w:hint="eastAsia" w:eastAsia="宋体" w:cs="Times New Roman"/>
                      <w:color w:val="auto"/>
                      <w:sz w:val="21"/>
                      <w:szCs w:val="21"/>
                      <w:highlight w:val="none"/>
                      <w:lang w:val="en-US" w:eastAsia="zh-CN" w:bidi="ar"/>
                    </w:rPr>
                    <w:t>/</w:t>
                  </w:r>
                </w:p>
              </w:tc>
              <w:tc>
                <w:tcPr>
                  <w:tcW w:w="1525" w:type="pct"/>
                  <w:shd w:val="clear" w:color="auto" w:fill="auto"/>
                  <w:vAlign w:val="center"/>
                </w:tcPr>
                <w:p w14:paraId="6282F6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p>
              </w:tc>
            </w:tr>
            <w:tr w14:paraId="3447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55100E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w:t>
                  </w:r>
                </w:p>
              </w:tc>
              <w:tc>
                <w:tcPr>
                  <w:tcW w:w="610" w:type="pct"/>
                  <w:vMerge w:val="continue"/>
                  <w:shd w:val="clear" w:color="auto" w:fill="auto"/>
                  <w:noWrap/>
                  <w:vAlign w:val="center"/>
                </w:tcPr>
                <w:p w14:paraId="298D30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22899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eastAsia="宋体" w:cs="Times New Roman"/>
                      <w:color w:val="auto"/>
                      <w:sz w:val="21"/>
                      <w:szCs w:val="21"/>
                      <w:highlight w:val="none"/>
                      <w:lang w:bidi="ar"/>
                    </w:rPr>
                    <w:t>水泵</w:t>
                  </w:r>
                </w:p>
              </w:tc>
              <w:tc>
                <w:tcPr>
                  <w:tcW w:w="478" w:type="pct"/>
                  <w:shd w:val="clear" w:color="auto" w:fill="auto"/>
                  <w:vAlign w:val="center"/>
                </w:tcPr>
                <w:p w14:paraId="2B05FC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2套</w:t>
                  </w:r>
                </w:p>
              </w:tc>
              <w:tc>
                <w:tcPr>
                  <w:tcW w:w="699" w:type="pct"/>
                  <w:shd w:val="clear" w:color="auto" w:fill="auto"/>
                  <w:vAlign w:val="center"/>
                </w:tcPr>
                <w:p w14:paraId="15759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p>
              </w:tc>
              <w:tc>
                <w:tcPr>
                  <w:tcW w:w="1525" w:type="pct"/>
                  <w:shd w:val="clear" w:color="auto" w:fill="auto"/>
                  <w:vAlign w:val="center"/>
                </w:tcPr>
                <w:p w14:paraId="13A9CD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提供生产用水、喷淋设施使用</w:t>
                  </w:r>
                </w:p>
              </w:tc>
            </w:tr>
            <w:tr w14:paraId="63E1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shd w:val="clear" w:color="auto" w:fill="auto"/>
                  <w:noWrap/>
                  <w:vAlign w:val="center"/>
                </w:tcPr>
                <w:p w14:paraId="54BC1D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c>
                <w:tcPr>
                  <w:tcW w:w="610" w:type="pct"/>
                  <w:vMerge w:val="continue"/>
                  <w:shd w:val="clear" w:color="auto" w:fill="auto"/>
                  <w:noWrap/>
                  <w:vAlign w:val="center"/>
                </w:tcPr>
                <w:p w14:paraId="28A6BD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p>
              </w:tc>
              <w:tc>
                <w:tcPr>
                  <w:tcW w:w="1282" w:type="pct"/>
                  <w:shd w:val="clear" w:color="auto" w:fill="auto"/>
                  <w:noWrap/>
                  <w:vAlign w:val="center"/>
                </w:tcPr>
                <w:p w14:paraId="5D5CC3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雾炮</w:t>
                  </w:r>
                </w:p>
              </w:tc>
              <w:tc>
                <w:tcPr>
                  <w:tcW w:w="478" w:type="pct"/>
                  <w:shd w:val="clear" w:color="auto" w:fill="auto"/>
                  <w:vAlign w:val="center"/>
                </w:tcPr>
                <w:p w14:paraId="1C60B4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val="en-US" w:eastAsia="zh-CN"/>
                    </w:rPr>
                    <w:t>台</w:t>
                  </w:r>
                </w:p>
              </w:tc>
              <w:tc>
                <w:tcPr>
                  <w:tcW w:w="699" w:type="pct"/>
                  <w:shd w:val="clear" w:color="auto" w:fill="auto"/>
                  <w:vAlign w:val="center"/>
                </w:tcPr>
                <w:p w14:paraId="7891A4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Times New Roman"/>
                      <w:color w:val="auto"/>
                      <w:sz w:val="21"/>
                      <w:szCs w:val="21"/>
                      <w:highlight w:val="none"/>
                      <w:lang w:val="en-US" w:eastAsia="zh-CN" w:bidi="ar"/>
                    </w:rPr>
                  </w:pPr>
                </w:p>
              </w:tc>
              <w:tc>
                <w:tcPr>
                  <w:tcW w:w="1525" w:type="pct"/>
                  <w:shd w:val="clear" w:color="auto" w:fill="auto"/>
                  <w:vAlign w:val="center"/>
                </w:tcPr>
                <w:p w14:paraId="07DCBA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highlight w:val="none"/>
                      <w:lang w:val="en-US" w:eastAsia="zh-CN" w:bidi="ar"/>
                    </w:rPr>
                  </w:pPr>
                  <w:r>
                    <w:rPr>
                      <w:rFonts w:hint="eastAsia" w:eastAsia="宋体" w:cs="Times New Roman"/>
                      <w:color w:val="auto"/>
                      <w:sz w:val="21"/>
                      <w:szCs w:val="21"/>
                      <w:highlight w:val="none"/>
                      <w:lang w:val="en-US" w:eastAsia="zh-CN" w:bidi="ar"/>
                    </w:rPr>
                    <w:t>厂区、厂房喷雾</w:t>
                  </w:r>
                </w:p>
              </w:tc>
            </w:tr>
          </w:tbl>
          <w:p w14:paraId="6B41662A">
            <w:pPr>
              <w:widowControl/>
              <w:ind w:firstLine="482" w:firstLineChars="200"/>
              <w:rPr>
                <w:rFonts w:cs="Times New Roman"/>
                <w:b/>
                <w:color w:val="auto"/>
                <w:highlight w:val="none"/>
              </w:rPr>
            </w:pPr>
            <w:r>
              <w:rPr>
                <w:rFonts w:cs="Times New Roman"/>
                <w:b/>
                <w:color w:val="auto"/>
                <w:highlight w:val="none"/>
              </w:rPr>
              <w:t>6</w:t>
            </w:r>
            <w:r>
              <w:rPr>
                <w:rFonts w:cs="Times New Roman"/>
                <w:b/>
                <w:color w:val="auto"/>
                <w:highlight w:val="none"/>
                <w:lang w:val="zh-CN"/>
              </w:rPr>
              <w:t>、公用工程</w:t>
            </w:r>
          </w:p>
          <w:p w14:paraId="2C82A611">
            <w:pPr>
              <w:ind w:firstLine="482" w:firstLineChars="200"/>
              <w:rPr>
                <w:rFonts w:cs="Times New Roman"/>
                <w:b/>
                <w:bCs/>
                <w:color w:val="auto"/>
                <w:highlight w:val="none"/>
                <w:lang w:val="zh-CN"/>
              </w:rPr>
            </w:pPr>
            <w:r>
              <w:rPr>
                <w:rFonts w:cs="Times New Roman"/>
                <w:b/>
                <w:bCs/>
                <w:color w:val="auto"/>
                <w:highlight w:val="none"/>
                <w:lang w:val="zh-CN"/>
              </w:rPr>
              <w:t>（</w:t>
            </w:r>
            <w:r>
              <w:rPr>
                <w:rFonts w:cs="Times New Roman"/>
                <w:b/>
                <w:bCs/>
                <w:color w:val="auto"/>
                <w:highlight w:val="none"/>
              </w:rPr>
              <w:t>1）</w:t>
            </w:r>
            <w:r>
              <w:rPr>
                <w:rFonts w:cs="Times New Roman"/>
                <w:b/>
                <w:bCs/>
                <w:color w:val="auto"/>
                <w:highlight w:val="none"/>
                <w:lang w:val="zh-CN"/>
              </w:rPr>
              <w:t>给水</w:t>
            </w:r>
          </w:p>
          <w:p w14:paraId="2ED3D659">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项目主要用水为职工生活用水、生产配比用水、车辆冲洗用水、喷淋抑尘用水、路面洒水。</w:t>
            </w:r>
          </w:p>
          <w:p w14:paraId="4901FEA5">
            <w:pPr>
              <w:ind w:firstLine="480" w:firstLineChars="200"/>
              <w:rPr>
                <w:rFonts w:hint="default" w:cs="Times New Roman"/>
                <w:color w:val="auto"/>
                <w:highlight w:val="none"/>
                <w:lang w:val="en-US" w:eastAsia="zh-CN"/>
              </w:rPr>
            </w:pPr>
            <w:r>
              <w:rPr>
                <w:rFonts w:hint="eastAsia" w:ascii="微软雅黑" w:hAnsi="微软雅黑" w:eastAsia="微软雅黑" w:cs="微软雅黑"/>
                <w:color w:val="auto"/>
                <w:highlight w:val="none"/>
                <w:lang w:val="en-US" w:eastAsia="zh-CN"/>
              </w:rPr>
              <w:t>①</w:t>
            </w:r>
            <w:r>
              <w:rPr>
                <w:rFonts w:hint="eastAsia" w:cs="Times New Roman"/>
                <w:color w:val="auto"/>
                <w:highlight w:val="none"/>
                <w:lang w:val="en-US" w:eastAsia="zh-CN"/>
              </w:rPr>
              <w:t>职工生活用水</w:t>
            </w:r>
          </w:p>
          <w:p w14:paraId="373041F5">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本项目劳动定员50人，年工作300天，每天16小时，厂区不设食堂。参照《陕西省行业用水定额》（DB61/T943-2020），“表B.17 行政办公及科研院所用水定额中先进值10m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/（人•a）”，经计算，本项目员工生活日用水量为1.67m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/d，年用水量为500m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/a。</w:t>
            </w:r>
          </w:p>
          <w:p w14:paraId="2DE8AD91">
            <w:pPr>
              <w:ind w:firstLine="480" w:firstLineChars="200"/>
              <w:rPr>
                <w:rFonts w:eastAsia="宋体" w:cs="Times New Roman"/>
                <w:color w:val="auto"/>
                <w:szCs w:val="24"/>
                <w:highlight w:val="none"/>
              </w:rPr>
            </w:pPr>
            <w:r>
              <w:rPr>
                <w:rFonts w:hint="eastAsia" w:ascii="微软雅黑" w:hAnsi="微软雅黑" w:eastAsia="微软雅黑" w:cs="微软雅黑"/>
                <w:color w:val="auto"/>
                <w:szCs w:val="24"/>
                <w:highlight w:val="none"/>
                <w:lang w:val="en-US" w:eastAsia="zh-CN"/>
              </w:rPr>
              <w:t>②</w:t>
            </w:r>
            <w:r>
              <w:rPr>
                <w:rFonts w:eastAsia="宋体" w:cs="Times New Roman"/>
                <w:color w:val="auto"/>
                <w:szCs w:val="24"/>
                <w:highlight w:val="none"/>
              </w:rPr>
              <w:t>生产配比用水</w:t>
            </w:r>
          </w:p>
          <w:p w14:paraId="3A54EFDA">
            <w:pPr>
              <w:ind w:firstLine="480" w:firstLineChars="200"/>
              <w:rPr>
                <w:rFonts w:eastAsia="宋体" w:cs="Times New Roman"/>
                <w:color w:val="auto"/>
                <w:szCs w:val="24"/>
                <w:highlight w:val="none"/>
              </w:rPr>
            </w:pPr>
            <w:r>
              <w:rPr>
                <w:rFonts w:hint="eastAsia" w:eastAsia="宋体" w:cs="Times New Roman"/>
                <w:color w:val="auto"/>
                <w:szCs w:val="24"/>
                <w:highlight w:val="none"/>
                <w:lang w:val="en-US" w:eastAsia="zh-CN"/>
              </w:rPr>
              <w:t>根据企业提供的资料，本项目水稳材料原辅材料主要为：水泥（4%）、细骨料（30%）、粗骨料（65%）、水（1%）。水稳材料生产线生产规模为30万t/a，则</w:t>
            </w:r>
            <w:r>
              <w:rPr>
                <w:rFonts w:eastAsia="宋体" w:cs="Times New Roman"/>
                <w:color w:val="auto"/>
                <w:szCs w:val="24"/>
                <w:highlight w:val="none"/>
              </w:rPr>
              <w:t>搅拌用水量为</w:t>
            </w:r>
            <w:r>
              <w:rPr>
                <w:rFonts w:hint="eastAsia" w:eastAsia="宋体" w:cs="Times New Roman"/>
                <w:color w:val="auto"/>
                <w:szCs w:val="24"/>
                <w:highlight w:val="none"/>
                <w:lang w:val="en-US" w:eastAsia="zh-CN"/>
              </w:rPr>
              <w:t>3000</w:t>
            </w:r>
            <w:r>
              <w:rPr>
                <w:rFonts w:eastAsia="宋体" w:cs="Times New Roman"/>
                <w:color w:val="auto"/>
                <w:szCs w:val="24"/>
                <w:highlight w:val="none"/>
              </w:rPr>
              <w:t>t/a。配料用水全部进入产品</w:t>
            </w:r>
            <w:r>
              <w:rPr>
                <w:rFonts w:hint="eastAsia" w:ascii="Times New Roman" w:hAnsi="Times New Roman" w:eastAsia="宋体" w:cs="Times New Roman"/>
                <w:b w:val="0"/>
                <w:bCs w:val="0"/>
                <w:color w:val="auto"/>
                <w:kern w:val="2"/>
                <w:sz w:val="24"/>
                <w:szCs w:val="24"/>
                <w:highlight w:val="none"/>
                <w:lang w:val="en-US" w:eastAsia="zh-CN" w:bidi="ar-SA"/>
              </w:rPr>
              <w:t>。</w:t>
            </w:r>
          </w:p>
          <w:p w14:paraId="02F6C4E8">
            <w:pPr>
              <w:ind w:firstLine="480" w:firstLineChars="200"/>
              <w:rPr>
                <w:rFonts w:eastAsia="宋体" w:cs="Times New Roman"/>
                <w:color w:val="auto"/>
                <w:szCs w:val="24"/>
                <w:highlight w:val="none"/>
              </w:rPr>
            </w:pPr>
            <w:r>
              <w:rPr>
                <w:rFonts w:hint="eastAsia" w:ascii="微软雅黑" w:hAnsi="微软雅黑" w:eastAsia="微软雅黑" w:cs="微软雅黑"/>
                <w:color w:val="auto"/>
                <w:szCs w:val="24"/>
                <w:highlight w:val="none"/>
                <w:lang w:val="en-US" w:eastAsia="zh-CN"/>
              </w:rPr>
              <w:t>③</w:t>
            </w:r>
            <w:r>
              <w:rPr>
                <w:rFonts w:eastAsia="宋体" w:cs="Times New Roman"/>
                <w:color w:val="auto"/>
                <w:szCs w:val="24"/>
                <w:highlight w:val="none"/>
              </w:rPr>
              <w:t>车辆冲洗用水</w:t>
            </w:r>
          </w:p>
          <w:p w14:paraId="40734E1F">
            <w:pPr>
              <w:ind w:firstLine="480" w:firstLineChars="200"/>
              <w:rPr>
                <w:rFonts w:hint="eastAsia" w:cs="Times New Roman"/>
                <w:color w:val="auto"/>
                <w:highlight w:val="none"/>
                <w:lang w:eastAsia="zh-CN"/>
              </w:rPr>
            </w:pPr>
            <w:r>
              <w:rPr>
                <w:rFonts w:hint="eastAsia" w:cs="Times New Roman"/>
                <w:color w:val="auto"/>
                <w:highlight w:val="none"/>
                <w:lang w:eastAsia="zh-CN"/>
              </w:rPr>
              <w:t>本项目在厂</w:t>
            </w:r>
            <w:r>
              <w:rPr>
                <w:rFonts w:hint="eastAsia" w:cs="Times New Roman"/>
                <w:color w:val="auto"/>
                <w:highlight w:val="none"/>
                <w:lang w:val="en-US" w:eastAsia="zh-CN"/>
              </w:rPr>
              <w:t>区</w:t>
            </w:r>
            <w:r>
              <w:rPr>
                <w:rFonts w:hint="eastAsia" w:cs="Times New Roman"/>
                <w:color w:val="auto"/>
                <w:highlight w:val="none"/>
                <w:lang w:eastAsia="zh-CN"/>
              </w:rPr>
              <w:t>出入道路口设置</w:t>
            </w:r>
            <w:r>
              <w:rPr>
                <w:rFonts w:hint="eastAsia" w:cs="Times New Roman"/>
                <w:color w:val="auto"/>
                <w:highlight w:val="none"/>
                <w:lang w:val="en-US" w:eastAsia="zh-CN"/>
              </w:rPr>
              <w:t>1</w:t>
            </w:r>
            <w:r>
              <w:rPr>
                <w:rFonts w:hint="eastAsia" w:cs="Times New Roman"/>
                <w:color w:val="auto"/>
                <w:highlight w:val="none"/>
                <w:lang w:eastAsia="zh-CN"/>
              </w:rPr>
              <w:t>个冲洗平台，对进出厂区的运输车辆进行冲洗，减少车辆运输产生的粉尘。</w:t>
            </w:r>
            <w:r>
              <w:rPr>
                <w:rFonts w:hint="eastAsia" w:cs="Times New Roman"/>
                <w:color w:val="auto"/>
                <w:highlight w:val="none"/>
                <w:lang w:val="en-US" w:eastAsia="zh-CN"/>
              </w:rPr>
              <w:t>进入厂区的建筑废弃物原料约40万t/a；外购成品骨料约28.5万t/a；入厂的粉状水泥共12000t/a，车辆载重以50t计，则每年进</w:t>
            </w:r>
            <w:r>
              <w:rPr>
                <w:rFonts w:hint="eastAsia" w:cs="Times New Roman"/>
                <w:color w:val="auto"/>
                <w:highlight w:val="none"/>
                <w:lang w:eastAsia="zh-CN"/>
              </w:rPr>
              <w:t>厂区</w:t>
            </w:r>
            <w:r>
              <w:rPr>
                <w:rFonts w:hint="eastAsia" w:cs="Times New Roman"/>
                <w:color w:val="auto"/>
                <w:highlight w:val="none"/>
                <w:lang w:val="en-US" w:eastAsia="zh-CN"/>
              </w:rPr>
              <w:t>的原料运输车辆共13940</w:t>
            </w:r>
            <w:r>
              <w:rPr>
                <w:rFonts w:hint="eastAsia" w:cs="Times New Roman"/>
                <w:color w:val="auto"/>
                <w:highlight w:val="none"/>
                <w:lang w:eastAsia="zh-CN"/>
              </w:rPr>
              <w:t>辆。</w:t>
            </w:r>
            <w:r>
              <w:rPr>
                <w:rFonts w:hint="eastAsia" w:cs="Times New Roman"/>
                <w:color w:val="auto"/>
                <w:highlight w:val="none"/>
                <w:lang w:val="en-US" w:eastAsia="zh-CN"/>
              </w:rPr>
              <w:t>外售的再生骨料约40万t/a，外售的水稳材料30万t/a，车辆载重以50t计，则每年出</w:t>
            </w:r>
            <w:r>
              <w:rPr>
                <w:rFonts w:hint="eastAsia" w:cs="Times New Roman"/>
                <w:color w:val="auto"/>
                <w:highlight w:val="none"/>
                <w:lang w:eastAsia="zh-CN"/>
              </w:rPr>
              <w:t>厂区</w:t>
            </w:r>
            <w:r>
              <w:rPr>
                <w:rFonts w:hint="eastAsia" w:cs="Times New Roman"/>
                <w:color w:val="auto"/>
                <w:highlight w:val="none"/>
                <w:lang w:val="en-US" w:eastAsia="zh-CN"/>
              </w:rPr>
              <w:t>的成品运输车辆共14000</w:t>
            </w:r>
            <w:r>
              <w:rPr>
                <w:rFonts w:hint="eastAsia" w:cs="Times New Roman"/>
                <w:color w:val="auto"/>
                <w:highlight w:val="none"/>
                <w:lang w:eastAsia="zh-CN"/>
              </w:rPr>
              <w:t>辆</w:t>
            </w:r>
            <w:r>
              <w:rPr>
                <w:rFonts w:cs="Times New Roman"/>
                <w:color w:val="auto"/>
                <w:highlight w:val="none"/>
              </w:rPr>
              <w:t>。</w:t>
            </w:r>
            <w:r>
              <w:rPr>
                <w:rFonts w:hint="eastAsia" w:cs="Times New Roman"/>
                <w:color w:val="auto"/>
                <w:highlight w:val="none"/>
                <w:lang w:val="en-US" w:eastAsia="zh-CN"/>
              </w:rPr>
              <w:t>总计运输车辆27940辆，</w:t>
            </w:r>
            <w:r>
              <w:rPr>
                <w:rFonts w:hint="eastAsia" w:cs="Times New Roman"/>
                <w:color w:val="auto"/>
                <w:highlight w:val="none"/>
                <w:lang w:eastAsia="zh-CN"/>
              </w:rPr>
              <w:t>每辆车运输</w:t>
            </w:r>
            <w:r>
              <w:rPr>
                <w:rFonts w:hint="eastAsia" w:cs="Times New Roman"/>
                <w:color w:val="auto"/>
                <w:highlight w:val="none"/>
                <w:lang w:val="en-US" w:eastAsia="zh-CN"/>
              </w:rPr>
              <w:t>出厂</w:t>
            </w:r>
            <w:r>
              <w:rPr>
                <w:rFonts w:hint="eastAsia" w:cs="Times New Roman"/>
                <w:color w:val="auto"/>
                <w:highlight w:val="none"/>
                <w:lang w:eastAsia="zh-CN"/>
              </w:rPr>
              <w:t>冲洗一次，每辆车冲洗时间</w:t>
            </w:r>
            <w:r>
              <w:rPr>
                <w:rFonts w:hint="eastAsia" w:cs="Times New Roman"/>
                <w:color w:val="auto"/>
                <w:highlight w:val="none"/>
                <w:lang w:val="en-US" w:eastAsia="zh-CN"/>
              </w:rPr>
              <w:t>2~3</w:t>
            </w:r>
            <w:r>
              <w:rPr>
                <w:rFonts w:hint="eastAsia" w:cs="Times New Roman"/>
                <w:color w:val="auto"/>
                <w:highlight w:val="none"/>
                <w:lang w:eastAsia="zh-CN"/>
              </w:rPr>
              <w:t>分钟，</w:t>
            </w:r>
            <w:r>
              <w:rPr>
                <w:rFonts w:hint="eastAsia" w:cs="Times New Roman"/>
                <w:color w:val="auto"/>
                <w:highlight w:val="none"/>
                <w:lang w:val="en-US" w:eastAsia="zh-CN"/>
              </w:rPr>
              <w:t>参照</w:t>
            </w:r>
            <w:r>
              <w:rPr>
                <w:rFonts w:cs="Times New Roman"/>
                <w:color w:val="auto"/>
                <w:highlight w:val="none"/>
              </w:rPr>
              <w:t>《行业用水定额》（DB61/T943-2020），洗车用水量以55L/辆·次</w:t>
            </w:r>
            <w:r>
              <w:rPr>
                <w:rFonts w:hint="eastAsia" w:cs="Times New Roman"/>
                <w:color w:val="auto"/>
                <w:highlight w:val="none"/>
                <w:lang w:val="en-US" w:eastAsia="zh-CN"/>
              </w:rPr>
              <w:t>计</w:t>
            </w:r>
            <w:r>
              <w:rPr>
                <w:rFonts w:cs="Times New Roman"/>
                <w:color w:val="auto"/>
                <w:highlight w:val="none"/>
              </w:rPr>
              <w:t>，</w:t>
            </w:r>
            <w:r>
              <w:rPr>
                <w:rFonts w:hint="eastAsia" w:cs="Times New Roman"/>
                <w:color w:val="auto"/>
                <w:highlight w:val="none"/>
                <w:lang w:eastAsia="zh-CN"/>
              </w:rPr>
              <w:t>则车辆冲洗用水量为</w:t>
            </w:r>
            <w:r>
              <w:rPr>
                <w:rFonts w:hint="eastAsia" w:cs="Times New Roman"/>
                <w:color w:val="auto"/>
                <w:highlight w:val="none"/>
                <w:lang w:val="en-US" w:eastAsia="zh-CN"/>
              </w:rPr>
              <w:t>1537m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/a（5.12m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/d）</w:t>
            </w:r>
            <w:r>
              <w:rPr>
                <w:rFonts w:hint="eastAsia" w:cs="Times New Roman"/>
                <w:color w:val="auto"/>
                <w:highlight w:val="none"/>
                <w:lang w:eastAsia="zh-CN"/>
              </w:rPr>
              <w:t>。</w:t>
            </w:r>
          </w:p>
          <w:p w14:paraId="55975486">
            <w:pPr>
              <w:ind w:firstLine="480" w:firstLineChars="200"/>
              <w:rPr>
                <w:rFonts w:eastAsia="宋体" w:cs="Times New Roman"/>
                <w:color w:val="auto"/>
                <w:szCs w:val="24"/>
                <w:highlight w:val="none"/>
              </w:rPr>
            </w:pPr>
            <w:r>
              <w:rPr>
                <w:rFonts w:hint="eastAsia" w:ascii="微软雅黑" w:hAnsi="微软雅黑" w:eastAsia="微软雅黑" w:cs="微软雅黑"/>
                <w:color w:val="auto"/>
                <w:szCs w:val="24"/>
                <w:highlight w:val="none"/>
                <w:lang w:val="en-US" w:eastAsia="zh-CN"/>
              </w:rPr>
              <w:t>④</w:t>
            </w:r>
            <w:r>
              <w:rPr>
                <w:rFonts w:eastAsia="宋体" w:cs="Times New Roman"/>
                <w:color w:val="auto"/>
                <w:szCs w:val="24"/>
                <w:highlight w:val="none"/>
              </w:rPr>
              <w:t>喷</w:t>
            </w:r>
            <w:r>
              <w:rPr>
                <w:rFonts w:hint="eastAsia" w:eastAsia="宋体" w:cs="Times New Roman"/>
                <w:color w:val="auto"/>
                <w:szCs w:val="24"/>
                <w:highlight w:val="none"/>
                <w:lang w:val="en-US" w:eastAsia="zh-CN"/>
              </w:rPr>
              <w:t>雾</w:t>
            </w:r>
            <w:r>
              <w:rPr>
                <w:rFonts w:eastAsia="宋体" w:cs="Times New Roman"/>
                <w:color w:val="auto"/>
                <w:szCs w:val="24"/>
                <w:highlight w:val="none"/>
              </w:rPr>
              <w:t>抑尘用水</w:t>
            </w:r>
          </w:p>
          <w:p w14:paraId="472B1CE8">
            <w:pPr>
              <w:ind w:firstLine="480" w:firstLineChars="200"/>
              <w:rPr>
                <w:rFonts w:hint="default" w:ascii="Times New Roman" w:hAnsi="Times New Roman" w:eastAsia="宋体" w:cs="Times New Roman"/>
                <w:color w:val="auto"/>
                <w:sz w:val="24"/>
                <w:szCs w:val="24"/>
                <w:highlight w:val="none"/>
              </w:rPr>
            </w:pPr>
            <w:r>
              <w:rPr>
                <w:rFonts w:cs="Times New Roman"/>
                <w:color w:val="auto"/>
                <w:highlight w:val="none"/>
              </w:rPr>
              <w:t>本项目</w:t>
            </w:r>
            <w:r>
              <w:rPr>
                <w:rFonts w:hint="eastAsia" w:cs="Times New Roman"/>
                <w:color w:val="auto"/>
                <w:highlight w:val="none"/>
                <w:lang w:val="en-US" w:eastAsia="zh-CN"/>
              </w:rPr>
              <w:t>在封闭式生产厂房库顶部配备有喷淋抑尘装置</w:t>
            </w:r>
            <w:r>
              <w:rPr>
                <w:rFonts w:cs="Times New Roman"/>
                <w:color w:val="auto"/>
                <w:highlight w:val="none"/>
              </w:rPr>
              <w:t>，可有效减少无组织粉尘的排放。根据企业提供的资料，喷雾装置用水量约为</w:t>
            </w:r>
            <w:r>
              <w:rPr>
                <w:rFonts w:hint="eastAsia" w:cs="Times New Roman"/>
                <w:color w:val="auto"/>
                <w:highlight w:val="none"/>
                <w:lang w:val="en-US" w:eastAsia="zh-CN"/>
              </w:rPr>
              <w:t>20</w:t>
            </w:r>
            <w:r>
              <w:rPr>
                <w:rFonts w:cs="Times New Roman"/>
                <w:color w:val="auto"/>
                <w:highlight w:val="none"/>
              </w:rPr>
              <w:t>L/min</w:t>
            </w:r>
            <w:r>
              <w:rPr>
                <w:rFonts w:hint="eastAsia" w:cs="Times New Roman"/>
                <w:color w:val="auto"/>
                <w:highlight w:val="none"/>
                <w:lang w:val="en-US" w:eastAsia="zh-CN"/>
              </w:rPr>
              <w:t>，每次喷淋20min。</w:t>
            </w:r>
            <w:r>
              <w:rPr>
                <w:rFonts w:cs="Times New Roman"/>
                <w:color w:val="auto"/>
                <w:highlight w:val="none"/>
              </w:rPr>
              <w:t>项目年工作</w:t>
            </w:r>
            <w:r>
              <w:rPr>
                <w:rFonts w:hint="eastAsia" w:cs="Times New Roman"/>
                <w:color w:val="auto"/>
                <w:highlight w:val="none"/>
                <w:lang w:val="en-US" w:eastAsia="zh-CN"/>
              </w:rPr>
              <w:t>300</w:t>
            </w:r>
            <w:r>
              <w:rPr>
                <w:rFonts w:cs="Times New Roman"/>
                <w:color w:val="auto"/>
                <w:highlight w:val="none"/>
              </w:rPr>
              <w:t>天，</w:t>
            </w:r>
            <w:r>
              <w:rPr>
                <w:rFonts w:hint="eastAsia" w:cs="Times New Roman"/>
                <w:color w:val="auto"/>
                <w:highlight w:val="none"/>
                <w:lang w:val="en-US" w:eastAsia="zh-CN"/>
              </w:rPr>
              <w:t>每天16小时，每日喷淋16次</w:t>
            </w:r>
            <w:r>
              <w:rPr>
                <w:rFonts w:hint="eastAsia" w:cs="Times New Roman"/>
                <w:color w:val="auto"/>
                <w:highlight w:val="none"/>
                <w:lang w:eastAsia="zh-CN"/>
              </w:rPr>
              <w:t>，</w:t>
            </w:r>
            <w:r>
              <w:rPr>
                <w:rFonts w:cs="Times New Roman"/>
                <w:color w:val="auto"/>
                <w:highlight w:val="none"/>
              </w:rPr>
              <w:t>喷淋</w:t>
            </w:r>
            <w:r>
              <w:rPr>
                <w:rFonts w:hint="eastAsia" w:cs="Times New Roman"/>
                <w:color w:val="auto"/>
                <w:highlight w:val="none"/>
                <w:lang w:val="en-US" w:eastAsia="zh-CN"/>
              </w:rPr>
              <w:t>装置</w:t>
            </w:r>
            <w:r>
              <w:rPr>
                <w:rFonts w:cs="Times New Roman"/>
                <w:color w:val="auto"/>
                <w:highlight w:val="none"/>
              </w:rPr>
              <w:t>用水量为</w:t>
            </w:r>
            <w:r>
              <w:rPr>
                <w:rFonts w:hint="eastAsia" w:cs="Times New Roman"/>
                <w:color w:val="auto"/>
                <w:highlight w:val="none"/>
                <w:lang w:val="en-US" w:eastAsia="zh-CN"/>
              </w:rPr>
              <w:t>1920</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cs="Times New Roman"/>
                <w:color w:val="auto"/>
                <w:highlight w:val="none"/>
                <w:lang w:val="en-US" w:eastAsia="zh-CN"/>
              </w:rPr>
              <w:t>6.4</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w:t>
            </w:r>
            <w:r>
              <w:rPr>
                <w:rFonts w:hint="eastAsia" w:cs="Times New Roman"/>
                <w:color w:val="auto"/>
                <w:highlight w:val="none"/>
                <w:lang w:eastAsia="zh-CN"/>
              </w:rPr>
              <w:t>，</w:t>
            </w:r>
            <w:r>
              <w:rPr>
                <w:rFonts w:hint="default" w:ascii="Times New Roman" w:hAnsi="Times New Roman" w:eastAsia="宋体" w:cs="Times New Roman"/>
                <w:color w:val="auto"/>
                <w:sz w:val="24"/>
                <w:szCs w:val="24"/>
                <w:highlight w:val="none"/>
                <w:lang w:val="en-US" w:eastAsia="zh-CN"/>
              </w:rPr>
              <w:t>此部分水经车间地面蒸发及物料带走，无外排。</w:t>
            </w:r>
          </w:p>
          <w:p w14:paraId="41745126">
            <w:pPr>
              <w:ind w:firstLine="480" w:firstLineChars="200"/>
              <w:rPr>
                <w:rFonts w:hint="eastAsia" w:eastAsia="宋体" w:cs="Times New Roman"/>
                <w:color w:val="auto"/>
                <w:szCs w:val="24"/>
                <w:highlight w:val="none"/>
                <w:lang w:val="en-US" w:eastAsia="zh-CN"/>
              </w:rPr>
            </w:pPr>
            <w:r>
              <w:rPr>
                <w:rFonts w:hint="eastAsia" w:ascii="微软雅黑" w:hAnsi="微软雅黑" w:eastAsia="微软雅黑" w:cs="微软雅黑"/>
                <w:color w:val="auto"/>
                <w:szCs w:val="24"/>
                <w:highlight w:val="none"/>
                <w:lang w:val="en-US" w:eastAsia="zh-CN"/>
              </w:rPr>
              <w:t>⑤</w:t>
            </w:r>
            <w:r>
              <w:rPr>
                <w:rFonts w:hint="eastAsia" w:eastAsia="宋体" w:cs="Times New Roman"/>
                <w:color w:val="auto"/>
                <w:szCs w:val="24"/>
                <w:highlight w:val="none"/>
                <w:lang w:val="en-US" w:eastAsia="zh-CN"/>
              </w:rPr>
              <w:t>道路洒水</w:t>
            </w:r>
          </w:p>
          <w:p w14:paraId="7804931D">
            <w:pPr>
              <w:ind w:firstLine="480" w:firstLineChars="200"/>
              <w:rPr>
                <w:rFonts w:cs="Times New Roman"/>
                <w:color w:val="auto"/>
                <w:highlight w:val="none"/>
              </w:rPr>
            </w:pPr>
            <w:r>
              <w:rPr>
                <w:rFonts w:cs="Times New Roman"/>
                <w:color w:val="auto"/>
                <w:highlight w:val="none"/>
              </w:rPr>
              <w:t>为了进一步控制道路扬尘的产生，项目运营期约每3天对厂内硬化地面洒水1次。根据《行业用水定额》（DB61/T943-2020），道路浇洒用水定额为1.5L/（m</w:t>
            </w:r>
            <w:r>
              <w:rPr>
                <w:rFonts w:cs="Times New Roman"/>
                <w:color w:val="auto"/>
                <w:highlight w:val="none"/>
                <w:vertAlign w:val="superscript"/>
              </w:rPr>
              <w:t>2</w:t>
            </w:r>
            <w:r>
              <w:rPr>
                <w:rFonts w:cs="Times New Roman"/>
                <w:color w:val="auto"/>
                <w:highlight w:val="none"/>
              </w:rPr>
              <w:t>·d），本项目场地</w:t>
            </w:r>
            <w:r>
              <w:rPr>
                <w:rFonts w:hint="eastAsia" w:cs="Times New Roman"/>
                <w:color w:val="auto"/>
                <w:highlight w:val="none"/>
                <w:lang w:val="en-US" w:eastAsia="zh-CN"/>
              </w:rPr>
              <w:t>道路面积</w:t>
            </w:r>
            <w:r>
              <w:rPr>
                <w:rFonts w:cs="Times New Roman"/>
                <w:color w:val="auto"/>
                <w:highlight w:val="none"/>
              </w:rPr>
              <w:t>以</w:t>
            </w:r>
            <w:r>
              <w:rPr>
                <w:rFonts w:hint="eastAsia" w:cs="Times New Roman"/>
                <w:color w:val="auto"/>
                <w:highlight w:val="none"/>
                <w:lang w:val="en-US" w:eastAsia="zh-CN"/>
              </w:rPr>
              <w:t>8000</w:t>
            </w:r>
            <w:r>
              <w:rPr>
                <w:rFonts w:cs="Times New Roman"/>
                <w:color w:val="auto"/>
                <w:highlight w:val="none"/>
              </w:rPr>
              <w:t>m</w:t>
            </w:r>
            <w:r>
              <w:rPr>
                <w:rFonts w:cs="Times New Roman"/>
                <w:color w:val="auto"/>
                <w:highlight w:val="none"/>
                <w:vertAlign w:val="superscript"/>
              </w:rPr>
              <w:t>2</w:t>
            </w:r>
            <w:r>
              <w:rPr>
                <w:rFonts w:cs="Times New Roman"/>
                <w:color w:val="auto"/>
                <w:highlight w:val="none"/>
              </w:rPr>
              <w:t>计，则本项目路面洒水量为</w:t>
            </w:r>
            <w:r>
              <w:rPr>
                <w:rFonts w:hint="eastAsia" w:cs="Times New Roman"/>
                <w:color w:val="auto"/>
                <w:highlight w:val="none"/>
                <w:lang w:val="en-US" w:eastAsia="zh-CN"/>
              </w:rPr>
              <w:t>1200</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cs="Times New Roman"/>
                <w:color w:val="auto"/>
                <w:highlight w:val="none"/>
                <w:lang w:val="en-US" w:eastAsia="zh-CN"/>
              </w:rPr>
              <w:t>4</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w:t>
            </w:r>
          </w:p>
          <w:p w14:paraId="1801FA87">
            <w:pPr>
              <w:ind w:firstLine="482" w:firstLineChars="200"/>
              <w:rPr>
                <w:rFonts w:cs="Times New Roman"/>
                <w:b/>
                <w:bCs/>
                <w:color w:val="auto"/>
                <w:szCs w:val="24"/>
                <w:highlight w:val="none"/>
              </w:rPr>
            </w:pPr>
            <w:r>
              <w:rPr>
                <w:rFonts w:cs="Times New Roman"/>
                <w:b/>
                <w:bCs/>
                <w:color w:val="auto"/>
                <w:szCs w:val="24"/>
                <w:highlight w:val="none"/>
              </w:rPr>
              <w:t>（2）排水</w:t>
            </w:r>
          </w:p>
          <w:p w14:paraId="1EB74289">
            <w:pPr>
              <w:ind w:firstLine="480" w:firstLineChars="200"/>
              <w:rPr>
                <w:rFonts w:cs="Times New Roman"/>
                <w:color w:val="auto"/>
                <w:highlight w:val="none"/>
              </w:rPr>
            </w:pPr>
            <w:r>
              <w:rPr>
                <w:rFonts w:cs="Times New Roman"/>
                <w:color w:val="auto"/>
                <w:highlight w:val="none"/>
              </w:rPr>
              <w:t>本项目</w:t>
            </w:r>
            <w:r>
              <w:rPr>
                <w:rFonts w:hint="eastAsia" w:cs="Times New Roman"/>
                <w:color w:val="auto"/>
                <w:highlight w:val="none"/>
                <w:lang w:eastAsia="zh-CN"/>
              </w:rPr>
              <w:t>生活污水经化粪池处理后，定期清掏用作农肥，不外排；洗车废水经洗车台沉淀处理后循环使用；</w:t>
            </w:r>
            <w:r>
              <w:rPr>
                <w:rFonts w:cs="Times New Roman"/>
                <w:color w:val="auto"/>
                <w:highlight w:val="none"/>
              </w:rPr>
              <w:t>生产配比用水、喷淋抑尘用水和</w:t>
            </w:r>
            <w:r>
              <w:rPr>
                <w:rFonts w:hint="eastAsia" w:cs="Times New Roman"/>
                <w:color w:val="auto"/>
                <w:highlight w:val="none"/>
                <w:lang w:val="en-US" w:eastAsia="zh-CN"/>
              </w:rPr>
              <w:t>道路清扫用水</w:t>
            </w:r>
            <w:r>
              <w:rPr>
                <w:rFonts w:cs="Times New Roman"/>
                <w:color w:val="auto"/>
                <w:highlight w:val="none"/>
              </w:rPr>
              <w:t>全部进入产品</w:t>
            </w:r>
            <w:r>
              <w:rPr>
                <w:rFonts w:hint="eastAsia" w:cs="Times New Roman"/>
                <w:color w:val="auto"/>
                <w:highlight w:val="none"/>
                <w:lang w:val="en-US" w:eastAsia="zh-CN"/>
              </w:rPr>
              <w:t>或损耗</w:t>
            </w:r>
            <w:r>
              <w:rPr>
                <w:rFonts w:cs="Times New Roman"/>
                <w:color w:val="auto"/>
                <w:highlight w:val="none"/>
              </w:rPr>
              <w:t>，无废水产生。</w:t>
            </w:r>
          </w:p>
          <w:p w14:paraId="3A5745FD">
            <w:pPr>
              <w:ind w:firstLine="480" w:firstLineChars="200"/>
              <w:rPr>
                <w:rFonts w:hint="eastAsia" w:cs="Times New Roman"/>
                <w:color w:val="auto"/>
                <w:highlight w:val="none"/>
                <w:lang w:eastAsia="zh-CN"/>
              </w:rPr>
            </w:pPr>
            <w:r>
              <w:rPr>
                <w:rFonts w:hint="eastAsia" w:cs="Times New Roman"/>
                <w:color w:val="auto"/>
                <w:highlight w:val="none"/>
                <w:lang w:eastAsia="zh-CN"/>
              </w:rPr>
              <w:t>职工生活污水：</w:t>
            </w:r>
            <w:r>
              <w:rPr>
                <w:rFonts w:hint="eastAsia" w:ascii="Times New Roman" w:hAnsi="Times New Roman" w:eastAsia="宋体" w:cs="Times New Roman"/>
                <w:color w:val="auto"/>
                <w:sz w:val="24"/>
                <w:szCs w:val="24"/>
                <w:highlight w:val="none"/>
              </w:rPr>
              <w:t>本项目员工生活污水</w:t>
            </w:r>
            <w:r>
              <w:rPr>
                <w:rFonts w:hint="eastAsia" w:ascii="Times New Roman" w:hAnsi="Times New Roman" w:eastAsia="宋体" w:cs="Times New Roman"/>
                <w:color w:val="auto"/>
                <w:sz w:val="24"/>
                <w:szCs w:val="24"/>
                <w:highlight w:val="none"/>
                <w:lang w:eastAsia="zh-CN"/>
              </w:rPr>
              <w:t>排放量</w:t>
            </w:r>
            <w:r>
              <w:rPr>
                <w:rFonts w:hint="eastAsia" w:ascii="Times New Roman" w:hAnsi="Times New Roman" w:eastAsia="宋体" w:cs="Times New Roman"/>
                <w:color w:val="auto"/>
                <w:sz w:val="24"/>
                <w:szCs w:val="24"/>
                <w:highlight w:val="none"/>
              </w:rPr>
              <w:t>按用水量的80%计算</w:t>
            </w:r>
            <w:r>
              <w:rPr>
                <w:rFonts w:hint="eastAsia" w:cs="Times New Roman"/>
                <w:color w:val="auto"/>
                <w:highlight w:val="none"/>
                <w:lang w:eastAsia="zh-CN"/>
              </w:rPr>
              <w:t>，则项目生活污水产生量为</w:t>
            </w:r>
            <w:r>
              <w:rPr>
                <w:rFonts w:hint="eastAsia" w:cs="Times New Roman"/>
                <w:color w:val="auto"/>
                <w:highlight w:val="none"/>
                <w:lang w:val="en-US" w:eastAsia="zh-CN"/>
              </w:rPr>
              <w:t>400</w:t>
            </w:r>
            <w:r>
              <w:rPr>
                <w:rFonts w:hint="eastAsia" w:cs="Times New Roman"/>
                <w:color w:val="auto"/>
                <w:highlight w:val="none"/>
                <w:lang w:eastAsia="zh-CN"/>
              </w:rPr>
              <w:t>m</w:t>
            </w:r>
            <w:r>
              <w:rPr>
                <w:rFonts w:hint="eastAsia" w:cs="Times New Roman"/>
                <w:color w:val="auto"/>
                <w:highlight w:val="none"/>
                <w:vertAlign w:val="superscript"/>
                <w:lang w:eastAsia="zh-CN"/>
              </w:rPr>
              <w:t>3</w:t>
            </w:r>
            <w:r>
              <w:rPr>
                <w:rFonts w:hint="eastAsia" w:cs="Times New Roman"/>
                <w:color w:val="auto"/>
                <w:highlight w:val="none"/>
                <w:lang w:eastAsia="zh-CN"/>
              </w:rPr>
              <w:t>/a（</w:t>
            </w:r>
            <w:r>
              <w:rPr>
                <w:rFonts w:hint="eastAsia" w:cs="Times New Roman"/>
                <w:color w:val="auto"/>
                <w:highlight w:val="none"/>
                <w:lang w:val="en-US" w:eastAsia="zh-CN"/>
              </w:rPr>
              <w:t>1.33</w:t>
            </w:r>
            <w:r>
              <w:rPr>
                <w:rFonts w:hint="eastAsia" w:cs="Times New Roman"/>
                <w:color w:val="auto"/>
                <w:highlight w:val="none"/>
                <w:lang w:eastAsia="zh-CN"/>
              </w:rPr>
              <w:t>m</w:t>
            </w:r>
            <w:r>
              <w:rPr>
                <w:rFonts w:hint="eastAsia" w:cs="Times New Roman"/>
                <w:color w:val="auto"/>
                <w:highlight w:val="none"/>
                <w:vertAlign w:val="superscript"/>
                <w:lang w:eastAsia="zh-CN"/>
              </w:rPr>
              <w:t>3</w:t>
            </w:r>
            <w:r>
              <w:rPr>
                <w:rFonts w:hint="eastAsia" w:cs="Times New Roman"/>
                <w:color w:val="auto"/>
                <w:highlight w:val="none"/>
                <w:lang w:eastAsia="zh-CN"/>
              </w:rPr>
              <w:t>/d）。生活污水经化粪池处理后，定期清掏用作农肥，不外排。</w:t>
            </w:r>
          </w:p>
          <w:p w14:paraId="164C2B09">
            <w:pPr>
              <w:ind w:firstLine="480" w:firstLineChars="200"/>
              <w:rPr>
                <w:rFonts w:eastAsia="宋体" w:cs="Times New Roman"/>
                <w:color w:val="auto"/>
                <w:szCs w:val="24"/>
                <w:highlight w:val="none"/>
              </w:rPr>
            </w:pPr>
            <w:r>
              <w:rPr>
                <w:rFonts w:cs="Times New Roman"/>
                <w:color w:val="auto"/>
                <w:highlight w:val="none"/>
              </w:rPr>
              <w:t>车辆冲洗废水：洗车用水损耗以20%计，则洗车补充用水为</w:t>
            </w:r>
            <w:r>
              <w:rPr>
                <w:rFonts w:hint="eastAsia" w:cs="Times New Roman"/>
                <w:color w:val="auto"/>
                <w:highlight w:val="none"/>
                <w:lang w:val="en-US" w:eastAsia="zh-CN"/>
              </w:rPr>
              <w:t>307</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cs="Times New Roman"/>
                <w:color w:val="auto"/>
                <w:highlight w:val="none"/>
                <w:lang w:val="en-US" w:eastAsia="zh-CN"/>
              </w:rPr>
              <w:t>(1.02</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w:t>
            </w:r>
            <w:r>
              <w:rPr>
                <w:rFonts w:hint="eastAsia" w:cs="Times New Roman"/>
                <w:color w:val="auto"/>
                <w:highlight w:val="none"/>
                <w:lang w:val="en-US" w:eastAsia="zh-CN"/>
              </w:rPr>
              <w:t>)</w:t>
            </w:r>
            <w:r>
              <w:rPr>
                <w:rFonts w:cs="Times New Roman"/>
                <w:color w:val="auto"/>
                <w:highlight w:val="none"/>
              </w:rPr>
              <w:t>。冲洗废水产生量为</w:t>
            </w:r>
            <w:r>
              <w:rPr>
                <w:rFonts w:hint="eastAsia" w:cs="Times New Roman"/>
                <w:color w:val="auto"/>
                <w:highlight w:val="none"/>
                <w:lang w:val="en-US" w:eastAsia="zh-CN"/>
              </w:rPr>
              <w:t>1229</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cs="Times New Roman"/>
                <w:color w:val="auto"/>
                <w:highlight w:val="none"/>
                <w:lang w:val="en-US" w:eastAsia="zh-CN"/>
              </w:rPr>
              <w:t>4.10</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/d），洗车废水经洗车台沉淀处理后循环使用。</w:t>
            </w:r>
            <w:r>
              <w:rPr>
                <w:rFonts w:eastAsia="宋体" w:cs="Times New Roman"/>
                <w:color w:val="auto"/>
                <w:szCs w:val="24"/>
                <w:highlight w:val="none"/>
              </w:rPr>
              <w:t>本项目</w:t>
            </w:r>
            <w:r>
              <w:rPr>
                <w:rFonts w:eastAsia="宋体" w:cs="Times New Roman"/>
                <w:color w:val="auto"/>
                <w:szCs w:val="24"/>
                <w:highlight w:val="none"/>
                <w:lang w:val="zh-CN"/>
              </w:rPr>
              <w:t>水平衡</w:t>
            </w:r>
            <w:r>
              <w:rPr>
                <w:rFonts w:hint="eastAsia" w:eastAsia="宋体" w:cs="Times New Roman"/>
                <w:color w:val="auto"/>
                <w:szCs w:val="24"/>
                <w:highlight w:val="none"/>
                <w:lang w:val="zh-CN"/>
              </w:rPr>
              <w:t>见</w:t>
            </w:r>
            <w:r>
              <w:rPr>
                <w:rFonts w:eastAsia="宋体" w:cs="Times New Roman"/>
                <w:color w:val="auto"/>
                <w:szCs w:val="24"/>
                <w:highlight w:val="none"/>
              </w:rPr>
              <w:t>表2-</w:t>
            </w:r>
            <w:r>
              <w:rPr>
                <w:rFonts w:hint="eastAsia" w:eastAsia="宋体" w:cs="Times New Roman"/>
                <w:color w:val="auto"/>
                <w:szCs w:val="24"/>
                <w:highlight w:val="none"/>
                <w:lang w:val="en-US" w:eastAsia="zh-CN"/>
              </w:rPr>
              <w:t>8</w:t>
            </w:r>
            <w:r>
              <w:rPr>
                <w:rFonts w:eastAsia="宋体" w:cs="Times New Roman"/>
                <w:color w:val="auto"/>
                <w:szCs w:val="24"/>
                <w:highlight w:val="none"/>
              </w:rPr>
              <w:t>，</w:t>
            </w:r>
            <w:r>
              <w:rPr>
                <w:rFonts w:hint="eastAsia" w:eastAsia="宋体" w:cs="Times New Roman"/>
                <w:color w:val="auto"/>
                <w:szCs w:val="24"/>
                <w:highlight w:val="none"/>
                <w:lang w:eastAsia="zh-CN"/>
              </w:rPr>
              <w:t>项目</w:t>
            </w:r>
            <w:r>
              <w:rPr>
                <w:rFonts w:eastAsia="宋体" w:cs="Times New Roman"/>
                <w:color w:val="auto"/>
                <w:szCs w:val="24"/>
                <w:highlight w:val="none"/>
              </w:rPr>
              <w:t>水平衡图见图2-</w:t>
            </w:r>
            <w:r>
              <w:rPr>
                <w:rFonts w:hint="eastAsia" w:eastAsia="宋体" w:cs="Times New Roman"/>
                <w:color w:val="auto"/>
                <w:szCs w:val="24"/>
                <w:highlight w:val="none"/>
                <w:lang w:val="en-US" w:eastAsia="zh-CN"/>
              </w:rPr>
              <w:t>4</w:t>
            </w:r>
            <w:r>
              <w:rPr>
                <w:rFonts w:eastAsia="宋体" w:cs="Times New Roman"/>
                <w:color w:val="auto"/>
                <w:szCs w:val="24"/>
                <w:highlight w:val="none"/>
              </w:rPr>
              <w:t>。</w:t>
            </w:r>
          </w:p>
          <w:p w14:paraId="18038564">
            <w:pPr>
              <w:autoSpaceDE w:val="0"/>
              <w:autoSpaceDN w:val="0"/>
              <w:adjustRightInd w:val="0"/>
              <w:snapToGrid w:val="0"/>
              <w:spacing w:line="240" w:lineRule="auto"/>
              <w:jc w:val="center"/>
              <w:rPr>
                <w:rFonts w:hint="eastAsia" w:eastAsia="宋体" w:cs="Times New Roman"/>
                <w:b/>
                <w:color w:val="auto"/>
                <w:sz w:val="21"/>
                <w:szCs w:val="21"/>
                <w:highlight w:val="none"/>
                <w:lang w:val="en-US" w:bidi="zh-CN"/>
              </w:rPr>
            </w:pPr>
            <w:r>
              <w:rPr>
                <w:rFonts w:hint="eastAsia" w:eastAsia="宋体" w:cs="Times New Roman"/>
                <w:b/>
                <w:color w:val="auto"/>
                <w:sz w:val="21"/>
                <w:szCs w:val="21"/>
                <w:highlight w:val="none"/>
                <w:lang w:val="en-US" w:bidi="zh-CN"/>
              </w:rPr>
              <w:t xml:space="preserve">                </w:t>
            </w:r>
          </w:p>
          <w:p w14:paraId="6DD949FC">
            <w:pPr>
              <w:autoSpaceDE w:val="0"/>
              <w:autoSpaceDN w:val="0"/>
              <w:adjustRightInd w:val="0"/>
              <w:snapToGrid w:val="0"/>
              <w:spacing w:line="240" w:lineRule="auto"/>
              <w:jc w:val="center"/>
              <w:rPr>
                <w:rFonts w:hint="eastAsia" w:eastAsia="宋体" w:cs="Times New Roman"/>
                <w:b/>
                <w:color w:val="auto"/>
                <w:sz w:val="21"/>
                <w:szCs w:val="21"/>
                <w:highlight w:val="none"/>
                <w:lang w:val="en-US" w:bidi="zh-CN"/>
              </w:rPr>
            </w:pPr>
          </w:p>
          <w:p w14:paraId="7B0DFEBB">
            <w:pPr>
              <w:autoSpaceDE w:val="0"/>
              <w:autoSpaceDN w:val="0"/>
              <w:adjustRightInd w:val="0"/>
              <w:snapToGrid w:val="0"/>
              <w:spacing w:line="240" w:lineRule="auto"/>
              <w:jc w:val="center"/>
              <w:rPr>
                <w:rFonts w:hint="eastAsia" w:eastAsia="宋体" w:cs="Times New Roman"/>
                <w:b/>
                <w:color w:val="auto"/>
                <w:sz w:val="21"/>
                <w:szCs w:val="21"/>
                <w:highlight w:val="none"/>
                <w:lang w:val="en-US" w:bidi="zh-CN"/>
              </w:rPr>
            </w:pPr>
          </w:p>
          <w:p w14:paraId="6C4DB20F">
            <w:pPr>
              <w:autoSpaceDE w:val="0"/>
              <w:autoSpaceDN w:val="0"/>
              <w:adjustRightInd w:val="0"/>
              <w:snapToGrid w:val="0"/>
              <w:spacing w:line="240" w:lineRule="auto"/>
              <w:jc w:val="center"/>
              <w:rPr>
                <w:rFonts w:eastAsia="宋体" w:cs="Times New Roman"/>
                <w:b/>
                <w:color w:val="auto"/>
                <w:sz w:val="21"/>
                <w:szCs w:val="21"/>
                <w:highlight w:val="none"/>
                <w:lang w:bidi="zh-CN"/>
              </w:rPr>
            </w:pPr>
            <w:r>
              <w:rPr>
                <w:rFonts w:hint="eastAsia" w:eastAsia="宋体" w:cs="Times New Roman"/>
                <w:b/>
                <w:color w:val="auto"/>
                <w:sz w:val="21"/>
                <w:szCs w:val="21"/>
                <w:highlight w:val="none"/>
                <w:lang w:val="en-US" w:bidi="zh-CN"/>
              </w:rPr>
              <w:t xml:space="preserve"> </w:t>
            </w:r>
            <w:r>
              <w:rPr>
                <w:rFonts w:eastAsia="宋体" w:cs="Times New Roman"/>
                <w:b/>
                <w:color w:val="auto"/>
                <w:sz w:val="21"/>
                <w:szCs w:val="21"/>
                <w:highlight w:val="none"/>
                <w:lang w:val="zh-CN" w:bidi="zh-CN"/>
              </w:rPr>
              <w:t>表</w:t>
            </w:r>
            <w:r>
              <w:rPr>
                <w:rFonts w:eastAsia="宋体" w:cs="Times New Roman"/>
                <w:b/>
                <w:color w:val="auto"/>
                <w:sz w:val="21"/>
                <w:szCs w:val="21"/>
                <w:highlight w:val="none"/>
                <w:lang w:bidi="zh-CN"/>
              </w:rPr>
              <w:t>2-</w:t>
            </w:r>
            <w:r>
              <w:rPr>
                <w:rFonts w:hint="eastAsia" w:eastAsia="宋体" w:cs="Times New Roman"/>
                <w:b/>
                <w:color w:val="auto"/>
                <w:sz w:val="21"/>
                <w:szCs w:val="21"/>
                <w:highlight w:val="none"/>
                <w:lang w:val="en-US" w:bidi="zh-CN"/>
              </w:rPr>
              <w:t xml:space="preserve">8 </w:t>
            </w:r>
            <w:r>
              <w:rPr>
                <w:rFonts w:hint="eastAsia" w:eastAsia="宋体" w:cs="Times New Roman"/>
                <w:b/>
                <w:color w:val="auto"/>
                <w:sz w:val="21"/>
                <w:szCs w:val="21"/>
                <w:highlight w:val="none"/>
                <w:lang w:val="zh-CN" w:bidi="zh-CN"/>
              </w:rPr>
              <w:t>项目</w:t>
            </w:r>
            <w:r>
              <w:rPr>
                <w:rFonts w:eastAsia="宋体" w:cs="Times New Roman"/>
                <w:b/>
                <w:color w:val="auto"/>
                <w:sz w:val="21"/>
                <w:szCs w:val="21"/>
                <w:highlight w:val="none"/>
                <w:lang w:val="zh-CN" w:bidi="zh-CN"/>
              </w:rPr>
              <w:t>水平衡表</w:t>
            </w:r>
            <w:r>
              <w:rPr>
                <w:rFonts w:hint="eastAsia" w:eastAsia="宋体" w:cs="Times New Roman"/>
                <w:b/>
                <w:color w:val="auto"/>
                <w:sz w:val="21"/>
                <w:szCs w:val="21"/>
                <w:highlight w:val="none"/>
                <w:lang w:val="en-US" w:bidi="zh-CN"/>
              </w:rPr>
              <w:t xml:space="preserve">          单位：</w:t>
            </w:r>
            <w:r>
              <w:rPr>
                <w:rFonts w:eastAsia="宋体" w:cs="Times New Roman"/>
                <w:b/>
                <w:color w:val="auto"/>
                <w:sz w:val="21"/>
                <w:szCs w:val="21"/>
                <w:highlight w:val="none"/>
                <w:lang w:bidi="zh-CN"/>
              </w:rPr>
              <w:t>m</w:t>
            </w:r>
            <w:r>
              <w:rPr>
                <w:rFonts w:eastAsia="宋体" w:cs="Times New Roman"/>
                <w:b/>
                <w:color w:val="auto"/>
                <w:sz w:val="21"/>
                <w:szCs w:val="21"/>
                <w:highlight w:val="none"/>
                <w:vertAlign w:val="superscript"/>
                <w:lang w:bidi="zh-CN"/>
              </w:rPr>
              <w:t>3</w:t>
            </w:r>
            <w:r>
              <w:rPr>
                <w:rFonts w:eastAsia="宋体" w:cs="Times New Roman"/>
                <w:b/>
                <w:color w:val="auto"/>
                <w:sz w:val="21"/>
                <w:szCs w:val="21"/>
                <w:highlight w:val="none"/>
                <w:lang w:bidi="zh-CN"/>
              </w:rPr>
              <w:t>/a</w:t>
            </w:r>
          </w:p>
          <w:tbl>
            <w:tblPr>
              <w:tblStyle w:val="24"/>
              <w:tblW w:w="4975" w:type="pct"/>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91"/>
              <w:gridCol w:w="1042"/>
              <w:gridCol w:w="970"/>
              <w:gridCol w:w="1000"/>
              <w:gridCol w:w="1061"/>
              <w:gridCol w:w="933"/>
              <w:gridCol w:w="627"/>
              <w:gridCol w:w="1513"/>
            </w:tblGrid>
            <w:tr w14:paraId="5D5C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4601F3B0">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序号</w:t>
                  </w:r>
                </w:p>
              </w:tc>
              <w:tc>
                <w:tcPr>
                  <w:tcW w:w="860" w:type="pct"/>
                  <w:tcBorders>
                    <w:tl2br w:val="nil"/>
                    <w:tr2bl w:val="nil"/>
                  </w:tcBorders>
                  <w:vAlign w:val="center"/>
                </w:tcPr>
                <w:p w14:paraId="0E087558">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用水分类</w:t>
                  </w:r>
                </w:p>
              </w:tc>
              <w:tc>
                <w:tcPr>
                  <w:tcW w:w="564" w:type="pct"/>
                  <w:tcBorders>
                    <w:tl2br w:val="nil"/>
                    <w:tr2bl w:val="nil"/>
                  </w:tcBorders>
                  <w:vAlign w:val="center"/>
                </w:tcPr>
                <w:p w14:paraId="19B0D6E7">
                  <w:pPr>
                    <w:adjustRightInd w:val="0"/>
                    <w:snapToGrid w:val="0"/>
                    <w:spacing w:line="240" w:lineRule="auto"/>
                    <w:jc w:val="center"/>
                    <w:rPr>
                      <w:rFonts w:hint="eastAsia" w:eastAsia="宋体" w:cs="Times New Roman"/>
                      <w:b/>
                      <w:color w:val="auto"/>
                      <w:kern w:val="0"/>
                      <w:sz w:val="21"/>
                      <w:szCs w:val="21"/>
                      <w:highlight w:val="none"/>
                      <w:lang w:eastAsia="zh-CN"/>
                    </w:rPr>
                  </w:pPr>
                  <w:r>
                    <w:rPr>
                      <w:rFonts w:hint="eastAsia" w:eastAsia="宋体" w:cs="Times New Roman"/>
                      <w:b/>
                      <w:color w:val="auto"/>
                      <w:kern w:val="0"/>
                      <w:sz w:val="21"/>
                      <w:szCs w:val="21"/>
                      <w:highlight w:val="none"/>
                      <w:lang w:val="en-US" w:eastAsia="zh-CN"/>
                    </w:rPr>
                    <w:t>新鲜水</w:t>
                  </w:r>
                  <w:r>
                    <w:rPr>
                      <w:rFonts w:eastAsia="宋体" w:cs="Times New Roman"/>
                      <w:b/>
                      <w:color w:val="auto"/>
                      <w:kern w:val="0"/>
                      <w:sz w:val="21"/>
                      <w:szCs w:val="21"/>
                      <w:highlight w:val="none"/>
                    </w:rPr>
                    <w:t>用水量</w:t>
                  </w:r>
                </w:p>
              </w:tc>
              <w:tc>
                <w:tcPr>
                  <w:tcW w:w="525" w:type="pct"/>
                  <w:tcBorders>
                    <w:tl2br w:val="nil"/>
                    <w:tr2bl w:val="nil"/>
                  </w:tcBorders>
                  <w:vAlign w:val="center"/>
                </w:tcPr>
                <w:p w14:paraId="1BEBC6D4">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回用水量</w:t>
                  </w:r>
                </w:p>
              </w:tc>
              <w:tc>
                <w:tcPr>
                  <w:tcW w:w="541" w:type="pct"/>
                  <w:tcBorders>
                    <w:tl2br w:val="nil"/>
                    <w:tr2bl w:val="nil"/>
                  </w:tcBorders>
                  <w:vAlign w:val="center"/>
                </w:tcPr>
                <w:p w14:paraId="08584FD2">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总用水量</w:t>
                  </w:r>
                </w:p>
              </w:tc>
              <w:tc>
                <w:tcPr>
                  <w:tcW w:w="574" w:type="pct"/>
                  <w:tcBorders>
                    <w:tl2br w:val="nil"/>
                    <w:tr2bl w:val="nil"/>
                  </w:tcBorders>
                  <w:vAlign w:val="center"/>
                </w:tcPr>
                <w:p w14:paraId="17F0DC88">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损耗量</w:t>
                  </w:r>
                </w:p>
              </w:tc>
              <w:tc>
                <w:tcPr>
                  <w:tcW w:w="505" w:type="pct"/>
                  <w:tcBorders>
                    <w:tl2br w:val="nil"/>
                    <w:tr2bl w:val="nil"/>
                  </w:tcBorders>
                  <w:vAlign w:val="center"/>
                </w:tcPr>
                <w:p w14:paraId="64199188">
                  <w:pPr>
                    <w:adjustRightInd w:val="0"/>
                    <w:snapToGrid w:val="0"/>
                    <w:spacing w:line="240" w:lineRule="auto"/>
                    <w:jc w:val="center"/>
                    <w:rPr>
                      <w:rFonts w:eastAsia="宋体" w:cs="Times New Roman"/>
                      <w:b/>
                      <w:color w:val="auto"/>
                      <w:kern w:val="0"/>
                      <w:sz w:val="21"/>
                      <w:szCs w:val="21"/>
                      <w:highlight w:val="none"/>
                    </w:rPr>
                  </w:pPr>
                  <w:r>
                    <w:rPr>
                      <w:rFonts w:hint="eastAsia"/>
                      <w:b/>
                      <w:bCs/>
                      <w:color w:val="auto"/>
                      <w:sz w:val="21"/>
                      <w:szCs w:val="21"/>
                      <w:highlight w:val="none"/>
                    </w:rPr>
                    <w:t>产生量及处理量</w:t>
                  </w:r>
                </w:p>
              </w:tc>
              <w:tc>
                <w:tcPr>
                  <w:tcW w:w="339" w:type="pct"/>
                  <w:tcBorders>
                    <w:tl2br w:val="nil"/>
                    <w:tr2bl w:val="nil"/>
                  </w:tcBorders>
                  <w:vAlign w:val="center"/>
                </w:tcPr>
                <w:p w14:paraId="04BA104B">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排放量</w:t>
                  </w:r>
                </w:p>
              </w:tc>
              <w:tc>
                <w:tcPr>
                  <w:tcW w:w="818" w:type="pct"/>
                  <w:tcBorders>
                    <w:tl2br w:val="nil"/>
                    <w:tr2bl w:val="nil"/>
                  </w:tcBorders>
                  <w:vAlign w:val="center"/>
                </w:tcPr>
                <w:p w14:paraId="58FE6B3D">
                  <w:pPr>
                    <w:adjustRightInd w:val="0"/>
                    <w:snapToGrid w:val="0"/>
                    <w:spacing w:line="240" w:lineRule="auto"/>
                    <w:jc w:val="center"/>
                    <w:rPr>
                      <w:rFonts w:eastAsia="宋体" w:cs="Times New Roman"/>
                      <w:b/>
                      <w:color w:val="auto"/>
                      <w:kern w:val="0"/>
                      <w:sz w:val="21"/>
                      <w:szCs w:val="21"/>
                      <w:highlight w:val="none"/>
                    </w:rPr>
                  </w:pPr>
                  <w:r>
                    <w:rPr>
                      <w:rFonts w:eastAsia="宋体" w:cs="Times New Roman"/>
                      <w:b/>
                      <w:color w:val="auto"/>
                      <w:kern w:val="0"/>
                      <w:sz w:val="21"/>
                      <w:szCs w:val="21"/>
                      <w:highlight w:val="none"/>
                    </w:rPr>
                    <w:t>备注</w:t>
                  </w:r>
                </w:p>
              </w:tc>
            </w:tr>
            <w:tr w14:paraId="55A7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4B9DA96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eastAsia="宋体" w:cs="Times New Roman"/>
                      <w:color w:val="auto"/>
                      <w:kern w:val="0"/>
                      <w:sz w:val="21"/>
                      <w:szCs w:val="21"/>
                      <w:highlight w:val="none"/>
                      <w:lang w:val="en-US" w:eastAsia="zh-CN" w:bidi="ar"/>
                    </w:rPr>
                  </w:pPr>
                  <w:r>
                    <w:rPr>
                      <w:rFonts w:hint="eastAsia" w:eastAsia="宋体" w:cs="Times New Roman"/>
                      <w:color w:val="auto"/>
                      <w:kern w:val="0"/>
                      <w:sz w:val="21"/>
                      <w:szCs w:val="21"/>
                      <w:highlight w:val="none"/>
                      <w:lang w:val="en-US" w:eastAsia="zh-CN" w:bidi="ar"/>
                    </w:rPr>
                    <w:t>1</w:t>
                  </w:r>
                </w:p>
              </w:tc>
              <w:tc>
                <w:tcPr>
                  <w:tcW w:w="860" w:type="pct"/>
                  <w:tcBorders>
                    <w:tl2br w:val="nil"/>
                    <w:tr2bl w:val="nil"/>
                  </w:tcBorders>
                  <w:vAlign w:val="center"/>
                </w:tcPr>
                <w:p w14:paraId="5270A883">
                  <w:pPr>
                    <w:pStyle w:val="30"/>
                    <w:keepNext w:val="0"/>
                    <w:keepLines w:val="0"/>
                    <w:pageBreakBefore w:val="0"/>
                    <w:kinsoku/>
                    <w:wordWrap/>
                    <w:overflowPunct/>
                    <w:topLinePunct w:val="0"/>
                    <w:autoSpaceDE/>
                    <w:autoSpaceDN/>
                    <w:bidi w:val="0"/>
                    <w:rPr>
                      <w:rFonts w:hint="eastAsia" w:ascii="Times New Roman" w:hAnsi="Times New Roman" w:eastAsia="宋体" w:cs="Times New Roman"/>
                      <w:color w:val="auto"/>
                      <w:kern w:val="2"/>
                      <w:sz w:val="21"/>
                      <w:szCs w:val="21"/>
                      <w:highlight w:val="none"/>
                      <w:lang w:val="en-US" w:eastAsia="zh-CN" w:bidi="ar-SA"/>
                    </w:rPr>
                  </w:pPr>
                  <w:r>
                    <w:rPr>
                      <w:color w:val="auto"/>
                      <w:highlight w:val="none"/>
                    </w:rPr>
                    <w:t>职工生活</w:t>
                  </w:r>
                  <w:r>
                    <w:rPr>
                      <w:rFonts w:hint="eastAsia"/>
                      <w:color w:val="auto"/>
                      <w:highlight w:val="none"/>
                      <w:lang w:eastAsia="zh-CN"/>
                    </w:rPr>
                    <w:t>用水</w:t>
                  </w:r>
                </w:p>
              </w:tc>
              <w:tc>
                <w:tcPr>
                  <w:tcW w:w="564" w:type="pct"/>
                  <w:tcBorders>
                    <w:tl2br w:val="nil"/>
                    <w:tr2bl w:val="nil"/>
                  </w:tcBorders>
                  <w:vAlign w:val="center"/>
                </w:tcPr>
                <w:p w14:paraId="3F55EE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Times New Roman" w:hAnsi="Times New Roman" w:eastAsia="宋体" w:cs="Times New Roman"/>
                      <w:color w:val="auto"/>
                      <w:kern w:val="0"/>
                      <w:sz w:val="21"/>
                      <w:szCs w:val="21"/>
                      <w:highlight w:val="none"/>
                      <w:lang w:val="en-US" w:eastAsia="zh-CN" w:bidi="ar"/>
                    </w:rPr>
                  </w:pPr>
                  <w:r>
                    <w:rPr>
                      <w:rFonts w:hint="eastAsia" w:eastAsia="宋体"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00</w:t>
                  </w:r>
                </w:p>
              </w:tc>
              <w:tc>
                <w:tcPr>
                  <w:tcW w:w="525" w:type="pct"/>
                  <w:tcBorders>
                    <w:tl2br w:val="nil"/>
                    <w:tr2bl w:val="nil"/>
                  </w:tcBorders>
                  <w:vAlign w:val="center"/>
                </w:tcPr>
                <w:p w14:paraId="3B4477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eastAsia="宋体" w:cs="Times New Roman"/>
                      <w:i w:val="0"/>
                      <w:iCs w:val="0"/>
                      <w:color w:val="auto"/>
                      <w:kern w:val="0"/>
                      <w:sz w:val="21"/>
                      <w:szCs w:val="21"/>
                      <w:highlight w:val="none"/>
                      <w:u w:val="none"/>
                      <w:lang w:val="en-US" w:eastAsia="zh-CN" w:bidi="ar"/>
                    </w:rPr>
                    <w:t>/</w:t>
                  </w:r>
                </w:p>
              </w:tc>
              <w:tc>
                <w:tcPr>
                  <w:tcW w:w="541" w:type="pct"/>
                  <w:tcBorders>
                    <w:tl2br w:val="nil"/>
                    <w:tr2bl w:val="nil"/>
                  </w:tcBorders>
                  <w:vAlign w:val="center"/>
                </w:tcPr>
                <w:p w14:paraId="26199B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eastAsia="宋体" w:cs="Times New Roman"/>
                      <w:i w:val="0"/>
                      <w:iCs w:val="0"/>
                      <w:color w:val="auto"/>
                      <w:kern w:val="0"/>
                      <w:sz w:val="21"/>
                      <w:szCs w:val="21"/>
                      <w:highlight w:val="none"/>
                      <w:u w:val="none"/>
                      <w:lang w:val="en-US" w:eastAsia="zh-CN" w:bidi="ar"/>
                    </w:rPr>
                    <w:t>500</w:t>
                  </w:r>
                </w:p>
              </w:tc>
              <w:tc>
                <w:tcPr>
                  <w:tcW w:w="574" w:type="pct"/>
                  <w:tcBorders>
                    <w:tl2br w:val="nil"/>
                    <w:tr2bl w:val="nil"/>
                  </w:tcBorders>
                  <w:vAlign w:val="center"/>
                </w:tcPr>
                <w:p w14:paraId="38A85F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eastAsia="宋体" w:cs="Times New Roman"/>
                      <w:color w:val="auto"/>
                      <w:kern w:val="0"/>
                      <w:sz w:val="21"/>
                      <w:szCs w:val="21"/>
                      <w:highlight w:val="none"/>
                      <w:lang w:val="en-US" w:eastAsia="zh-CN" w:bidi="ar"/>
                    </w:rPr>
                    <w:t>100</w:t>
                  </w:r>
                </w:p>
              </w:tc>
              <w:tc>
                <w:tcPr>
                  <w:tcW w:w="505" w:type="pct"/>
                  <w:tcBorders>
                    <w:tl2br w:val="nil"/>
                    <w:tr2bl w:val="nil"/>
                  </w:tcBorders>
                  <w:vAlign w:val="center"/>
                </w:tcPr>
                <w:p w14:paraId="302E2C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eastAsia="宋体" w:cs="Times New Roman"/>
                      <w:i w:val="0"/>
                      <w:iCs w:val="0"/>
                      <w:color w:val="auto"/>
                      <w:kern w:val="0"/>
                      <w:sz w:val="21"/>
                      <w:szCs w:val="21"/>
                      <w:highlight w:val="none"/>
                      <w:u w:val="none"/>
                      <w:lang w:val="en-US" w:eastAsia="zh-CN" w:bidi="ar"/>
                    </w:rPr>
                    <w:t>400</w:t>
                  </w:r>
                </w:p>
              </w:tc>
              <w:tc>
                <w:tcPr>
                  <w:tcW w:w="339" w:type="pct"/>
                  <w:tcBorders>
                    <w:tl2br w:val="nil"/>
                    <w:tr2bl w:val="nil"/>
                  </w:tcBorders>
                  <w:vAlign w:val="center"/>
                </w:tcPr>
                <w:p w14:paraId="44C5BB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tcBorders>
                    <w:tl2br w:val="nil"/>
                    <w:tr2bl w:val="nil"/>
                  </w:tcBorders>
                  <w:vAlign w:val="center"/>
                </w:tcPr>
                <w:p w14:paraId="54F4454C">
                  <w:pPr>
                    <w:pStyle w:val="30"/>
                    <w:keepNext w:val="0"/>
                    <w:keepLines w:val="0"/>
                    <w:pageBreakBefore w:val="0"/>
                    <w:kinsoku/>
                    <w:wordWrap/>
                    <w:overflowPunct/>
                    <w:topLinePunct w:val="0"/>
                    <w:autoSpaceDE/>
                    <w:autoSpaceDN/>
                    <w:bidi w:val="0"/>
                    <w:rPr>
                      <w:rFonts w:ascii="Times New Roman" w:hAnsi="Times New Roman" w:eastAsia="宋体" w:cs="Times New Roman"/>
                      <w:color w:val="auto"/>
                      <w:kern w:val="2"/>
                      <w:sz w:val="21"/>
                      <w:szCs w:val="21"/>
                      <w:highlight w:val="none"/>
                      <w:lang w:val="en-US" w:eastAsia="zh-CN" w:bidi="ar-SA"/>
                    </w:rPr>
                  </w:pPr>
                  <w:r>
                    <w:rPr>
                      <w:color w:val="auto"/>
                      <w:highlight w:val="none"/>
                    </w:rPr>
                    <w:t>经化粪池沉淀后</w:t>
                  </w:r>
                  <w:r>
                    <w:rPr>
                      <w:rFonts w:hint="eastAsia"/>
                      <w:color w:val="auto"/>
                      <w:highlight w:val="none"/>
                      <w:lang w:eastAsia="zh-CN"/>
                    </w:rPr>
                    <w:t>，</w:t>
                  </w:r>
                  <w:r>
                    <w:rPr>
                      <w:color w:val="auto"/>
                      <w:highlight w:val="none"/>
                    </w:rPr>
                    <w:t>定期清掏不外排</w:t>
                  </w:r>
                </w:p>
              </w:tc>
            </w:tr>
            <w:tr w14:paraId="4160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1D8256D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2</w:t>
                  </w:r>
                </w:p>
              </w:tc>
              <w:tc>
                <w:tcPr>
                  <w:tcW w:w="860" w:type="pct"/>
                  <w:tcBorders>
                    <w:tl2br w:val="nil"/>
                    <w:tr2bl w:val="nil"/>
                  </w:tcBorders>
                  <w:vAlign w:val="center"/>
                </w:tcPr>
                <w:p w14:paraId="0F83F18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生产配比用水</w:t>
                  </w:r>
                </w:p>
              </w:tc>
              <w:tc>
                <w:tcPr>
                  <w:tcW w:w="564" w:type="pct"/>
                  <w:tcBorders>
                    <w:tl2br w:val="nil"/>
                    <w:tr2bl w:val="nil"/>
                  </w:tcBorders>
                  <w:vAlign w:val="center"/>
                </w:tcPr>
                <w:p w14:paraId="50ABD9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eastAsia="zh-CN" w:bidi="ar"/>
                    </w:rPr>
                  </w:pPr>
                  <w:r>
                    <w:rPr>
                      <w:rFonts w:hint="eastAsia" w:eastAsia="宋体" w:cs="Times New Roman"/>
                      <w:i w:val="0"/>
                      <w:iCs w:val="0"/>
                      <w:color w:val="auto"/>
                      <w:kern w:val="0"/>
                      <w:sz w:val="21"/>
                      <w:szCs w:val="21"/>
                      <w:highlight w:val="none"/>
                      <w:u w:val="none"/>
                      <w:lang w:val="en-US" w:eastAsia="zh-CN" w:bidi="ar"/>
                    </w:rPr>
                    <w:t>3000</w:t>
                  </w:r>
                </w:p>
              </w:tc>
              <w:tc>
                <w:tcPr>
                  <w:tcW w:w="525" w:type="pct"/>
                  <w:tcBorders>
                    <w:tl2br w:val="nil"/>
                    <w:tr2bl w:val="nil"/>
                  </w:tcBorders>
                  <w:vAlign w:val="center"/>
                </w:tcPr>
                <w:p w14:paraId="417134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eastAsia" w:eastAsia="宋体" w:cs="Times New Roman"/>
                      <w:i w:val="0"/>
                      <w:iCs w:val="0"/>
                      <w:color w:val="auto"/>
                      <w:kern w:val="0"/>
                      <w:sz w:val="21"/>
                      <w:szCs w:val="21"/>
                      <w:highlight w:val="none"/>
                      <w:u w:val="none"/>
                      <w:lang w:val="en-US" w:eastAsia="zh-CN" w:bidi="ar"/>
                    </w:rPr>
                    <w:t>/</w:t>
                  </w:r>
                </w:p>
              </w:tc>
              <w:tc>
                <w:tcPr>
                  <w:tcW w:w="541" w:type="pct"/>
                  <w:tcBorders>
                    <w:tl2br w:val="nil"/>
                    <w:tr2bl w:val="nil"/>
                  </w:tcBorders>
                  <w:vAlign w:val="center"/>
                </w:tcPr>
                <w:p w14:paraId="65667E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eastAsia="zh-CN" w:bidi="ar"/>
                    </w:rPr>
                  </w:pPr>
                  <w:r>
                    <w:rPr>
                      <w:rFonts w:hint="eastAsia" w:eastAsia="宋体" w:cs="Times New Roman"/>
                      <w:color w:val="auto"/>
                      <w:kern w:val="0"/>
                      <w:sz w:val="21"/>
                      <w:szCs w:val="21"/>
                      <w:highlight w:val="none"/>
                      <w:lang w:val="en-US" w:eastAsia="zh-CN" w:bidi="ar"/>
                    </w:rPr>
                    <w:t>3000</w:t>
                  </w:r>
                </w:p>
              </w:tc>
              <w:tc>
                <w:tcPr>
                  <w:tcW w:w="574" w:type="pct"/>
                  <w:tcBorders>
                    <w:tl2br w:val="nil"/>
                    <w:tr2bl w:val="nil"/>
                  </w:tcBorders>
                  <w:vAlign w:val="center"/>
                </w:tcPr>
                <w:p w14:paraId="322A28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3000</w:t>
                  </w:r>
                </w:p>
              </w:tc>
              <w:tc>
                <w:tcPr>
                  <w:tcW w:w="505" w:type="pct"/>
                  <w:tcBorders>
                    <w:tl2br w:val="nil"/>
                    <w:tr2bl w:val="nil"/>
                  </w:tcBorders>
                  <w:vAlign w:val="center"/>
                </w:tcPr>
                <w:p w14:paraId="116AF1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9" w:type="pct"/>
                  <w:tcBorders>
                    <w:tl2br w:val="nil"/>
                    <w:tr2bl w:val="nil"/>
                  </w:tcBorders>
                  <w:vAlign w:val="center"/>
                </w:tcPr>
                <w:p w14:paraId="7C86C6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tcBorders>
                    <w:tl2br w:val="nil"/>
                    <w:tr2bl w:val="nil"/>
                  </w:tcBorders>
                  <w:vAlign w:val="center"/>
                </w:tcPr>
                <w:p w14:paraId="3D01E79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全部进入产品</w:t>
                  </w:r>
                </w:p>
              </w:tc>
            </w:tr>
            <w:tr w14:paraId="5E8F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44A722F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3</w:t>
                  </w:r>
                </w:p>
              </w:tc>
              <w:tc>
                <w:tcPr>
                  <w:tcW w:w="860" w:type="pct"/>
                  <w:tcBorders>
                    <w:tl2br w:val="nil"/>
                    <w:tr2bl w:val="nil"/>
                  </w:tcBorders>
                  <w:vAlign w:val="center"/>
                </w:tcPr>
                <w:p w14:paraId="1F1FD78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车辆冲洗用水</w:t>
                  </w:r>
                </w:p>
              </w:tc>
              <w:tc>
                <w:tcPr>
                  <w:tcW w:w="564" w:type="pct"/>
                  <w:tcBorders>
                    <w:tl2br w:val="nil"/>
                    <w:tr2bl w:val="nil"/>
                  </w:tcBorders>
                  <w:vAlign w:val="center"/>
                </w:tcPr>
                <w:p w14:paraId="0D39618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u w:val="none"/>
                      <w:lang w:val="en-US" w:eastAsia="zh-CN" w:bidi="ar"/>
                    </w:rPr>
                  </w:pPr>
                  <w:r>
                    <w:rPr>
                      <w:rFonts w:hint="eastAsia" w:eastAsia="宋体" w:cs="Times New Roman"/>
                      <w:color w:val="auto"/>
                      <w:kern w:val="0"/>
                      <w:sz w:val="21"/>
                      <w:szCs w:val="21"/>
                      <w:highlight w:val="none"/>
                      <w:u w:val="none"/>
                      <w:lang w:val="en-US" w:eastAsia="zh-CN" w:bidi="ar"/>
                    </w:rPr>
                    <w:t>307</w:t>
                  </w:r>
                </w:p>
              </w:tc>
              <w:tc>
                <w:tcPr>
                  <w:tcW w:w="525" w:type="pct"/>
                  <w:tcBorders>
                    <w:tl2br w:val="nil"/>
                    <w:tr2bl w:val="nil"/>
                  </w:tcBorders>
                  <w:vAlign w:val="center"/>
                </w:tcPr>
                <w:p w14:paraId="15240F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u w:val="none"/>
                      <w:lang w:val="en-US" w:eastAsia="zh-CN" w:bidi="ar"/>
                    </w:rPr>
                  </w:pPr>
                  <w:r>
                    <w:rPr>
                      <w:rFonts w:hint="eastAsia" w:eastAsia="宋体" w:cs="Times New Roman"/>
                      <w:color w:val="auto"/>
                      <w:kern w:val="0"/>
                      <w:sz w:val="21"/>
                      <w:szCs w:val="21"/>
                      <w:highlight w:val="none"/>
                      <w:u w:val="none"/>
                      <w:lang w:val="en-US" w:eastAsia="zh-CN" w:bidi="ar"/>
                    </w:rPr>
                    <w:t>1229</w:t>
                  </w:r>
                </w:p>
              </w:tc>
              <w:tc>
                <w:tcPr>
                  <w:tcW w:w="541" w:type="pct"/>
                  <w:tcBorders>
                    <w:tl2br w:val="nil"/>
                    <w:tr2bl w:val="nil"/>
                  </w:tcBorders>
                  <w:vAlign w:val="center"/>
                </w:tcPr>
                <w:p w14:paraId="7DFE0D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u w:val="none"/>
                      <w:lang w:val="en-US" w:eastAsia="zh-CN" w:bidi="ar"/>
                    </w:rPr>
                  </w:pPr>
                  <w:r>
                    <w:rPr>
                      <w:rFonts w:hint="eastAsia" w:eastAsia="宋体" w:cs="Times New Roman"/>
                      <w:color w:val="auto"/>
                      <w:kern w:val="0"/>
                      <w:sz w:val="21"/>
                      <w:szCs w:val="21"/>
                      <w:highlight w:val="none"/>
                      <w:u w:val="none"/>
                      <w:lang w:val="en-US" w:eastAsia="zh-CN" w:bidi="ar"/>
                    </w:rPr>
                    <w:t>1537</w:t>
                  </w:r>
                </w:p>
              </w:tc>
              <w:tc>
                <w:tcPr>
                  <w:tcW w:w="1067" w:type="dxa"/>
                  <w:tcBorders>
                    <w:tl2br w:val="nil"/>
                    <w:tr2bl w:val="nil"/>
                  </w:tcBorders>
                  <w:vAlign w:val="center"/>
                </w:tcPr>
                <w:p w14:paraId="755786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u w:val="none"/>
                      <w:lang w:val="en-US" w:bidi="ar"/>
                    </w:rPr>
                  </w:pPr>
                  <w:r>
                    <w:rPr>
                      <w:rFonts w:hint="eastAsia" w:eastAsia="宋体" w:cs="Times New Roman"/>
                      <w:color w:val="auto"/>
                      <w:kern w:val="0"/>
                      <w:sz w:val="21"/>
                      <w:szCs w:val="21"/>
                      <w:highlight w:val="none"/>
                      <w:u w:val="none"/>
                      <w:lang w:val="en-US" w:eastAsia="zh-CN" w:bidi="ar"/>
                    </w:rPr>
                    <w:t>307</w:t>
                  </w:r>
                </w:p>
              </w:tc>
              <w:tc>
                <w:tcPr>
                  <w:tcW w:w="938" w:type="dxa"/>
                  <w:tcBorders>
                    <w:tl2br w:val="nil"/>
                    <w:tr2bl w:val="nil"/>
                  </w:tcBorders>
                  <w:vAlign w:val="center"/>
                </w:tcPr>
                <w:p w14:paraId="35688E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u w:val="none"/>
                      <w:lang w:val="en-US" w:bidi="ar"/>
                    </w:rPr>
                  </w:pPr>
                  <w:r>
                    <w:rPr>
                      <w:rFonts w:hint="eastAsia" w:eastAsia="宋体" w:cs="Times New Roman"/>
                      <w:color w:val="auto"/>
                      <w:kern w:val="0"/>
                      <w:sz w:val="21"/>
                      <w:szCs w:val="21"/>
                      <w:highlight w:val="none"/>
                      <w:u w:val="none"/>
                      <w:lang w:val="en-US" w:eastAsia="zh-CN" w:bidi="ar"/>
                    </w:rPr>
                    <w:t>1229</w:t>
                  </w:r>
                </w:p>
              </w:tc>
              <w:tc>
                <w:tcPr>
                  <w:tcW w:w="339" w:type="pct"/>
                  <w:tcBorders>
                    <w:tl2br w:val="nil"/>
                    <w:tr2bl w:val="nil"/>
                  </w:tcBorders>
                  <w:vAlign w:val="center"/>
                </w:tcPr>
                <w:p w14:paraId="70D70F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u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tcBorders>
                    <w:tl2br w:val="nil"/>
                    <w:tr2bl w:val="nil"/>
                  </w:tcBorders>
                  <w:vAlign w:val="center"/>
                </w:tcPr>
                <w:p w14:paraId="2BF008C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沉淀池处理后回用于车辆冲洗</w:t>
                  </w:r>
                </w:p>
              </w:tc>
            </w:tr>
            <w:tr w14:paraId="23BD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17CEC90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4</w:t>
                  </w:r>
                </w:p>
              </w:tc>
              <w:tc>
                <w:tcPr>
                  <w:tcW w:w="860" w:type="pct"/>
                  <w:tcBorders>
                    <w:tl2br w:val="nil"/>
                    <w:tr2bl w:val="nil"/>
                  </w:tcBorders>
                  <w:vAlign w:val="center"/>
                </w:tcPr>
                <w:p w14:paraId="13CBA52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喷</w:t>
                  </w:r>
                  <w:r>
                    <w:rPr>
                      <w:rFonts w:hint="eastAsia" w:eastAsia="宋体" w:cs="Times New Roman"/>
                      <w:color w:val="auto"/>
                      <w:kern w:val="0"/>
                      <w:sz w:val="21"/>
                      <w:szCs w:val="21"/>
                      <w:highlight w:val="none"/>
                      <w:lang w:val="en-US" w:eastAsia="zh-CN" w:bidi="ar"/>
                    </w:rPr>
                    <w:t>雾</w:t>
                  </w:r>
                  <w:r>
                    <w:rPr>
                      <w:rFonts w:eastAsia="宋体" w:cs="Times New Roman"/>
                      <w:color w:val="auto"/>
                      <w:kern w:val="0"/>
                      <w:sz w:val="21"/>
                      <w:szCs w:val="21"/>
                      <w:highlight w:val="none"/>
                      <w:lang w:bidi="ar"/>
                    </w:rPr>
                    <w:t>抑尘用水</w:t>
                  </w:r>
                </w:p>
              </w:tc>
              <w:tc>
                <w:tcPr>
                  <w:tcW w:w="564" w:type="pct"/>
                  <w:tcBorders>
                    <w:tl2br w:val="nil"/>
                    <w:tr2bl w:val="nil"/>
                  </w:tcBorders>
                  <w:vAlign w:val="center"/>
                </w:tcPr>
                <w:p w14:paraId="35EC43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default" w:eastAsia="宋体" w:cs="Times New Roman"/>
                      <w:color w:val="auto"/>
                      <w:kern w:val="0"/>
                      <w:sz w:val="21"/>
                      <w:szCs w:val="21"/>
                      <w:highlight w:val="none"/>
                      <w:lang w:val="en-US" w:bidi="ar"/>
                    </w:rPr>
                    <w:t>1920</w:t>
                  </w:r>
                </w:p>
              </w:tc>
              <w:tc>
                <w:tcPr>
                  <w:tcW w:w="525" w:type="pct"/>
                  <w:tcBorders>
                    <w:tl2br w:val="nil"/>
                    <w:tr2bl w:val="nil"/>
                  </w:tcBorders>
                  <w:vAlign w:val="center"/>
                </w:tcPr>
                <w:p w14:paraId="1B96C9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eastAsia" w:eastAsia="宋体" w:cs="Times New Roman"/>
                      <w:i w:val="0"/>
                      <w:iCs w:val="0"/>
                      <w:color w:val="auto"/>
                      <w:kern w:val="0"/>
                      <w:sz w:val="21"/>
                      <w:szCs w:val="21"/>
                      <w:highlight w:val="none"/>
                      <w:u w:val="none"/>
                      <w:lang w:val="en-US" w:eastAsia="zh-CN" w:bidi="ar"/>
                    </w:rPr>
                    <w:t>/</w:t>
                  </w:r>
                </w:p>
              </w:tc>
              <w:tc>
                <w:tcPr>
                  <w:tcW w:w="541" w:type="pct"/>
                  <w:tcBorders>
                    <w:tl2br w:val="nil"/>
                    <w:tr2bl w:val="nil"/>
                  </w:tcBorders>
                  <w:vAlign w:val="center"/>
                </w:tcPr>
                <w:p w14:paraId="025860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default" w:eastAsia="宋体" w:cs="Times New Roman"/>
                      <w:color w:val="auto"/>
                      <w:kern w:val="0"/>
                      <w:sz w:val="21"/>
                      <w:szCs w:val="21"/>
                      <w:highlight w:val="none"/>
                      <w:lang w:val="en-US" w:eastAsia="zh-CN" w:bidi="ar"/>
                    </w:rPr>
                    <w:t>1920</w:t>
                  </w:r>
                </w:p>
              </w:tc>
              <w:tc>
                <w:tcPr>
                  <w:tcW w:w="574" w:type="pct"/>
                  <w:tcBorders>
                    <w:tl2br w:val="nil"/>
                    <w:tr2bl w:val="nil"/>
                  </w:tcBorders>
                  <w:vAlign w:val="center"/>
                </w:tcPr>
                <w:p w14:paraId="7702F2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default" w:eastAsia="宋体" w:cs="Times New Roman"/>
                      <w:color w:val="auto"/>
                      <w:kern w:val="0"/>
                      <w:sz w:val="21"/>
                      <w:szCs w:val="21"/>
                      <w:highlight w:val="none"/>
                      <w:lang w:val="en-US" w:bidi="ar"/>
                    </w:rPr>
                    <w:t>1920</w:t>
                  </w:r>
                </w:p>
              </w:tc>
              <w:tc>
                <w:tcPr>
                  <w:tcW w:w="505" w:type="pct"/>
                  <w:tcBorders>
                    <w:tl2br w:val="nil"/>
                    <w:tr2bl w:val="nil"/>
                  </w:tcBorders>
                  <w:vAlign w:val="center"/>
                </w:tcPr>
                <w:p w14:paraId="27EFC4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9" w:type="pct"/>
                  <w:tcBorders>
                    <w:tl2br w:val="nil"/>
                    <w:tr2bl w:val="nil"/>
                  </w:tcBorders>
                  <w:vAlign w:val="center"/>
                </w:tcPr>
                <w:p w14:paraId="3C11AE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vMerge w:val="restart"/>
                  <w:tcBorders>
                    <w:tl2br w:val="nil"/>
                    <w:tr2bl w:val="nil"/>
                  </w:tcBorders>
                  <w:vAlign w:val="center"/>
                </w:tcPr>
                <w:p w14:paraId="1C13771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hint="eastAsia" w:eastAsia="宋体" w:cs="Times New Roman"/>
                      <w:color w:val="auto"/>
                      <w:kern w:val="0"/>
                      <w:sz w:val="21"/>
                      <w:szCs w:val="21"/>
                      <w:highlight w:val="none"/>
                      <w:lang w:val="en-US" w:eastAsia="zh-CN" w:bidi="ar"/>
                    </w:rPr>
                    <w:t>损耗</w:t>
                  </w:r>
                </w:p>
              </w:tc>
            </w:tr>
            <w:tr w14:paraId="443E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9" w:type="pct"/>
                  <w:tcBorders>
                    <w:tl2br w:val="nil"/>
                    <w:tr2bl w:val="nil"/>
                  </w:tcBorders>
                  <w:vAlign w:val="center"/>
                </w:tcPr>
                <w:p w14:paraId="60F405E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eastAsia="宋体" w:cs="Times New Roman"/>
                      <w:color w:val="auto"/>
                      <w:kern w:val="0"/>
                      <w:sz w:val="21"/>
                      <w:szCs w:val="21"/>
                      <w:highlight w:val="none"/>
                      <w:lang w:eastAsia="zh-CN" w:bidi="ar"/>
                    </w:rPr>
                  </w:pPr>
                  <w:r>
                    <w:rPr>
                      <w:rFonts w:hint="eastAsia" w:eastAsia="宋体" w:cs="Times New Roman"/>
                      <w:color w:val="auto"/>
                      <w:kern w:val="0"/>
                      <w:sz w:val="21"/>
                      <w:szCs w:val="21"/>
                      <w:highlight w:val="none"/>
                      <w:lang w:val="en-US" w:eastAsia="zh-CN" w:bidi="ar"/>
                    </w:rPr>
                    <w:t>5</w:t>
                  </w:r>
                </w:p>
              </w:tc>
              <w:tc>
                <w:tcPr>
                  <w:tcW w:w="860" w:type="pct"/>
                  <w:tcBorders>
                    <w:tl2br w:val="nil"/>
                    <w:tr2bl w:val="nil"/>
                  </w:tcBorders>
                  <w:vAlign w:val="center"/>
                </w:tcPr>
                <w:p w14:paraId="6EE5AB9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hint="eastAsia" w:eastAsia="宋体" w:cs="Times New Roman"/>
                      <w:color w:val="auto"/>
                      <w:kern w:val="0"/>
                      <w:sz w:val="21"/>
                      <w:szCs w:val="21"/>
                      <w:highlight w:val="none"/>
                      <w:lang w:val="en-US" w:eastAsia="zh-CN" w:bidi="ar"/>
                    </w:rPr>
                    <w:t>道路洒水</w:t>
                  </w:r>
                </w:p>
              </w:tc>
              <w:tc>
                <w:tcPr>
                  <w:tcW w:w="564" w:type="pct"/>
                  <w:tcBorders>
                    <w:tl2br w:val="nil"/>
                    <w:tr2bl w:val="nil"/>
                  </w:tcBorders>
                  <w:vAlign w:val="center"/>
                </w:tcPr>
                <w:p w14:paraId="60F810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eastAsia" w:eastAsia="宋体" w:cs="Times New Roman"/>
                      <w:i w:val="0"/>
                      <w:iCs w:val="0"/>
                      <w:color w:val="auto"/>
                      <w:kern w:val="0"/>
                      <w:sz w:val="21"/>
                      <w:szCs w:val="21"/>
                      <w:highlight w:val="none"/>
                      <w:u w:val="none"/>
                      <w:lang w:val="en-US" w:eastAsia="zh-CN" w:bidi="ar"/>
                    </w:rPr>
                    <w:t>1200</w:t>
                  </w:r>
                </w:p>
              </w:tc>
              <w:tc>
                <w:tcPr>
                  <w:tcW w:w="525" w:type="pct"/>
                  <w:tcBorders>
                    <w:tl2br w:val="nil"/>
                    <w:tr2bl w:val="nil"/>
                  </w:tcBorders>
                  <w:vAlign w:val="center"/>
                </w:tcPr>
                <w:p w14:paraId="33A5AC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eastAsia" w:eastAsia="宋体" w:cs="Times New Roman"/>
                      <w:i w:val="0"/>
                      <w:iCs w:val="0"/>
                      <w:color w:val="auto"/>
                      <w:kern w:val="0"/>
                      <w:sz w:val="21"/>
                      <w:szCs w:val="21"/>
                      <w:highlight w:val="none"/>
                      <w:u w:val="none"/>
                      <w:lang w:val="en-US" w:eastAsia="zh-CN" w:bidi="ar"/>
                    </w:rPr>
                    <w:t>/</w:t>
                  </w:r>
                </w:p>
              </w:tc>
              <w:tc>
                <w:tcPr>
                  <w:tcW w:w="541" w:type="pct"/>
                  <w:tcBorders>
                    <w:tl2br w:val="nil"/>
                    <w:tr2bl w:val="nil"/>
                  </w:tcBorders>
                  <w:vAlign w:val="center"/>
                </w:tcPr>
                <w:p w14:paraId="5CDDCE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eastAsia" w:eastAsia="宋体" w:cs="Times New Roman"/>
                      <w:i w:val="0"/>
                      <w:iCs w:val="0"/>
                      <w:color w:val="auto"/>
                      <w:kern w:val="0"/>
                      <w:sz w:val="21"/>
                      <w:szCs w:val="21"/>
                      <w:highlight w:val="none"/>
                      <w:u w:val="none"/>
                      <w:lang w:val="en-US" w:eastAsia="zh-CN" w:bidi="ar"/>
                    </w:rPr>
                    <w:t>1200</w:t>
                  </w:r>
                </w:p>
              </w:tc>
              <w:tc>
                <w:tcPr>
                  <w:tcW w:w="574" w:type="pct"/>
                  <w:tcBorders>
                    <w:tl2br w:val="nil"/>
                    <w:tr2bl w:val="nil"/>
                  </w:tcBorders>
                  <w:vAlign w:val="center"/>
                </w:tcPr>
                <w:p w14:paraId="08C217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eastAsia="宋体" w:cs="Times New Roman"/>
                      <w:color w:val="auto"/>
                      <w:kern w:val="0"/>
                      <w:sz w:val="21"/>
                      <w:szCs w:val="21"/>
                      <w:highlight w:val="none"/>
                      <w:lang w:val="en-US" w:bidi="ar"/>
                    </w:rPr>
                  </w:pPr>
                  <w:r>
                    <w:rPr>
                      <w:rFonts w:hint="eastAsia" w:eastAsia="宋体" w:cs="Times New Roman"/>
                      <w:i w:val="0"/>
                      <w:iCs w:val="0"/>
                      <w:color w:val="auto"/>
                      <w:kern w:val="0"/>
                      <w:sz w:val="21"/>
                      <w:szCs w:val="21"/>
                      <w:highlight w:val="none"/>
                      <w:u w:val="none"/>
                      <w:lang w:val="en-US" w:eastAsia="zh-CN" w:bidi="ar"/>
                    </w:rPr>
                    <w:t>1200</w:t>
                  </w:r>
                </w:p>
              </w:tc>
              <w:tc>
                <w:tcPr>
                  <w:tcW w:w="505" w:type="pct"/>
                  <w:tcBorders>
                    <w:tl2br w:val="nil"/>
                    <w:tr2bl w:val="nil"/>
                  </w:tcBorders>
                  <w:vAlign w:val="center"/>
                </w:tcPr>
                <w:p w14:paraId="1DD6C8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9" w:type="pct"/>
                  <w:tcBorders>
                    <w:tl2br w:val="nil"/>
                    <w:tr2bl w:val="nil"/>
                  </w:tcBorders>
                  <w:vAlign w:val="center"/>
                </w:tcPr>
                <w:p w14:paraId="220E31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vMerge w:val="continue"/>
                  <w:tcBorders>
                    <w:tl2br w:val="nil"/>
                    <w:tr2bl w:val="nil"/>
                  </w:tcBorders>
                  <w:vAlign w:val="center"/>
                </w:tcPr>
                <w:p w14:paraId="7B084E7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p>
              </w:tc>
            </w:tr>
            <w:tr w14:paraId="5C49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0" w:type="pct"/>
                  <w:gridSpan w:val="2"/>
                  <w:tcBorders>
                    <w:tl2br w:val="nil"/>
                    <w:tr2bl w:val="nil"/>
                  </w:tcBorders>
                  <w:vAlign w:val="center"/>
                </w:tcPr>
                <w:p w14:paraId="001827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宋体" w:cs="Times New Roman"/>
                      <w:color w:val="auto"/>
                      <w:kern w:val="0"/>
                      <w:sz w:val="21"/>
                      <w:szCs w:val="21"/>
                      <w:highlight w:val="none"/>
                      <w:u w:val="none"/>
                      <w:lang w:val="en-US" w:eastAsia="zh-CN" w:bidi="ar"/>
                    </w:rPr>
                  </w:pPr>
                  <w:r>
                    <w:rPr>
                      <w:rFonts w:hint="eastAsia" w:ascii="Times New Roman" w:hAnsi="Times New Roman" w:eastAsia="宋体" w:cs="Times New Roman"/>
                      <w:color w:val="auto"/>
                      <w:kern w:val="0"/>
                      <w:sz w:val="21"/>
                      <w:szCs w:val="21"/>
                      <w:highlight w:val="none"/>
                      <w:u w:val="none"/>
                      <w:lang w:val="en-US" w:eastAsia="zh-CN" w:bidi="ar"/>
                    </w:rPr>
                    <w:t>合计</w:t>
                  </w:r>
                </w:p>
              </w:tc>
              <w:tc>
                <w:tcPr>
                  <w:tcW w:w="1004" w:type="dxa"/>
                  <w:tcBorders>
                    <w:tl2br w:val="nil"/>
                    <w:tr2bl w:val="nil"/>
                  </w:tcBorders>
                  <w:vAlign w:val="center"/>
                </w:tcPr>
                <w:p w14:paraId="59212F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6927</w:t>
                  </w:r>
                </w:p>
              </w:tc>
              <w:tc>
                <w:tcPr>
                  <w:tcW w:w="934" w:type="dxa"/>
                  <w:tcBorders>
                    <w:tl2br w:val="nil"/>
                    <w:tr2bl w:val="nil"/>
                  </w:tcBorders>
                  <w:vAlign w:val="center"/>
                </w:tcPr>
                <w:p w14:paraId="16D8E1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1229</w:t>
                  </w:r>
                </w:p>
              </w:tc>
              <w:tc>
                <w:tcPr>
                  <w:tcW w:w="963" w:type="dxa"/>
                  <w:tcBorders>
                    <w:tl2br w:val="nil"/>
                    <w:tr2bl w:val="nil"/>
                  </w:tcBorders>
                  <w:vAlign w:val="center"/>
                </w:tcPr>
                <w:p w14:paraId="48013F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8157</w:t>
                  </w:r>
                </w:p>
              </w:tc>
              <w:tc>
                <w:tcPr>
                  <w:tcW w:w="1021" w:type="dxa"/>
                  <w:tcBorders>
                    <w:tl2br w:val="nil"/>
                    <w:tr2bl w:val="nil"/>
                  </w:tcBorders>
                  <w:vAlign w:val="center"/>
                </w:tcPr>
                <w:p w14:paraId="4195C7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6527</w:t>
                  </w:r>
                </w:p>
              </w:tc>
              <w:tc>
                <w:tcPr>
                  <w:tcW w:w="899" w:type="dxa"/>
                  <w:tcBorders>
                    <w:tl2br w:val="nil"/>
                    <w:tr2bl w:val="nil"/>
                  </w:tcBorders>
                  <w:vAlign w:val="center"/>
                </w:tcPr>
                <w:p w14:paraId="2523B0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1629</w:t>
                  </w:r>
                </w:p>
              </w:tc>
              <w:tc>
                <w:tcPr>
                  <w:tcW w:w="603" w:type="dxa"/>
                  <w:tcBorders>
                    <w:tl2br w:val="nil"/>
                    <w:tr2bl w:val="nil"/>
                  </w:tcBorders>
                  <w:vAlign w:val="center"/>
                </w:tcPr>
                <w:p w14:paraId="7E5CD0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18" w:type="pct"/>
                  <w:tcBorders>
                    <w:tl2br w:val="nil"/>
                    <w:tr2bl w:val="nil"/>
                  </w:tcBorders>
                  <w:vAlign w:val="center"/>
                </w:tcPr>
                <w:p w14:paraId="32EC422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w:t>
                  </w:r>
                </w:p>
              </w:tc>
            </w:tr>
          </w:tbl>
          <w:p w14:paraId="379D6CFE">
            <w:pPr>
              <w:autoSpaceDE w:val="0"/>
              <w:autoSpaceDN w:val="0"/>
              <w:jc w:val="center"/>
              <w:rPr>
                <w:rFonts w:eastAsia="宋体" w:cs="Times New Roman"/>
                <w:b/>
                <w:color w:val="auto"/>
                <w:sz w:val="21"/>
                <w:szCs w:val="21"/>
                <w:highlight w:val="none"/>
                <w:lang w:val="zh-CN" w:bidi="zh-CN"/>
              </w:rPr>
            </w:pPr>
            <w:r>
              <w:rPr>
                <w:rFonts w:hint="eastAsia" w:eastAsia="宋体" w:cs="Times New Roman"/>
                <w:b w:val="0"/>
                <w:bCs/>
                <w:color w:val="auto"/>
                <w:sz w:val="21"/>
                <w:szCs w:val="21"/>
                <w:highlight w:val="none"/>
                <w:lang w:val="en-US" w:bidi="zh-CN"/>
              </w:rPr>
              <w:t>注：雨水池水量不固定，不计入水平衡计算。雨水池收集雨水经处理后全部用于生产。</w:t>
            </w:r>
          </w:p>
          <w:p w14:paraId="45C5288D">
            <w:pPr>
              <w:autoSpaceDE w:val="0"/>
              <w:autoSpaceDN w:val="0"/>
              <w:jc w:val="center"/>
              <w:rPr>
                <w:rFonts w:eastAsia="宋体" w:cs="Times New Roman"/>
                <w:b/>
                <w:color w:val="auto"/>
                <w:sz w:val="21"/>
                <w:szCs w:val="21"/>
                <w:highlight w:val="none"/>
                <w:lang w:val="zh-CN" w:bidi="zh-CN"/>
              </w:rPr>
            </w:pPr>
            <w:r>
              <w:rPr>
                <w:color w:val="auto"/>
                <w:sz w:val="21"/>
                <w:highlight w:val="none"/>
              </w:rPr>
              <mc:AlternateContent>
                <mc:Choice Requires="wpg">
                  <w:drawing>
                    <wp:anchor distT="0" distB="0" distL="114300" distR="114300" simplePos="0" relativeHeight="251666432" behindDoc="0" locked="0" layoutInCell="1" allowOverlap="1">
                      <wp:simplePos x="0" y="0"/>
                      <wp:positionH relativeFrom="column">
                        <wp:posOffset>83820</wp:posOffset>
                      </wp:positionH>
                      <wp:positionV relativeFrom="paragraph">
                        <wp:posOffset>136525</wp:posOffset>
                      </wp:positionV>
                      <wp:extent cx="5370830" cy="2506980"/>
                      <wp:effectExtent l="0" t="0" r="0" b="7620"/>
                      <wp:wrapNone/>
                      <wp:docPr id="146" name="组合 146"/>
                      <wp:cNvGraphicFramePr/>
                      <a:graphic xmlns:a="http://schemas.openxmlformats.org/drawingml/2006/main">
                        <a:graphicData uri="http://schemas.microsoft.com/office/word/2010/wordprocessingGroup">
                          <wpg:wgp>
                            <wpg:cNvGrpSpPr/>
                            <wpg:grpSpPr>
                              <a:xfrm>
                                <a:off x="0" y="0"/>
                                <a:ext cx="5370830" cy="2506980"/>
                                <a:chOff x="6285" y="306802"/>
                                <a:chExt cx="8458" cy="3948"/>
                              </a:xfrm>
                            </wpg:grpSpPr>
                            <wps:wsp>
                              <wps:cNvPr id="1" name="文本框 1"/>
                              <wps:cNvSpPr txBox="1"/>
                              <wps:spPr>
                                <a:xfrm>
                                  <a:off x="6285" y="309286"/>
                                  <a:ext cx="966" cy="433"/>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39FE5C25">
                                    <w:pPr>
                                      <w:rPr>
                                        <w:rFonts w:hint="eastAsia" w:eastAsiaTheme="minorEastAsia"/>
                                        <w:sz w:val="21"/>
                                        <w:szCs w:val="21"/>
                                        <w:lang w:val="en-US" w:eastAsia="zh-CN"/>
                                      </w:rPr>
                                    </w:pPr>
                                    <w:r>
                                      <w:rPr>
                                        <w:rFonts w:hint="eastAsia"/>
                                        <w:sz w:val="21"/>
                                        <w:szCs w:val="21"/>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8631" y="307296"/>
                                  <a:ext cx="1648"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FA166CC">
                                    <w:pPr>
                                      <w:jc w:val="center"/>
                                      <w:rPr>
                                        <w:rFonts w:hint="default" w:eastAsiaTheme="minorEastAsia"/>
                                        <w:sz w:val="21"/>
                                        <w:szCs w:val="21"/>
                                        <w:lang w:val="en-US" w:eastAsia="zh-CN"/>
                                      </w:rPr>
                                    </w:pPr>
                                    <w:r>
                                      <w:rPr>
                                        <w:rFonts w:hint="eastAsia"/>
                                        <w:sz w:val="21"/>
                                        <w:szCs w:val="21"/>
                                        <w:lang w:val="en-US" w:eastAsia="zh-CN"/>
                                      </w:rPr>
                                      <w:t>职工生活用水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8652" y="308076"/>
                                  <a:ext cx="1648"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4EA6D99">
                                    <w:pPr>
                                      <w:jc w:val="center"/>
                                      <w:rPr>
                                        <w:rFonts w:hint="default" w:eastAsiaTheme="minorEastAsia"/>
                                        <w:sz w:val="21"/>
                                        <w:szCs w:val="21"/>
                                        <w:lang w:val="en-US" w:eastAsia="zh-CN"/>
                                      </w:rPr>
                                    </w:pPr>
                                    <w:r>
                                      <w:rPr>
                                        <w:rFonts w:hint="eastAsia"/>
                                        <w:sz w:val="21"/>
                                        <w:szCs w:val="21"/>
                                        <w:lang w:val="en-US" w:eastAsia="zh-CN"/>
                                      </w:rPr>
                                      <w:t>生产配比用水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8648" y="308875"/>
                                  <a:ext cx="1648"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47B9467">
                                    <w:pPr>
                                      <w:jc w:val="center"/>
                                      <w:rPr>
                                        <w:rFonts w:hint="default"/>
                                        <w:lang w:val="en-US" w:eastAsia="zh-CN"/>
                                      </w:rPr>
                                    </w:pPr>
                                    <w:r>
                                      <w:rPr>
                                        <w:rFonts w:eastAsia="宋体" w:cs="Times New Roman"/>
                                        <w:color w:val="auto"/>
                                        <w:kern w:val="0"/>
                                        <w:sz w:val="21"/>
                                        <w:szCs w:val="21"/>
                                        <w:highlight w:val="none"/>
                                        <w:lang w:bidi="ar"/>
                                      </w:rPr>
                                      <w:t>车辆冲洗用水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8659" y="309653"/>
                                  <a:ext cx="1648"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7A122BA">
                                    <w:pPr>
                                      <w:rPr>
                                        <w:rFonts w:hint="default"/>
                                        <w:sz w:val="21"/>
                                        <w:szCs w:val="21"/>
                                        <w:lang w:val="en-US" w:eastAsia="zh-CN"/>
                                      </w:rPr>
                                    </w:pPr>
                                    <w:r>
                                      <w:rPr>
                                        <w:rFonts w:hint="default"/>
                                        <w:sz w:val="21"/>
                                        <w:szCs w:val="21"/>
                                        <w:lang w:val="en-US" w:eastAsia="zh-CN"/>
                                      </w:rPr>
                                      <w:t>喷淋抑尘用水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8656" y="310353"/>
                                  <a:ext cx="1648"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08CE899">
                                    <w:pPr>
                                      <w:jc w:val="center"/>
                                      <w:rPr>
                                        <w:rFonts w:hint="default"/>
                                        <w:lang w:val="en-US" w:eastAsia="zh-CN"/>
                                      </w:rPr>
                                    </w:pPr>
                                    <w:r>
                                      <w:rPr>
                                        <w:rFonts w:hint="eastAsia" w:eastAsia="宋体" w:cs="Times New Roman"/>
                                        <w:color w:val="auto"/>
                                        <w:kern w:val="0"/>
                                        <w:sz w:val="21"/>
                                        <w:szCs w:val="21"/>
                                        <w:highlight w:val="none"/>
                                        <w:lang w:val="en-US" w:eastAsia="zh-CN" w:bidi="ar"/>
                                      </w:rPr>
                                      <w:t>道路洒水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连接符 16"/>
                              <wps:cNvCnPr/>
                              <wps:spPr>
                                <a:xfrm>
                                  <a:off x="7899" y="307571"/>
                                  <a:ext cx="6" cy="2946"/>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7" name="直接箭头连接符 17"/>
                              <wps:cNvCnPr/>
                              <wps:spPr>
                                <a:xfrm>
                                  <a:off x="7122" y="309500"/>
                                  <a:ext cx="79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8" name="直接箭头连接符 18"/>
                              <wps:cNvCnPr/>
                              <wps:spPr>
                                <a:xfrm>
                                  <a:off x="7893" y="307581"/>
                                  <a:ext cx="737"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9" name="直接箭头连接符 19"/>
                              <wps:cNvCnPr/>
                              <wps:spPr>
                                <a:xfrm>
                                  <a:off x="7909" y="308281"/>
                                  <a:ext cx="737"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0" name="直接箭头连接符 20"/>
                              <wps:cNvCnPr/>
                              <wps:spPr>
                                <a:xfrm>
                                  <a:off x="7898" y="309083"/>
                                  <a:ext cx="737"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1" name="直接箭头连接符 21"/>
                              <wps:cNvCnPr/>
                              <wps:spPr>
                                <a:xfrm>
                                  <a:off x="7914" y="309863"/>
                                  <a:ext cx="737"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2" name="直接箭头连接符 22"/>
                              <wps:cNvCnPr/>
                              <wps:spPr>
                                <a:xfrm>
                                  <a:off x="7894" y="310525"/>
                                  <a:ext cx="737"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3" name="直接箭头连接符 23"/>
                              <wps:cNvCnPr/>
                              <wps:spPr>
                                <a:xfrm>
                                  <a:off x="10287" y="307509"/>
                                  <a:ext cx="79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4" name="直接箭头连接符 24"/>
                              <wps:cNvCnPr/>
                              <wps:spPr>
                                <a:xfrm>
                                  <a:off x="10311" y="308280"/>
                                  <a:ext cx="113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5" name="直接箭头连接符 25"/>
                              <wps:cNvCnPr/>
                              <wps:spPr>
                                <a:xfrm>
                                  <a:off x="10297" y="309014"/>
                                  <a:ext cx="113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6" name="直接箭头连接符 26"/>
                              <wps:cNvCnPr/>
                              <wps:spPr>
                                <a:xfrm>
                                  <a:off x="10308" y="309879"/>
                                  <a:ext cx="113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9" name="文本框 29"/>
                              <wps:cNvSpPr txBox="1"/>
                              <wps:spPr>
                                <a:xfrm>
                                  <a:off x="11070" y="307308"/>
                                  <a:ext cx="934"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5F8E503">
                                    <w:pPr>
                                      <w:jc w:val="center"/>
                                      <w:rPr>
                                        <w:rFonts w:hint="default" w:eastAsiaTheme="minorEastAsia"/>
                                        <w:sz w:val="21"/>
                                        <w:szCs w:val="21"/>
                                        <w:lang w:val="en-US" w:eastAsia="zh-CN"/>
                                      </w:rPr>
                                    </w:pPr>
                                    <w:r>
                                      <w:rPr>
                                        <w:rFonts w:hint="eastAsia"/>
                                        <w:sz w:val="21"/>
                                        <w:szCs w:val="21"/>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直接箭头连接符 30"/>
                              <wps:cNvCnPr/>
                              <wps:spPr>
                                <a:xfrm>
                                  <a:off x="12012" y="307521"/>
                                  <a:ext cx="794"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31" name="文本框 31"/>
                              <wps:cNvSpPr txBox="1"/>
                              <wps:spPr>
                                <a:xfrm>
                                  <a:off x="7873" y="307269"/>
                                  <a:ext cx="634"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6CD82B92">
                                    <w:pPr>
                                      <w:jc w:val="center"/>
                                      <w:rPr>
                                        <w:rFonts w:hint="default" w:eastAsiaTheme="minorEastAsia"/>
                                        <w:sz w:val="20"/>
                                        <w:szCs w:val="20"/>
                                        <w:lang w:val="en-US" w:eastAsia="zh-CN"/>
                                      </w:rPr>
                                    </w:pPr>
                                    <w:r>
                                      <w:rPr>
                                        <w:rFonts w:hint="eastAsia"/>
                                        <w:sz w:val="20"/>
                                        <w:szCs w:val="20"/>
                                        <w:lang w:val="en-US" w:eastAsia="zh-CN"/>
                                      </w:rPr>
                                      <w:t>500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11231" y="308075"/>
                                  <a:ext cx="1283"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67C53551">
                                    <w:pPr>
                                      <w:jc w:val="center"/>
                                      <w:rPr>
                                        <w:rFonts w:hint="default" w:eastAsiaTheme="minorEastAsia"/>
                                        <w:sz w:val="21"/>
                                        <w:szCs w:val="21"/>
                                        <w:lang w:val="en-US" w:eastAsia="zh-CN"/>
                                      </w:rPr>
                                    </w:pPr>
                                    <w:r>
                                      <w:rPr>
                                        <w:rFonts w:hint="eastAsia"/>
                                        <w:sz w:val="21"/>
                                        <w:szCs w:val="21"/>
                                        <w:lang w:val="en-US" w:eastAsia="zh-CN"/>
                                      </w:rPr>
                                      <w:t>进入产品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7849" y="307975"/>
                                  <a:ext cx="735"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530EE181">
                                    <w:pPr>
                                      <w:jc w:val="center"/>
                                      <w:rPr>
                                        <w:rFonts w:hint="default" w:eastAsiaTheme="minorEastAsia"/>
                                        <w:sz w:val="20"/>
                                        <w:szCs w:val="20"/>
                                        <w:lang w:val="en-US" w:eastAsia="zh-CN"/>
                                      </w:rPr>
                                    </w:pPr>
                                    <w:r>
                                      <w:rPr>
                                        <w:rFonts w:hint="eastAsia"/>
                                        <w:sz w:val="20"/>
                                        <w:szCs w:val="20"/>
                                        <w:lang w:val="en-US" w:eastAsia="zh-CN"/>
                                      </w:rPr>
                                      <w:t>3000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10493" y="307960"/>
                                  <a:ext cx="957"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8CA93C5">
                                    <w:pPr>
                                      <w:jc w:val="center"/>
                                      <w:rPr>
                                        <w:rFonts w:hint="default" w:eastAsiaTheme="minorEastAsia"/>
                                        <w:sz w:val="20"/>
                                        <w:szCs w:val="20"/>
                                        <w:lang w:val="en-US" w:eastAsia="zh-CN"/>
                                      </w:rPr>
                                    </w:pPr>
                                    <w:r>
                                      <w:rPr>
                                        <w:rFonts w:hint="eastAsia"/>
                                        <w:sz w:val="20"/>
                                        <w:szCs w:val="20"/>
                                        <w:lang w:val="en-US" w:eastAsia="zh-CN"/>
                                      </w:rPr>
                                      <w:t>3000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曲线连接符 35"/>
                              <wps:cNvCnPr/>
                              <wps:spPr>
                                <a:xfrm flipV="1">
                                  <a:off x="9479" y="307044"/>
                                  <a:ext cx="424" cy="237"/>
                                </a:xfrm>
                                <a:prstGeom prst="curvedConnector3">
                                  <a:avLst>
                                    <a:gd name="adj1" fmla="val 50236"/>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36" name="文本框 36"/>
                              <wps:cNvSpPr txBox="1"/>
                              <wps:spPr>
                                <a:xfrm>
                                  <a:off x="9725" y="306802"/>
                                  <a:ext cx="105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5C5E9E6D">
                                    <w:pPr>
                                      <w:jc w:val="center"/>
                                      <w:rPr>
                                        <w:rFonts w:hint="default" w:eastAsiaTheme="minorEastAsia"/>
                                        <w:sz w:val="20"/>
                                        <w:szCs w:val="20"/>
                                        <w:lang w:val="en-US" w:eastAsia="zh-CN"/>
                                      </w:rPr>
                                    </w:pPr>
                                    <w:r>
                                      <w:rPr>
                                        <w:rFonts w:hint="eastAsia"/>
                                        <w:sz w:val="20"/>
                                        <w:szCs w:val="20"/>
                                        <w:lang w:val="en-US" w:eastAsia="zh-CN"/>
                                      </w:rPr>
                                      <w:t>损耗100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10314" y="307174"/>
                                  <a:ext cx="634"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422AC766">
                                    <w:pPr>
                                      <w:jc w:val="center"/>
                                      <w:rPr>
                                        <w:rFonts w:hint="default" w:eastAsiaTheme="minorEastAsia"/>
                                        <w:sz w:val="20"/>
                                        <w:szCs w:val="20"/>
                                        <w:lang w:val="en-US" w:eastAsia="zh-CN"/>
                                      </w:rPr>
                                    </w:pPr>
                                    <w:r>
                                      <w:rPr>
                                        <w:rFonts w:hint="eastAsia"/>
                                        <w:sz w:val="20"/>
                                        <w:szCs w:val="20"/>
                                        <w:lang w:val="en-US" w:eastAsia="zh-CN"/>
                                      </w:rPr>
                                      <w:t>400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38"/>
                              <wps:cNvSpPr txBox="1"/>
                              <wps:spPr>
                                <a:xfrm>
                                  <a:off x="11974" y="307192"/>
                                  <a:ext cx="634"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7BC63E56">
                                    <w:pPr>
                                      <w:jc w:val="center"/>
                                      <w:rPr>
                                        <w:rFonts w:hint="default" w:eastAsiaTheme="minorEastAsia"/>
                                        <w:sz w:val="20"/>
                                        <w:szCs w:val="20"/>
                                        <w:lang w:val="en-US" w:eastAsia="zh-CN"/>
                                      </w:rPr>
                                    </w:pPr>
                                    <w:r>
                                      <w:rPr>
                                        <w:rFonts w:hint="eastAsia"/>
                                        <w:sz w:val="20"/>
                                        <w:szCs w:val="20"/>
                                        <w:lang w:val="en-US" w:eastAsia="zh-CN"/>
                                      </w:rPr>
                                      <w:t>4000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39"/>
                              <wps:cNvSpPr txBox="1"/>
                              <wps:spPr>
                                <a:xfrm>
                                  <a:off x="12652" y="307295"/>
                                  <a:ext cx="20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239C2129">
                                    <w:pPr>
                                      <w:jc w:val="center"/>
                                      <w:rPr>
                                        <w:rFonts w:hint="default" w:eastAsiaTheme="minorEastAsia"/>
                                        <w:sz w:val="21"/>
                                        <w:szCs w:val="21"/>
                                        <w:lang w:val="en-US" w:eastAsia="zh-CN"/>
                                      </w:rPr>
                                    </w:pPr>
                                    <w:r>
                                      <w:rPr>
                                        <w:rFonts w:hint="eastAsia"/>
                                        <w:sz w:val="21"/>
                                        <w:szCs w:val="21"/>
                                        <w:lang w:val="en-US" w:eastAsia="zh-CN"/>
                                      </w:rPr>
                                      <w:t>定期清掏，不外排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曲线连接符 40"/>
                              <wps:cNvCnPr/>
                              <wps:spPr>
                                <a:xfrm flipV="1">
                                  <a:off x="9487" y="308633"/>
                                  <a:ext cx="424" cy="237"/>
                                </a:xfrm>
                                <a:prstGeom prst="curvedConnector3">
                                  <a:avLst>
                                    <a:gd name="adj1" fmla="val 50236"/>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41" name="文本框 41"/>
                              <wps:cNvSpPr txBox="1"/>
                              <wps:spPr>
                                <a:xfrm>
                                  <a:off x="9717" y="308450"/>
                                  <a:ext cx="1349"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706AEA06">
                                    <w:pPr>
                                      <w:jc w:val="center"/>
                                      <w:rPr>
                                        <w:rFonts w:hint="default" w:eastAsiaTheme="minorEastAsia"/>
                                        <w:sz w:val="20"/>
                                        <w:szCs w:val="20"/>
                                        <w:highlight w:val="none"/>
                                        <w:lang w:val="en-US" w:eastAsia="zh-CN"/>
                                      </w:rPr>
                                    </w:pPr>
                                    <w:r>
                                      <w:rPr>
                                        <w:rFonts w:hint="eastAsia"/>
                                        <w:sz w:val="20"/>
                                        <w:szCs w:val="20"/>
                                        <w:highlight w:val="none"/>
                                        <w:lang w:val="en-US" w:eastAsia="zh-CN"/>
                                      </w:rPr>
                                      <w:t>损耗307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42"/>
                              <wps:cNvSpPr txBox="1"/>
                              <wps:spPr>
                                <a:xfrm>
                                  <a:off x="11427" y="308882"/>
                                  <a:ext cx="934"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47F5B31">
                                    <w:pPr>
                                      <w:jc w:val="center"/>
                                      <w:rPr>
                                        <w:rFonts w:hint="default" w:eastAsiaTheme="minorEastAsia"/>
                                        <w:sz w:val="21"/>
                                        <w:szCs w:val="21"/>
                                        <w:lang w:val="en-US" w:eastAsia="zh-CN"/>
                                      </w:rPr>
                                    </w:pPr>
                                    <w:r>
                                      <w:rPr>
                                        <w:rFonts w:hint="eastAsia"/>
                                        <w:sz w:val="21"/>
                                        <w:szCs w:val="21"/>
                                        <w:lang w:val="en-US" w:eastAsia="zh-CN"/>
                                      </w:rPr>
                                      <w:t>沉淀池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10444" y="308710"/>
                                  <a:ext cx="962"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E4AE822">
                                    <w:pPr>
                                      <w:jc w:val="center"/>
                                      <w:rPr>
                                        <w:rFonts w:hint="default" w:eastAsiaTheme="minorEastAsia"/>
                                        <w:sz w:val="20"/>
                                        <w:szCs w:val="20"/>
                                        <w:highlight w:val="none"/>
                                        <w:lang w:val="en-US" w:eastAsia="zh-CN"/>
                                      </w:rPr>
                                    </w:pPr>
                                    <w:r>
                                      <w:rPr>
                                        <w:rFonts w:hint="eastAsia"/>
                                        <w:sz w:val="20"/>
                                        <w:szCs w:val="20"/>
                                        <w:highlight w:val="none"/>
                                        <w:lang w:val="en-US" w:eastAsia="zh-CN"/>
                                      </w:rPr>
                                      <w:t>1229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任意多边形 44"/>
                              <wps:cNvSpPr/>
                              <wps:spPr>
                                <a:xfrm>
                                  <a:off x="9557" y="309277"/>
                                  <a:ext cx="2381" cy="283"/>
                                </a:xfrm>
                                <a:custGeom>
                                  <a:avLst/>
                                  <a:gdLst>
                                    <a:gd name="connisteX0" fmla="*/ 920750 w 920750"/>
                                    <a:gd name="connsiteY0" fmla="*/ 0 h 370840"/>
                                    <a:gd name="connisteX1" fmla="*/ 920750 w 920750"/>
                                    <a:gd name="connsiteY1" fmla="*/ 370840 h 370840"/>
                                    <a:gd name="connisteX2" fmla="*/ 0 w 920750"/>
                                    <a:gd name="connsiteY2" fmla="*/ 370840 h 370840"/>
                                  </a:gdLst>
                                  <a:ahLst/>
                                  <a:cxnLst>
                                    <a:cxn ang="0">
                                      <a:pos x="connisteX0" y="connsiteY0"/>
                                    </a:cxn>
                                    <a:cxn ang="0">
                                      <a:pos x="connisteX1" y="connsiteY1"/>
                                    </a:cxn>
                                    <a:cxn ang="0">
                                      <a:pos x="connisteX2" y="connsiteY2"/>
                                    </a:cxn>
                                  </a:cxnLst>
                                  <a:rect l="l" t="t" r="r" b="b"/>
                                  <a:pathLst>
                                    <a:path w="920750" h="370840">
                                      <a:moveTo>
                                        <a:pt x="920750" y="0"/>
                                      </a:moveTo>
                                      <a:lnTo>
                                        <a:pt x="920750" y="370840"/>
                                      </a:lnTo>
                                      <a:lnTo>
                                        <a:pt x="0" y="370840"/>
                                      </a:lnTo>
                                    </a:path>
                                  </a:pathLst>
                                </a:cu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wps:wsp>
                              <wps:cNvPr id="45" name="直接箭头连接符 45"/>
                              <wps:cNvCnPr/>
                              <wps:spPr>
                                <a:xfrm rot="16200000">
                                  <a:off x="9417" y="309435"/>
                                  <a:ext cx="283" cy="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46" name="文本框 46"/>
                              <wps:cNvSpPr txBox="1"/>
                              <wps:spPr>
                                <a:xfrm>
                                  <a:off x="10399" y="309256"/>
                                  <a:ext cx="996"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E994050">
                                    <w:pPr>
                                      <w:jc w:val="center"/>
                                      <w:rPr>
                                        <w:rFonts w:hint="default" w:eastAsiaTheme="minorEastAsia"/>
                                        <w:sz w:val="20"/>
                                        <w:szCs w:val="20"/>
                                        <w:highlight w:val="none"/>
                                        <w:lang w:val="en-US" w:eastAsia="zh-CN"/>
                                      </w:rPr>
                                    </w:pPr>
                                    <w:r>
                                      <w:rPr>
                                        <w:rFonts w:hint="eastAsia"/>
                                        <w:sz w:val="20"/>
                                        <w:szCs w:val="20"/>
                                        <w:highlight w:val="none"/>
                                        <w:lang w:val="en-US" w:eastAsia="zh-CN"/>
                                      </w:rPr>
                                      <w:t>1229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11236" y="309691"/>
                                  <a:ext cx="2306"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7341DF5B">
                                    <w:pPr>
                                      <w:jc w:val="center"/>
                                      <w:rPr>
                                        <w:rFonts w:hint="default" w:eastAsiaTheme="minorEastAsia"/>
                                        <w:sz w:val="21"/>
                                        <w:szCs w:val="21"/>
                                        <w:lang w:val="en-US" w:eastAsia="zh-CN"/>
                                      </w:rPr>
                                    </w:pPr>
                                    <w:r>
                                      <w:rPr>
                                        <w:rFonts w:hint="eastAsia"/>
                                        <w:sz w:val="21"/>
                                        <w:szCs w:val="21"/>
                                        <w:lang w:val="en-US" w:eastAsia="zh-CN"/>
                                      </w:rPr>
                                      <w:t>进入产品、蒸发损耗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曲线连接符 48"/>
                              <wps:cNvCnPr/>
                              <wps:spPr>
                                <a:xfrm flipV="1">
                                  <a:off x="10317" y="310445"/>
                                  <a:ext cx="565" cy="118"/>
                                </a:xfrm>
                                <a:prstGeom prst="curvedConnector3">
                                  <a:avLst>
                                    <a:gd name="adj1" fmla="val 50088"/>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49" name="文本框 49"/>
                              <wps:cNvSpPr txBox="1"/>
                              <wps:spPr>
                                <a:xfrm>
                                  <a:off x="10699" y="310266"/>
                                  <a:ext cx="1217"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1A5111A">
                                    <w:pPr>
                                      <w:jc w:val="center"/>
                                      <w:rPr>
                                        <w:rFonts w:hint="default" w:eastAsiaTheme="minorEastAsia"/>
                                        <w:sz w:val="20"/>
                                        <w:szCs w:val="20"/>
                                        <w:lang w:val="en-US" w:eastAsia="zh-CN"/>
                                      </w:rPr>
                                    </w:pPr>
                                    <w:r>
                                      <w:rPr>
                                        <w:rFonts w:hint="eastAsia"/>
                                        <w:sz w:val="20"/>
                                        <w:szCs w:val="20"/>
                                        <w:lang w:val="en-US" w:eastAsia="zh-CN"/>
                                      </w:rPr>
                                      <w:t>损耗</w:t>
                                    </w:r>
                                    <w:r>
                                      <w:rPr>
                                        <w:rFonts w:hint="eastAsia"/>
                                        <w:sz w:val="20"/>
                                        <w:szCs w:val="20"/>
                                        <w:highlight w:val="none"/>
                                        <w:lang w:val="en-US" w:eastAsia="zh-CN"/>
                                      </w:rPr>
                                      <w:t>1200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7790" y="308759"/>
                                  <a:ext cx="928"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6175ED65">
                                    <w:pPr>
                                      <w:jc w:val="center"/>
                                      <w:rPr>
                                        <w:rFonts w:hint="default" w:eastAsiaTheme="minorEastAsia"/>
                                        <w:sz w:val="20"/>
                                        <w:szCs w:val="20"/>
                                        <w:lang w:val="en-US" w:eastAsia="zh-CN"/>
                                      </w:rPr>
                                    </w:pPr>
                                    <w:r>
                                      <w:rPr>
                                        <w:rFonts w:hint="eastAsia"/>
                                        <w:sz w:val="20"/>
                                        <w:szCs w:val="20"/>
                                        <w:lang w:val="en-US" w:eastAsia="zh-CN"/>
                                      </w:rPr>
                                      <w:t>307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52"/>
                              <wps:cNvSpPr txBox="1"/>
                              <wps:spPr>
                                <a:xfrm>
                                  <a:off x="6942" y="309139"/>
                                  <a:ext cx="106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376E037B">
                                    <w:pPr>
                                      <w:jc w:val="center"/>
                                      <w:rPr>
                                        <w:rFonts w:hint="default" w:eastAsiaTheme="minorEastAsia"/>
                                        <w:sz w:val="20"/>
                                        <w:szCs w:val="20"/>
                                        <w:lang w:val="en-US" w:eastAsia="zh-CN"/>
                                      </w:rPr>
                                    </w:pPr>
                                    <w:r>
                                      <w:rPr>
                                        <w:rFonts w:hint="eastAsia"/>
                                        <w:sz w:val="20"/>
                                        <w:szCs w:val="20"/>
                                        <w:lang w:val="en-US" w:eastAsia="zh-CN"/>
                                      </w:rPr>
                                      <w:t>7059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66"/>
                              <wps:cNvSpPr txBox="1"/>
                              <wps:spPr>
                                <a:xfrm>
                                  <a:off x="7841" y="309539"/>
                                  <a:ext cx="796"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57137911">
                                    <w:pPr>
                                      <w:rPr>
                                        <w:rFonts w:hint="default"/>
                                        <w:lang w:val="en-US" w:eastAsia="zh-CN"/>
                                      </w:rPr>
                                    </w:pPr>
                                    <w:r>
                                      <w:rPr>
                                        <w:rFonts w:hint="eastAsia" w:eastAsia="宋体" w:cs="Times New Roman"/>
                                        <w:i w:val="0"/>
                                        <w:iCs w:val="0"/>
                                        <w:color w:val="auto"/>
                                        <w:kern w:val="0"/>
                                        <w:sz w:val="21"/>
                                        <w:szCs w:val="21"/>
                                        <w:u w:val="none"/>
                                        <w:lang w:val="en-US" w:eastAsia="zh-CN" w:bidi="ar"/>
                                      </w:rPr>
                                      <w:t>19200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7780" y="310185"/>
                                  <a:ext cx="796"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6CD16F2">
                                    <w:pPr>
                                      <w:jc w:val="center"/>
                                      <w:rPr>
                                        <w:rFonts w:hint="default" w:eastAsiaTheme="minorEastAsia"/>
                                        <w:sz w:val="20"/>
                                        <w:szCs w:val="20"/>
                                        <w:lang w:val="en-US" w:eastAsia="zh-CN"/>
                                      </w:rPr>
                                    </w:pPr>
                                    <w:r>
                                      <w:rPr>
                                        <w:rFonts w:hint="eastAsia"/>
                                        <w:sz w:val="20"/>
                                        <w:szCs w:val="20"/>
                                        <w:lang w:val="en-US" w:eastAsia="zh-CN"/>
                                      </w:rPr>
                                      <w:t>1200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10478" y="309575"/>
                                  <a:ext cx="796"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668EFB02">
                                    <w:pPr>
                                      <w:rPr>
                                        <w:rFonts w:hint="default"/>
                                        <w:lang w:val="en-US" w:eastAsia="zh-CN"/>
                                      </w:rPr>
                                    </w:pPr>
                                    <w:r>
                                      <w:rPr>
                                        <w:rFonts w:hint="eastAsia" w:eastAsia="宋体" w:cs="Times New Roman"/>
                                        <w:i w:val="0"/>
                                        <w:iCs w:val="0"/>
                                        <w:color w:val="auto"/>
                                        <w:kern w:val="0"/>
                                        <w:sz w:val="21"/>
                                        <w:szCs w:val="21"/>
                                        <w:u w:val="none"/>
                                        <w:lang w:val="en-US" w:eastAsia="zh-CN" w:bidi="ar"/>
                                      </w:rPr>
                                      <w:t>1920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6pt;margin-top:10.75pt;height:197.4pt;width:422.9pt;z-index:251666432;mso-width-relative:page;mso-height-relative:page;" coordorigin="6285,306802" coordsize="8458,3948" o:gfxdata="UEsDBAoAAAAAAIdO4kAAAAAAAAAAAAAAAAAEAAAAZHJzL1BLAwQUAAAACACHTuJAuNey6tkAAAAJ&#10;AQAADwAAAGRycy9kb3ducmV2LnhtbE2PQUvDQBSE74L/YXmCN7vZxJQ2zaZIUU9FsBXE2zZ5TUKz&#10;b0N2m7T/3ufJHocZZr7J1xfbiREH3zrSoGYRCKTSVS3VGr72b08LED4YqkznCDVc0cO6uL/LTVa5&#10;iT5x3IVacAn5zGhoQugzKX3ZoDV+5nok9o5usCawHGpZDWbictvJOIrm0pqWeKExPW4aLE+7s9Xw&#10;PpnpJVGv4/Z03Fx/9unH91ah1o8PKlqBCHgJ/2H4w2d0KJjp4M5UedGxTmJOaohVCoL9RbrkbwcN&#10;z2qegCxyefug+AVQSwMEFAAAAAgAh07iQDPTVQazCgAAR3QAAA4AAABkcnMvZTJvRG9jLnhtbO1d&#10;S4/jxhG+B8h/IHQMkBXfD2Fnjc2sdxFgYS+wdh5HDkVJDCiSITmjmZwNJ6ckpxzsIEACJycnh8CX&#10;ZJH4z2Rn/DPyVXfzIQ41KyrQjOT0HmYpPrrZ3V9XV31VXXz83uUyVi7CvIjS5GSkPVJHSpgE6TRK&#10;5iejjz96/n13pBSln0z9OE3Ck9FVWIzee/Ld7zxeZZNQTxdpPA1zBYUkxWSVnYwWZZlNxuMiWIRL&#10;v3iUZmGCi7M0X/olfubz8TT3Vyh9GY91VbXHqzSfZnkahEWBs8/4xZEoMd+mwHQ2i4LwWRqcL8Ok&#10;5KXmYeyXaFKxiLJi9IS97WwWBuWHs1kRlkp8MkJLS/YXleD4jP6Onzz2J/PczxZRIF7B3+YVOm1a&#10;+lGCSuuinvmlr5zn0a2illGQp0U6Kx8F6XLMG8J6BK3Q1E7fvMjT84y1ZT5ZzbO60zFQnV7fudjg&#10;g4tXuRJNgQTTHimJv8SQ37z55O1vf6XQGfTPKptPcNuLPHudvcrFiTn/RU2+nOVL+h+NUS5Zz17V&#10;PRtelkqAk5bhqK6BTg9wTbdU23NF3wcLDBA9Z+uuNVJw2VBtV9X5yASL90UJrmkBmPS44ZkuXR1X&#10;VY/pDesXWmXAZdF0VvG/ddbrhZ+FbAwK6oWqs6quuv7dL69//+X1Hz9VNN5X7C7qKKW8/EGKdtXn&#10;C5zs6a9Wuz3dZT3uT6p+82wMCjXaNIy1NvuTLC/KF2G6VOjgZJQD6gyB/sXLouTdU91CtRZpHE2f&#10;R3HMfuTzs9M4Vy58mhbsH382zha+OCuqK/itrLvXyogTZYVRMyyVPZqkVDivN05wO40DbzIdlZdn&#10;lww6xeQsnV6he/KUT8YiC55HaMJLvyhf+TlmH2AC+VR+iD+zOEUlqTgaKYs0/0Xfebof44yrI2WF&#10;2XwyKn5+7ufhSIl/mAABnmaaNP3ZD9NydPzI21fO2leS8+Vpip7RIAmzgB3S/WVcHc7ydPljiLGn&#10;VCsu+UmAuk9GZXV4WnIZAzEYhE+fspsw4TO/fJm8zgIqmsYhSZ+el+ksYuNF3cT7RvQeUEyz7x7g&#10;7NyGs7MjnF3bQLexaezoXgfOmo2pKyYxq6CewweH5zWsi0mwNl841Fu3oS0S+EcGfA2Tl695LUHO&#10;Viaad5D3QyS5a1u6gL6rOhL6UuYrByzzNaMH+kzJ2An6JNiZ1Hddx6K1o1FipNSX6s5BqTua2QN9&#10;c2eFx/IE9D3bYhNIQp/rrVLTPzhNX4ONfUvhYfJ6J6lvwTwlqa+phoS+NHJh2x2ukas1/NbnX13/&#10;+s/ffP0H/L358i8KrghuAhr/aSJIroq+qGimmuFyXK+S+I7lMH6nkfiCr9E9Tp5tNnDjKCFeyZ9s&#10;IGxqQoXMyppqUQIiN2bgOtHXy2wKoiOZg3WI5yBzgzJnJbaMUhA/PVzPLduVm9/P/GLBbVxWAnVK&#10;v1HLBTtdFvTEPfEUWk1U3LAhvPnbX99+8VVrINusxRYDqemVweZZqiAkK+rN8aAlEPXGzm8ex6LM&#10;/Wi+KE/TJAEHl+ac2jnoUfUni9Cfvp9MlfIqA+GbgOnnOnvpR3FzvswjP5nHoNHAwi3DKei0EDij&#10;o8PDBgwQQV/3Y4ORxmKV2wIbrgcDifNYltuZ5I4BIEpsHA82IK/vxIY3bAHw1GoBcHWJDVrEjldu&#10;kCvgLmzgOmTdELlRMSEeXF5cqtZripQbo2NaU3S4Mu7EBlsXtscG3FAVVQA/icTGUcsNqI53YoO5&#10;sLfHhkv6JrelLb3DoEp9A77VI9JF9Zpb77dTcH3ImqKpuguFUyij0D3wcGNxSkPlyMCBeX6n4Ggz&#10;0e82VEC9aZXHHdpox4rVNAPVSVPlaEwViP670dEma7dBh+5VosNToX6siQ6JDpAfR7WwdDjMLgGm&#10;D2MyITvU2lpxnc7CItFxbOioaY4mmkVvUxtDolk0TXVgGnOlg2CyJjm8alkxIF5wZTM/+tCBicPJ&#10;8H7OW0azHLJzh2KL71KqcB0o3doa0xCNXbkGHAs0wBr4pcZ9XKsmRaRycDRyEecaQAyRi47r1I4B&#10;3e4smfbRiMXavSilHUK3jyxs1ai5pxag23zTEEBrml6HbCNutUM9aTpI7OMI2ZaQPuItCNjfcltG&#10;t2myIZB2XLNy0DleF9GOARObGJGDV10loI8Z0DXN15LRbWpvCKA11WzCETy7Q/J5lghHkIjGfjG5&#10;Swxmzj42PZLcFGr053+/+efXTdwVrjTK9AZSUpnFUfajaueb2CzqmSCdBMegmh120tQFda3DbY7y&#10;N3MMwXl+EU7rCCyjiasjR8l8Kl7bn/4MlsBsGWOTIbY+KpaqG4wwQ8ksXovV0d41WUvgBwnCuyoo&#10;Io/bnt++gC10fQWnehMtHw5hpg8RkJ5DxDkjq5rdw1XYhaZaGHe55MtttPUW+v0ISCzDt3iGdkjq&#10;EESTXw/yj/OvmtORjZJokBvD72FjuFEH1baU2HYg7SBEax5gXCHaEykeKiEtES0RfR+I7vGRGTv7&#10;yPRmyzeyHXSoM131pNohs3fsPRkNZTbpt8twZVe7rA44Q6BqJ1JV2mXfarvM7PGW4VwDpCFrvufQ&#10;ni2mxCKDU4e3QmwapLG0y6Rdtl+7zOxxl+HcbojWNFOvIe26HS1WxsXIzF7EOR5KZi+zx62GcztC&#10;HxRtZcC5DnInoZgmDt2zMc2kMJfCfM/CHAjk2u5/3ry5/uQ3b7/47Jt//+Ptv/6kcP9BizwWKC/6&#10;Ey96FrnNmGri6Q6j6Row6wb2dTI0U/wDCmo5H4JznnmRwF9t8yYvA/IurrkbAuwIj4oy/An0c+50&#10;+N5Y8XSEWKjKShzwKVR7KOiRIirDn7YfUZWFQvkzuTbf8mfUFeBVh1bQfoQX/s5aML3rWt7dgvbd&#10;PRWgP+se8xc8ZaU/CS4T0Ys4QlpFZDrl6SWztKAkoXWL0T8YuVZ38SHCUzQE73gYbW8/zHRbvM92&#10;D6Nd7YfZ+l89zP8XLaDAV0o7G7O0syUSSCJLJ0s7e8ZHHdkgqeH0wnRIe+w5OuDBRHQCH3G6ukQC&#10;zI9Sdl9JvVDdhfdgMhjVNrfEyYZbGwjh/uqu6v+MFcx7tedGPEGvyP1j1WtTa1tT4WF9ZZTeVMzT&#10;niyMD5Wwwqxdpv0bwXBdCKnNmUd4plTNRvJk/GOuzdp7WhtXnsl9sC0JVsVtVRCp8vRW/k2ROFbm&#10;r6AVg68RdPRgUOlxh1YJmAenooTzqM5R4+nI0gSUNdDwkJdVamoyq/Cek2SbPe5QnGsE3hAiiaJU&#10;gVoseYbq2SDW1xCtI2m4hLRMlL3vvO+U5XQD1d72ig4JgSI/v7BDEOXHFYJGVFu2CFbVNFYBdK4N&#10;6/jOMVCqW5UsY6DuO6EZ8d/diBGc21FE4rMKIpoOGQPw5YA1EanpBDPJz0h+Zr/8jN6IyDqsD+d2&#10;g7TjeMImVZFWurPZCp/LkICWa/6+13xK6t+V0Ti3G6Btj5xRXIvVeNxJs9hrqi1IRxnILwP52fe1&#10;9hKnSh8V6iKaqwst8nzb7xdhrxXnU2GXWV1EO5JpkN8v2v/nuOwenQPndhPRjoMkSkxEa6qGb5Kt&#10;adES0DJK9R6iVJFX4LaE3t0uNB1MEK50WLe2w0oR/X8uotn3E/F9SebdE9/CpA9Ytn/juP39zyf/&#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UN&#10;AABbQ29udGVudF9UeXBlc10ueG1sUEsBAhQACgAAAAAAh07iQAAAAAAAAAAAAAAAAAYAAAAAAAAA&#10;AAAQAAAABwwAAF9yZWxzL1BLAQIUABQAAAAIAIdO4kCKFGY80QAAAJQBAAALAAAAAAAAAAEAIAAA&#10;ACsMAABfcmVscy8ucmVsc1BLAQIUAAoAAAAAAIdO4kAAAAAAAAAAAAAAAAAEAAAAAAAAAAAAEAAA&#10;AAAAAABkcnMvUEsBAhQAFAAAAAgAh07iQLjXsurZAAAACQEAAA8AAAAAAAAAAQAgAAAAIgAAAGRy&#10;cy9kb3ducmV2LnhtbFBLAQIUABQAAAAIAIdO4kAz01UGswoAAEd0AAAOAAAAAAAAAAEAIAAAACgB&#10;AABkcnMvZTJvRG9jLnhtbFBLBQYAAAAABgAGAFkBAABNDgAAAAA=&#10;">
                      <o:lock v:ext="edit" aspectratio="f"/>
                      <v:shape id="_x0000_s1026" o:spid="_x0000_s1026" o:spt="202" type="#_x0000_t202" style="position:absolute;left:6285;top:309286;height:433;width:966;" fillcolor="#000000" filled="t" stroked="f" coordsize="21600,21600" o:gfxdata="UEsDBAoAAAAAAIdO4kAAAAAAAAAAAAAAAAAEAAAAZHJzL1BLAwQUAAAACACHTuJAOvp0KLgAAADa&#10;AAAADwAAAGRycy9kb3ducmV2LnhtbEVPyYoCMRC9C/5DKMGbJoqI9Bg9zCB68OAyH1B2ajrNdCpt&#10;J2799UYQPBWPt9Z8eXeVuFITSs8aRkMFgjj3puRCw+9xNZiBCBHZYOWZNDwowHLR7cwxM/7Ge7oe&#10;YiFSCIcMNdgY60zKkFtyGIa+Jk7cn28cxgSbQpoGbyncVXKs1FQ6LDk1WKzp21L+f7g4DRPZql1c&#10;WzrN8rYo2+3P6UxHrfu9kfoCEekeP+K3e2PSfHi98rpy8Q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vp0KLgAAADaAAAA&#10;DwAAAAAAAAABACAAAAAiAAAAZHJzL2Rvd25yZXYueG1sUEsBAhQAFAAAAAgAh07iQDMvBZ47AAAA&#10;OQAAABAAAAAAAAAAAQAgAAAABwEAAGRycy9zaGFwZXhtbC54bWxQSwUGAAAAAAYABgBbAQAAsQMA&#10;AAAA&#10;">
                        <v:fill on="t" opacity="0f" focussize="0,0"/>
                        <v:stroke on="f" weight="0.5pt"/>
                        <v:imagedata o:title=""/>
                        <o:lock v:ext="edit" aspectratio="f"/>
                        <v:textbox>
                          <w:txbxContent>
                            <w:p w14:paraId="39FE5C25">
                              <w:pPr>
                                <w:rPr>
                                  <w:rFonts w:hint="eastAsia" w:eastAsiaTheme="minorEastAsia"/>
                                  <w:sz w:val="21"/>
                                  <w:szCs w:val="21"/>
                                  <w:lang w:val="en-US" w:eastAsia="zh-CN"/>
                                </w:rPr>
                              </w:pPr>
                              <w:r>
                                <w:rPr>
                                  <w:rFonts w:hint="eastAsia"/>
                                  <w:sz w:val="21"/>
                                  <w:szCs w:val="21"/>
                                  <w:lang w:val="en-US" w:eastAsia="zh-CN"/>
                                </w:rPr>
                                <w:t>新鲜水</w:t>
                              </w:r>
                            </w:p>
                          </w:txbxContent>
                        </v:textbox>
                      </v:shape>
                      <v:shape id="_x0000_s1026" o:spid="_x0000_s1026" o:spt="202" type="#_x0000_t202" style="position:absolute;left:8631;top:307296;height:397;width:1648;" fillcolor="#000000" filled="t" stroked="t" coordsize="21600,21600" o:gfxdata="UEsDBAoAAAAAAIdO4kAAAAAAAAAAAAAAAAAEAAAAZHJzL1BLAwQUAAAACACHTuJATuT0absAAADa&#10;AAAADwAAAGRycy9kb3ducmV2LnhtbEWPT4vCMBTE7wt+h/CEvYhN60GlGj0sKIIn/4HHR/NsyyYv&#10;JYlWv/1GEPY4zMxvmOX6aY14kA+tYwVFloMgrpxuuVZwPm3GcxAhIms0jknBiwKsV4OvJZba9Xyg&#10;xzHWIkE4lKigibErpQxVQxZD5jri5N2ctxiT9LXUHvsEt0ZO8nwqLbacFhrs6Keh6vd4twrMdlpd&#10;DqPCX/2r3svdxuzN9qLU97DIFyAiPeN/+NPeaQUzeF9JN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T0absAAADa&#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4FA166CC">
                              <w:pPr>
                                <w:jc w:val="center"/>
                                <w:rPr>
                                  <w:rFonts w:hint="default" w:eastAsiaTheme="minorEastAsia"/>
                                  <w:sz w:val="21"/>
                                  <w:szCs w:val="21"/>
                                  <w:lang w:val="en-US" w:eastAsia="zh-CN"/>
                                </w:rPr>
                              </w:pPr>
                              <w:r>
                                <w:rPr>
                                  <w:rFonts w:hint="eastAsia"/>
                                  <w:sz w:val="21"/>
                                  <w:szCs w:val="21"/>
                                  <w:lang w:val="en-US" w:eastAsia="zh-CN"/>
                                </w:rPr>
                                <w:t>职工生活用水</w:t>
                              </w:r>
                            </w:p>
                          </w:txbxContent>
                        </v:textbox>
                      </v:shape>
                      <v:shape id="_x0000_s1026" o:spid="_x0000_s1026" o:spt="202" type="#_x0000_t202" style="position:absolute;left:8652;top:308076;height:397;width:1648;" fillcolor="#000000" filled="t" stroked="t" coordsize="21600,21600" o:gfxdata="UEsDBAoAAAAAAIdO4kAAAAAAAAAAAAAAAAAEAAAAZHJzL1BLAwQUAAAACACHTuJAHd/Ts7sAAADb&#10;AAAADwAAAGRycy9kb3ducmV2LnhtbEWPS4sCMRCE74L/IfSCF9HM7EFkNHpYUARPvsBjM+mdGTbp&#10;DEl8/fvtg+Ctm6qu+nq5fnqn7hRTF9hAOS1AEdfBdtwYOJ82kzmolJEtusBk4EUJ1qvhYImVDQ8+&#10;0P2YGyUhnCo00ObcV1qnuiWPaRp6YtF+Q/SYZY2NthEfEu6d/i6KmfbYsTS02NNPS/Xf8eYNuO2s&#10;vhzGZbzGV7PXu43bu+3FmNFXWSxAZXrmj/l9vbOCL/Tyiwy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Ts7sAAADb&#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24EA6D99">
                              <w:pPr>
                                <w:jc w:val="center"/>
                                <w:rPr>
                                  <w:rFonts w:hint="default" w:eastAsiaTheme="minorEastAsia"/>
                                  <w:sz w:val="21"/>
                                  <w:szCs w:val="21"/>
                                  <w:lang w:val="en-US" w:eastAsia="zh-CN"/>
                                </w:rPr>
                              </w:pPr>
                              <w:r>
                                <w:rPr>
                                  <w:rFonts w:hint="eastAsia"/>
                                  <w:sz w:val="21"/>
                                  <w:szCs w:val="21"/>
                                  <w:lang w:val="en-US" w:eastAsia="zh-CN"/>
                                </w:rPr>
                                <w:t>生产配比用水</w:t>
                              </w:r>
                            </w:p>
                          </w:txbxContent>
                        </v:textbox>
                      </v:shape>
                      <v:shape id="_x0000_s1026" o:spid="_x0000_s1026" o:spt="202" type="#_x0000_t202" style="position:absolute;left:8648;top:308875;height:397;width:1648;" fillcolor="#000000" filled="t" stroked="t" coordsize="21600,21600" o:gfxdata="UEsDBAoAAAAAAIdO4kAAAAAAAAAAAAAAAAAEAAAAZHJzL1BLAwQUAAAACACHTuJA7Q1NxLsAAADb&#10;AAAADwAAAGRycy9kb3ducmV2LnhtbEVPPWvDMBDdC/0P4gpdSi27gVCcKBkKCYZMdhvIeFgX21Q6&#10;GUmNnX9fBQLZ7vE+b72drREX8mFwrKDIchDErdMDdwp+vnfvnyBCRNZoHJOCKwXYbp6f1lhqN3FN&#10;lyZ2IoVwKFFBH+NYShnaniyGzI3EiTs7bzEm6DupPU4p3Br5kedLaXHg1NDjSF89tb/Nn1Vg9sv2&#10;WL8V/uSv3UFWO3Mw+6NSry9FvgIRaY4P8d1d6TR/Abdf0g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Q1NxLsAAADb&#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447B9467">
                              <w:pPr>
                                <w:jc w:val="center"/>
                                <w:rPr>
                                  <w:rFonts w:hint="default"/>
                                  <w:lang w:val="en-US" w:eastAsia="zh-CN"/>
                                </w:rPr>
                              </w:pPr>
                              <w:r>
                                <w:rPr>
                                  <w:rFonts w:eastAsia="宋体" w:cs="Times New Roman"/>
                                  <w:color w:val="auto"/>
                                  <w:kern w:val="0"/>
                                  <w:sz w:val="21"/>
                                  <w:szCs w:val="21"/>
                                  <w:highlight w:val="none"/>
                                  <w:lang w:bidi="ar"/>
                                </w:rPr>
                                <w:t>车辆冲洗用水</w:t>
                              </w:r>
                            </w:p>
                          </w:txbxContent>
                        </v:textbox>
                      </v:shape>
                      <v:shape id="_x0000_s1026" o:spid="_x0000_s1026" o:spt="202" type="#_x0000_t202" style="position:absolute;left:8659;top:309653;height:397;width:1648;" fillcolor="#000000" filled="t" stroked="t" coordsize="21600,21600" o:gfxdata="UEsDBAoAAAAAAIdO4kAAAAAAAAAAAAAAAAAEAAAAZHJzL1BLAwQUAAAACACHTuJAYuTVsLsAAADb&#10;AAAADwAAAGRycy9kb3ducmV2LnhtbEVPPWvDMBDdC/0P4gpdSi27hFCcKBkKCYZMdhvIeFgX21Q6&#10;GUmNnX9fBQLZ7vE+b72drREX8mFwrKDIchDErdMDdwp+vnfvnyBCRNZoHJOCKwXYbp6f1lhqN3FN&#10;lyZ2IoVwKFFBH+NYShnaniyGzI3EiTs7bzEm6DupPU4p3Br5kedLaXHg1NDjSF89tb/Nn1Vg9sv2&#10;WL8V/uSv3UFWO3Mw+6NSry9FvgIRaY4P8d1d6TR/Abdf0g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TVsLsAAADb&#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37A122BA">
                              <w:pPr>
                                <w:rPr>
                                  <w:rFonts w:hint="default"/>
                                  <w:sz w:val="21"/>
                                  <w:szCs w:val="21"/>
                                  <w:lang w:val="en-US" w:eastAsia="zh-CN"/>
                                </w:rPr>
                              </w:pPr>
                              <w:r>
                                <w:rPr>
                                  <w:rFonts w:hint="default"/>
                                  <w:sz w:val="21"/>
                                  <w:szCs w:val="21"/>
                                  <w:lang w:val="en-US" w:eastAsia="zh-CN"/>
                                </w:rPr>
                                <w:t>喷淋抑尘用水</w:t>
                              </w:r>
                            </w:p>
                          </w:txbxContent>
                        </v:textbox>
                      </v:shape>
                      <v:shape id="_x0000_s1026" o:spid="_x0000_s1026" o:spt="202" type="#_x0000_t202" style="position:absolute;left:8656;top:310353;height:397;width:1648;" fillcolor="#000000" filled="t" stroked="t" coordsize="21600,21600" o:gfxdata="UEsDBAoAAAAAAIdO4kAAAAAAAAAAAAAAAAAEAAAAZHJzL1BLAwQUAAAACACHTuJADahwK7sAAADb&#10;AAAADwAAAGRycy9kb3ducmV2LnhtbEVPPWvDMBDdC/0P4gpdSi27kFCcKBkKCYZMdhvIeFgX21Q6&#10;GUmNnX9fBQLZ7vE+b72drREX8mFwrKDIchDErdMDdwp+vnfvnyBCRNZoHJOCKwXYbp6f1lhqN3FN&#10;lyZ2IoVwKFFBH+NYShnaniyGzI3EiTs7bzEm6DupPU4p3Br5kedLaXHg1NDjSF89tb/Nn1Vg9sv2&#10;WL8V/uSv3UFWO3Mw+6NSry9FvgIRaY4P8d1d6TR/Abdf0g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hwK7sAAADb&#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008CE899">
                              <w:pPr>
                                <w:jc w:val="center"/>
                                <w:rPr>
                                  <w:rFonts w:hint="default"/>
                                  <w:lang w:val="en-US" w:eastAsia="zh-CN"/>
                                </w:rPr>
                              </w:pPr>
                              <w:r>
                                <w:rPr>
                                  <w:rFonts w:hint="eastAsia" w:eastAsia="宋体" w:cs="Times New Roman"/>
                                  <w:color w:val="auto"/>
                                  <w:kern w:val="0"/>
                                  <w:sz w:val="21"/>
                                  <w:szCs w:val="21"/>
                                  <w:highlight w:val="none"/>
                                  <w:lang w:val="en-US" w:eastAsia="zh-CN" w:bidi="ar"/>
                                </w:rPr>
                                <w:t>道路洒水</w:t>
                              </w:r>
                            </w:p>
                          </w:txbxContent>
                        </v:textbox>
                      </v:shape>
                      <v:line id="_x0000_s1026" o:spid="_x0000_s1026" o:spt="20" style="position:absolute;left:7899;top:307571;height:2946;width:6;" filled="f" stroked="t" coordsize="21600,21600" o:gfxdata="UEsDBAoAAAAAAIdO4kAAAAAAAAAAAAAAAAAEAAAAZHJzL1BLAwQUAAAACACHTuJACD56fLkAAADb&#10;AAAADwAAAGRycy9kb3ducmV2LnhtbEVPTUsDMRC9C/0PYQrebLLCFlmb9iBs6cWDVTwPm3F3cTNZ&#10;kumm+uuNIHibx/uc3eHqJ7VQTGNgC9XGgCLughu5t/D22t49gEqC7HAKTBa+KMFhv7rZYeNC5hda&#10;ztKrEsKpQQuDyNxonbqBPKZNmIkL9xGiRykw9tpFzCXcT/remK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eny5AAAA2wAA&#10;AA8AAAAAAAAAAQAgAAAAIgAAAGRycy9kb3ducmV2LnhtbFBLAQIUABQAAAAIAIdO4kAzLwWeOwAA&#10;ADkAAAAQAAAAAAAAAAEAIAAAAAgBAABkcnMvc2hhcGV4bWwueG1sUEsFBgAAAAAGAAYAWwEAALID&#10;AAAAAA==&#10;">
                        <v:fill on="f" focussize="0,0"/>
                        <v:stroke weight="0.5pt" color="#000000 [3213]" joinstyle="round"/>
                        <v:imagedata o:title=""/>
                        <o:lock v:ext="edit" aspectratio="f"/>
                      </v:line>
                      <v:shape id="_x0000_s1026" o:spid="_x0000_s1026" o:spt="32" type="#_x0000_t32" style="position:absolute;left:7122;top:309500;height:0;width:794;" filled="f" stroked="t" coordsize="21600,21600" o:gfxdata="UEsDBAoAAAAAAIdO4kAAAAAAAAAAAAAAAAAEAAAAZHJzL1BLAwQUAAAACACHTuJAUGJlZroAAADb&#10;AAAADwAAAGRycy9kb3ducmV2LnhtbEVPS2sCMRC+F/wPYQpeSk30YNvV6EFoUfDiWsHjsBl3l24m&#10;y2Z8/nojCL3Nx/ec6fziG3WiLtaBLQwHBhRxEVzNpYXf7ff7J6goyA6bwGThShHms97LFDMXzryh&#10;Uy6lSiEcM7RQibSZ1rGoyGMchJY4cYfQeZQEu1K7Ds8p3Dd6ZMxYe6w5NVTY0qKi4i8/egtieJvX&#10;x/1Kfq5fN7MeNQbfdtb2X4dmAkroIv/ip3vp0vwPePySDt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YmVm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32" type="#_x0000_t32" style="position:absolute;left:7893;top:307581;height:0;width:737;" filled="f" stroked="t" coordsize="21600,21600" o:gfxdata="UEsDBAoAAAAAAIdO4kAAAAAAAAAAAAAAAAAEAAAAZHJzL1BLAwQUAAAACACHTuJAIf3xFL0AAADb&#10;AAAADwAAAGRycy9kb3ducmV2LnhtbEWPT2sCQQzF74V+hyFCL0Vn9FDa1dGD0NJCL64KPYaduLu4&#10;k1l24r9+enMo9JbwXt77ZbG6xs6cachtYg/TiQNDXKXQcu1ht30fv4LJghywS0webpRhtXx8WGAR&#10;0oU3dC6lNhrCuUAPjUhfWJurhiLmSeqJVTukIaLoOtQ2DHjR8NjZmXMvNmLL2tBgT+uGqmN5ih7E&#10;8bZsTz9f8nF7+3Xfs87h8977p9HUzcEIXeXf/Hf9GRRfYfUXHc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fEU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7909;top:308281;height:0;width:737;" filled="f" stroked="t" coordsize="21600,21600" o:gfxdata="UEsDBAoAAAAAAIdO4kAAAAAAAAAAAAAAAAAEAAAAZHJzL1BLAwQUAAAACACHTuJATrFUj7oAAADb&#10;AAAADwAAAGRycy9kb3ducmV2LnhtbEVPS2vCQBC+C/6HZQQvUnf1UGp09SC0tNBLo0KPQ3ZMgtnZ&#10;kJ34+vVdQehtPr7nrDZX36gzdbEObGE2NaCIi+BqLi3sd+8vb6CiIDtsApOFG0XYrIeDFWYuXPiH&#10;zrmUKoVwzNBCJdJmWseiIo9xGlrixB1D51ES7ErtOrykcN/ouTGv2mPNqaHClrYVFae89xbE8C6v&#10;+98v+bgt7uZ73hicHKwdj2ZmCUroKv/ip/vTpfkLePySDt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sVSP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32" type="#_x0000_t32" style="position:absolute;left:7898;top:309083;height:0;width:737;" filled="f" stroked="t" coordsize="21600,21600" o:gfxdata="UEsDBAoAAAAAAIdO4kAAAAAAAAAAAAAAAAAEAAAAZHJzL1BLAwQUAAAACACHTuJAEec3r7oAAADb&#10;AAAADwAAAGRycy9kb3ducmV2LnhtbEVPO2vDMBDeC/kP4gJZSiPFQ2jcyB4CKQ1kqdNCxsO62qbW&#10;yViX56+vhkDHj++9Lq++V2caYxfYwmJuQBHXwXXcWPg6bF9eQUVBdtgHJgs3ilAWk6c15i5c+JPO&#10;lTQqhXDM0UIrMuRax7olj3EeBuLE/YTRoyQ4NtqNeEnhvteZMUvtsePU0OJAm5bq3+rkLYjhQ9Wd&#10;jjt5v63uZp/1Bp+/rZ1NF+YNlNBV/sUP94ezkKX16Uv6Abr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5zev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32" type="#_x0000_t32" style="position:absolute;left:7914;top:309863;height:0;width:737;" filled="f" stroked="t" coordsize="21600,21600" o:gfxdata="UEsDBAoAAAAAAIdO4kAAAAAAAAAAAAAAAAAEAAAAZHJzL1BLAwQUAAAACACHTuJAfquSNL0AAADb&#10;AAAADwAAAGRycy9kb3ducmV2LnhtbEWPzWrDMBCE74W+g9hCLqWR7ENI3Cg5FFoS6CVOAj0u1tY2&#10;tVbG2vw+fRUI5DjMzDfMfHn2nTrSENvAFrKxAUVcBddybWG3/XybgoqC7LALTBYuFGG5eH6aY+HC&#10;iTd0LKVWCcKxQAuNSF9oHauGPMZx6ImT9xsGj5LkUGs34CnBfadzYybaY8tpocGePhqq/sqDtyCG&#10;t2V7+FnL12V2Nd95Z/B1b+3oJTPvoITO8gjf2ytnIc/g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5I0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7894;top:310525;height:0;width:737;" filled="f" stroked="t" coordsize="21600,21600" o:gfxdata="UEsDBAoAAAAAAIdO4kAAAAAAAAAAAAAAAAAEAAAAZHJzL1BLAwQUAAAACACHTuJAjnkMQ70AAADb&#10;AAAADwAAAGRycy9kb3ducmV2LnhtbEWPT2vCQBTE70K/w/IKvYjumkPR6OpBUFropVHB4yP7TILZ&#10;tyH7/NdP3y0UPA4z8xtmsbr7Vl2pj01gC5OxAUVcBtdwZWG/24ymoKIgO2wDk4UHRVgtXwYLzF24&#10;8TddC6lUgnDM0UIt0uVax7Imj3EcOuLknULvUZLsK+16vCW4b3VmzLv22HBaqLGjdU3lubh4C2J4&#10;VzSX46dsH7Mf85W1BocHa99eJ2YOSuguz/B/+8NZyDL4+5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eQxD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10287;top:307509;height:0;width:794;" filled="f" stroked="t" coordsize="21600,21600" o:gfxdata="UEsDBAoAAAAAAIdO4kAAAAAAAAAAAAAAAAAEAAAAZHJzL1BLAwQUAAAACACHTuJA4TWp2L0AAADb&#10;AAAADwAAAGRycy9kb3ducmV2LnhtbEWPT2vCQBTE7wW/w/IKvRTdNYVSU1cPglLBi7GCx0f2NQnN&#10;vg3Z599P7xaEHoeZ+Q0znV98q07UxyawhfHIgCIug2u4svC9Ww4/QEVBdtgGJgtXijCfDZ6mmLtw&#10;5i2dCqlUgnDM0UIt0uVax7Imj3EUOuLk/YTeoyTZV9r1eE5w3+rMmHftseG0UGNHi5rK3+LoLYjh&#10;XdEcD2tZXSc3s8lag697a1+ex+YTlNBF/sOP9pezkL3B35f0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NanY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10311;top:308280;height:0;width:1134;" filled="f" stroked="t" coordsize="21600,21600" o:gfxdata="UEsDBAoAAAAAAIdO4kAAAAAAAAAAAAAAAAAEAAAAZHJzL1BLAwQUAAAACACHTuJAbtwxrL0AAADb&#10;AAAADwAAAGRycy9kb3ducmV2LnhtbEWPT2vCQBTE7wW/w/IKvRTdNZRSU1cPglLBi7GCx0f2NQnN&#10;vg3Z599P7xaEHoeZ+Q0znV98q07UxyawhfHIgCIug2u4svC9Ww4/QEVBdtgGJgtXijCfDZ6mmLtw&#10;5i2dCqlUgnDM0UIt0uVax7Imj3EUOuLk/YTeoyTZV9r1eE5w3+rMmHftseG0UGNHi5rK3+LoLYjh&#10;XdEcD2tZXSc3s8lag697a1+ex+YTlNBF/sOP9pezkL3B35f0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3DGs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10297;top:309014;height:0;width:1134;" filled="f" stroked="t" coordsize="21600,21600" o:gfxdata="UEsDBAoAAAAAAIdO4kAAAAAAAAAAAAAAAAAEAAAAZHJzL1BLAwQUAAAACACHTuJAAZCUN70AAADb&#10;AAAADwAAAGRycy9kb3ducmV2LnhtbEWPT2vCQBTE7wW/w/IKvRTdNdBSU1cPglLBi7GCx0f2NQnN&#10;vg3Z599P7xaEHoeZ+Q0znV98q07UxyawhfHIgCIug2u4svC9Ww4/QEVBdtgGJgtXijCfDZ6mmLtw&#10;5i2dCqlUgnDM0UIt0uVax7Imj3EUOuLk/YTeoyTZV9r1eE5w3+rMmHftseG0UGNHi5rK3+LoLYjh&#10;XdEcD2tZXSc3s8lag697a1+ex+YTlNBF/sOP9pezkL3B35f0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kJQ3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10308;top:309879;height:0;width:1134;" filled="f" stroked="t" coordsize="21600,21600" o:gfxdata="UEsDBAoAAAAAAIdO4kAAAAAAAAAAAAAAAAAEAAAAZHJzL1BLAwQUAAAACACHTuJA8UIKQL0AAADb&#10;AAAADwAAAGRycy9kb3ducmV2LnhtbEWPT2vCQBTE74LfYXmFXkR3zUE0unooWFroxajg8ZF9TUKz&#10;b0P2+a+f3i0UPA4z8xtmtbn5Vl2oj01gC9OJAUVcBtdwZeGw347noKIgO2wDk4U7Rdish4MV5i5c&#10;eUeXQiqVIBxztFCLdLnWsazJY5yEjjh536H3KEn2lXY9XhPctzozZqY9NpwWauzorabypzh7C2J4&#10;XzTn06e83xe/5itrDY6O1r6+TM0SlNBNnuH/9oezkM3g70v6AXr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gpA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202" type="#_x0000_t202" style="position:absolute;left:11070;top:307308;height:397;width:934;" fillcolor="#000000" filled="t" stroked="t" coordsize="21600,21600" o:gfxdata="UEsDBAoAAAAAAIdO4kAAAAAAAAAAAAAAAAAEAAAAZHJzL1BLAwQUAAAACACHTuJAQomwk70AAADb&#10;AAAADwAAAGRycy9kb3ducmV2LnhtbEWPwWrDMBBE74H+g9hCL6WRnYNp3cg+FBICPsWtocfF2tgm&#10;0spIahL/fVUo5DjMzBtmW9+sERfyYXKsIF9nIIh7pyceFHx97l5eQYSIrNE4JgULBairh9UWS+2u&#10;fKRLGweRIBxKVDDGOJdShn4ki2HtZuLknZy3GJP0g9QerwlujdxkWSEtTpwWRpzpY6T+3P5YBWZf&#10;9N3xOffffhkaediZxuw7pZ4e8+wdRKRbvIf/2wetYPMGf1/SD5D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ibCTvQAA&#10;ANsAAAAPAAAAAAAAAAEAIAAAACIAAABkcnMvZG93bnJldi54bWxQSwECFAAUAAAACACHTuJAMy8F&#10;njsAAAA5AAAAEAAAAAAAAAABACAAAAAMAQAAZHJzL3NoYXBleG1sLnhtbFBLBQYAAAAABgAGAFsB&#10;AAC2AwAAAAA=&#10;">
                        <v:fill on="t" opacity="0f" focussize="0,0"/>
                        <v:stroke weight="0.5pt" color="#000000 [3213]" joinstyle="round"/>
                        <v:imagedata o:title=""/>
                        <o:lock v:ext="edit" aspectratio="f"/>
                        <v:textbox>
                          <w:txbxContent>
                            <w:p w14:paraId="45F8E503">
                              <w:pPr>
                                <w:jc w:val="center"/>
                                <w:rPr>
                                  <w:rFonts w:hint="default" w:eastAsiaTheme="minorEastAsia"/>
                                  <w:sz w:val="21"/>
                                  <w:szCs w:val="21"/>
                                  <w:lang w:val="en-US" w:eastAsia="zh-CN"/>
                                </w:rPr>
                              </w:pPr>
                              <w:r>
                                <w:rPr>
                                  <w:rFonts w:hint="eastAsia"/>
                                  <w:sz w:val="21"/>
                                  <w:szCs w:val="21"/>
                                  <w:lang w:val="en-US" w:eastAsia="zh-CN"/>
                                </w:rPr>
                                <w:t>化粪池</w:t>
                              </w:r>
                            </w:p>
                          </w:txbxContent>
                        </v:textbox>
                      </v:shape>
                      <v:shape id="_x0000_s1026" o:spid="_x0000_s1026" o:spt="32" type="#_x0000_t32" style="position:absolute;left:12012;top:307521;height:0;width:794;" filled="f" stroked="t" coordsize="21600,21600" o:gfxdata="UEsDBAoAAAAAAIdO4kAAAAAAAAAAAAAAAAAEAAAAZHJzL1BLAwQUAAAACACHTuJAlD6hcroAAADb&#10;AAAADwAAAGRycy9kb3ducmV2LnhtbEVPS2vCQBC+F/oflil4KbqrQqnRTQ6FlgpeGi14HLJjEszO&#10;huz4/PXuodDjx/deFVffqTMNsQ1sYToxoIir4FquLey2n+N3UFGQHXaBycKNIhT589MKMxcu/EPn&#10;UmqVQjhmaKER6TOtY9WQxzgJPXHiDmHwKAkOtXYDXlK47/TMmDftseXU0GBPHw1Vx/LkLYjhbdme&#10;9mv5ui3uZjPrDL7+Wjt6mZolKKGr/Iv/3N/OwjytT1/SD9D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PqFy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202" type="#_x0000_t202" style="position:absolute;left:7873;top:307269;height:397;width:634;" fillcolor="#000000" filled="t" stroked="f" coordsize="21600,21600" o:gfxdata="UEsDBAoAAAAAAIdO4kAAAAAAAAAAAAAAAAAEAAAAZHJzL1BLAwQUAAAACACHTuJA38zmv70AAADb&#10;AAAADwAAAGRycy9kb3ducmV2LnhtbEWPzW7CMBCE75X6DtYicSt2CkIoYDhQVe2BAxAeYIm3cdR4&#10;ncYuP3l6jITEcTQz32gWq4trxIm6UHvWkI0UCOLSm5orDYfi820GIkRkg41n0nClAKvl68sCc+PP&#10;vKPTPlYiQTjkqMHG2OZShtKSwzDyLXHyfnznMCbZVdJ0eE5w18h3pabSYc1pwWJLa0vl7/7faZjI&#10;Xm3jl6XjrOyrut98HP+o0Ho4yNQcRKRLfIYf7W+jYZzB/U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zOa/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6CD82B92">
                              <w:pPr>
                                <w:jc w:val="center"/>
                                <w:rPr>
                                  <w:rFonts w:hint="default" w:eastAsiaTheme="minorEastAsia"/>
                                  <w:sz w:val="20"/>
                                  <w:szCs w:val="20"/>
                                  <w:lang w:val="en-US" w:eastAsia="zh-CN"/>
                                </w:rPr>
                              </w:pPr>
                              <w:r>
                                <w:rPr>
                                  <w:rFonts w:hint="eastAsia"/>
                                  <w:sz w:val="20"/>
                                  <w:szCs w:val="20"/>
                                  <w:lang w:val="en-US" w:eastAsia="zh-CN"/>
                                </w:rPr>
                                <w:t>500</w:t>
                              </w:r>
                            </w:p>
                          </w:txbxContent>
                        </v:textbox>
                      </v:shape>
                      <v:shape id="_x0000_s1026" o:spid="_x0000_s1026" o:spt="202" type="#_x0000_t202" style="position:absolute;left:11231;top:308075;height:397;width:1283;" fillcolor="#000000" filled="t" stroked="f" coordsize="21600,21600" o:gfxdata="UEsDBAoAAAAAAIdO4kAAAAAAAAAAAAAAAAAEAAAAZHJzL1BLAwQUAAAACACHTuJALx54yLwAAADb&#10;AAAADwAAAGRycy9kb3ducmV2LnhtbEWPy4oCMRRE98L8Q7gD7jTxgUiP0YWDzCxc+PqAa+dOp7Fz&#10;09OJr/56Iwgui6o6Rc0WN1eJCzWh9Kxh0FcgiHNvSi40HPar3hREiMgGK8+k4U4BFvOPzgwz46+8&#10;pcsuFiJBOGSowcZYZ1KG3JLD0Pc1cfL+fOMwJtkU0jR4TXBXyaFSE+mw5LRgsaalpfy0OzsNY9mq&#10;TfyxdJzmbVG26+/jP+217n4O1BeISLf4Dr/av0bDaAjPL+k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eeMi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67C53551">
                              <w:pPr>
                                <w:jc w:val="center"/>
                                <w:rPr>
                                  <w:rFonts w:hint="default" w:eastAsiaTheme="minorEastAsia"/>
                                  <w:sz w:val="21"/>
                                  <w:szCs w:val="21"/>
                                  <w:lang w:val="en-US" w:eastAsia="zh-CN"/>
                                </w:rPr>
                              </w:pPr>
                              <w:r>
                                <w:rPr>
                                  <w:rFonts w:hint="eastAsia"/>
                                  <w:sz w:val="21"/>
                                  <w:szCs w:val="21"/>
                                  <w:lang w:val="en-US" w:eastAsia="zh-CN"/>
                                </w:rPr>
                                <w:t>进入产品</w:t>
                              </w:r>
                            </w:p>
                          </w:txbxContent>
                        </v:textbox>
                      </v:shape>
                      <v:shape id="_x0000_s1026" o:spid="_x0000_s1026" o:spt="202" type="#_x0000_t202" style="position:absolute;left:7849;top:307975;height:397;width:735;" fillcolor="#000000" filled="t" stroked="f" coordsize="21600,21600" o:gfxdata="UEsDBAoAAAAAAIdO4kAAAAAAAAAAAAAAAAAEAAAAZHJzL1BLAwQUAAAACACHTuJAQFLdU70AAADb&#10;AAAADwAAAGRycy9kb3ducmV2LnhtbEWPwW7CMBBE75X4B2uReis2paqigOEAquihh5bwAUu8xBHx&#10;OsQmofn6ulKlHkcz80az2txdI3rqQu1Zw3ymQBCX3tRcaTgWb08ZiBCRDTaeScM3BdisJw8rzI0f&#10;+Iv6Q6xEgnDIUYONsc2lDKUlh2HmW+LknX3nMCbZVdJ0OCS4a+SzUq/SYc1pwWJLW0vl5XBzGl7k&#10;qD7j3tIpK8eqHj92pysVWj9O52oJItI9/of/2u9Gw2IB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Ut1T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530EE181">
                              <w:pPr>
                                <w:jc w:val="center"/>
                                <w:rPr>
                                  <w:rFonts w:hint="default" w:eastAsiaTheme="minorEastAsia"/>
                                  <w:sz w:val="20"/>
                                  <w:szCs w:val="20"/>
                                  <w:lang w:val="en-US" w:eastAsia="zh-CN"/>
                                </w:rPr>
                              </w:pPr>
                              <w:r>
                                <w:rPr>
                                  <w:rFonts w:hint="eastAsia"/>
                                  <w:sz w:val="20"/>
                                  <w:szCs w:val="20"/>
                                  <w:lang w:val="en-US" w:eastAsia="zh-CN"/>
                                </w:rPr>
                                <w:t>3000</w:t>
                              </w:r>
                            </w:p>
                          </w:txbxContent>
                        </v:textbox>
                      </v:shape>
                      <v:shape id="_x0000_s1026" o:spid="_x0000_s1026" o:spt="202" type="#_x0000_t202" style="position:absolute;left:10493;top:307960;height:397;width:957;" fillcolor="#000000" filled="t" stroked="f" coordsize="21600,21600" o:gfxdata="UEsDBAoAAAAAAIdO4kAAAAAAAAAAAAAAAAAEAAAAZHJzL1BLAwQUAAAACACHTuJAz7tFJ70AAADb&#10;AAAADwAAAGRycy9kb3ducmV2LnhtbEWPwW7CMBBE75X4B2uReis2LaqigOEAquihh5bwAUu8xBHx&#10;OsQmofn6ulKlHkcz80az2txdI3rqQu1Zw3ymQBCX3tRcaTgWb08ZiBCRDTaeScM3BdisJw8rzI0f&#10;+Iv6Q6xEgnDIUYONsc2lDKUlh2HmW+LknX3nMCbZVdJ0OCS4a+SzUq/SYc1pwWJLW0vl5XBzGhZy&#10;VJ9xb+mUlWNVjx+705UKrR+nc7UEEeke/8N/7Xej4WUB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0Un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08CA93C5">
                              <w:pPr>
                                <w:jc w:val="center"/>
                                <w:rPr>
                                  <w:rFonts w:hint="default" w:eastAsiaTheme="minorEastAsia"/>
                                  <w:sz w:val="20"/>
                                  <w:szCs w:val="20"/>
                                  <w:lang w:val="en-US" w:eastAsia="zh-CN"/>
                                </w:rPr>
                              </w:pPr>
                              <w:r>
                                <w:rPr>
                                  <w:rFonts w:hint="eastAsia"/>
                                  <w:sz w:val="20"/>
                                  <w:szCs w:val="20"/>
                                  <w:lang w:val="en-US" w:eastAsia="zh-CN"/>
                                </w:rPr>
                                <w:t>3000</w:t>
                              </w:r>
                            </w:p>
                          </w:txbxContent>
                        </v:textbox>
                      </v:shape>
                      <v:shape id="_x0000_s1026" o:spid="_x0000_s1026" o:spt="38" type="#_x0000_t38" style="position:absolute;left:9479;top:307044;flip:y;height:237;width:424;" filled="f" stroked="t" coordsize="21600,21600" o:gfxdata="UEsDBAoAAAAAAIdO4kAAAAAAAAAAAAAAAAAEAAAAZHJzL1BLAwQUAAAACACHTuJA7ENxob0AAADb&#10;AAAADwAAAGRycy9kb3ducmV2LnhtbEWPQYvCMBSE7wv+h/CEva1pXRWpRg/KQg+LYuvB47N5tsXm&#10;pTRZq/9+Iwgeh5n5hlmu76YRN+pcbVlBPIpAEBdW11wqOOY/X3MQziNrbCyTggc5WK8GH0tMtO35&#10;QLfMlyJA2CWooPK+TaR0RUUG3ci2xMG72M6gD7Irpe6wD3DTyHEUzaTBmsNChS1tKiqu2Z9RkE/x&#10;asvzbJf1E3fa79N6+0sPpT6HcbQA4enu3+FXO9UKvqfw/BJ+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3GhvQAA&#10;ANsAAAAPAAAAAAAAAAEAIAAAACIAAABkcnMvZG93bnJldi54bWxQSwECFAAUAAAACACHTuJAMy8F&#10;njsAAAA5AAAAEAAAAAAAAAABACAAAAAMAQAAZHJzL3NoYXBleG1sLnhtbFBLBQYAAAAABgAGAFsB&#10;AAC2AwAAAAA=&#10;" adj="10851">
                        <v:fill on="f" focussize="0,0"/>
                        <v:stroke weight="0.5pt" color="#000000 [3213]" joinstyle="round" dashstyle="3 1" endarrow="block"/>
                        <v:imagedata o:title=""/>
                        <o:lock v:ext="edit" aspectratio="f"/>
                      </v:shape>
                      <v:shape id="_x0000_s1026" o:spid="_x0000_s1026" o:spt="202" type="#_x0000_t202" style="position:absolute;left:9725;top:306802;height:397;width:1051;" fillcolor="#000000" filled="t" stroked="f" coordsize="21600,21600" o:gfxdata="UEsDBAoAAAAAAIdO4kAAAAAAAAAAAAAAAAAEAAAAZHJzL1BLAwQUAAAACACHTuJAUCV+y70AAADb&#10;AAAADwAAAGRycy9kb3ducmV2LnhtbEWPwW7CMBBE75X4B2uReis2bYWigOEAquihh5bwAUu8xBHx&#10;OsQmofn6ulKlHkcz80az2txdI3rqQu1Zw3ymQBCX3tRcaTgWb08ZiBCRDTaeScM3BdisJw8rzI0f&#10;+Iv6Q6xEgnDIUYONsc2lDKUlh2HmW+LknX3nMCbZVdJ0OCS4a+SzUgvpsOa0YLGlraXycrg5Da9y&#10;VJ9xb+mUlWNVjx+705UKrR+nc7UEEeke/8N/7Xej4WUB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JX7L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5C5E9E6D">
                              <w:pPr>
                                <w:jc w:val="center"/>
                                <w:rPr>
                                  <w:rFonts w:hint="default" w:eastAsiaTheme="minorEastAsia"/>
                                  <w:sz w:val="20"/>
                                  <w:szCs w:val="20"/>
                                  <w:lang w:val="en-US" w:eastAsia="zh-CN"/>
                                </w:rPr>
                              </w:pPr>
                              <w:r>
                                <w:rPr>
                                  <w:rFonts w:hint="eastAsia"/>
                                  <w:sz w:val="20"/>
                                  <w:szCs w:val="20"/>
                                  <w:lang w:val="en-US" w:eastAsia="zh-CN"/>
                                </w:rPr>
                                <w:t>损耗100</w:t>
                              </w:r>
                            </w:p>
                          </w:txbxContent>
                        </v:textbox>
                      </v:shape>
                      <v:shape id="_x0000_s1026" o:spid="_x0000_s1026" o:spt="202" type="#_x0000_t202" style="position:absolute;left:10314;top:307174;height:397;width:634;" fillcolor="#000000" filled="t" stroked="f" coordsize="21600,21600" o:gfxdata="UEsDBAoAAAAAAIdO4kAAAAAAAAAAAAAAAAAEAAAAZHJzL1BLAwQUAAAACACHTuJAP2nbULwAAADb&#10;AAAADwAAAGRycy9kb3ducmV2LnhtbEWPzW7CMBCE75V4B2uRuBUbqAoKGA4gBIceWuABlniJI+J1&#10;iM1fnr6uVInjaGa+0cwWD1eJGzWh9Kxh0FcgiHNvSi40HPbr9wmIEJENVp5Jw5MCLOadtxlmxt/5&#10;h267WIgE4ZChBhtjnUkZcksOQ9/XxMk7+cZhTLIppGnwnuCukkOlPqXDktOCxZqWlvLz7uo0fMhW&#10;fceNpeMkb4uy/VodL7TXutcdqCmISI/4Cv+3t0bDaAx/X9IP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p21C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422AC766">
                              <w:pPr>
                                <w:jc w:val="center"/>
                                <w:rPr>
                                  <w:rFonts w:hint="default" w:eastAsiaTheme="minorEastAsia"/>
                                  <w:sz w:val="20"/>
                                  <w:szCs w:val="20"/>
                                  <w:lang w:val="en-US" w:eastAsia="zh-CN"/>
                                </w:rPr>
                              </w:pPr>
                              <w:r>
                                <w:rPr>
                                  <w:rFonts w:hint="eastAsia"/>
                                  <w:sz w:val="20"/>
                                  <w:szCs w:val="20"/>
                                  <w:lang w:val="en-US" w:eastAsia="zh-CN"/>
                                </w:rPr>
                                <w:t>400</w:t>
                              </w:r>
                            </w:p>
                          </w:txbxContent>
                        </v:textbox>
                      </v:shape>
                      <v:shape id="_x0000_s1026" o:spid="_x0000_s1026" o:spt="202" type="#_x0000_t202" style="position:absolute;left:11974;top:307192;height:397;width:634;" fillcolor="#000000" filled="t" stroked="f" coordsize="21600,21600" o:gfxdata="UEsDBAoAAAAAAIdO4kAAAAAAAAAAAAAAAAAEAAAAZHJzL1BLAwQUAAAACACHTuJATvZPIroAAADb&#10;AAAADwAAAGRycy9kb3ducmV2LnhtbEVPvW7CMBDeK/EO1iGxNXZoVUUBwwBC7dChBR7giI84Ij6H&#10;2A2Qp6+HSh0/ff/L9d21YqA+NJ415JkCQVx503Ct4XjYPRcgQkQ22HomDQ8KsF5NnpZYGn/jbxr2&#10;sRYphEOJGmyMXSllqCw5DJnviBN39r3DmGBfS9PjLYW7Vs6VepMOG04NFjvaWKou+x+n4VWO6iu+&#10;WzoV1Vg34+f2dKWD1rNprhYgIt3jv/jP/WE0vKSx6Uv6A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9k8iugAAANsA&#10;AAAPAAAAAAAAAAEAIAAAACIAAABkcnMvZG93bnJldi54bWxQSwECFAAUAAAACACHTuJAMy8FnjsA&#10;AAA5AAAAEAAAAAAAAAABACAAAAAJAQAAZHJzL3NoYXBleG1sLnhtbFBLBQYAAAAABgAGAFsBAACz&#10;AwAAAAA=&#10;">
                        <v:fill on="t" opacity="0f" focussize="0,0"/>
                        <v:stroke on="f" weight="0.5pt"/>
                        <v:imagedata o:title=""/>
                        <o:lock v:ext="edit" aspectratio="f"/>
                        <v:textbox>
                          <w:txbxContent>
                            <w:p w14:paraId="7BC63E56">
                              <w:pPr>
                                <w:jc w:val="center"/>
                                <w:rPr>
                                  <w:rFonts w:hint="default" w:eastAsiaTheme="minorEastAsia"/>
                                  <w:sz w:val="20"/>
                                  <w:szCs w:val="20"/>
                                  <w:lang w:val="en-US" w:eastAsia="zh-CN"/>
                                </w:rPr>
                              </w:pPr>
                              <w:r>
                                <w:rPr>
                                  <w:rFonts w:hint="eastAsia"/>
                                  <w:sz w:val="20"/>
                                  <w:szCs w:val="20"/>
                                  <w:lang w:val="en-US" w:eastAsia="zh-CN"/>
                                </w:rPr>
                                <w:t>4000</w:t>
                              </w:r>
                            </w:p>
                          </w:txbxContent>
                        </v:textbox>
                      </v:shape>
                      <v:shape id="_x0000_s1026" o:spid="_x0000_s1026" o:spt="202" type="#_x0000_t202" style="position:absolute;left:12652;top:307295;height:397;width:2091;" fillcolor="#000000" filled="t" stroked="f" coordsize="21600,21600" o:gfxdata="UEsDBAoAAAAAAIdO4kAAAAAAAAAAAAAAAAAEAAAAZHJzL1BLAwQUAAAACACHTuJAIbrqubwAAADb&#10;AAAADwAAAGRycy9kb3ducmV2LnhtbEWPzW7CMBCE75V4B2uRuBUbqCoIGA4gBIceWuABlniJI+J1&#10;iM1fnr6uVInjaGa+0cwWD1eJGzWh9Kxh0FcgiHNvSi40HPbr9zGIEJENVp5Jw5MCLOadtxlmxt/5&#10;h267WIgE4ZChBhtjnUkZcksOQ9/XxMk7+cZhTLIppGnwnuCukkOlPqXDktOCxZqWlvLz7uo0fMhW&#10;fceNpeM4b4uy/VodL7TXutcdqCmISI/4Cv+3t0bDaAJ/X9IP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66rm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239C2129">
                              <w:pPr>
                                <w:jc w:val="center"/>
                                <w:rPr>
                                  <w:rFonts w:hint="default" w:eastAsiaTheme="minorEastAsia"/>
                                  <w:sz w:val="21"/>
                                  <w:szCs w:val="21"/>
                                  <w:lang w:val="en-US" w:eastAsia="zh-CN"/>
                                </w:rPr>
                              </w:pPr>
                              <w:r>
                                <w:rPr>
                                  <w:rFonts w:hint="eastAsia"/>
                                  <w:sz w:val="21"/>
                                  <w:szCs w:val="21"/>
                                  <w:lang w:val="en-US" w:eastAsia="zh-CN"/>
                                </w:rPr>
                                <w:t>定期清掏，不外排</w:t>
                              </w:r>
                            </w:p>
                          </w:txbxContent>
                        </v:textbox>
                      </v:shape>
                      <v:shape id="_x0000_s1026" o:spid="_x0000_s1026" o:spt="38" type="#_x0000_t38" style="position:absolute;left:9487;top:308633;flip:y;height:237;width:424;" filled="f" stroked="t" coordsize="21600,21600" o:gfxdata="UEsDBAoAAAAAAIdO4kAAAAAAAAAAAAAAAAAEAAAAZHJzL1BLAwQUAAAACACHTuJApDKhRLYAAADb&#10;AAAADwAAAGRycy9kb3ducmV2LnhtbEVPzQ7BQBC+S7zDZiRubAkiZTkQiYMQrYPj6I620Z1tukt5&#10;e3uQOH75/pfrt6nEixpXWlYwGkYgiDOrS84VXNLdYA7CeWSNlWVS8CEH61W3s8RY25bP9Ep8LkII&#10;uxgVFN7XsZQuK8igG9qaOHB32xj0ATa51A22IdxUchxFM2mw5NBQYE2bgrJH8jQK0ik+bH6bHZN2&#10;4q6n077cHuijVL83ihYgPL39X/xz77WCSVgfvoQf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yoUS2AAAA2wAAAA8A&#10;AAAAAAAAAQAgAAAAIgAAAGRycy9kb3ducmV2LnhtbFBLAQIUABQAAAAIAIdO4kAzLwWeOwAAADkA&#10;AAAQAAAAAAAAAAEAIAAAAAUBAABkcnMvc2hhcGV4bWwueG1sUEsFBgAAAAAGAAYAWwEAAK8DAAAA&#10;AA==&#10;" adj="10851">
                        <v:fill on="f" focussize="0,0"/>
                        <v:stroke weight="0.5pt" color="#000000 [3213]" joinstyle="round" dashstyle="3 1" endarrow="block"/>
                        <v:imagedata o:title=""/>
                        <o:lock v:ext="edit" aspectratio="f"/>
                      </v:shape>
                      <v:shape id="_x0000_s1026" o:spid="_x0000_s1026" o:spt="202" type="#_x0000_t202" style="position:absolute;left:9717;top:308450;height:397;width:1349;" fillcolor="#000000" filled="t" stroked="f" coordsize="21600,21600" o:gfxdata="UEsDBAoAAAAAAIdO4kAAAAAAAAAAAAAAAAAEAAAAZHJzL1BLAwQUAAAACACHTuJAh8qVwrsAAADb&#10;AAAADwAAAGRycy9kb3ducmV2LnhtbEWPzYoCMRCE7wu+Q2hhb2sysiwyGj0oy3rw4N8DtJN2Mjjp&#10;jJP4N09vFgSPRdVXRU1md1eLK7Wh8qwhGygQxIU3FZca9rvfrxGIEJEN1p5Jw4MCzKa9jwnmxt94&#10;Q9dtLEUq4ZCjBhtjk0sZCksOw8A3xMk7+tZhTLItpWnxlspdLYdK/UiHFacFiw3NLRWn7cVp+Jad&#10;Wsc/S4dR0ZVVt1oczrTT+rOfqTGISPf4Dr/opUlcBv9f0g+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8qVwrsAAADb&#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14:paraId="706AEA06">
                              <w:pPr>
                                <w:jc w:val="center"/>
                                <w:rPr>
                                  <w:rFonts w:hint="default" w:eastAsiaTheme="minorEastAsia"/>
                                  <w:sz w:val="20"/>
                                  <w:szCs w:val="20"/>
                                  <w:highlight w:val="none"/>
                                  <w:lang w:val="en-US" w:eastAsia="zh-CN"/>
                                </w:rPr>
                              </w:pPr>
                              <w:r>
                                <w:rPr>
                                  <w:rFonts w:hint="eastAsia"/>
                                  <w:sz w:val="20"/>
                                  <w:szCs w:val="20"/>
                                  <w:highlight w:val="none"/>
                                  <w:lang w:val="en-US" w:eastAsia="zh-CN"/>
                                </w:rPr>
                                <w:t>损耗307</w:t>
                              </w:r>
                            </w:p>
                          </w:txbxContent>
                        </v:textbox>
                      </v:shape>
                      <v:shape id="_x0000_s1026" o:spid="_x0000_s1026" o:spt="202" type="#_x0000_t202" style="position:absolute;left:11427;top:308882;height:397;width:934;" fillcolor="#000000" filled="t" stroked="t" coordsize="21600,21600" o:gfxdata="UEsDBAoAAAAAAIdO4kAAAAAAAAAAAAAAAAAEAAAAZHJzL1BLAwQUAAAACACHTuJAkfLHQr0AAADb&#10;AAAADwAAAGRycy9kb3ducmV2LnhtbEWPwWrDMBBE74H+g9hCL6GRHYopbmQfCgkBn+LW0ONibWwT&#10;aWUkNYn/vioUehxm5g2zq+/WiCv5MDlWkG8yEMS90xMPCj4/9s+vIEJE1mgck4KFAtTVw2qHpXY3&#10;PtG1jYNIEA4lKhhjnEspQz+SxbBxM3Hyzs5bjEn6QWqPtwS3Rm6zrJAWJ04LI870PlJ/ab+tAnMo&#10;+u60zv2XX4ZGHvemMYdOqafHPHsDEeke/8N/7aNW8LKF3y/pB8j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8sdCvQAA&#10;ANsAAAAPAAAAAAAAAAEAIAAAACIAAABkcnMvZG93bnJldi54bWxQSwECFAAUAAAACACHTuJAMy8F&#10;njsAAAA5AAAAEAAAAAAAAAABACAAAAAMAQAAZHJzL3NoYXBleG1sLnhtbFBLBQYAAAAABgAGAFsB&#10;AAC2AwAAAAA=&#10;">
                        <v:fill on="t" opacity="0f" focussize="0,0"/>
                        <v:stroke weight="0.5pt" color="#000000 [3213]" joinstyle="round"/>
                        <v:imagedata o:title=""/>
                        <o:lock v:ext="edit" aspectratio="f"/>
                        <v:textbox>
                          <w:txbxContent>
                            <w:p w14:paraId="547F5B31">
                              <w:pPr>
                                <w:jc w:val="center"/>
                                <w:rPr>
                                  <w:rFonts w:hint="default" w:eastAsiaTheme="minorEastAsia"/>
                                  <w:sz w:val="21"/>
                                  <w:szCs w:val="21"/>
                                  <w:lang w:val="en-US" w:eastAsia="zh-CN"/>
                                </w:rPr>
                              </w:pPr>
                              <w:r>
                                <w:rPr>
                                  <w:rFonts w:hint="eastAsia"/>
                                  <w:sz w:val="21"/>
                                  <w:szCs w:val="21"/>
                                  <w:lang w:val="en-US" w:eastAsia="zh-CN"/>
                                </w:rPr>
                                <w:t>沉淀池</w:t>
                              </w:r>
                            </w:p>
                          </w:txbxContent>
                        </v:textbox>
                      </v:shape>
                      <v:shape id="_x0000_s1026" o:spid="_x0000_s1026" o:spt="202" type="#_x0000_t202" style="position:absolute;left:10444;top:308710;height:397;width:962;" fillcolor="#000000" filled="t" stroked="f" coordsize="21600,21600" o:gfxdata="UEsDBAoAAAAAAIdO4kAAAAAAAAAAAAAAAAAEAAAAZHJzL1BLAwQUAAAACACHTuJAGFSuLr0AAADb&#10;AAAADwAAAGRycy9kb3ducmV2LnhtbEWPwW7CMBBE75X4B2sr9VZs2qqKAoZDEYJDD5DwAUu8jaPG&#10;6xC7kObrcSWkHkczb0azWA2uFRfqQ+NZw2yqQBBX3jRcaziWm+cMRIjIBlvPpOGXAqyWk4cF5sZf&#10;+UCXItYilXDIUYONsculDJUlh2HqO+LkffneYUyyr6Xp8ZrKXStflHqXDhtOCxY7+rBUfRc/TsOb&#10;HNU+bi2dsmqsm/FzfTpTqfXT40zNQUQa4n/4Tu9M4l7h70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K4u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0E4AE822">
                              <w:pPr>
                                <w:jc w:val="center"/>
                                <w:rPr>
                                  <w:rFonts w:hint="default" w:eastAsiaTheme="minorEastAsia"/>
                                  <w:sz w:val="20"/>
                                  <w:szCs w:val="20"/>
                                  <w:highlight w:val="none"/>
                                  <w:lang w:val="en-US" w:eastAsia="zh-CN"/>
                                </w:rPr>
                              </w:pPr>
                              <w:r>
                                <w:rPr>
                                  <w:rFonts w:hint="eastAsia"/>
                                  <w:sz w:val="20"/>
                                  <w:szCs w:val="20"/>
                                  <w:highlight w:val="none"/>
                                  <w:lang w:val="en-US" w:eastAsia="zh-CN"/>
                                </w:rPr>
                                <w:t>1229</w:t>
                              </w:r>
                            </w:p>
                          </w:txbxContent>
                        </v:textbox>
                      </v:shape>
                      <v:shape id="_x0000_s1026" o:spid="_x0000_s1026" o:spt="100" style="position:absolute;left:9557;top:309277;height:283;width:2381;" filled="f" stroked="t" coordsize="920750,370840" o:gfxdata="UEsDBAoAAAAAAIdO4kAAAAAAAAAAAAAAAAAEAAAAZHJzL1BLAwQUAAAACACHTuJARx04CrwAAADb&#10;AAAADwAAAGRycy9kb3ducmV2LnhtbEWPQWuDQBSE74X8h+UFcqtrgo1isgkkIPRWagO5vrgvKnHf&#10;irtV8++7hUKPw8x8w+yPs+nESINrLStYRzEI4srqlmsFl6/iNQPhPLLGzjIpeJKD42Hxssdc24k/&#10;aSx9LQKEXY4KGu/7XEpXNWTQRbYnDt7dDgZ9kEMt9YBTgJtObuJ4Kw22HBYa7OncUPUov42CYryl&#10;yfbNJxt3Pbmb+ciKMs2UWi3X8Q6Ep9n/h//a71pBksDvl/AD5O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dOAq8AAAA&#10;2wAAAA8AAAAAAAAAAQAgAAAAIgAAAGRycy9kb3ducmV2LnhtbFBLAQIUABQAAAAIAIdO4kAzLwWe&#10;OwAAADkAAAAQAAAAAAAAAAEAIAAAAAsBAABkcnMvc2hhcGV4bWwueG1sUEsFBgAAAAAGAAYAWwEA&#10;ALUDAAAAAA==&#10;" path="m920750,0l920750,370840,0,370840e">
                        <v:path o:connectlocs="2381,0;2381,283;0,283" o:connectangles="0,0,0"/>
                        <v:fill on="f" focussize="0,0"/>
                        <v:stroke weight="0.5pt" color="#000000 [3213]" joinstyle="round"/>
                        <v:imagedata o:title=""/>
                        <o:lock v:ext="edit" aspectratio="f"/>
                      </v:shape>
                      <v:shape id="_x0000_s1026" o:spid="_x0000_s1026" o:spt="32" type="#_x0000_t32" style="position:absolute;left:9417;top:309435;height:0;width:283;rotation:-5898240f;" filled="f" stroked="t" coordsize="21600,21600" o:gfxdata="UEsDBAoAAAAAAIdO4kAAAAAAAAAAAAAAAAAEAAAAZHJzL1BLAwQUAAAACACHTuJAeXbcPr4AAADb&#10;AAAADwAAAGRycy9kb3ducmV2LnhtbEWP0WrCQBRE3wX/YblCX6RuorWE1NWHgNJaaDHtB9xmb5PQ&#10;7N2wu9X4964g+DjMzBlmtRlMJ47kfGtZQTpLQBBXVrdcK/j+2j5mIHxA1thZJgVn8rBZj0crzLU9&#10;8YGOZahFhLDPUUETQp9L6auGDPqZ7Ymj92udwRClq6V2eIpw08l5kjxLgy3HhQZ7Khqq/sp/o6Cn&#10;Rb37KKbd51C+lXKb8c/+faHUwyRNXkAEGsI9fGu/agVPS7h+iT9Ar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bcPr4A&#10;AADbAAAADwAAAAAAAAABACAAAAAiAAAAZHJzL2Rvd25yZXYueG1sUEsBAhQAFAAAAAgAh07iQDMv&#10;BZ47AAAAOQAAABAAAAAAAAAAAQAgAAAADQEAAGRycy9zaGFwZXhtbC54bWxQSwUGAAAAAAYABgBb&#10;AQAAtwMAAAAA&#10;">
                        <v:fill on="f" focussize="0,0"/>
                        <v:stroke weight="0.5pt" color="#000000 [3213]" joinstyle="round" endarrow="block"/>
                        <v:imagedata o:title=""/>
                        <o:lock v:ext="edit" aspectratio="f"/>
                      </v:shape>
                      <v:shape id="_x0000_s1026" o:spid="_x0000_s1026" o:spt="202" type="#_x0000_t202" style="position:absolute;left:10399;top:309256;height:397;width:996;" fillcolor="#000000" filled="t" stroked="f" coordsize="21600,21600" o:gfxdata="UEsDBAoAAAAAAIdO4kAAAAAAAAAAAAAAAAAEAAAAZHJzL1BLAwQUAAAACACHTuJACCMNtrsAAADb&#10;AAAADwAAAGRycy9kb3ducmV2LnhtbEWPzYoCMRCE74LvEFrwpomLiMwaPSiyHjysug/QM2kng5PO&#10;OIl/8/QbYWGPRdVXRS1WT1eLO7Wh8qxhMlYgiAtvKi41/Jy2ozmIEJEN1p5Jw4sCrJb93gIz4x98&#10;oPsxliKVcMhQg42xyaQMhSWHYewb4uSdfeswJtmW0rT4SOWulh9KzaTDitOCxYbWlorL8eY0TGWn&#10;vuOXpXxedGXV7Tf5lU5aDwcT9Qki0jP+h//onUncDN5f0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MNtrsAAADb&#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14:paraId="0E994050">
                              <w:pPr>
                                <w:jc w:val="center"/>
                                <w:rPr>
                                  <w:rFonts w:hint="default" w:eastAsiaTheme="minorEastAsia"/>
                                  <w:sz w:val="20"/>
                                  <w:szCs w:val="20"/>
                                  <w:highlight w:val="none"/>
                                  <w:lang w:val="en-US" w:eastAsia="zh-CN"/>
                                </w:rPr>
                              </w:pPr>
                              <w:r>
                                <w:rPr>
                                  <w:rFonts w:hint="eastAsia"/>
                                  <w:sz w:val="20"/>
                                  <w:szCs w:val="20"/>
                                  <w:highlight w:val="none"/>
                                  <w:lang w:val="en-US" w:eastAsia="zh-CN"/>
                                </w:rPr>
                                <w:t>1229</w:t>
                              </w:r>
                            </w:p>
                          </w:txbxContent>
                        </v:textbox>
                      </v:shape>
                      <v:shape id="_x0000_s1026" o:spid="_x0000_s1026" o:spt="202" type="#_x0000_t202" style="position:absolute;left:11236;top:309691;height:397;width:2306;" fillcolor="#000000" filled="t" stroked="f" coordsize="21600,21600" o:gfxdata="UEsDBAoAAAAAAIdO4kAAAAAAAAAAAAAAAAAEAAAAZHJzL1BLAwQUAAAACACHTuJAZ2+oLb0AAADb&#10;AAAADwAAAGRycy9kb3ducmV2LnhtbEWPwW7CMBBE75X4B2sr9VZsqqqNAoZDEYJDD5DwAUu8jaPG&#10;6xC7kObrcSWkHkczb0azWA2uFRfqQ+NZw2yqQBBX3jRcaziWm+cMRIjIBlvPpOGXAqyWk4cF5sZf&#10;+UCXItYilXDIUYONsculDJUlh2HqO+LkffneYUyyr6Xp8ZrKXStflHqTDhtOCxY7+rBUfRc/TsOr&#10;HNU+bi2dsmqsm/FzfTpTqfXT40zNQUQa4n/4Tu9M4t7h70v6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b6gt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7341DF5B">
                              <w:pPr>
                                <w:jc w:val="center"/>
                                <w:rPr>
                                  <w:rFonts w:hint="default" w:eastAsiaTheme="minorEastAsia"/>
                                  <w:sz w:val="21"/>
                                  <w:szCs w:val="21"/>
                                  <w:lang w:val="en-US" w:eastAsia="zh-CN"/>
                                </w:rPr>
                              </w:pPr>
                              <w:r>
                                <w:rPr>
                                  <w:rFonts w:hint="eastAsia"/>
                                  <w:sz w:val="21"/>
                                  <w:szCs w:val="21"/>
                                  <w:lang w:val="en-US" w:eastAsia="zh-CN"/>
                                </w:rPr>
                                <w:t>进入产品、蒸发损耗</w:t>
                              </w:r>
                            </w:p>
                          </w:txbxContent>
                        </v:textbox>
                      </v:shape>
                      <v:shape id="_x0000_s1026" o:spid="_x0000_s1026" o:spt="38" type="#_x0000_t38" style="position:absolute;left:10317;top:310445;flip:y;height:118;width:565;" filled="f" stroked="t" coordsize="21600,21600" o:gfxdata="UEsDBAoAAAAAAIdO4kAAAAAAAAAAAAAAAAAEAAAAZHJzL1BLAwQUAAAACACHTuJAisVo97oAAADb&#10;AAAADwAAAGRycy9kb3ducmV2LnhtbEVPy4rCMBTdC/MP4QqzEU194Eg1iiMIg7hpHffX5toUm5vS&#10;RO38/WQhuDyc92rT2Vo8qPWVYwXjUQKCuHC64lLB72k/XIDwAVlj7ZgU/JGHzfqjt8JUuydn9MhD&#10;KWII+xQVmBCaVEpfGLLoR64hjtzVtRZDhG0pdYvPGG5rOUmSubRYcWww2NDOUHHL71bByQz2l+nx&#10;UG9Ld+6+Btvv6S7LlPrsj5MliEBdeItf7h+tYBbHxi/x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xWj3ugAAANsA&#10;AAAPAAAAAAAAAAEAIAAAACIAAABkcnMvZG93bnJldi54bWxQSwECFAAUAAAACACHTuJAMy8FnjsA&#10;AAA5AAAAEAAAAAAAAAABACAAAAAJAQAAZHJzL3NoYXBleG1sLnhtbFBLBQYAAAAABgAGAFsBAACz&#10;AwAAAAA=&#10;" adj="10819">
                        <v:fill on="f" focussize="0,0"/>
                        <v:stroke weight="0.5pt" color="#000000 [3213]" joinstyle="round" dashstyle="3 1" endarrow="block"/>
                        <v:imagedata o:title=""/>
                        <o:lock v:ext="edit" aspectratio="f"/>
                      </v:shape>
                      <v:shape id="_x0000_s1026" o:spid="_x0000_s1026" o:spt="202" type="#_x0000_t202" style="position:absolute;left:10699;top:310266;height:397;width:1217;" fillcolor="#000000" filled="t" stroked="f" coordsize="21600,21600" o:gfxdata="UEsDBAoAAAAAAIdO4kAAAAAAAAAAAAAAAAAEAAAAZHJzL1BLAwQUAAAACACHTuJAebyZxLwAAADb&#10;AAAADwAAAGRycy9kb3ducmV2LnhtbEWPzYoCMRCE74LvEFrYmyaKiDsaPSiihz34sw/QTtrJ4KQz&#10;TuLPztNvhIU9FlVfFTVfvlwlHtSE0rOG4UCBIM69KbnQ8H3a9KcgQkQ2WHkmDT8UYLnoduaYGf/k&#10;Az2OsRCphEOGGmyMdSZlyC05DANfEyfv4huHMcmmkKbBZyp3lRwpNZEOS04LFmtaWcqvx7vTMJat&#10;2setpfM0b4uy/Vqfb3TS+qM3VDMQkV7xP/xH70ziPuH9Jf0A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8mcS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01A5111A">
                              <w:pPr>
                                <w:jc w:val="center"/>
                                <w:rPr>
                                  <w:rFonts w:hint="default" w:eastAsiaTheme="minorEastAsia"/>
                                  <w:sz w:val="20"/>
                                  <w:szCs w:val="20"/>
                                  <w:lang w:val="en-US" w:eastAsia="zh-CN"/>
                                </w:rPr>
                              </w:pPr>
                              <w:r>
                                <w:rPr>
                                  <w:rFonts w:hint="eastAsia"/>
                                  <w:sz w:val="20"/>
                                  <w:szCs w:val="20"/>
                                  <w:lang w:val="en-US" w:eastAsia="zh-CN"/>
                                </w:rPr>
                                <w:t>损耗</w:t>
                              </w:r>
                              <w:r>
                                <w:rPr>
                                  <w:rFonts w:hint="eastAsia"/>
                                  <w:sz w:val="20"/>
                                  <w:szCs w:val="20"/>
                                  <w:highlight w:val="none"/>
                                  <w:lang w:val="en-US" w:eastAsia="zh-CN"/>
                                </w:rPr>
                                <w:t>1200</w:t>
                              </w:r>
                            </w:p>
                          </w:txbxContent>
                        </v:textbox>
                      </v:shape>
                      <v:shape id="_x0000_s1026" o:spid="_x0000_s1026" o:spt="202" type="#_x0000_t202" style="position:absolute;left:7790;top:308759;height:397;width:928;" fillcolor="#000000" filled="t" stroked="f" coordsize="21600,21600" o:gfxdata="UEsDBAoAAAAAAIdO4kAAAAAAAAAAAAAAAAAEAAAAZHJzL1BLAwQUAAAACACHTuJAyy/Z/7gAAADb&#10;AAAADwAAAGRycy9kb3ducmV2LnhtbEVPy4rCMBTdC/MP4Qqz00QRkWp0oYguXPj6gGtzbYrNTaeJ&#10;j+nXm4Xg8nDes8XLVeJBTSg9axj0FQji3JuSCw3n07o3AREissHKM2n4pwCL+U9nhpnxTz7Q4xgL&#10;kUI4ZKjBxlhnUobcksPQ9zVx4q6+cRgTbAppGnymcFfJoVJj6bDk1GCxpqWl/Ha8Ow0j2ap93Fi6&#10;TPK2KNvd6vJHJ61/uwM1BRHpFb/ij3trNAzT2PQ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y/Z/7gAAADbAAAA&#10;DwAAAAAAAAABACAAAAAiAAAAZHJzL2Rvd25yZXYueG1sUEsBAhQAFAAAAAgAh07iQDMvBZ47AAAA&#10;OQAAABAAAAAAAAAAAQAgAAAABwEAAGRycy9zaGFwZXhtbC54bWxQSwUGAAAAAAYABgBbAQAAsQMA&#10;AAAA&#10;">
                        <v:fill on="t" opacity="0f" focussize="0,0"/>
                        <v:stroke on="f" weight="0.5pt"/>
                        <v:imagedata o:title=""/>
                        <o:lock v:ext="edit" aspectratio="f"/>
                        <v:textbox>
                          <w:txbxContent>
                            <w:p w14:paraId="6175ED65">
                              <w:pPr>
                                <w:jc w:val="center"/>
                                <w:rPr>
                                  <w:rFonts w:hint="default" w:eastAsiaTheme="minorEastAsia"/>
                                  <w:sz w:val="20"/>
                                  <w:szCs w:val="20"/>
                                  <w:lang w:val="en-US" w:eastAsia="zh-CN"/>
                                </w:rPr>
                              </w:pPr>
                              <w:r>
                                <w:rPr>
                                  <w:rFonts w:hint="eastAsia"/>
                                  <w:sz w:val="20"/>
                                  <w:szCs w:val="20"/>
                                  <w:lang w:val="en-US" w:eastAsia="zh-CN"/>
                                </w:rPr>
                                <w:t>307</w:t>
                              </w:r>
                            </w:p>
                          </w:txbxContent>
                        </v:textbox>
                      </v:shape>
                      <v:shape id="_x0000_s1026" o:spid="_x0000_s1026" o:spt="202" type="#_x0000_t202" style="position:absolute;left:6942;top:309139;height:397;width:1061;" fillcolor="#000000" filled="t" stroked="f" coordsize="21600,21600" o:gfxdata="UEsDBAoAAAAAAIdO4kAAAAAAAAAAAAAAAAAEAAAAZHJzL1BLAwQUAAAACACHTuJA8sGdaLwAAADb&#10;AAAADwAAAGRycy9kb3ducmV2LnhtbEWPzYoCMRCE78K+Q+gFb5ooKjJr9OAiuwcP/j1AO+mdDE46&#10;s5P4N09vBMFjUVVfUbPFzVXiQk0oPWsY9BUI4tybkgsNh/2qNwURIrLByjNpuFOAxfyjM8PM+Ctv&#10;6bKLhUgQDhlqsDHWmZQht+Qw9H1NnLw/3ziMSTaFNA1eE9xVcqjURDosOS1YrGlpKT/tzk7DSLZq&#10;E38sHad5W5Tt+vv4T3utu58D9QUi0i2+w6/2r9EwHsL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BnWi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376E037B">
                              <w:pPr>
                                <w:jc w:val="center"/>
                                <w:rPr>
                                  <w:rFonts w:hint="default" w:eastAsiaTheme="minorEastAsia"/>
                                  <w:sz w:val="20"/>
                                  <w:szCs w:val="20"/>
                                  <w:lang w:val="en-US" w:eastAsia="zh-CN"/>
                                </w:rPr>
                              </w:pPr>
                              <w:r>
                                <w:rPr>
                                  <w:rFonts w:hint="eastAsia"/>
                                  <w:sz w:val="20"/>
                                  <w:szCs w:val="20"/>
                                  <w:lang w:val="en-US" w:eastAsia="zh-CN"/>
                                </w:rPr>
                                <w:t>7059</w:t>
                              </w:r>
                            </w:p>
                          </w:txbxContent>
                        </v:textbox>
                      </v:shape>
                      <v:shape id="_x0000_s1026" o:spid="_x0000_s1026" o:spt="202" type="#_x0000_t202" style="position:absolute;left:7841;top:309539;height:397;width:796;" fillcolor="#000000" filled="t" stroked="f" coordsize="21600,21600" o:gfxdata="UEsDBAoAAAAAAIdO4kAAAAAAAAAAAAAAAAAEAAAAZHJzL1BLAwQUAAAACACHTuJAQ5ZR1rwAAADb&#10;AAAADwAAAGRycy9kb3ducmV2LnhtbEWPzYoCMRCE7wu+Q2jB25q4yCCzRg+KrAcPq+4DtJN2Mjjp&#10;jJP4N0+/EQSPRVV9RU3nd1eLK7Wh8qxhNFQgiAtvKi41/O1XnxMQISIbrD2ThgcFmM96H1PMjb/x&#10;lq67WIoE4ZCjBhtjk0sZCksOw9A3xMk7+tZhTLItpWnxluCull9KZdJhxWnBYkMLS8Vpd3EaxrJT&#10;v/HH0mFSdGXVbZaHM+21HvRH6htEpHt8h1/ttdGQZfD8kn6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WUda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57137911">
                              <w:pPr>
                                <w:rPr>
                                  <w:rFonts w:hint="default"/>
                                  <w:lang w:val="en-US" w:eastAsia="zh-CN"/>
                                </w:rPr>
                              </w:pPr>
                              <w:r>
                                <w:rPr>
                                  <w:rFonts w:hint="eastAsia" w:eastAsia="宋体" w:cs="Times New Roman"/>
                                  <w:i w:val="0"/>
                                  <w:iCs w:val="0"/>
                                  <w:color w:val="auto"/>
                                  <w:kern w:val="0"/>
                                  <w:sz w:val="21"/>
                                  <w:szCs w:val="21"/>
                                  <w:u w:val="none"/>
                                  <w:lang w:val="en-US" w:eastAsia="zh-CN" w:bidi="ar"/>
                                </w:rPr>
                                <w:t>19200</w:t>
                              </w:r>
                            </w:p>
                          </w:txbxContent>
                        </v:textbox>
                      </v:shape>
                      <v:shape id="_x0000_s1026" o:spid="_x0000_s1026" o:spt="202" type="#_x0000_t202" style="position:absolute;left:7780;top:310185;height:397;width:796;" fillcolor="#000000" filled="t" stroked="f" coordsize="21600,21600" o:gfxdata="UEsDBAoAAAAAAIdO4kAAAAAAAAAAAAAAAAAEAAAAZHJzL1BLAwQUAAAACACHTuJAXUVgP7kAAADb&#10;AAAADwAAAGRycy9kb3ducmV2LnhtbEVPS27CMBDdI3EHa5DYgU2FEApxWICqsmBBgQMM8RBHxOMQ&#10;u3xy+npRqcun98/XL9eIB3Wh9qxhNlUgiEtvaq40nE+fkyWIEJENNp5Jw5sCrIvhIMfM+Cd/0+MY&#10;K5FCOGSowcbYZlKG0pLDMPUtceKuvnMYE+wqaTp8pnDXyA+lFtJhzanBYksbS+Xt+OM0zGWvDvHL&#10;0mVZ9lXd77eXO520Ho9magUi0iv+i//cO6NhkcamL+kHyO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1FYD+5AAAA2wAA&#10;AA8AAAAAAAAAAQAgAAAAIgAAAGRycy9kb3ducmV2LnhtbFBLAQIUABQAAAAIAIdO4kAzLwWeOwAA&#10;ADkAAAAQAAAAAAAAAAEAIAAAAAgBAABkcnMvc2hhcGV4bWwueG1sUEsFBgAAAAAGAAYAWwEAALID&#10;AAAAAA==&#10;">
                        <v:fill on="t" opacity="0f" focussize="0,0"/>
                        <v:stroke on="f" weight="0.5pt"/>
                        <v:imagedata o:title=""/>
                        <o:lock v:ext="edit" aspectratio="f"/>
                        <v:textbox>
                          <w:txbxContent>
                            <w:p w14:paraId="06CD16F2">
                              <w:pPr>
                                <w:jc w:val="center"/>
                                <w:rPr>
                                  <w:rFonts w:hint="default" w:eastAsiaTheme="minorEastAsia"/>
                                  <w:sz w:val="20"/>
                                  <w:szCs w:val="20"/>
                                  <w:lang w:val="en-US" w:eastAsia="zh-CN"/>
                                </w:rPr>
                              </w:pPr>
                              <w:r>
                                <w:rPr>
                                  <w:rFonts w:hint="eastAsia"/>
                                  <w:sz w:val="20"/>
                                  <w:szCs w:val="20"/>
                                  <w:lang w:val="en-US" w:eastAsia="zh-CN"/>
                                </w:rPr>
                                <w:t>1200</w:t>
                              </w:r>
                            </w:p>
                          </w:txbxContent>
                        </v:textbox>
                      </v:shape>
                      <v:shape id="_x0000_s1026" o:spid="_x0000_s1026" o:spt="202" type="#_x0000_t202" style="position:absolute;left:10478;top:309575;height:397;width:796;" fillcolor="#000000" filled="t" stroked="f" coordsize="21600,21600" o:gfxdata="UEsDBAoAAAAAAIdO4kAAAAAAAAAAAAAAAAAEAAAAZHJzL1BLAwQUAAAACACHTuJAMgnFpLwAAADb&#10;AAAADwAAAGRycy9kb3ducmV2LnhtbEWPzYoCMRCE78K+Q+gFb5ooIu6s0cOK6MGDqz5AO2kng5PO&#10;7CT+zdObBcFjUVVfUdP53VXiSk0oPWsY9BUI4tybkgsNh/2yNwERIrLByjNpeFCA+eyjM8XM+Bv/&#10;0nUXC5EgHDLUYGOsMylDbslh6PuaOHkn3ziMSTaFNA3eEtxVcqjUWDosOS1YrOnHUn7eXZyGkWzV&#10;Nq4sHSd5W5TtZnH8o73W3c+B+gYR6R7f4Vd7bTSMv+D/S/o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JxaS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668EFB02">
                              <w:pPr>
                                <w:rPr>
                                  <w:rFonts w:hint="default"/>
                                  <w:lang w:val="en-US" w:eastAsia="zh-CN"/>
                                </w:rPr>
                              </w:pPr>
                              <w:r>
                                <w:rPr>
                                  <w:rFonts w:hint="eastAsia" w:eastAsia="宋体" w:cs="Times New Roman"/>
                                  <w:i w:val="0"/>
                                  <w:iCs w:val="0"/>
                                  <w:color w:val="auto"/>
                                  <w:kern w:val="0"/>
                                  <w:sz w:val="21"/>
                                  <w:szCs w:val="21"/>
                                  <w:u w:val="none"/>
                                  <w:lang w:val="en-US" w:eastAsia="zh-CN" w:bidi="ar"/>
                                </w:rPr>
                                <w:t>1920</w:t>
                              </w:r>
                            </w:p>
                          </w:txbxContent>
                        </v:textbox>
                      </v:shape>
                    </v:group>
                  </w:pict>
                </mc:Fallback>
              </mc:AlternateContent>
            </w:r>
          </w:p>
          <w:p w14:paraId="7F5BA43E">
            <w:pPr>
              <w:autoSpaceDE w:val="0"/>
              <w:autoSpaceDN w:val="0"/>
              <w:jc w:val="center"/>
              <w:rPr>
                <w:rFonts w:eastAsia="宋体" w:cs="Times New Roman"/>
                <w:b/>
                <w:color w:val="auto"/>
                <w:sz w:val="21"/>
                <w:szCs w:val="21"/>
                <w:highlight w:val="none"/>
                <w:lang w:val="zh-CN" w:bidi="zh-CN"/>
              </w:rPr>
            </w:pPr>
          </w:p>
          <w:p w14:paraId="2990E5B4">
            <w:pPr>
              <w:autoSpaceDE w:val="0"/>
              <w:autoSpaceDN w:val="0"/>
              <w:jc w:val="center"/>
              <w:rPr>
                <w:rFonts w:eastAsia="宋体" w:cs="Times New Roman"/>
                <w:b/>
                <w:color w:val="auto"/>
                <w:sz w:val="21"/>
                <w:szCs w:val="21"/>
                <w:highlight w:val="none"/>
                <w:lang w:val="zh-CN" w:bidi="zh-CN"/>
              </w:rPr>
            </w:pPr>
          </w:p>
          <w:p w14:paraId="36BBFDAE">
            <w:pPr>
              <w:autoSpaceDE w:val="0"/>
              <w:autoSpaceDN w:val="0"/>
              <w:jc w:val="center"/>
              <w:rPr>
                <w:rFonts w:eastAsia="宋体" w:cs="Times New Roman"/>
                <w:b/>
                <w:color w:val="auto"/>
                <w:sz w:val="21"/>
                <w:szCs w:val="21"/>
                <w:highlight w:val="none"/>
                <w:lang w:val="zh-CN" w:bidi="zh-CN"/>
              </w:rPr>
            </w:pPr>
          </w:p>
          <w:p w14:paraId="1E61F790">
            <w:pPr>
              <w:autoSpaceDE w:val="0"/>
              <w:autoSpaceDN w:val="0"/>
              <w:jc w:val="center"/>
              <w:rPr>
                <w:rFonts w:eastAsia="宋体" w:cs="Times New Roman"/>
                <w:b/>
                <w:color w:val="auto"/>
                <w:sz w:val="21"/>
                <w:szCs w:val="21"/>
                <w:highlight w:val="none"/>
                <w:lang w:val="zh-CN" w:bidi="zh-CN"/>
              </w:rPr>
            </w:pPr>
          </w:p>
          <w:p w14:paraId="219DF3ED">
            <w:pPr>
              <w:autoSpaceDE w:val="0"/>
              <w:autoSpaceDN w:val="0"/>
              <w:jc w:val="center"/>
              <w:rPr>
                <w:rFonts w:eastAsia="宋体" w:cs="Times New Roman"/>
                <w:b/>
                <w:color w:val="auto"/>
                <w:sz w:val="21"/>
                <w:szCs w:val="21"/>
                <w:highlight w:val="none"/>
                <w:lang w:val="zh-CN" w:bidi="zh-CN"/>
              </w:rPr>
            </w:pPr>
          </w:p>
          <w:p w14:paraId="6F3817FC">
            <w:pPr>
              <w:autoSpaceDE w:val="0"/>
              <w:autoSpaceDN w:val="0"/>
              <w:jc w:val="center"/>
              <w:rPr>
                <w:rFonts w:eastAsia="宋体" w:cs="Times New Roman"/>
                <w:b/>
                <w:color w:val="auto"/>
                <w:sz w:val="21"/>
                <w:szCs w:val="21"/>
                <w:highlight w:val="none"/>
                <w:lang w:val="zh-CN" w:bidi="zh-CN"/>
              </w:rPr>
            </w:pPr>
          </w:p>
          <w:p w14:paraId="48BB08D0">
            <w:pPr>
              <w:autoSpaceDE w:val="0"/>
              <w:autoSpaceDN w:val="0"/>
              <w:jc w:val="center"/>
              <w:rPr>
                <w:rFonts w:eastAsia="宋体" w:cs="Times New Roman"/>
                <w:b/>
                <w:color w:val="auto"/>
                <w:sz w:val="21"/>
                <w:szCs w:val="21"/>
                <w:highlight w:val="none"/>
                <w:lang w:val="zh-CN" w:bidi="zh-CN"/>
              </w:rPr>
            </w:pPr>
          </w:p>
          <w:p w14:paraId="42D18A13">
            <w:pPr>
              <w:autoSpaceDE w:val="0"/>
              <w:autoSpaceDN w:val="0"/>
              <w:jc w:val="center"/>
              <w:rPr>
                <w:rFonts w:eastAsia="宋体" w:cs="Times New Roman"/>
                <w:b/>
                <w:color w:val="auto"/>
                <w:sz w:val="21"/>
                <w:szCs w:val="21"/>
                <w:highlight w:val="none"/>
                <w:lang w:val="zh-CN" w:bidi="zh-CN"/>
              </w:rPr>
            </w:pPr>
          </w:p>
          <w:p w14:paraId="4CA28917">
            <w:pPr>
              <w:autoSpaceDE w:val="0"/>
              <w:autoSpaceDN w:val="0"/>
              <w:jc w:val="center"/>
              <w:rPr>
                <w:rFonts w:eastAsia="宋体" w:cs="Times New Roman"/>
                <w:b/>
                <w:color w:val="auto"/>
                <w:sz w:val="21"/>
                <w:szCs w:val="21"/>
                <w:highlight w:val="none"/>
                <w:lang w:val="zh-CN" w:bidi="zh-CN"/>
              </w:rPr>
            </w:pPr>
          </w:p>
          <w:p w14:paraId="6928E085">
            <w:pPr>
              <w:pStyle w:val="3"/>
              <w:rPr>
                <w:rFonts w:eastAsia="宋体" w:cs="Times New Roman"/>
                <w:b/>
                <w:color w:val="auto"/>
                <w:sz w:val="21"/>
                <w:szCs w:val="21"/>
                <w:highlight w:val="none"/>
                <w:lang w:val="zh-CN" w:bidi="zh-CN"/>
              </w:rPr>
            </w:pPr>
          </w:p>
          <w:p w14:paraId="7ECC7024">
            <w:pPr>
              <w:rPr>
                <w:color w:val="auto"/>
                <w:highlight w:val="none"/>
                <w:lang w:val="zh-CN"/>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3337560</wp:posOffset>
                      </wp:positionH>
                      <wp:positionV relativeFrom="paragraph">
                        <wp:posOffset>245110</wp:posOffset>
                      </wp:positionV>
                      <wp:extent cx="1464310" cy="25209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464310" cy="252095"/>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5A7F8333">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8pt;margin-top:19.3pt;height:19.85pt;width:115.3pt;z-index:251664384;mso-width-relative:page;mso-height-relative:page;" fillcolor="#000000" filled="t" stroked="f" coordsize="21600,21600" o:gfxdata="UEsDBAoAAAAAAIdO4kAAAAAAAAAAAAAAAAAEAAAAZHJzL1BLAwQUAAAACACHTuJAl1Nu49YAAAAJ&#10;AQAADwAAAGRycy9kb3ducmV2LnhtbE2PTU7EMAxG90jcITISOyaZDi1VaToLEGLDAmY4QNqYpqJx&#10;SpP5oafHrGBlW376/Fxvz34UR5zjEEjDeqVAIHXBDtRreN8/3ZQgYjJkzRgINXxjhG1zeVGbyoYT&#10;veFxl3rBIRQro8GlNFVSxs6hN3EVJiTefYTZm8Tj3Es7mxOH+1FmShXSm4H4gjMTPjjsPncHr+FW&#10;Luo1PTtsy27ph+Xlsf3CvdbXV2t1DyLhOf3B8KvP6tCwUxsOZKMYNeRZXjCqYVNyZeAuLzIQLTfl&#10;BmRTy/8fND9QSwMEFAAAAAgAh07iQEOx069ZAgAAsAQAAA4AAABkcnMvZTJvRG9jLnhtbK1UzW4T&#10;MRC+I/EOlu9kN2kSaNRNFRoFIVW0UkCcHa83a8n2GNvJbngAeIOeuHDnufIcjL2bthQOPZCDM3/+&#10;xvPNzF5ctlqRvXBeginocJBTIgyHUpptQT99XL16Q4kPzJRMgREFPQhPL+cvX1w0diZGUIMqhSMI&#10;YvyssQWtQ7CzLPO8Fpr5AVhh0FmB0yyg6rZZ6ViD6FplozyfZg240jrgwnu0Ljsn7RHdcwChqiQX&#10;S+A7LUzoUJ1QLGBJvpbW03l6bVUJHm6qyotAVEGx0pBOTILyJp7Z/ILNto7ZWvL+Cew5T3hSk2bS&#10;YNJ7qCULjOyc/AtKS+7AQxUGHHTWFZIYwSqG+RNu1jWzItWCVHt7T7r/f7D8w/7WEVniJIzGlBim&#10;seXHu+/HH7+OP7+RaESKGutnGLm2GBvat9Bi+Mnu0Rgrbyun4z/WRNCPBB/uCRZtIDxeGk/HZ0N0&#10;cfSNJqP8fBJhsofb1vnwToAmUSiowwYmXtn+2ocu9BQSk3lQslxJpZLitpsr5ciexWanX3dX2Zr1&#10;1j6d70JT6j8wlCFNQadnkzxdNRDBu7zKYHhkoqs4SqHdtD09GygPyI6DbsS85SuJJVwzH26Zw5nC&#10;qnHrwg0elQJMAr1ESQ3u67/sMR5bjV5KGpzRgvovO+YEJeq9wSE4H47HCBuSMp68HqHiHns2jz1m&#10;p68AmRnifluexBgf1EmsHOjPuJyLmBVdzHDMXdBwEq9Ctzm43FwsFikIx9iycG3Wlkfo2AcDi12A&#10;SqZ+RZo6bnr2cJAT7f3SxU15rKeohw/N/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XU27j1gAA&#10;AAkBAAAPAAAAAAAAAAEAIAAAACIAAABkcnMvZG93bnJldi54bWxQSwECFAAUAAAACACHTuJAQ7HT&#10;r1kCAACwBAAADgAAAAAAAAABACAAAAAlAQAAZHJzL2Uyb0RvYy54bWxQSwUGAAAAAAYABgBZAQAA&#10;8AUAAAAA&#10;">
                      <v:fill on="t" opacity="0f" focussize="0,0"/>
                      <v:stroke on="f" weight="0.5pt"/>
                      <v:imagedata o:title=""/>
                      <o:lock v:ext="edit" aspectratio="f"/>
                      <v:textbox>
                        <w:txbxContent>
                          <w:p w14:paraId="5A7F8333">
                            <w:pPr>
                              <w:rPr>
                                <w:rFonts w:hint="default"/>
                                <w:lang w:val="en-US" w:eastAsia="zh-CN"/>
                              </w:rPr>
                            </w:pPr>
                          </w:p>
                        </w:txbxContent>
                      </v:textbox>
                    </v:shape>
                  </w:pict>
                </mc:Fallback>
              </mc:AlternateContent>
            </w:r>
          </w:p>
          <w:p w14:paraId="314FDC6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cs="Times New Roman"/>
                <w:b/>
                <w:color w:val="auto"/>
                <w:sz w:val="21"/>
                <w:szCs w:val="21"/>
                <w:highlight w:val="none"/>
                <w:lang w:val="en-US" w:bidi="zh-CN"/>
              </w:rPr>
            </w:pPr>
            <w:r>
              <w:rPr>
                <w:rFonts w:hint="eastAsia" w:eastAsia="宋体" w:cs="Times New Roman"/>
                <w:b/>
                <w:color w:val="auto"/>
                <w:sz w:val="21"/>
                <w:szCs w:val="21"/>
                <w:highlight w:val="none"/>
                <w:lang w:val="en-US" w:bidi="zh-CN"/>
              </w:rPr>
              <w:t xml:space="preserve"> </w:t>
            </w:r>
          </w:p>
          <w:p w14:paraId="082FC09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cs="Times New Roman"/>
                <w:b/>
                <w:color w:val="auto"/>
                <w:sz w:val="21"/>
                <w:szCs w:val="21"/>
                <w:highlight w:val="none"/>
                <w:lang w:val="en-US" w:bidi="zh-CN"/>
              </w:rPr>
            </w:pPr>
            <w:r>
              <w:rPr>
                <w:rFonts w:hint="eastAsia" w:eastAsia="宋体" w:cs="Times New Roman"/>
                <w:b/>
                <w:color w:val="auto"/>
                <w:sz w:val="21"/>
                <w:szCs w:val="21"/>
                <w:highlight w:val="none"/>
                <w:lang w:val="en-US" w:bidi="zh-CN"/>
              </w:rPr>
              <w:t xml:space="preserve"> </w:t>
            </w:r>
            <w:r>
              <w:rPr>
                <w:rFonts w:eastAsia="宋体" w:cs="Times New Roman"/>
                <w:b/>
                <w:color w:val="auto"/>
                <w:sz w:val="21"/>
                <w:szCs w:val="21"/>
                <w:highlight w:val="none"/>
                <w:lang w:val="zh-CN" w:bidi="zh-CN"/>
              </w:rPr>
              <w:t>图</w:t>
            </w:r>
            <w:r>
              <w:rPr>
                <w:rFonts w:eastAsia="宋体" w:cs="Times New Roman"/>
                <w:b/>
                <w:color w:val="auto"/>
                <w:sz w:val="21"/>
                <w:szCs w:val="21"/>
                <w:highlight w:val="none"/>
                <w:lang w:bidi="zh-CN"/>
              </w:rPr>
              <w:t>2-</w:t>
            </w:r>
            <w:r>
              <w:rPr>
                <w:rFonts w:hint="eastAsia" w:eastAsia="宋体" w:cs="Times New Roman"/>
                <w:b/>
                <w:color w:val="auto"/>
                <w:sz w:val="21"/>
                <w:szCs w:val="21"/>
                <w:highlight w:val="none"/>
                <w:lang w:val="en-US" w:bidi="zh-CN"/>
              </w:rPr>
              <w:t>4</w:t>
            </w:r>
            <w:r>
              <w:rPr>
                <w:rFonts w:eastAsia="宋体" w:cs="Times New Roman"/>
                <w:b/>
                <w:color w:val="auto"/>
                <w:sz w:val="21"/>
                <w:szCs w:val="21"/>
                <w:highlight w:val="none"/>
                <w:lang w:bidi="zh-CN"/>
              </w:rPr>
              <w:t xml:space="preserve"> </w:t>
            </w:r>
            <w:r>
              <w:rPr>
                <w:rFonts w:hint="eastAsia" w:eastAsia="宋体" w:cs="Times New Roman"/>
                <w:b/>
                <w:color w:val="auto"/>
                <w:sz w:val="21"/>
                <w:szCs w:val="21"/>
                <w:highlight w:val="none"/>
                <w:lang w:val="zh-CN" w:bidi="zh-CN"/>
              </w:rPr>
              <w:t>项目</w:t>
            </w:r>
            <w:r>
              <w:rPr>
                <w:rFonts w:eastAsia="宋体" w:cs="Times New Roman"/>
                <w:b/>
                <w:color w:val="auto"/>
                <w:sz w:val="21"/>
                <w:szCs w:val="21"/>
                <w:highlight w:val="none"/>
                <w:lang w:val="zh-CN" w:bidi="zh-CN"/>
              </w:rPr>
              <w:t>水平衡图</w:t>
            </w:r>
            <w:r>
              <w:rPr>
                <w:rFonts w:hint="eastAsia" w:eastAsia="宋体" w:cs="Times New Roman"/>
                <w:b/>
                <w:color w:val="auto"/>
                <w:sz w:val="21"/>
                <w:szCs w:val="21"/>
                <w:highlight w:val="none"/>
                <w:lang w:val="en-US" w:bidi="zh-CN"/>
              </w:rPr>
              <w:t xml:space="preserve">        </w:t>
            </w:r>
            <w:r>
              <w:rPr>
                <w:rFonts w:eastAsia="宋体" w:cs="Times New Roman"/>
                <w:b/>
                <w:color w:val="auto"/>
                <w:sz w:val="21"/>
                <w:szCs w:val="21"/>
                <w:highlight w:val="none"/>
                <w:lang w:val="zh-CN" w:bidi="zh-CN"/>
              </w:rPr>
              <w:t>单位：m</w:t>
            </w:r>
            <w:r>
              <w:rPr>
                <w:rFonts w:eastAsia="宋体" w:cs="Times New Roman"/>
                <w:b/>
                <w:color w:val="auto"/>
                <w:sz w:val="21"/>
                <w:szCs w:val="21"/>
                <w:highlight w:val="none"/>
                <w:vertAlign w:val="superscript"/>
                <w:lang w:val="zh-CN" w:bidi="zh-CN"/>
              </w:rPr>
              <w:t>3</w:t>
            </w:r>
            <w:r>
              <w:rPr>
                <w:rFonts w:eastAsia="宋体" w:cs="Times New Roman"/>
                <w:b/>
                <w:color w:val="auto"/>
                <w:sz w:val="21"/>
                <w:szCs w:val="21"/>
                <w:highlight w:val="none"/>
                <w:lang w:val="zh-CN" w:bidi="zh-CN"/>
              </w:rPr>
              <w:t>/a</w:t>
            </w:r>
          </w:p>
          <w:p w14:paraId="017CFA2A">
            <w:pPr>
              <w:ind w:firstLine="506" w:firstLineChars="200"/>
              <w:rPr>
                <w:rFonts w:cs="Times New Roman"/>
                <w:b/>
                <w:color w:val="auto"/>
                <w:spacing w:val="6"/>
                <w:kern w:val="0"/>
                <w:highlight w:val="none"/>
              </w:rPr>
            </w:pPr>
            <w:r>
              <w:rPr>
                <w:rFonts w:cs="Times New Roman"/>
                <w:b/>
                <w:color w:val="auto"/>
                <w:spacing w:val="6"/>
                <w:kern w:val="0"/>
                <w:highlight w:val="none"/>
              </w:rPr>
              <w:t>7、劳动定员及工作制度</w:t>
            </w:r>
          </w:p>
          <w:p w14:paraId="66566114">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本项目劳动定员50人，厂内不设食堂。年工作300天，每天16小时，具体根据订单生产。</w:t>
            </w:r>
          </w:p>
          <w:p w14:paraId="6A20B47F">
            <w:pPr>
              <w:ind w:firstLine="482" w:firstLineChars="200"/>
              <w:rPr>
                <w:rFonts w:cs="Times New Roman"/>
                <w:b/>
                <w:color w:val="auto"/>
                <w:kern w:val="0"/>
                <w:highlight w:val="none"/>
              </w:rPr>
            </w:pPr>
            <w:r>
              <w:rPr>
                <w:rFonts w:cs="Times New Roman"/>
                <w:b/>
                <w:color w:val="auto"/>
                <w:kern w:val="0"/>
                <w:highlight w:val="none"/>
              </w:rPr>
              <w:t>8、厂区平面布置</w:t>
            </w:r>
          </w:p>
          <w:p w14:paraId="18E93758">
            <w:pPr>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项目根据“分布合理、工艺流畅、物流短捷、突出环保、因地制宜”的原则，结合用地条件及生产工艺，综合考虑环保、消防、卫生等要求，对生产线布置进行统筹安排。</w:t>
            </w:r>
          </w:p>
          <w:p w14:paraId="4D59D53D">
            <w:pPr>
              <w:pStyle w:val="23"/>
              <w:spacing w:after="0" w:line="360" w:lineRule="auto"/>
              <w:ind w:left="0" w:leftChars="0" w:firstLine="480"/>
              <w:rPr>
                <w:rFonts w:hint="eastAsia" w:ascii="Times New Roman" w:hAnsi="Times New Roman" w:eastAsia="宋体"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整个</w:t>
            </w:r>
            <w:r>
              <w:rPr>
                <w:rFonts w:hint="eastAsia" w:ascii="Times New Roman" w:hAnsi="Times New Roman" w:cs="Times New Roman"/>
                <w:b w:val="0"/>
                <w:bCs w:val="0"/>
                <w:color w:val="auto"/>
                <w:sz w:val="24"/>
                <w:szCs w:val="24"/>
                <w:highlight w:val="none"/>
                <w:lang w:eastAsia="zh-CN"/>
              </w:rPr>
              <w:t>厂区出入口</w:t>
            </w:r>
            <w:r>
              <w:rPr>
                <w:rFonts w:hint="eastAsia" w:cs="Times New Roman"/>
                <w:b w:val="0"/>
                <w:bCs w:val="0"/>
                <w:color w:val="auto"/>
                <w:sz w:val="24"/>
                <w:szCs w:val="24"/>
                <w:highlight w:val="none"/>
                <w:lang w:val="en-US" w:eastAsia="zh-CN"/>
              </w:rPr>
              <w:t>位于厂区西北侧，紧邻渭天路</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交通便利</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厂区</w:t>
            </w:r>
            <w:r>
              <w:rPr>
                <w:rFonts w:hint="eastAsia" w:ascii="Times New Roman" w:hAnsi="Times New Roman" w:cs="Times New Roman"/>
                <w:b w:val="0"/>
                <w:bCs w:val="0"/>
                <w:color w:val="auto"/>
                <w:sz w:val="24"/>
                <w:szCs w:val="24"/>
                <w:highlight w:val="none"/>
                <w:lang w:eastAsia="zh-CN"/>
              </w:rPr>
              <w:t>入口处设洗车台</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配置沉淀池</w:t>
            </w:r>
            <w:r>
              <w:rPr>
                <w:rFonts w:hint="eastAsia" w:ascii="Times New Roman" w:hAnsi="Times New Roman"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项目建设一座办公楼，位于厂区东北角，占地约300m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lang w:val="en-US" w:eastAsia="zh-CN"/>
              </w:rPr>
              <w:t>，危废贮存点位于厂区北侧，约10m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lang w:val="en-US" w:eastAsia="zh-CN"/>
              </w:rPr>
              <w:t>。本项目建设一座封闭式生产厂房，</w:t>
            </w:r>
            <w:r>
              <w:rPr>
                <w:rFonts w:hint="eastAsia" w:cs="Times New Roman"/>
                <w:b w:val="0"/>
                <w:bCs w:val="0"/>
                <w:color w:val="auto"/>
                <w:sz w:val="24"/>
                <w:szCs w:val="24"/>
                <w:highlight w:val="none"/>
                <w:lang w:eastAsia="zh-CN"/>
              </w:rPr>
              <w:t>位于厂区</w:t>
            </w:r>
            <w:r>
              <w:rPr>
                <w:rFonts w:hint="eastAsia" w:cs="Times New Roman"/>
                <w:b w:val="0"/>
                <w:bCs w:val="0"/>
                <w:color w:val="auto"/>
                <w:sz w:val="24"/>
                <w:szCs w:val="24"/>
                <w:highlight w:val="none"/>
                <w:lang w:val="en-US" w:eastAsia="zh-CN"/>
              </w:rPr>
              <w:t>西区</w:t>
            </w:r>
            <w:r>
              <w:rPr>
                <w:rFonts w:hint="eastAsia" w:cs="Times New Roman"/>
                <w:b w:val="0"/>
                <w:bCs w:val="0"/>
                <w:color w:val="auto"/>
                <w:sz w:val="24"/>
                <w:szCs w:val="24"/>
                <w:highlight w:val="none"/>
                <w:lang w:eastAsia="zh-CN"/>
              </w:rPr>
              <w:t>，占地</w:t>
            </w:r>
            <w:r>
              <w:rPr>
                <w:rFonts w:hint="eastAsia" w:cs="Times New Roman"/>
                <w:b w:val="0"/>
                <w:bCs w:val="0"/>
                <w:color w:val="auto"/>
                <w:sz w:val="24"/>
                <w:szCs w:val="24"/>
                <w:highlight w:val="none"/>
                <w:lang w:val="en-US" w:eastAsia="zh-CN"/>
              </w:rPr>
              <w:t>20000m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项目生产</w:t>
            </w:r>
            <w:r>
              <w:rPr>
                <w:rFonts w:hint="eastAsia" w:cs="Times New Roman"/>
                <w:b w:val="0"/>
                <w:bCs w:val="0"/>
                <w:color w:val="auto"/>
                <w:sz w:val="24"/>
                <w:szCs w:val="24"/>
                <w:highlight w:val="none"/>
                <w:lang w:eastAsia="zh-CN"/>
              </w:rPr>
              <w:t>厂房内</w:t>
            </w:r>
            <w:r>
              <w:rPr>
                <w:rFonts w:ascii="Times New Roman" w:hAnsi="Times New Roman" w:cs="Times New Roman"/>
                <w:b w:val="0"/>
                <w:bCs w:val="0"/>
                <w:color w:val="auto"/>
                <w:sz w:val="24"/>
                <w:szCs w:val="24"/>
                <w:highlight w:val="none"/>
              </w:rPr>
              <w:t>采用相对集中的布置方式，</w:t>
            </w:r>
            <w:r>
              <w:rPr>
                <w:rFonts w:hint="eastAsia" w:cs="Times New Roman"/>
                <w:b w:val="0"/>
                <w:bCs w:val="0"/>
                <w:color w:val="auto"/>
                <w:sz w:val="24"/>
                <w:szCs w:val="24"/>
                <w:highlight w:val="none"/>
                <w:lang w:val="en-US" w:eastAsia="zh-CN"/>
              </w:rPr>
              <w:t>入场的建筑废弃物堆存在厂房内西侧的原料区，生产线邻原料区布设，</w:t>
            </w:r>
            <w:r>
              <w:rPr>
                <w:rFonts w:hint="eastAsia" w:eastAsia="宋体" w:cs="Times New Roman"/>
                <w:b w:val="0"/>
                <w:bCs w:val="0"/>
                <w:color w:val="auto"/>
                <w:sz w:val="24"/>
                <w:szCs w:val="24"/>
                <w:highlight w:val="none"/>
                <w:lang w:val="en-US" w:eastAsia="zh-CN"/>
              </w:rPr>
              <w:t>便于原料的搬运利用，生产线从北向南依次为</w:t>
            </w:r>
            <w:r>
              <w:rPr>
                <w:rFonts w:hint="eastAsia" w:eastAsia="宋体" w:cs="Times New Roman"/>
                <w:b w:val="0"/>
                <w:bCs w:val="0"/>
                <w:color w:val="auto"/>
                <w:sz w:val="24"/>
                <w:szCs w:val="24"/>
                <w:highlight w:val="none"/>
                <w:lang w:eastAsia="zh-CN"/>
              </w:rPr>
              <w:t>机制骨料生产线</w:t>
            </w:r>
            <w:r>
              <w:rPr>
                <w:rFonts w:hint="eastAsia" w:eastAsia="宋体" w:cs="Times New Roman"/>
                <w:b w:val="0"/>
                <w:bCs w:val="0"/>
                <w:color w:val="auto"/>
                <w:sz w:val="24"/>
                <w:szCs w:val="24"/>
                <w:highlight w:val="none"/>
                <w:lang w:val="en-US" w:eastAsia="zh-CN"/>
              </w:rPr>
              <w:t>、水稳材料生产线</w:t>
            </w:r>
            <w:r>
              <w:rPr>
                <w:rFonts w:hint="eastAsia" w:cs="Times New Roman"/>
                <w:b w:val="0"/>
                <w:bCs w:val="0"/>
                <w:color w:val="auto"/>
                <w:sz w:val="24"/>
                <w:szCs w:val="24"/>
                <w:highlight w:val="none"/>
                <w:lang w:val="en-US" w:eastAsia="zh-CN"/>
              </w:rPr>
              <w:t>；厂房东侧为</w:t>
            </w:r>
            <w:r>
              <w:rPr>
                <w:rFonts w:hint="eastAsia" w:eastAsia="宋体" w:cs="Times New Roman"/>
                <w:b w:val="0"/>
                <w:bCs w:val="0"/>
                <w:color w:val="auto"/>
                <w:sz w:val="24"/>
                <w:szCs w:val="24"/>
                <w:highlight w:val="none"/>
                <w:lang w:eastAsia="zh-CN"/>
              </w:rPr>
              <w:t>机制骨料生产线</w:t>
            </w:r>
            <w:r>
              <w:rPr>
                <w:rFonts w:hint="eastAsia" w:ascii="Times New Roman" w:hAnsi="Times New Roman" w:eastAsia="宋体" w:cs="Times New Roman"/>
                <w:b w:val="0"/>
                <w:bCs w:val="0"/>
                <w:color w:val="auto"/>
                <w:sz w:val="24"/>
                <w:szCs w:val="24"/>
                <w:highlight w:val="none"/>
                <w:lang w:val="en-US" w:eastAsia="zh-CN"/>
              </w:rPr>
              <w:t>成品的</w:t>
            </w:r>
            <w:r>
              <w:rPr>
                <w:rFonts w:hint="eastAsia" w:cs="Times New Roman"/>
                <w:b w:val="0"/>
                <w:bCs w:val="0"/>
                <w:color w:val="auto"/>
                <w:sz w:val="24"/>
                <w:szCs w:val="24"/>
                <w:highlight w:val="none"/>
                <w:lang w:val="en-US" w:eastAsia="zh-CN"/>
              </w:rPr>
              <w:t>堆放区，</w:t>
            </w:r>
            <w:r>
              <w:rPr>
                <w:rFonts w:hint="eastAsia" w:eastAsia="宋体" w:cs="Times New Roman"/>
                <w:b w:val="0"/>
                <w:bCs w:val="0"/>
                <w:color w:val="auto"/>
                <w:sz w:val="24"/>
                <w:szCs w:val="24"/>
                <w:highlight w:val="none"/>
                <w:lang w:val="en-US" w:eastAsia="zh-CN"/>
              </w:rPr>
              <w:t>占地1500</w:t>
            </w:r>
            <w:r>
              <w:rPr>
                <w:rFonts w:hint="eastAsia" w:cs="Times New Roman"/>
                <w:b w:val="0"/>
                <w:bCs w:val="0"/>
                <w:color w:val="auto"/>
                <w:sz w:val="24"/>
                <w:szCs w:val="24"/>
                <w:highlight w:val="none"/>
                <w:lang w:val="en-US" w:eastAsia="zh-CN"/>
              </w:rPr>
              <w:t>m</w:t>
            </w:r>
            <w:r>
              <w:rPr>
                <w:rFonts w:hint="eastAsia"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vertAlign w:val="baseline"/>
                <w:lang w:val="en-US" w:eastAsia="zh-CN"/>
              </w:rPr>
              <w:t>，</w:t>
            </w:r>
            <w:r>
              <w:rPr>
                <w:rFonts w:hint="eastAsia" w:cs="Times New Roman"/>
                <w:b w:val="0"/>
                <w:bCs w:val="0"/>
                <w:color w:val="auto"/>
                <w:sz w:val="24"/>
                <w:szCs w:val="24"/>
                <w:highlight w:val="none"/>
                <w:lang w:val="en-US" w:eastAsia="zh-CN"/>
              </w:rPr>
              <w:t>全部供厂内水稳材料生产使用。</w:t>
            </w:r>
            <w:r>
              <w:rPr>
                <w:rFonts w:hint="eastAsia" w:cs="Times New Roman"/>
                <w:b w:val="0"/>
                <w:bCs w:val="0"/>
                <w:color w:val="auto"/>
                <w:sz w:val="24"/>
                <w:szCs w:val="24"/>
                <w:highlight w:val="none"/>
                <w:lang w:eastAsia="zh-CN"/>
              </w:rPr>
              <w:t>整个生产环节均在封闭式厂房内进行，</w:t>
            </w:r>
            <w:r>
              <w:rPr>
                <w:rFonts w:hint="eastAsia" w:cs="Times New Roman"/>
                <w:b w:val="0"/>
                <w:bCs w:val="0"/>
                <w:color w:val="auto"/>
                <w:sz w:val="24"/>
                <w:szCs w:val="24"/>
                <w:highlight w:val="none"/>
                <w:lang w:val="en-US" w:eastAsia="zh-CN"/>
              </w:rPr>
              <w:t>厂房设两个出入口，便于原料及成品的运输。</w:t>
            </w:r>
          </w:p>
          <w:p w14:paraId="7ABD4738">
            <w:pPr>
              <w:pStyle w:val="23"/>
              <w:spacing w:after="0" w:line="360" w:lineRule="auto"/>
              <w:ind w:left="0" w:leftChars="0" w:firstLine="480"/>
              <w:rPr>
                <w:rFonts w:cs="Times New Roman"/>
                <w:color w:val="auto"/>
                <w:highlight w:val="none"/>
              </w:rPr>
            </w:pPr>
            <w:r>
              <w:rPr>
                <w:rFonts w:hint="eastAsia" w:ascii="Times New Roman" w:hAnsi="Times New Roman" w:eastAsia="宋体" w:cs="Times New Roman"/>
                <w:b w:val="0"/>
                <w:bCs w:val="0"/>
                <w:color w:val="auto"/>
                <w:sz w:val="24"/>
                <w:szCs w:val="24"/>
                <w:highlight w:val="none"/>
              </w:rPr>
              <w:t>综上所述，</w:t>
            </w:r>
            <w:r>
              <w:rPr>
                <w:rFonts w:hint="eastAsia" w:ascii="Times New Roman" w:hAnsi="Times New Roman" w:eastAsia="宋体" w:cs="Times New Roman"/>
                <w:b w:val="0"/>
                <w:bCs w:val="0"/>
                <w:color w:val="auto"/>
                <w:sz w:val="24"/>
                <w:szCs w:val="24"/>
                <w:highlight w:val="none"/>
                <w:lang w:eastAsia="zh-CN"/>
              </w:rPr>
              <w:t>厂区各</w:t>
            </w:r>
            <w:r>
              <w:rPr>
                <w:rFonts w:hint="eastAsia" w:ascii="Times New Roman" w:hAnsi="Times New Roman" w:eastAsia="宋体" w:cs="Times New Roman"/>
                <w:b w:val="0"/>
                <w:bCs w:val="0"/>
                <w:color w:val="auto"/>
                <w:sz w:val="24"/>
                <w:szCs w:val="24"/>
                <w:highlight w:val="none"/>
              </w:rPr>
              <w:t>生产线布设利于生产加工及进出料，项目总体上做到按生产线分区，系统分明，布置整齐合理。项目地理位置图见附图1，总平面布置见附图</w:t>
            </w:r>
            <w:r>
              <w:rPr>
                <w:rFonts w:hint="eastAsia" w:eastAsia="宋体"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rPr>
              <w:t>。</w:t>
            </w:r>
          </w:p>
        </w:tc>
      </w:tr>
      <w:tr w14:paraId="554A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203" w:type="pct"/>
            <w:vAlign w:val="center"/>
          </w:tcPr>
          <w:p w14:paraId="0A544681">
            <w:pPr>
              <w:adjustRightInd w:val="0"/>
              <w:snapToGrid w:val="0"/>
              <w:spacing w:line="240" w:lineRule="auto"/>
              <w:rPr>
                <w:rFonts w:cs="Times New Roman"/>
                <w:color w:val="auto"/>
                <w:highlight w:val="none"/>
              </w:rPr>
            </w:pPr>
            <w:r>
              <w:rPr>
                <w:rFonts w:cs="Times New Roman"/>
                <w:color w:val="auto"/>
                <w:kern w:val="21"/>
                <w:szCs w:val="24"/>
                <w:highlight w:val="none"/>
              </w:rPr>
              <w:t>工艺流程和产排污环节</w:t>
            </w:r>
          </w:p>
        </w:tc>
        <w:tc>
          <w:tcPr>
            <w:tcW w:w="4796" w:type="pct"/>
          </w:tcPr>
          <w:p w14:paraId="1A697C30">
            <w:pPr>
              <w:rPr>
                <w:rFonts w:cs="Times New Roman"/>
                <w:b/>
                <w:snapToGrid w:val="0"/>
                <w:color w:val="auto"/>
                <w:kern w:val="0"/>
                <w:szCs w:val="24"/>
                <w:highlight w:val="none"/>
              </w:rPr>
            </w:pPr>
            <w:r>
              <w:rPr>
                <w:rFonts w:hint="eastAsia" w:eastAsia="宋体" w:cs="Times New Roman"/>
                <w:b/>
                <w:bCs/>
                <w:color w:val="auto"/>
                <w:szCs w:val="24"/>
                <w:highlight w:val="none"/>
                <w:lang w:eastAsia="zh-CN"/>
              </w:rPr>
              <w:t>（</w:t>
            </w:r>
            <w:r>
              <w:rPr>
                <w:rFonts w:hint="eastAsia" w:eastAsia="宋体" w:cs="Times New Roman"/>
                <w:b/>
                <w:bCs/>
                <w:color w:val="auto"/>
                <w:szCs w:val="24"/>
                <w:highlight w:val="none"/>
                <w:lang w:val="en-US" w:eastAsia="zh-CN"/>
              </w:rPr>
              <w:t>一</w:t>
            </w:r>
            <w:r>
              <w:rPr>
                <w:rFonts w:hint="eastAsia" w:eastAsia="宋体" w:cs="Times New Roman"/>
                <w:b/>
                <w:bCs/>
                <w:color w:val="auto"/>
                <w:szCs w:val="24"/>
                <w:highlight w:val="none"/>
                <w:lang w:eastAsia="zh-CN"/>
              </w:rPr>
              <w:t>）</w:t>
            </w:r>
            <w:r>
              <w:rPr>
                <w:rFonts w:eastAsia="宋体" w:cs="Times New Roman"/>
                <w:b/>
                <w:snapToGrid w:val="0"/>
                <w:color w:val="auto"/>
                <w:kern w:val="0"/>
                <w:szCs w:val="24"/>
                <w:highlight w:val="none"/>
              </w:rPr>
              <w:t>施工期工艺流程和产污分析</w:t>
            </w:r>
          </w:p>
          <w:p w14:paraId="0B1A59E5">
            <w:pPr>
              <w:ind w:firstLine="480" w:firstLineChars="200"/>
              <w:outlineLvl w:val="0"/>
              <w:rPr>
                <w:rFonts w:hint="eastAsia" w:eastAsia="宋体" w:cs="Times New Roman"/>
                <w:b/>
                <w:snapToGrid w:val="0"/>
                <w:color w:val="auto"/>
                <w:kern w:val="0"/>
                <w:szCs w:val="24"/>
                <w:highlight w:val="none"/>
                <w:lang w:eastAsia="zh-CN"/>
              </w:rPr>
            </w:pPr>
            <w:r>
              <w:rPr>
                <w:rFonts w:hint="eastAsia" w:eastAsia="宋体" w:cs="Times New Roman"/>
                <w:b w:val="0"/>
                <w:bCs/>
                <w:color w:val="auto"/>
                <w:szCs w:val="24"/>
                <w:highlight w:val="none"/>
                <w:lang w:val="en-US" w:eastAsia="zh-CN"/>
              </w:rPr>
              <w:t>根据现场勘探，</w:t>
            </w:r>
            <w:r>
              <w:rPr>
                <w:rFonts w:hint="eastAsia" w:cs="Times New Roman"/>
                <w:color w:val="auto"/>
                <w:highlight w:val="none"/>
                <w:lang w:val="en-US" w:eastAsia="zh-CN"/>
              </w:rPr>
              <w:t>本项目占地范围为原京昆高速公路蒲城至涝峪段改扩建工程JK-ZC02合同段2#集中场站，利用其现有封闭厂房。</w:t>
            </w:r>
            <w:r>
              <w:rPr>
                <w:rFonts w:hint="eastAsia" w:eastAsia="宋体" w:cs="Times New Roman"/>
                <w:b w:val="0"/>
                <w:bCs/>
                <w:color w:val="auto"/>
                <w:szCs w:val="24"/>
                <w:highlight w:val="none"/>
                <w:lang w:val="en-US" w:eastAsia="zh-CN"/>
              </w:rPr>
              <w:t>本次项目施工过程仅涉及机制骨料生产线和水稳材料生产线的安装工程。根据对施工内容的分析可知，本工程施工期的污染主要有施工扬尘、</w:t>
            </w:r>
            <w:r>
              <w:rPr>
                <w:rFonts w:hint="eastAsia" w:ascii="Times New Roman" w:hAnsi="Times New Roman" w:eastAsia="宋体" w:cs="Times New Roman"/>
                <w:b w:val="0"/>
                <w:bCs/>
                <w:color w:val="auto"/>
                <w:szCs w:val="24"/>
                <w:highlight w:val="none"/>
                <w:lang w:val="en-US" w:eastAsia="zh-CN"/>
              </w:rPr>
              <w:t>施工人员生活污水、施工废水、</w:t>
            </w:r>
            <w:r>
              <w:rPr>
                <w:rFonts w:hint="eastAsia" w:eastAsia="宋体" w:cs="Times New Roman"/>
                <w:b w:val="0"/>
                <w:bCs/>
                <w:color w:val="auto"/>
                <w:szCs w:val="24"/>
                <w:highlight w:val="none"/>
                <w:lang w:val="en-US" w:eastAsia="zh-CN"/>
              </w:rPr>
              <w:t>施工现场的各类机械设备噪声、</w:t>
            </w:r>
            <w:r>
              <w:rPr>
                <w:rFonts w:hint="eastAsia" w:ascii="宋体" w:hAnsi="宋体" w:eastAsia="宋体" w:cs="宋体"/>
                <w:color w:val="auto"/>
                <w:sz w:val="24"/>
                <w:szCs w:val="24"/>
                <w:highlight w:val="none"/>
                <w:lang w:val="en-US" w:eastAsia="zh-CN"/>
              </w:rPr>
              <w:t>建筑垃圾、废包装材料、生活垃圾</w:t>
            </w:r>
            <w:r>
              <w:rPr>
                <w:rFonts w:hint="eastAsia" w:eastAsia="宋体" w:cs="Times New Roman"/>
                <w:b w:val="0"/>
                <w:bCs/>
                <w:color w:val="auto"/>
                <w:szCs w:val="24"/>
                <w:highlight w:val="none"/>
                <w:lang w:val="en-US" w:eastAsia="zh-CN"/>
              </w:rPr>
              <w:t>等。施工结束后污染也随之消失，对环境影响较小。具体的工艺流程和产污环节见图2-5。</w:t>
            </w:r>
          </w:p>
          <w:p w14:paraId="16FED71C">
            <w:pPr>
              <w:rPr>
                <w:rFonts w:eastAsia="宋体" w:cs="Times New Roman"/>
                <w:b/>
                <w:snapToGrid w:val="0"/>
                <w:color w:val="auto"/>
                <w:kern w:val="0"/>
                <w:szCs w:val="24"/>
                <w:highlight w:val="none"/>
              </w:rPr>
            </w:pPr>
            <w:r>
              <w:rPr>
                <w:rFonts w:hint="eastAsia" w:eastAsia="宋体" w:cs="Times New Roman"/>
                <w:b/>
                <w:snapToGrid w:val="0"/>
                <w:color w:val="auto"/>
                <w:kern w:val="0"/>
                <w:szCs w:val="24"/>
                <w:highlight w:val="none"/>
                <w:lang w:eastAsia="zh-CN"/>
              </w:rPr>
              <w:t>（</w:t>
            </w:r>
            <w:r>
              <w:rPr>
                <w:rFonts w:hint="eastAsia" w:eastAsia="宋体" w:cs="Times New Roman"/>
                <w:b/>
                <w:snapToGrid w:val="0"/>
                <w:color w:val="auto"/>
                <w:kern w:val="0"/>
                <w:szCs w:val="24"/>
                <w:highlight w:val="none"/>
                <w:lang w:val="en-US" w:eastAsia="zh-CN"/>
              </w:rPr>
              <w:t>二</w:t>
            </w:r>
            <w:r>
              <w:rPr>
                <w:rFonts w:hint="eastAsia" w:eastAsia="宋体" w:cs="Times New Roman"/>
                <w:b/>
                <w:snapToGrid w:val="0"/>
                <w:color w:val="auto"/>
                <w:kern w:val="0"/>
                <w:szCs w:val="24"/>
                <w:highlight w:val="none"/>
                <w:lang w:eastAsia="zh-CN"/>
              </w:rPr>
              <w:t>）</w:t>
            </w:r>
            <w:r>
              <w:rPr>
                <w:rFonts w:eastAsia="宋体" w:cs="Times New Roman"/>
                <w:b/>
                <w:snapToGrid w:val="0"/>
                <w:color w:val="auto"/>
                <w:kern w:val="0"/>
                <w:szCs w:val="24"/>
                <w:highlight w:val="none"/>
              </w:rPr>
              <w:t>运营期工艺流程和产污分析</w:t>
            </w:r>
          </w:p>
          <w:p w14:paraId="341C3D88">
            <w:pPr>
              <w:ind w:firstLine="482" w:firstLineChars="200"/>
              <w:rPr>
                <w:rFonts w:hint="eastAsia" w:cs="Times New Roman"/>
                <w:b/>
                <w:bCs/>
                <w:color w:val="auto"/>
                <w:highlight w:val="none"/>
                <w:lang w:val="en-US" w:eastAsia="zh-CN"/>
              </w:rPr>
            </w:pPr>
            <w:r>
              <w:rPr>
                <w:rFonts w:hint="eastAsia" w:cs="Times New Roman"/>
                <w:b/>
                <w:bCs/>
                <w:color w:val="auto"/>
                <w:highlight w:val="none"/>
                <w:lang w:val="en-US" w:eastAsia="zh-CN"/>
              </w:rPr>
              <w:t>1、机制骨料生产线</w:t>
            </w:r>
          </w:p>
          <w:p w14:paraId="3905BDA3">
            <w:pPr>
              <w:spacing w:line="360" w:lineRule="auto"/>
              <w:ind w:firstLine="499" w:firstLineChars="208"/>
              <w:rPr>
                <w:b w:val="0"/>
                <w:bCs w:val="0"/>
                <w:color w:val="auto"/>
                <w:sz w:val="24"/>
                <w:szCs w:val="24"/>
                <w:highlight w:val="none"/>
              </w:rPr>
            </w:pPr>
            <w:r>
              <w:rPr>
                <w:b w:val="0"/>
                <w:bCs w:val="0"/>
                <w:color w:val="auto"/>
                <w:sz w:val="24"/>
                <w:szCs w:val="24"/>
                <w:highlight w:val="none"/>
              </w:rPr>
              <w:t>工艺流程简述：</w:t>
            </w:r>
          </w:p>
          <w:p w14:paraId="505D0644">
            <w:pPr>
              <w:pStyle w:val="23"/>
              <w:numPr>
                <w:ilvl w:val="0"/>
                <w:numId w:val="2"/>
              </w:numPr>
              <w:spacing w:after="0" w:line="360" w:lineRule="auto"/>
              <w:ind w:left="0" w:leftChars="0" w:firstLine="480"/>
              <w:rPr>
                <w:rFonts w:hint="eastAsia" w:ascii="Times New Roman" w:hAnsi="Times New Roman" w:eastAsia="宋体" w:cs="Times New Roman"/>
                <w:b w:val="0"/>
                <w:bCs w:val="0"/>
                <w:color w:val="auto"/>
                <w:sz w:val="24"/>
                <w:szCs w:val="24"/>
                <w:highlight w:val="none"/>
              </w:rPr>
            </w:pPr>
            <w:r>
              <w:rPr>
                <w:rFonts w:hint="eastAsia" w:eastAsia="宋体" w:cs="Times New Roman"/>
                <w:b w:val="0"/>
                <w:bCs w:val="0"/>
                <w:color w:val="auto"/>
                <w:sz w:val="24"/>
                <w:szCs w:val="24"/>
                <w:highlight w:val="none"/>
                <w:lang w:val="en-US" w:eastAsia="zh-CN"/>
              </w:rPr>
              <w:t>原料运输：</w:t>
            </w:r>
            <w:r>
              <w:rPr>
                <w:rFonts w:hint="eastAsia" w:ascii="Times New Roman" w:hAnsi="Times New Roman" w:eastAsia="宋体" w:cs="Times New Roman"/>
                <w:b w:val="0"/>
                <w:bCs w:val="0"/>
                <w:color w:val="auto"/>
                <w:sz w:val="24"/>
                <w:szCs w:val="24"/>
                <w:highlight w:val="none"/>
              </w:rPr>
              <w:t>本项目</w:t>
            </w:r>
            <w:r>
              <w:rPr>
                <w:rFonts w:hint="eastAsia" w:ascii="Times New Roman" w:hAnsi="Times New Roman" w:eastAsia="宋体" w:cs="Times New Roman"/>
                <w:b w:val="0"/>
                <w:bCs w:val="0"/>
                <w:color w:val="auto"/>
                <w:sz w:val="24"/>
                <w:szCs w:val="24"/>
                <w:highlight w:val="none"/>
                <w:lang w:val="en-US" w:eastAsia="zh-CN"/>
              </w:rPr>
              <w:t>废弃建筑材料均采用</w:t>
            </w:r>
            <w:r>
              <w:rPr>
                <w:rFonts w:hint="eastAsia" w:ascii="Times New Roman" w:hAnsi="Times New Roman" w:eastAsia="宋体" w:cs="Times New Roman"/>
                <w:b w:val="0"/>
                <w:bCs w:val="0"/>
                <w:color w:val="auto"/>
                <w:sz w:val="24"/>
                <w:szCs w:val="24"/>
                <w:highlight w:val="none"/>
              </w:rPr>
              <w:t>汽车运输</w:t>
            </w:r>
            <w:r>
              <w:rPr>
                <w:rFonts w:hint="eastAsia" w:eastAsia="宋体" w:cs="Times New Roman"/>
                <w:b w:val="0"/>
                <w:bCs w:val="0"/>
                <w:color w:val="auto"/>
                <w:sz w:val="24"/>
                <w:szCs w:val="24"/>
                <w:highlight w:val="none"/>
                <w:lang w:val="en-US" w:eastAsia="zh-CN"/>
              </w:rPr>
              <w:t>至封闭式厂房的原料区</w:t>
            </w:r>
            <w:r>
              <w:rPr>
                <w:rFonts w:hint="eastAsia" w:ascii="Times New Roman" w:hAnsi="Times New Roman" w:eastAsia="宋体" w:cs="Times New Roman"/>
                <w:b w:val="0"/>
                <w:bCs w:val="0"/>
                <w:color w:val="auto"/>
                <w:sz w:val="24"/>
                <w:szCs w:val="24"/>
                <w:highlight w:val="none"/>
              </w:rPr>
              <w:t>暂存。</w:t>
            </w:r>
            <w:r>
              <w:rPr>
                <w:rFonts w:hint="eastAsia" w:cs="Times New Roman"/>
                <w:b w:val="0"/>
                <w:bCs w:val="0"/>
                <w:color w:val="auto"/>
                <w:sz w:val="24"/>
                <w:szCs w:val="24"/>
                <w:highlight w:val="none"/>
                <w:lang w:val="en-US" w:eastAsia="zh-CN"/>
              </w:rPr>
              <w:t>厂房顶部设置喷雾抑尘装置，对堆场进行间歇式喷淋抑尘</w:t>
            </w:r>
            <w:r>
              <w:rPr>
                <w:rFonts w:hint="eastAsia" w:ascii="Times New Roman" w:hAnsi="Times New Roman" w:eastAsia="宋体" w:cs="Times New Roman"/>
                <w:b w:val="0"/>
                <w:bCs w:val="0"/>
                <w:color w:val="auto"/>
                <w:sz w:val="24"/>
                <w:szCs w:val="24"/>
                <w:highlight w:val="none"/>
              </w:rPr>
              <w:t>，保证物料表面含水量不低于10%，减少原料卸料粉尘及存贮过程产生的扬尘。</w:t>
            </w:r>
          </w:p>
          <w:p w14:paraId="0AC6DB11">
            <w:pPr>
              <w:pStyle w:val="23"/>
              <w:numPr>
                <w:ilvl w:val="0"/>
                <w:numId w:val="2"/>
              </w:numPr>
              <w:spacing w:after="0" w:line="360" w:lineRule="auto"/>
              <w:ind w:left="0" w:leftChars="0" w:firstLine="480"/>
              <w:rPr>
                <w:rFonts w:hint="eastAsia" w:ascii="Times New Roman" w:hAnsi="Times New Roman" w:eastAsia="宋体" w:cs="Times New Roman"/>
                <w:b w:val="0"/>
                <w:bCs w:val="0"/>
                <w:color w:val="auto"/>
                <w:sz w:val="24"/>
                <w:szCs w:val="24"/>
                <w:highlight w:val="none"/>
              </w:rPr>
            </w:pPr>
            <w:r>
              <w:rPr>
                <w:rFonts w:hint="eastAsia" w:eastAsia="宋体" w:cs="Times New Roman"/>
                <w:b w:val="0"/>
                <w:bCs w:val="0"/>
                <w:color w:val="auto"/>
                <w:sz w:val="24"/>
                <w:szCs w:val="24"/>
                <w:highlight w:val="none"/>
                <w:lang w:val="en-US" w:eastAsia="zh-CN"/>
              </w:rPr>
              <w:t>分拣</w:t>
            </w:r>
            <w:r>
              <w:rPr>
                <w:rFonts w:hint="eastAsia" w:ascii="Times New Roman" w:hAnsi="Times New Roman" w:eastAsia="宋体" w:cs="Times New Roman"/>
                <w:b w:val="0"/>
                <w:bCs w:val="0"/>
                <w:color w:val="auto"/>
                <w:sz w:val="24"/>
                <w:szCs w:val="24"/>
                <w:highlight w:val="none"/>
              </w:rPr>
              <w:t>：每批运送至厂区内的物料，进行人工</w:t>
            </w:r>
            <w:r>
              <w:rPr>
                <w:rFonts w:hint="eastAsia" w:eastAsia="宋体" w:cs="Times New Roman"/>
                <w:b w:val="0"/>
                <w:bCs w:val="0"/>
                <w:color w:val="auto"/>
                <w:sz w:val="24"/>
                <w:szCs w:val="24"/>
                <w:highlight w:val="none"/>
                <w:lang w:val="en-US" w:eastAsia="zh-CN"/>
              </w:rPr>
              <w:t>分拣</w:t>
            </w:r>
            <w:r>
              <w:rPr>
                <w:rFonts w:hint="eastAsia" w:ascii="Times New Roman" w:hAnsi="Times New Roman" w:eastAsia="宋体" w:cs="Times New Roman"/>
                <w:b w:val="0"/>
                <w:bCs w:val="0"/>
                <w:color w:val="auto"/>
                <w:sz w:val="24"/>
                <w:szCs w:val="24"/>
                <w:highlight w:val="none"/>
              </w:rPr>
              <w:t>，将</w:t>
            </w:r>
            <w:r>
              <w:rPr>
                <w:rFonts w:hint="eastAsia" w:eastAsia="宋体" w:cs="Times New Roman"/>
                <w:b w:val="0"/>
                <w:bCs w:val="0"/>
                <w:color w:val="auto"/>
                <w:sz w:val="24"/>
                <w:szCs w:val="24"/>
                <w:highlight w:val="none"/>
                <w:lang w:val="en-US" w:eastAsia="zh-CN"/>
              </w:rPr>
              <w:t>少量的钢筋、</w:t>
            </w:r>
            <w:r>
              <w:rPr>
                <w:rFonts w:hint="eastAsia" w:ascii="Times New Roman" w:hAnsi="Times New Roman" w:eastAsia="宋体" w:cs="Times New Roman"/>
                <w:b w:val="0"/>
                <w:bCs w:val="0"/>
                <w:color w:val="auto"/>
                <w:sz w:val="24"/>
                <w:szCs w:val="24"/>
                <w:highlight w:val="none"/>
              </w:rPr>
              <w:t>木材、</w:t>
            </w:r>
            <w:r>
              <w:rPr>
                <w:rFonts w:hint="eastAsia" w:ascii="Times New Roman" w:hAnsi="Times New Roman" w:eastAsia="宋体" w:cs="Times New Roman"/>
                <w:b w:val="0"/>
                <w:bCs w:val="0"/>
                <w:color w:val="auto"/>
                <w:sz w:val="24"/>
                <w:szCs w:val="24"/>
                <w:highlight w:val="none"/>
                <w:lang w:eastAsia="zh-CN"/>
              </w:rPr>
              <w:t>塑料</w:t>
            </w:r>
            <w:r>
              <w:rPr>
                <w:rFonts w:hint="eastAsia"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泡沫</w:t>
            </w:r>
            <w:r>
              <w:rPr>
                <w:rFonts w:hint="eastAsia" w:eastAsia="宋体" w:cs="Times New Roman"/>
                <w:b w:val="0"/>
                <w:bCs w:val="0"/>
                <w:color w:val="auto"/>
                <w:sz w:val="24"/>
                <w:szCs w:val="24"/>
                <w:highlight w:val="none"/>
                <w:lang w:val="en-US" w:eastAsia="zh-CN"/>
              </w:rPr>
              <w:t>分拣</w:t>
            </w:r>
            <w:r>
              <w:rPr>
                <w:rFonts w:hint="eastAsia" w:ascii="Times New Roman" w:hAnsi="Times New Roman" w:eastAsia="宋体" w:cs="Times New Roman"/>
                <w:b w:val="0"/>
                <w:bCs w:val="0"/>
                <w:color w:val="auto"/>
                <w:sz w:val="24"/>
                <w:szCs w:val="24"/>
                <w:highlight w:val="none"/>
                <w:lang w:val="en-US" w:eastAsia="zh-CN"/>
              </w:rPr>
              <w:t>后集中堆放在产品车间</w:t>
            </w:r>
            <w:r>
              <w:rPr>
                <w:rFonts w:hint="eastAsia" w:ascii="Times New Roman" w:hAnsi="Times New Roman" w:eastAsia="宋体" w:cs="Times New Roman"/>
                <w:b w:val="0"/>
                <w:bCs w:val="0"/>
                <w:color w:val="auto"/>
                <w:sz w:val="24"/>
                <w:szCs w:val="24"/>
                <w:highlight w:val="none"/>
              </w:rPr>
              <w:t>，</w:t>
            </w:r>
            <w:r>
              <w:rPr>
                <w:rFonts w:hint="eastAsia" w:eastAsia="宋体" w:cs="Times New Roman"/>
                <w:b w:val="0"/>
                <w:bCs w:val="0"/>
                <w:color w:val="auto"/>
                <w:sz w:val="24"/>
                <w:szCs w:val="24"/>
                <w:highlight w:val="none"/>
                <w:lang w:val="en-US" w:eastAsia="zh-CN"/>
              </w:rPr>
              <w:t>最终外售至西安龙创建筑科技有限公司综合利用</w:t>
            </w:r>
            <w:r>
              <w:rPr>
                <w:rFonts w:hint="eastAsia" w:ascii="Times New Roman" w:hAnsi="Times New Roman" w:eastAsia="宋体" w:cs="Times New Roman"/>
                <w:b w:val="0"/>
                <w:bCs w:val="0"/>
                <w:color w:val="auto"/>
                <w:sz w:val="24"/>
                <w:szCs w:val="24"/>
                <w:highlight w:val="none"/>
                <w:lang w:eastAsia="zh-CN"/>
              </w:rPr>
              <w:t>。</w:t>
            </w:r>
          </w:p>
          <w:p w14:paraId="26D002E4">
            <w:pPr>
              <w:pStyle w:val="23"/>
              <w:numPr>
                <w:ilvl w:val="0"/>
                <w:numId w:val="2"/>
              </w:numPr>
              <w:spacing w:after="0" w:line="360" w:lineRule="auto"/>
              <w:ind w:left="0" w:leftChars="0" w:firstLine="480" w:firstLineChars="200"/>
              <w:rPr>
                <w:rFonts w:hint="eastAsia"/>
                <w:color w:val="auto"/>
                <w:highlight w:val="none"/>
                <w:lang w:val="en-US" w:eastAsia="zh-CN"/>
              </w:rPr>
            </w:pPr>
            <w:r>
              <w:rPr>
                <w:rFonts w:hint="eastAsia" w:eastAsia="宋体" w:cs="Times New Roman"/>
                <w:b w:val="0"/>
                <w:bCs w:val="0"/>
                <w:color w:val="auto"/>
                <w:sz w:val="24"/>
                <w:szCs w:val="24"/>
                <w:highlight w:val="none"/>
                <w:lang w:val="en-US" w:eastAsia="zh-CN"/>
              </w:rPr>
              <w:t>投料：在封闭式厂房内用铲车将原料送到料斗，通过给料机经皮带将原材料输送至颚式破碎机进行破碎。</w:t>
            </w:r>
          </w:p>
          <w:p w14:paraId="7B891E03">
            <w:pPr>
              <w:pStyle w:val="23"/>
              <w:numPr>
                <w:ilvl w:val="0"/>
                <w:numId w:val="2"/>
              </w:numPr>
              <w:spacing w:after="0" w:line="360" w:lineRule="auto"/>
              <w:ind w:left="0" w:leftChars="0" w:firstLine="480" w:firstLineChars="200"/>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初次破碎：将</w:t>
            </w:r>
            <w:r>
              <w:rPr>
                <w:rFonts w:hint="eastAsia" w:eastAsia="宋体" w:cs="Times New Roman"/>
                <w:b w:val="0"/>
                <w:bCs w:val="0"/>
                <w:color w:val="auto"/>
                <w:sz w:val="24"/>
                <w:szCs w:val="24"/>
                <w:highlight w:val="none"/>
                <w:lang w:val="en-US" w:eastAsia="zh-CN"/>
              </w:rPr>
              <w:t>建筑垃圾</w:t>
            </w:r>
            <w:r>
              <w:rPr>
                <w:rFonts w:hint="eastAsia" w:ascii="Times New Roman" w:hAnsi="Times New Roman" w:eastAsia="宋体" w:cs="Times New Roman"/>
                <w:b w:val="0"/>
                <w:bCs w:val="0"/>
                <w:color w:val="auto"/>
                <w:sz w:val="24"/>
                <w:szCs w:val="24"/>
                <w:highlight w:val="none"/>
                <w:lang w:val="en-US" w:eastAsia="zh-CN"/>
              </w:rPr>
              <w:t>用颚式破碎机进行</w:t>
            </w:r>
            <w:r>
              <w:rPr>
                <w:rFonts w:hint="eastAsia" w:eastAsia="宋体" w:cs="Times New Roman"/>
                <w:b w:val="0"/>
                <w:bCs w:val="0"/>
                <w:color w:val="auto"/>
                <w:sz w:val="24"/>
                <w:szCs w:val="24"/>
                <w:highlight w:val="none"/>
                <w:lang w:val="en-US" w:eastAsia="zh-CN"/>
              </w:rPr>
              <w:t>初破</w:t>
            </w:r>
            <w:r>
              <w:rPr>
                <w:rFonts w:hint="eastAsia"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val="en-US" w:eastAsia="zh-CN"/>
              </w:rPr>
              <w:t>得到颗粒较大的碎石。此工序产生的主要污染物为粉尘和噪声</w:t>
            </w:r>
            <w:r>
              <w:rPr>
                <w:rFonts w:hint="eastAsia" w:ascii="Times New Roman" w:hAnsi="Times New Roman" w:eastAsia="宋体" w:cs="Times New Roman"/>
                <w:b w:val="0"/>
                <w:bCs w:val="0"/>
                <w:color w:val="auto"/>
                <w:sz w:val="24"/>
                <w:szCs w:val="24"/>
                <w:highlight w:val="none"/>
              </w:rPr>
              <w:t>。</w:t>
            </w:r>
          </w:p>
          <w:p w14:paraId="2D5356B9">
            <w:pPr>
              <w:numPr>
                <w:ilvl w:val="0"/>
                <w:numId w:val="2"/>
              </w:numPr>
              <w:ind w:left="0" w:leftChars="0"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筛分：初次破碎后的颗粒经</w:t>
            </w:r>
            <w:r>
              <w:rPr>
                <w:rFonts w:hint="eastAsia" w:eastAsia="宋体" w:cs="Times New Roman"/>
                <w:color w:val="auto"/>
                <w:sz w:val="24"/>
                <w:szCs w:val="24"/>
                <w:highlight w:val="none"/>
                <w:lang w:val="en-US" w:eastAsia="zh-CN"/>
              </w:rPr>
              <w:t>封闭式</w:t>
            </w:r>
            <w:r>
              <w:rPr>
                <w:rFonts w:hint="eastAsia" w:ascii="Times New Roman" w:hAnsi="Times New Roman" w:eastAsia="宋体" w:cs="Times New Roman"/>
                <w:color w:val="auto"/>
                <w:sz w:val="24"/>
                <w:szCs w:val="24"/>
                <w:highlight w:val="none"/>
                <w:lang w:val="en-US" w:eastAsia="zh-CN"/>
              </w:rPr>
              <w:t>传送带输</w:t>
            </w:r>
            <w:r>
              <w:rPr>
                <w:rFonts w:hint="eastAsia" w:eastAsia="宋体" w:cs="Times New Roman"/>
                <w:color w:val="auto"/>
                <w:sz w:val="24"/>
                <w:szCs w:val="24"/>
                <w:highlight w:val="none"/>
                <w:lang w:val="en-US" w:eastAsia="zh-CN"/>
              </w:rPr>
              <w:t>送</w:t>
            </w:r>
            <w:r>
              <w:rPr>
                <w:rFonts w:hint="eastAsia" w:ascii="Times New Roman" w:hAnsi="Times New Roman" w:eastAsia="宋体" w:cs="Times New Roman"/>
                <w:color w:val="auto"/>
                <w:sz w:val="24"/>
                <w:szCs w:val="24"/>
                <w:highlight w:val="none"/>
                <w:lang w:val="en-US" w:eastAsia="zh-CN"/>
              </w:rPr>
              <w:t>，进入筛分机进行分选，</w:t>
            </w:r>
            <w:r>
              <w:rPr>
                <w:rFonts w:hint="eastAsia" w:cs="Times New Roman"/>
                <w:color w:val="auto"/>
                <w:sz w:val="24"/>
                <w:szCs w:val="24"/>
                <w:highlight w:val="none"/>
                <w:lang w:eastAsia="zh-CN"/>
              </w:rPr>
              <w:t>粗骨料（</w:t>
            </w:r>
            <w:r>
              <w:rPr>
                <w:rFonts w:hint="eastAsia" w:cs="Times New Roman"/>
                <w:color w:val="auto"/>
                <w:sz w:val="24"/>
                <w:szCs w:val="24"/>
                <w:highlight w:val="none"/>
                <w:lang w:val="en-US" w:eastAsia="zh-CN"/>
              </w:rPr>
              <w:t>5~30mm</w:t>
            </w:r>
            <w:r>
              <w:rPr>
                <w:rFonts w:hint="eastAsia" w:cs="Times New Roman"/>
                <w:color w:val="auto"/>
                <w:sz w:val="24"/>
                <w:szCs w:val="24"/>
                <w:highlight w:val="none"/>
                <w:lang w:eastAsia="zh-CN"/>
              </w:rPr>
              <w:t>）通过</w:t>
            </w:r>
            <w:r>
              <w:rPr>
                <w:rFonts w:hint="eastAsia" w:cs="Times New Roman"/>
                <w:color w:val="auto"/>
                <w:sz w:val="24"/>
                <w:szCs w:val="24"/>
                <w:highlight w:val="none"/>
                <w:lang w:val="en-US" w:eastAsia="zh-CN"/>
              </w:rPr>
              <w:t>进行二次破碎</w:t>
            </w:r>
            <w:r>
              <w:rPr>
                <w:rFonts w:hint="eastAsia" w:cs="Times New Roman"/>
                <w:color w:val="auto"/>
                <w:sz w:val="24"/>
                <w:szCs w:val="24"/>
                <w:highlight w:val="none"/>
                <w:lang w:eastAsia="zh-CN"/>
              </w:rPr>
              <w:t>，符合规格的骨料（</w:t>
            </w:r>
            <w:r>
              <w:rPr>
                <w:rFonts w:hint="eastAsia" w:cs="Times New Roman"/>
                <w:color w:val="auto"/>
                <w:sz w:val="24"/>
                <w:szCs w:val="24"/>
                <w:highlight w:val="none"/>
                <w:lang w:val="en-US" w:eastAsia="zh-CN"/>
              </w:rPr>
              <w:t>0~5mm，约10%</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运输到成品</w:t>
            </w:r>
            <w:r>
              <w:rPr>
                <w:rFonts w:hint="eastAsia" w:cs="Times New Roman"/>
                <w:color w:val="auto"/>
                <w:sz w:val="24"/>
                <w:szCs w:val="24"/>
                <w:highlight w:val="none"/>
                <w:lang w:eastAsia="zh-CN"/>
              </w:rPr>
              <w:t>区暂存。</w:t>
            </w:r>
            <w:r>
              <w:rPr>
                <w:rFonts w:hint="eastAsia" w:ascii="Times New Roman" w:hAnsi="Times New Roman" w:eastAsia="宋体" w:cs="Times New Roman"/>
                <w:color w:val="auto"/>
                <w:sz w:val="24"/>
                <w:szCs w:val="24"/>
                <w:highlight w:val="none"/>
              </w:rPr>
              <w:t>此过程中产生的主要污染物为噪声和粉尘。</w:t>
            </w:r>
          </w:p>
          <w:p w14:paraId="39D24AE8">
            <w:pPr>
              <w:numPr>
                <w:ilvl w:val="0"/>
                <w:numId w:val="2"/>
              </w:numPr>
              <w:ind w:left="0" w:leftChars="0"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二次破碎：</w:t>
            </w:r>
            <w:r>
              <w:rPr>
                <w:rFonts w:hint="eastAsia" w:eastAsia="宋体" w:cs="Times New Roman"/>
                <w:color w:val="auto"/>
                <w:sz w:val="24"/>
                <w:szCs w:val="24"/>
                <w:highlight w:val="none"/>
                <w:lang w:val="en-US" w:eastAsia="zh-CN"/>
              </w:rPr>
              <w:t>初次</w:t>
            </w:r>
            <w:r>
              <w:rPr>
                <w:rFonts w:hint="eastAsia" w:ascii="Times New Roman" w:hAnsi="Times New Roman" w:eastAsia="宋体" w:cs="Times New Roman"/>
                <w:color w:val="auto"/>
                <w:sz w:val="24"/>
                <w:szCs w:val="24"/>
                <w:highlight w:val="none"/>
                <w:lang w:val="en-US" w:eastAsia="zh-CN"/>
              </w:rPr>
              <w:t>筛分后</w:t>
            </w:r>
            <w:r>
              <w:rPr>
                <w:rFonts w:hint="eastAsia" w:eastAsia="宋体" w:cs="Times New Roman"/>
                <w:color w:val="auto"/>
                <w:sz w:val="24"/>
                <w:szCs w:val="24"/>
                <w:highlight w:val="none"/>
                <w:lang w:val="en-US" w:eastAsia="zh-CN"/>
              </w:rPr>
              <w:t>的</w:t>
            </w:r>
            <w:r>
              <w:rPr>
                <w:rFonts w:hint="eastAsia" w:ascii="Times New Roman" w:hAnsi="Times New Roman" w:eastAsia="宋体" w:cs="Times New Roman"/>
                <w:color w:val="auto"/>
                <w:sz w:val="24"/>
                <w:szCs w:val="24"/>
                <w:highlight w:val="none"/>
                <w:lang w:val="en-US" w:eastAsia="zh-CN"/>
              </w:rPr>
              <w:t>粗骨</w:t>
            </w:r>
            <w:r>
              <w:rPr>
                <w:rFonts w:hint="eastAsia" w:cs="Times New Roman"/>
                <w:color w:val="auto"/>
                <w:sz w:val="24"/>
                <w:szCs w:val="24"/>
                <w:highlight w:val="none"/>
                <w:lang w:eastAsia="zh-CN"/>
              </w:rPr>
              <w:t>料（粒径</w:t>
            </w:r>
            <w:r>
              <w:rPr>
                <w:rFonts w:hint="eastAsia" w:cs="Times New Roman"/>
                <w:color w:val="auto"/>
                <w:sz w:val="24"/>
                <w:szCs w:val="24"/>
                <w:highlight w:val="none"/>
                <w:lang w:val="en-US" w:eastAsia="zh-CN"/>
              </w:rPr>
              <w:t>5~30mm</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经</w:t>
            </w:r>
            <w:r>
              <w:rPr>
                <w:rFonts w:hint="eastAsia" w:eastAsia="宋体" w:cs="Times New Roman"/>
                <w:color w:val="auto"/>
                <w:sz w:val="24"/>
                <w:szCs w:val="24"/>
                <w:highlight w:val="none"/>
                <w:lang w:val="en-US" w:eastAsia="zh-CN"/>
              </w:rPr>
              <w:t>封闭式</w:t>
            </w:r>
            <w:r>
              <w:rPr>
                <w:rFonts w:hint="eastAsia" w:ascii="Times New Roman" w:hAnsi="Times New Roman" w:eastAsia="宋体" w:cs="Times New Roman"/>
                <w:color w:val="auto"/>
                <w:sz w:val="24"/>
                <w:szCs w:val="24"/>
                <w:highlight w:val="none"/>
                <w:lang w:val="en-US" w:eastAsia="zh-CN"/>
              </w:rPr>
              <w:t>传送带输</w:t>
            </w:r>
            <w:r>
              <w:rPr>
                <w:rFonts w:hint="eastAsia" w:eastAsia="宋体" w:cs="Times New Roman"/>
                <w:color w:val="auto"/>
                <w:sz w:val="24"/>
                <w:szCs w:val="24"/>
                <w:highlight w:val="none"/>
                <w:lang w:val="en-US" w:eastAsia="zh-CN"/>
              </w:rPr>
              <w:t>送</w:t>
            </w:r>
            <w:r>
              <w:rPr>
                <w:rFonts w:hint="eastAsia"/>
                <w:color w:val="auto"/>
                <w:sz w:val="24"/>
                <w:highlight w:val="none"/>
                <w:lang w:val="en-US" w:eastAsia="zh-CN"/>
              </w:rPr>
              <w:t>至圆锥破碎机进行二次破碎</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此工序产生的主要污染物为粉尘和噪声。</w:t>
            </w:r>
          </w:p>
          <w:p w14:paraId="070E0324">
            <w:pPr>
              <w:numPr>
                <w:ilvl w:val="0"/>
                <w:numId w:val="2"/>
              </w:numPr>
              <w:ind w:left="0" w:leftChars="0"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筛分：圆锥破碎后，</w:t>
            </w:r>
            <w:r>
              <w:rPr>
                <w:rFonts w:hint="eastAsia" w:ascii="Times New Roman" w:hAnsi="Times New Roman" w:eastAsia="宋体" w:cs="Times New Roman"/>
                <w:color w:val="auto"/>
                <w:sz w:val="24"/>
                <w:szCs w:val="24"/>
                <w:highlight w:val="none"/>
                <w:lang w:val="en-US" w:eastAsia="zh-CN"/>
              </w:rPr>
              <w:t>骨</w:t>
            </w:r>
            <w:r>
              <w:rPr>
                <w:rFonts w:hint="eastAsia" w:cs="Times New Roman"/>
                <w:color w:val="auto"/>
                <w:sz w:val="24"/>
                <w:szCs w:val="24"/>
                <w:highlight w:val="none"/>
                <w:lang w:eastAsia="zh-CN"/>
              </w:rPr>
              <w:t>料</w:t>
            </w:r>
            <w:r>
              <w:rPr>
                <w:rFonts w:hint="eastAsia" w:ascii="Times New Roman" w:hAnsi="Times New Roman" w:eastAsia="宋体" w:cs="Times New Roman"/>
                <w:color w:val="auto"/>
                <w:sz w:val="24"/>
                <w:szCs w:val="24"/>
                <w:highlight w:val="none"/>
                <w:lang w:val="en-US" w:eastAsia="zh-CN"/>
              </w:rPr>
              <w:t>经</w:t>
            </w:r>
            <w:r>
              <w:rPr>
                <w:rFonts w:hint="eastAsia" w:eastAsia="宋体" w:cs="Times New Roman"/>
                <w:color w:val="auto"/>
                <w:sz w:val="24"/>
                <w:szCs w:val="24"/>
                <w:highlight w:val="none"/>
                <w:lang w:val="en-US" w:eastAsia="zh-CN"/>
              </w:rPr>
              <w:t>封闭式</w:t>
            </w:r>
            <w:r>
              <w:rPr>
                <w:rFonts w:hint="eastAsia" w:ascii="Times New Roman" w:hAnsi="Times New Roman" w:eastAsia="宋体" w:cs="Times New Roman"/>
                <w:color w:val="auto"/>
                <w:sz w:val="24"/>
                <w:szCs w:val="24"/>
                <w:highlight w:val="none"/>
                <w:lang w:val="en-US" w:eastAsia="zh-CN"/>
              </w:rPr>
              <w:t>传送带输</w:t>
            </w:r>
            <w:r>
              <w:rPr>
                <w:rFonts w:hint="eastAsia" w:eastAsia="宋体" w:cs="Times New Roman"/>
                <w:color w:val="auto"/>
                <w:sz w:val="24"/>
                <w:szCs w:val="24"/>
                <w:highlight w:val="none"/>
                <w:lang w:val="en-US" w:eastAsia="zh-CN"/>
              </w:rPr>
              <w:t>送</w:t>
            </w:r>
            <w:r>
              <w:rPr>
                <w:rFonts w:hint="eastAsia" w:eastAsia="宋体" w:cs="Times New Roman"/>
                <w:b w:val="0"/>
                <w:bCs w:val="0"/>
                <w:color w:val="auto"/>
                <w:sz w:val="24"/>
                <w:szCs w:val="24"/>
                <w:highlight w:val="none"/>
                <w:lang w:val="en-US" w:eastAsia="zh-CN"/>
              </w:rPr>
              <w:t>至</w:t>
            </w:r>
            <w:r>
              <w:rPr>
                <w:rFonts w:hint="eastAsia" w:ascii="Times New Roman" w:hAnsi="Times New Roman" w:eastAsia="宋体" w:cs="Times New Roman"/>
                <w:b w:val="0"/>
                <w:bCs w:val="0"/>
                <w:color w:val="auto"/>
                <w:sz w:val="24"/>
                <w:szCs w:val="24"/>
                <w:highlight w:val="none"/>
                <w:lang w:val="en-US" w:eastAsia="zh-CN"/>
              </w:rPr>
              <w:t>振动筛，</w:t>
            </w:r>
            <w:r>
              <w:rPr>
                <w:rFonts w:hint="eastAsia" w:ascii="Times New Roman" w:hAnsi="Times New Roman" w:eastAsia="宋体" w:cs="Times New Roman"/>
                <w:color w:val="auto"/>
                <w:sz w:val="24"/>
                <w:szCs w:val="24"/>
                <w:highlight w:val="none"/>
                <w:lang w:val="en-US" w:eastAsia="zh-CN"/>
              </w:rPr>
              <w:t>分选出粒径为0~5mm、5~</w:t>
            </w:r>
            <w:r>
              <w:rPr>
                <w:rFonts w:hint="eastAsia" w:eastAsia="宋体"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en-US" w:eastAsia="zh-CN"/>
              </w:rPr>
              <w:t>mm的再生骨料。</w:t>
            </w:r>
            <w:r>
              <w:rPr>
                <w:rFonts w:hint="eastAsia" w:ascii="Times New Roman" w:hAnsi="Times New Roman" w:eastAsia="宋体" w:cs="Times New Roman"/>
                <w:color w:val="auto"/>
                <w:sz w:val="24"/>
                <w:szCs w:val="24"/>
                <w:highlight w:val="none"/>
              </w:rPr>
              <w:t>此过程中产生的主要污染物为噪声和粉尘。</w:t>
            </w:r>
          </w:p>
          <w:p w14:paraId="23CDB0CD">
            <w:pPr>
              <w:widowControl w:val="0"/>
              <w:numPr>
                <w:ilvl w:val="0"/>
                <w:numId w:val="0"/>
              </w:numPr>
              <w:spacing w:line="360" w:lineRule="auto"/>
              <w:rPr>
                <w:rFonts w:hint="eastAsia" w:ascii="Times New Roman" w:hAnsi="Times New Roman" w:eastAsia="宋体" w:cs="Times New Roman"/>
                <w:color w:val="auto"/>
                <w:sz w:val="24"/>
                <w:szCs w:val="24"/>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3492500</wp:posOffset>
                      </wp:positionH>
                      <wp:positionV relativeFrom="paragraph">
                        <wp:posOffset>1758315</wp:posOffset>
                      </wp:positionV>
                      <wp:extent cx="795655" cy="425450"/>
                      <wp:effectExtent l="4445" t="4445" r="19050" b="8255"/>
                      <wp:wrapNone/>
                      <wp:docPr id="2" name="文本框 2"/>
                      <wp:cNvGraphicFramePr/>
                      <a:graphic xmlns:a="http://schemas.openxmlformats.org/drawingml/2006/main">
                        <a:graphicData uri="http://schemas.microsoft.com/office/word/2010/wordprocessingShape">
                          <wps:wsp>
                            <wps:cNvSpPr txBox="1"/>
                            <wps:spPr>
                              <a:xfrm>
                                <a:off x="0" y="0"/>
                                <a:ext cx="795655" cy="425450"/>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523DBAB">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骨料颗粒（5~20mm）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138.45pt;height:33.5pt;width:62.65pt;z-index:251667456;mso-width-relative:page;mso-height-relative:page;" fillcolor="#000000" filled="t" stroked="t" coordsize="21600,21600" o:gfxdata="UEsDBAoAAAAAAIdO4kAAAAAAAAAAAAAAAAAEAAAAZHJzL1BLAwQUAAAACACHTuJAhT1rFtsAAAAL&#10;AQAADwAAAGRycy9kb3ducmV2LnhtbE2Py07DMBRE90j8g3WR2KDWTkNSGnLTBVIrpK5aqNSlG1+S&#10;CD8i2339PWYFy9GMZs7Uy6vR7Ew+DM4iZFMBjGzr1GA7hM+P1eQFWIjSKqmdJYQbBVg293e1rJS7&#10;2C2dd7FjqcSGSiL0MY4V56HtycgwdSPZ5H05b2RM0ndceXlJ5UbzmRAlN3KwaaGXI7311H7vTgZB&#10;r8t2v33K/MHfug1/X+mNXu8RHx8y8Qos0jX+heEXP6FDk5iO7mRVYBqhKET6EhFm83IBLCXKeZED&#10;OyLkz/kCeFPz/x+aH1BLAwQUAAAACACHTuJAMhEt/lwCAADUBAAADgAAAGRycy9lMm9Eb2MueG1s&#10;rVTNbhMxEL4j8Q6W73STJZvSqJsqtCpCimilgDg7Xm/Wku0xtpPd8ADwBpy4cOe58hyMvZs2Khx6&#10;IAdn/vabmc8zvrzqtCI74bwEU9Lx2YgSYThU0mxK+unj7as3lPjATMUUGFHSvfD0av7yxWVrZyKH&#10;BlQlHEEQ42etLWkTgp1lmeeN0MyfgRUGnTU4zQKqbpNVjrWIrlWWj0bTrAVXWQdceI/Wm95JB0T3&#10;HECoa8nFDfCtFib0qE4oFrAl30jr6TxVW9eCh7u69iIQVVLsNKQTk6C8jmc2v2SzjWO2kXwogT2n&#10;hCc9aSYNJn2AumGBka2Tf0FpyR14qMMZB531jSRGsIvx6Ak3q4ZZkXpBqr19IN3/P1j+YXfviKxK&#10;mlNimMYLP/z4fvj5+/DrG8kjPa31M4xaWYwL3VvocGiOdo/G2HVXOx3/sR+CfiR3/0Cu6ALhaDy/&#10;KKZFQQlH1yQvJkUiP3v82Dof3gnQJAoldXh3iVK2W/qAhWDoMSTm8qBkdSuVSorbrK+VIzsW7zn9&#10;+m+VbdhgjUUjhu9De/kUQxnSlnT6Ggt7Fv4A9wiB4MogbmSsZyZKoVt3A41rqPbIooN+DL3ltxJ7&#10;XTIf7pnDuUPicDPDHR61AqwGBomSBtzXf9ljPI4DeilpcY5L6r9smROUqPcGB+ViPJnEwU/KpDjP&#10;UXGnnvWpx2z1NSCFY3wDLE9ijA/qKNYO9Gdc4EXMii5mOOYuaTiK16HfLnwAuFgsUhCOumVhaVaW&#10;R+jIroHFNkAt08VGmnpuBvZw2NP9DIsZt+lUT1GPj9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U9axbbAAAACwEAAA8AAAAAAAAAAQAgAAAAIgAAAGRycy9kb3ducmV2LnhtbFBLAQIUABQAAAAI&#10;AIdO4kAyES3+XAIAANQEAAAOAAAAAAAAAAEAIAAAACoBAABkcnMvZTJvRG9jLnhtbFBLBQYAAAAA&#10;BgAGAFkBAAD4BQAAAAA=&#10;">
                      <v:fill on="t" opacity="0f" focussize="0,0"/>
                      <v:stroke weight="0.5pt" color="#000000 [3213]" joinstyle="round"/>
                      <v:imagedata o:title=""/>
                      <o:lock v:ext="edit" aspectratio="f"/>
                      <v:textbox>
                        <w:txbxContent>
                          <w:p w14:paraId="7523DBAB">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骨料颗粒（5~20mm）</w:t>
                            </w:r>
                          </w:p>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3364230</wp:posOffset>
                      </wp:positionH>
                      <wp:positionV relativeFrom="paragraph">
                        <wp:posOffset>1287780</wp:posOffset>
                      </wp:positionV>
                      <wp:extent cx="1016000" cy="969010"/>
                      <wp:effectExtent l="4445" t="4445" r="8255" b="17145"/>
                      <wp:wrapNone/>
                      <wp:docPr id="9" name="圆角矩形 9"/>
                      <wp:cNvGraphicFramePr/>
                      <a:graphic xmlns:a="http://schemas.openxmlformats.org/drawingml/2006/main">
                        <a:graphicData uri="http://schemas.microsoft.com/office/word/2010/wordprocessingShape">
                          <wps:wsp>
                            <wps:cNvSpPr/>
                            <wps:spPr>
                              <a:xfrm>
                                <a:off x="4248785" y="5172710"/>
                                <a:ext cx="1016000" cy="969010"/>
                              </a:xfrm>
                              <a:prstGeom prst="roundRect">
                                <a:avLst/>
                              </a:prstGeom>
                              <a:noFill/>
                              <a:ln w="6350">
                                <a:solidFill>
                                  <a:schemeClr val="tx1"/>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4.9pt;margin-top:101.4pt;height:76.3pt;width:80pt;z-index:251668480;v-text-anchor:middle;mso-width-relative:page;mso-height-relative:page;" filled="f" stroked="t" coordsize="21600,21600" arcsize="0.166666666666667" o:gfxdata="UEsDBAoAAAAAAIdO4kAAAAAAAAAAAAAAAAAEAAAAZHJzL1BLAwQUAAAACACHTuJA+5ix09sAAAAL&#10;AQAADwAAAGRycy9kb3ducmV2LnhtbE2PzU7DMBCE70i8g7VI3KidQEIJ2VQIqeWIWqpKvbmxSSLi&#10;dYjdH/r0bE9w250dzXxbzk6uFwc7hs4TQjJRICzV3nTUIKw/5ndTECFqMrr3ZBF+bIBZdX1V6sL4&#10;Iy3tYRUbwSEUCo3QxjgUUoa6tU6HiR8s8e3Tj05HXsdGmlEfOdz1MlUql053xA2tHuxra+uv1d4h&#10;nJPNevv+ouLmLR/cYnHOH7fzb8Tbm0Q9g4j2FP/McMFndKiYaef3ZILoEbL0idEjQqpSHtiRTy/K&#10;DuE+yx5AVqX8/0P1C1BLAwQUAAAACACHTuJAQad5rHoCAADJBAAADgAAAGRycy9lMm9Eb2MueG1s&#10;rVTNbhMxEL4j8Q6W73R3Q36aqJsqalSEVNGKgjg7Xm/Wku0xtpNNeQAegDMSEhfEQ/A4FTwGY++2&#10;CYVDD+TgzNjjmfk+f7MnpzutyFY4L8GUtDjKKRGGQyXNuqRv35w/O6bEB2YqpsCIkt4IT0/nT5+c&#10;tHYmBtCAqoQjmMT4WWtL2oRgZ1nmeSM080dghcHDGpxmAV23zirHWsyuVTbI83HWgqusAy68x91l&#10;d0j7jO4xCaGuJRdL4BstTOiyOqFYQEi+kdbTeeq2rgUPl3XtRSCqpIg0pBWLoL2KazY/YbO1Y7aR&#10;vG+BPaaFB5g0kwaL3qdassDIxsm/UmnJHXiowxEHnXVAEiOIosgfcHPdMCsSFqTa23vS/f9Ly19t&#10;rxyRVUmnlBim8cFvP3/89e3Tzy/fb398JdPIUGv9DAOv7ZXrPY9mhLurnY7/CITsSjocDI8nxyNK&#10;bko6KiaDSdEzLHaBcAwo8mKc50g+x4jpeIqYY4Fsn8k6H14I0CQaJXWwMdVrfMbELtte+NDF38XF&#10;6gbOpVK4z2bKkLak4+ejWIOhPGuUBZraIkRv1pQwtUbd8+BSRg9KVvF2vOzdenWmHNmyqJb067v7&#10;IyyWXjLfdHEVWn2UMgglktXRE60VVDdIsINOed7yc4nXL5gPV8yh1LBPHMZwiUutAHuH3qKkAffh&#10;X/sxHhWAp5S0KF0E9n7DnKBEvTSojWkxHGLakJzhaDJAxx2erA5PzEafAeItcOwtT2aMD+rOrB3o&#10;dzizi1gVj5jhWLujsHfOQjdSOPVcLBYpDPVtWbgw15bH5N07LTYBapmecM9OTxoqPCmhn8Y4Qod+&#10;itp/ge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uYsdPbAAAACwEAAA8AAAAAAAAAAQAgAAAA&#10;IgAAAGRycy9kb3ducmV2LnhtbFBLAQIUABQAAAAIAIdO4kBBp3msegIAAMkEAAAOAAAAAAAAAAEA&#10;IAAAACoBAABkcnMvZTJvRG9jLnhtbFBLBQYAAAAABgAGAFkBAAAWBgAAAAA=&#10;">
                      <v:fill on="f" focussize="0,0"/>
                      <v:stroke weight="0.5pt" color="#000000 [3213]" joinstyle="round" dashstyle="dash"/>
                      <v:imagedata o:title=""/>
                      <o:lock v:ext="edit" aspectratio="f"/>
                    </v:roundrect>
                  </w:pict>
                </mc:Fallback>
              </mc:AlternateContent>
            </w:r>
            <w:r>
              <w:rPr>
                <w:color w:val="auto"/>
                <w:sz w:val="21"/>
                <w:highlight w:val="none"/>
              </w:rPr>
              <mc:AlternateContent>
                <mc:Choice Requires="wpg">
                  <w:drawing>
                    <wp:anchor distT="0" distB="0" distL="114300" distR="114300" simplePos="0" relativeHeight="251665408" behindDoc="0" locked="0" layoutInCell="1" allowOverlap="1">
                      <wp:simplePos x="0" y="0"/>
                      <wp:positionH relativeFrom="column">
                        <wp:posOffset>-171450</wp:posOffset>
                      </wp:positionH>
                      <wp:positionV relativeFrom="paragraph">
                        <wp:posOffset>126365</wp:posOffset>
                      </wp:positionV>
                      <wp:extent cx="5380990" cy="2063750"/>
                      <wp:effectExtent l="0" t="4445" r="9525" b="8255"/>
                      <wp:wrapTopAndBottom/>
                      <wp:docPr id="139" name="组合 139"/>
                      <wp:cNvGraphicFramePr/>
                      <a:graphic xmlns:a="http://schemas.openxmlformats.org/drawingml/2006/main">
                        <a:graphicData uri="http://schemas.microsoft.com/office/word/2010/wordprocessingGroup">
                          <wpg:wgp>
                            <wpg:cNvGrpSpPr/>
                            <wpg:grpSpPr>
                              <a:xfrm>
                                <a:off x="0" y="0"/>
                                <a:ext cx="5380833" cy="2064057"/>
                                <a:chOff x="5936" y="396823"/>
                                <a:chExt cx="8474" cy="3250"/>
                              </a:xfrm>
                            </wpg:grpSpPr>
                            <wps:wsp>
                              <wps:cNvPr id="83" name="直接箭头连接符 83"/>
                              <wps:cNvCnPr/>
                              <wps:spPr>
                                <a:xfrm flipV="1">
                                  <a:off x="9769" y="399098"/>
                                  <a:ext cx="510"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grpSp>
                              <wpg:cNvPr id="140" name="组合 192"/>
                              <wpg:cNvGrpSpPr/>
                              <wpg:grpSpPr>
                                <a:xfrm>
                                  <a:off x="5936" y="396823"/>
                                  <a:ext cx="8474" cy="3250"/>
                                  <a:chOff x="3117" y="339218"/>
                                  <a:chExt cx="8432" cy="3391"/>
                                </a:xfrm>
                              </wpg:grpSpPr>
                              <wps:wsp>
                                <wps:cNvPr id="67" name="文本框 67"/>
                                <wps:cNvSpPr txBox="1"/>
                                <wps:spPr>
                                  <a:xfrm>
                                    <a:off x="5849" y="339218"/>
                                    <a:ext cx="1020" cy="395"/>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7F7BA962">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41" name="组合 71"/>
                                <wpg:cNvGrpSpPr/>
                                <wpg:grpSpPr>
                                  <a:xfrm rot="0">
                                    <a:off x="3117" y="339474"/>
                                    <a:ext cx="8432" cy="2614"/>
                                    <a:chOff x="2078" y="277004"/>
                                    <a:chExt cx="8432" cy="2614"/>
                                  </a:xfrm>
                                </wpg:grpSpPr>
                                <wps:wsp>
                                  <wps:cNvPr id="62" name="直接箭头连接符 62"/>
                                  <wps:cNvCnPr/>
                                  <wps:spPr>
                                    <a:xfrm flipV="1">
                                      <a:off x="3184" y="277790"/>
                                      <a:ext cx="340"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grpSp>
                                  <wpg:cNvPr id="142" name="组合 70"/>
                                  <wpg:cNvGrpSpPr/>
                                  <wpg:grpSpPr>
                                    <a:xfrm>
                                      <a:off x="2078" y="277004"/>
                                      <a:ext cx="8432" cy="2614"/>
                                      <a:chOff x="2141" y="276794"/>
                                      <a:chExt cx="8432" cy="2614"/>
                                    </a:xfrm>
                                  </wpg:grpSpPr>
                                  <wps:wsp>
                                    <wps:cNvPr id="50" name="文本框 50"/>
                                    <wps:cNvSpPr txBox="1"/>
                                    <wps:spPr>
                                      <a:xfrm>
                                        <a:off x="3567" y="277389"/>
                                        <a:ext cx="907"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38C482F">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Theme="minorEastAsia"/>
                                              <w:sz w:val="22"/>
                                              <w:szCs w:val="21"/>
                                              <w:lang w:val="en-US" w:eastAsia="zh-CN"/>
                                            </w:rPr>
                                          </w:pPr>
                                          <w:r>
                                            <w:rPr>
                                              <w:rFonts w:hint="eastAsia" w:eastAsia="宋体" w:cs="Times New Roman"/>
                                              <w:color w:val="auto"/>
                                              <w:kern w:val="0"/>
                                              <w:sz w:val="20"/>
                                              <w:szCs w:val="20"/>
                                              <w:highlight w:val="none"/>
                                              <w:lang w:val="en-US" w:eastAsia="zh-CN" w:bidi="ar"/>
                                            </w:rPr>
                                            <w:t>给料机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4946" y="277265"/>
                                        <a:ext cx="907" cy="646"/>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5B400D3">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r>
                                            <w:rPr>
                                              <w:rFonts w:hint="eastAsia" w:eastAsia="宋体" w:cs="Times New Roman"/>
                                              <w:color w:val="auto"/>
                                              <w:kern w:val="0"/>
                                              <w:sz w:val="20"/>
                                              <w:szCs w:val="20"/>
                                              <w:highlight w:val="none"/>
                                              <w:lang w:val="en-US" w:eastAsia="zh-CN" w:bidi="ar"/>
                                            </w:rPr>
                                            <w:t>颚式</w:t>
                                          </w:r>
                                        </w:p>
                                        <w:p w14:paraId="58F00AE2">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破碎机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5033" y="278555"/>
                                        <a:ext cx="912" cy="646"/>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8EC2D16">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r>
                                            <w:rPr>
                                              <w:rFonts w:hint="eastAsia" w:eastAsia="宋体" w:cs="Times New Roman"/>
                                              <w:color w:val="auto"/>
                                              <w:kern w:val="0"/>
                                              <w:sz w:val="20"/>
                                              <w:szCs w:val="20"/>
                                              <w:highlight w:val="none"/>
                                              <w:lang w:val="en-US" w:eastAsia="zh-CN" w:bidi="ar"/>
                                            </w:rPr>
                                            <w:t>圆锥</w:t>
                                          </w:r>
                                        </w:p>
                                        <w:p w14:paraId="3F6DF76D">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破碎机</w:t>
                                          </w:r>
                                        </w:p>
                                        <w:p w14:paraId="07594FC6">
                                          <w:pPr>
                                            <w:rPr>
                                              <w:rFonts w:hint="default"/>
                                              <w:sz w:val="22"/>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53"/>
                                    <wps:cNvSpPr txBox="1"/>
                                    <wps:spPr>
                                      <a:xfrm>
                                        <a:off x="6328" y="277378"/>
                                        <a:ext cx="737"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426FFBC">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5"/>
                                    <wps:cNvSpPr txBox="1"/>
                                    <wps:spPr>
                                      <a:xfrm>
                                        <a:off x="6455" y="278713"/>
                                        <a:ext cx="709" cy="394"/>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620EDB0">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直接箭头连接符 56"/>
                                    <wps:cNvCnPr/>
                                    <wps:spPr>
                                      <a:xfrm flipV="1">
                                        <a:off x="4493" y="277595"/>
                                        <a:ext cx="454"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57" name="直接箭头连接符 57"/>
                                    <wps:cNvCnPr/>
                                    <wps:spPr>
                                      <a:xfrm flipV="1">
                                        <a:off x="5866" y="277587"/>
                                        <a:ext cx="454"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wps:spPr>
                                      <a:xfrm flipV="1">
                                        <a:off x="8924" y="277257"/>
                                        <a:ext cx="964"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59" name="直接箭头连接符 59"/>
                                    <wps:cNvCnPr/>
                                    <wps:spPr>
                                      <a:xfrm rot="5400000" flipV="1">
                                        <a:off x="5584" y="278477"/>
                                        <a:ext cx="22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58" name="直接箭头连接符 58"/>
                                    <wps:cNvCnPr/>
                                    <wps:spPr>
                                      <a:xfrm flipV="1">
                                        <a:off x="7419" y="277272"/>
                                        <a:ext cx="22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61" name="文本框 61"/>
                                    <wps:cNvSpPr txBox="1"/>
                                    <wps:spPr>
                                      <a:xfrm>
                                        <a:off x="7657" y="276896"/>
                                        <a:ext cx="1261" cy="65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CA2C261">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骨料颗粒（0~5mm）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65"/>
                                    <wps:cNvSpPr txBox="1"/>
                                    <wps:spPr>
                                      <a:xfrm>
                                        <a:off x="9876" y="276794"/>
                                        <a:ext cx="697" cy="2614"/>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C216D7F">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p>
                                        <w:p w14:paraId="289DA17A">
                                          <w:pPr>
                                            <w:keepNext w:val="0"/>
                                            <w:keepLines w:val="0"/>
                                            <w:pageBreakBefore w:val="0"/>
                                            <w:widowControl w:val="0"/>
                                            <w:kinsoku/>
                                            <w:wordWrap/>
                                            <w:overflowPunct/>
                                            <w:topLinePunct w:val="0"/>
                                            <w:bidi w:val="0"/>
                                            <w:adjustRightInd/>
                                            <w:snapToGrid/>
                                            <w:spacing w:line="240" w:lineRule="auto"/>
                                            <w:jc w:val="both"/>
                                            <w:textAlignment w:val="auto"/>
                                            <w:rPr>
                                              <w:rFonts w:hint="eastAsia" w:eastAsia="宋体" w:cs="Times New Roman"/>
                                              <w:color w:val="auto"/>
                                              <w:kern w:val="0"/>
                                              <w:sz w:val="20"/>
                                              <w:szCs w:val="20"/>
                                              <w:highlight w:val="none"/>
                                              <w:lang w:val="en-US" w:eastAsia="zh-CN" w:bidi="ar"/>
                                            </w:rPr>
                                          </w:pPr>
                                        </w:p>
                                        <w:p w14:paraId="1422717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用于鄠邑区路桥工程建设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文本框 63"/>
                                    <wps:cNvSpPr txBox="1"/>
                                    <wps:spPr>
                                      <a:xfrm>
                                        <a:off x="2141" y="277280"/>
                                        <a:ext cx="1245" cy="755"/>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166265E5">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人工分拣后的原料</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72" name="文本框 72"/>
                                <wps:cNvSpPr txBox="1"/>
                                <wps:spPr>
                                  <a:xfrm>
                                    <a:off x="7117" y="339219"/>
                                    <a:ext cx="1020" cy="395"/>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7739DBB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文本框 73"/>
                                <wps:cNvSpPr txBox="1"/>
                                <wps:spPr>
                                  <a:xfrm>
                                    <a:off x="7232" y="342215"/>
                                    <a:ext cx="1020" cy="383"/>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69BD6852">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文本框 74"/>
                                <wps:cNvSpPr txBox="1"/>
                                <wps:spPr>
                                  <a:xfrm>
                                    <a:off x="5917" y="342214"/>
                                    <a:ext cx="1020" cy="395"/>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2B8315E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直接箭头连接符 75"/>
                                <wps:cNvCnPr/>
                                <wps:spPr>
                                  <a:xfrm flipH="1" flipV="1">
                                    <a:off x="6367" y="339616"/>
                                    <a:ext cx="1" cy="340"/>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6" name="直接箭头连接符 76"/>
                                <wps:cNvCnPr/>
                                <wps:spPr>
                                  <a:xfrm flipH="1" flipV="1">
                                    <a:off x="7643" y="339613"/>
                                    <a:ext cx="1" cy="454"/>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7" name="直接箭头连接符 77"/>
                                <wps:cNvCnPr/>
                                <wps:spPr>
                                  <a:xfrm rot="10800000" flipH="1" flipV="1">
                                    <a:off x="6436" y="341925"/>
                                    <a:ext cx="1" cy="283"/>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8" name="直接箭头连接符 78"/>
                                <wps:cNvCnPr/>
                                <wps:spPr>
                                  <a:xfrm rot="10800000" flipH="1" flipV="1">
                                    <a:off x="7736" y="341797"/>
                                    <a:ext cx="1" cy="425"/>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5" name="直接箭头连接符 85"/>
                                <wps:cNvCnPr/>
                                <wps:spPr>
                                  <a:xfrm>
                                    <a:off x="10144" y="341563"/>
                                    <a:ext cx="710" cy="1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grpSp>
                            <wpg:grpSp>
                              <wpg:cNvPr id="143" name="组合 9"/>
                              <wpg:cNvGrpSpPr/>
                              <wpg:grpSpPr>
                                <a:xfrm>
                                  <a:off x="9501" y="397513"/>
                                  <a:ext cx="3629" cy="1849"/>
                                  <a:chOff x="5458" y="354327"/>
                                  <a:chExt cx="3629" cy="1849"/>
                                </a:xfrm>
                              </wpg:grpSpPr>
                              <wps:wsp>
                                <wps:cNvPr id="3" name="文本框 3"/>
                                <wps:cNvSpPr txBox="1"/>
                                <wps:spPr>
                                  <a:xfrm>
                                    <a:off x="7479" y="355531"/>
                                    <a:ext cx="1272" cy="645"/>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4CB5763">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骨料颗粒（0~5mm）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连接符 5"/>
                                <wps:cNvCnPr/>
                                <wps:spPr>
                                  <a:xfrm>
                                    <a:off x="6849" y="354627"/>
                                    <a:ext cx="34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 name="任意多边形 11"/>
                                <wps:cNvSpPr/>
                                <wps:spPr>
                                  <a:xfrm>
                                    <a:off x="7189" y="354327"/>
                                    <a:ext cx="1" cy="624"/>
                                  </a:xfrm>
                                  <a:custGeom>
                                    <a:avLst/>
                                    <a:gdLst>
                                      <a:gd name="connisteX0" fmla="*/ 0 w 9525"/>
                                      <a:gd name="connsiteY0" fmla="*/ 0 h 514350"/>
                                      <a:gd name="connisteX1" fmla="*/ 9525 w 9525"/>
                                      <a:gd name="connsiteY1" fmla="*/ 514350 h 514350"/>
                                    </a:gdLst>
                                    <a:ahLst/>
                                    <a:cxnLst>
                                      <a:cxn ang="0">
                                        <a:pos x="connisteX0" y="connsiteY0"/>
                                      </a:cxn>
                                      <a:cxn ang="0">
                                        <a:pos x="connisteX1" y="connsiteY1"/>
                                      </a:cxn>
                                    </a:cxnLst>
                                    <a:rect l="l" t="t" r="r" b="b"/>
                                    <a:pathLst>
                                      <a:path w="9525" h="514350">
                                        <a:moveTo>
                                          <a:pt x="0" y="0"/>
                                        </a:moveTo>
                                        <a:lnTo>
                                          <a:pt x="9525" y="514350"/>
                                        </a:lnTo>
                                      </a:path>
                                    </a:pathLst>
                                  </a:cu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wps:wsp>
                              <wps:wsp>
                                <wps:cNvPr id="12" name="直接箭头连接符 12"/>
                                <wps:cNvCnPr/>
                                <wps:spPr>
                                  <a:xfrm flipV="1">
                                    <a:off x="7204" y="354953"/>
                                    <a:ext cx="22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0" name="文本框 80"/>
                                <wps:cNvSpPr txBox="1"/>
                                <wps:spPr>
                                  <a:xfrm>
                                    <a:off x="7429" y="354679"/>
                                    <a:ext cx="1333" cy="642"/>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0BED27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骨料颗粒（5~30mm）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任意多边形 82"/>
                                <wps:cNvSpPr/>
                                <wps:spPr>
                                  <a:xfrm>
                                    <a:off x="5458" y="354963"/>
                                    <a:ext cx="3629" cy="428"/>
                                  </a:xfrm>
                                  <a:custGeom>
                                    <a:avLst/>
                                    <a:gdLst>
                                      <a:gd name="connsiteX0" fmla="*/ 3458 w 3799"/>
                                      <a:gd name="connsiteY0" fmla="*/ 0 h 428"/>
                                      <a:gd name="connsiteX1" fmla="*/ 3799 w 3799"/>
                                      <a:gd name="connsiteY1" fmla="*/ 2 h 428"/>
                                      <a:gd name="connsiteX2" fmla="*/ 3799 w 3799"/>
                                      <a:gd name="connsiteY2" fmla="*/ 428 h 428"/>
                                      <a:gd name="connsiteX3" fmla="*/ 0 w 3799"/>
                                      <a:gd name="connsiteY3" fmla="*/ 428 h 428"/>
                                    </a:gdLst>
                                    <a:ahLst/>
                                    <a:cxnLst>
                                      <a:cxn ang="0">
                                        <a:pos x="connsiteX0" y="connsiteY0"/>
                                      </a:cxn>
                                      <a:cxn ang="0">
                                        <a:pos x="connsiteX1" y="connsiteY1"/>
                                      </a:cxn>
                                      <a:cxn ang="0">
                                        <a:pos x="connsiteX2" y="connsiteY2"/>
                                      </a:cxn>
                                      <a:cxn ang="0">
                                        <a:pos x="connsiteX3" y="connsiteY3"/>
                                      </a:cxn>
                                    </a:cxnLst>
                                    <a:rect l="l" t="t" r="r" b="b"/>
                                    <a:pathLst>
                                      <a:path w="3799" h="428">
                                        <a:moveTo>
                                          <a:pt x="3458" y="0"/>
                                        </a:moveTo>
                                        <a:lnTo>
                                          <a:pt x="3799" y="2"/>
                                        </a:lnTo>
                                        <a:lnTo>
                                          <a:pt x="3799" y="428"/>
                                        </a:lnTo>
                                        <a:lnTo>
                                          <a:pt x="0" y="428"/>
                                        </a:lnTo>
                                      </a:path>
                                    </a:pathLst>
                                  </a:cu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21492C7">
                                      <w:pPr>
                                        <w:jc w:val="center"/>
                                      </w:pPr>
                                    </w:p>
                                  </w:txbxContent>
                                </wps:txbx>
                                <wps:bodyPr/>
                              </wps:wsp>
                              <wps:wsp>
                                <wps:cNvPr id="84" name="直接箭头连接符 84"/>
                                <wps:cNvCnPr/>
                                <wps:spPr>
                                  <a:xfrm flipV="1">
                                    <a:off x="6931" y="355921"/>
                                    <a:ext cx="349" cy="1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13.5pt;margin-top:9.95pt;height:162.5pt;width:423.7pt;mso-wrap-distance-bottom:0pt;mso-wrap-distance-top:0pt;z-index:251665408;mso-width-relative:page;mso-height-relative:page;" coordorigin="5936,396823" coordsize="8474,3250" o:gfxdata="UEsDBAoAAAAAAIdO4kAAAAAAAAAAAAAAAAAEAAAAZHJzL1BLAwQUAAAACACHTuJAVSzIUtsAAAAK&#10;AQAADwAAAGRycy9kb3ducmV2LnhtbE2PQUvDQBSE74L/YXmCt3Y3adQmZlOkqKdSsBXE2zZ5TUKz&#10;b0N2m7T/3udJj8MMM9/kq4vtxIiDbx1piOYKBFLpqpZqDZ/7t9kShA+GKtM5Qg1X9LAqbm9yk1Vu&#10;og8cd6EWXEI+MxqaEPpMSl82aI2fux6JvaMbrAksh1pWg5m43HYyVupRWtMSLzSmx3WD5Wl3thre&#10;JzO9LKLXcXM6rq/f+4ft1yZCre/vIvUMIuAl/IXhF5/RoWCmgztT5UWnYRY/8ZfARpqC4MAyVgmI&#10;g4ZFkqQgi1z+v1D8AFBLAwQUAAAACACHTuJAjdjrffsKAABJWwAADgAAAGRycy9lMm9Eb2MueG1s&#10;7VxLj9xYFd4j8R8sL5FIld92KZ1R6EzCSBETKcNr6Xa5HpLLNrY73c16BKyAFQtASKCB1cBqNigC&#10;/gzpzM/gO/flR7mruird1d2Ds0i7fK+v7z0+j++ec+55/NH5KtHexEW5zNIj3Xg01rU4jbLpMp0f&#10;6T/87Pl3fV0rqzCdhkmWxkf6RVzqHz359rcen+WT2MwWWTKNCw2DpOXkLD/SF1WVT0ajMlrEq7B8&#10;lOVxisZZVqzCCj+L+WhahGcYfZWMzPHYHZ1lxTQvsiguS9x9xht1MWJxnQGz2WwZxc+y6HQVpxUf&#10;tYiTsMKSysUyL/UnbLazWRxVn85mZVxpyZGOlVbsf7wE1yf0/+jJ43AyL8J8sYzEFMLrTKGzplW4&#10;TPFSNdSzsAq102K5NtRqGRVZmc2qR1G2GvGFMIpgFca4Q5sXRXaas7XMJ2fzXBEdH6pD9b2HjX7w&#10;5lWhLafgBCvQtTRc4ZO/f/v5u9/+SqM7oM9ZPp+g24sif52/KsSNOf9FSz6fFSv6i8Vo54yyF4qy&#10;8XmlRbjpWP7Ytyxdi9Bmjl177Hic9tECH4iecwLL1TU0W4Hrm5Zs/ViM4NuezR+3TId9t5F89Yhm&#10;qCZ0loMvy5pY5YcR6/UizGP2DUqigiCWj6UIWv3hq8tf//X9P/7+7ouvvv7Pn+j6y79paGeEYs8c&#10;p4Js5aQEBSXNtFmyzH8EwjPGEdQLPBefgVEhGAc+p4KiogG2JQoadF+tP5zkRVm9iLOVRhdHelkV&#10;4XK+qI6zNIUEZAV/RfjmZVnxB+UDNJc0e75MEtwPJ0mqnR3prgUCa1EI4Z5BqHC5ysEgZTrXtTCZ&#10;Q2tEVcEmXWbJckpP08NlMT85TgrtTUiyxv6Jaba60aufheWC92NNfJWLOJx+nE616iIHD6ZQPvx+&#10;FS6T+n5VLMN0nsQ6zXQVT3UtiTEjuuJLS1KQhpiA05quTrLpBfsE7D6YgzM1Y5lbFioblGwLVWDS&#10;RHcUql7hkGyxLhrhRImVZRgeZygrMA3BUNGiFivLFGJlBW22ugOxcjFVTq3L3/3y8o9fXv75Fxru&#10;MXoxUSINpFXn38ugMNhs6w8ttYFSRI5vC1FqrFzSzBibQpaswBGcIxWZFA4hTQVEiHH7FfLT4u4+&#10;ISDhCJN8EQrREK8TXZkgt8ZoSCGTqw8XsouSJE68t0dAqvOTc0FkLitakXFTWebR8yUk9mVYVq/C&#10;ArYRZAN6qD7Ff7MkgxBm4krXFlnx87771B9aGK2QWtha6JKfnYYFZDj5JIV+Dgyb5KRiP2zHo09T&#10;NFtOmi3p6eo4g4oxgFPyiF1S/yqRl7MiW/0YIOMpvRVNYRrh3Uc6NBm/PK44AgBIieKnT1knmOM8&#10;rF6mr/NIquQ0e3paZbMl05m1HhHq5bBqBIttqRFPcP920yw/JbGSMDJNnUBmFZ8+nEjJ8G2pEUzX&#10;EG1Km5hjD/CQbLjnjceqdV2byGeVkboLbQLNtslIu0IT72ykLcMHFuFU8AIBIiX9LGLlwUg/KCNd&#10;MwpHvh77pjva6F7ZkFyxWaoMG/LN+Mn1gnsuVYQNuzaaA3JSkYDIu9hoyyGTzyXJ8tl2o9ZEwRht&#10;JElWwDCA0iVrgPfhmWisZbDDN2mHD7Dpc5QRrtEp7u2HTu3A5ttdWFLTZRC0h/NddML4A+cPCJTt&#10;XTk6byPQQ3A+4M6azmd2ag+d74zJEcR0vu84Xc43xHZ04Hza3Qx7L9J+V+29DsH5ytHX0PlN594u&#10;aMe1TLV7srCRau27PGtAO4PXgdyx1/A6HILznR6dz7T1HjrftaHohc73DOHcl3sjbww/Hcf5zKYM&#10;aGdAO3eq8wHMN/mNHIbJhRTsEtyx7UAiH8/hbuca89sOQNbgN7oZv9Eh9KOKVbzvDQHyAOceXOL4&#10;rtoZOr4Ik0pdOXAJ/Pg3FQI8AJe4ylvWzyVor/0Hu+gSPzCVD9qUwXTJJYE76JKHxCVOnXrRr0tE&#10;IsbGSAUDz47NA++9yQUOQqIShdleR7OYpth/tKPAa77WIbmAdPqW5IIDaBYHW8mNKIXtL/ewP55t&#10;8Lg5eSY9FiOrUcrAJQ/M/vT4rN19fdaeC0Mj4lR+wFBwzRkGQr4cwFKvwWk9uO7u2HWHoMqa05oH&#10;WoRS3MV1F/ieBOV1iFbCLRfxSbZ1W8t6WLOeQ6Ty/z5j6ADYwO3xWuNevdPYhfXNOjvBM/1Ototh&#10;2hAzclt4PJRzf513Ks91iL0jHe7mYu91ZhcL1YhUbEpxPQCnA5+uKXmOWfdQ8l4rV7aTjTJkjDZ3&#10;PUPGqLZvxughpKJH/3v76n/PpIRQSsOyTdPoxOsbUsHPPNxf/d/Kse7L0+Z7lla3zmGFIY/61vKo&#10;DyEVcH51s1h49vMetsIJ5LkKkgqRsyk3BA2pGE4XTAZbca9thdom90covGbMf1OE4vvsSEbfoTbX&#10;Elm+Fs72GV2/Ed8+UNr8RqfRQ/I713YinBz4WNsh9OiW+Dg8JfVOcz+O8VybR8oZx3TyRYSbkUKh&#10;A8fEH3wQ8hAcsyVWzmNRwgpfxTEsvmWM/UaAa4PKseVpYkQzzC5oFd66bYh1UDnXOkl7CAbaEuzi&#10;yZQ3yUCeVzOQx8+fNGIdnIFszlhXb3kGBrovDORvQTlo32qzGicojTGOrIpNseFw12rNHp46p/8N&#10;wjR0CplodGBE0/QuqjoPt31oX7lPRCWMfepgBM4YQIWfXnO6Ka+Wa4qcVxwlFY5GdcjWsSm2T086&#10;OIsr0jTqI/vrzyoFVBOLykyQOrz1ShiKVHV+/N6OJtvjiQcWjoVYLEhdy5RBqQgs0IBc4s24b4ix&#10;DTG222f8jkGpa7/sZklcVaXCsV0p7NKPpM6Sb7EjyRLFUkg1X1GiQoW+7rTES3/crbc4ywEUl6Ey&#10;Y/779u3l579598Xvv/73P9/96y8aWmosQJFS8YvnfK3VGfEMHFzuqmv5BWVKDJI1MYpS1CjQcspL&#10;9jS/GspHTVGih27Np8JVGaGGz7Ks4p8gkXS2SlCA4zsjbaydaYEjtzWtvuWyin/a7rvQHMOmmj7M&#10;erd6s5ExRzUyjbpl8GZ3PrDWfAPWqFYRLnjFISz3PBUrwxXKcMyp6AYtNM9Kqv7UXCYsH/0UK+Fk&#10;w1PUe8vDmFrzYfYdMR/2MP8rJkEmgkqCJawkWIXyIUd6wUqCnXAqoRYIzZ3NEJdUbIgRXFugUhWn&#10;JrWtUPzks4z1qjrFr/C+ujVJm734SJhp/V3Qm/fBBb2b8YqaBM29wS+DOK9X5KJzo5vSIdEOTtqy&#10;Q+xzXqIajUD6jh04HVfUkA75sNIhkb6yFgLiKS2CM3ZJjPFsAvEcpyMpjCsOpfgtWe7OtRnrQYa/&#10;MQWmmLYSB3O5VSTyDXGe+xzn8ZWC7OIdtNSqcTveaW5Pg67ro96c2jjrzG23ZPumCZNAtQEWWsCE&#10;jH8L8ljYFAOYWF4gBG2t+xrqETPogCk2chPD0JBbRm52N4F2NowMKiswdY2Rm90x6uaxsddWYxME&#10;3ESMZt/WwJDdPfGZ/CZNiCU3JlvxmSR78+EWPtsE7tjDIFXzYalUr/dmkKP5MDPjhKoIVvK/H4AM&#10;2XcgZEh80QcLiXnZBCS5rkKGfCTMVK5OAkf5N2cwU3UTjMj0MUeY7Y4wdxis2wvdHzTGXDM0pGeE&#10;t+tAbi86SLUJbqK91qlXRbT64KYbwPPFQYWDgp1tUGFRRUt2RlgyktStnZqVDynwcA8cy8xvigrL&#10;TBeIatBUwrn5m7FYXQH7y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w0AAFtDb250ZW50X1R5cGVzXS54bWxQSwECFAAKAAAAAACHTuJAAAAA&#10;AAAAAAAAAAAABgAAAAAAAAAAABAAAABRDAAAX3JlbHMvUEsBAhQAFAAAAAgAh07iQIoUZjzRAAAA&#10;lAEAAAsAAAAAAAAAAQAgAAAAdQwAAF9yZWxzLy5yZWxzUEsBAhQACgAAAAAAh07iQAAAAAAAAAAA&#10;AAAAAAQAAAAAAAAAAAAQAAAAAAAAAGRycy9QSwECFAAUAAAACACHTuJAVSzIUtsAAAAKAQAADwAA&#10;AAAAAAABACAAAAAiAAAAZHJzL2Rvd25yZXYueG1sUEsBAhQAFAAAAAgAh07iQI3Y6337CgAASVsA&#10;AA4AAAAAAAAAAQAgAAAAKgEAAGRycy9lMm9Eb2MueG1sUEsFBgAAAAAGAAYAWQEAAJcOAAAAAA==&#10;">
                      <o:lock v:ext="edit" aspectratio="f"/>
                      <v:shape id="_x0000_s1026" o:spid="_x0000_s1026" o:spt="32" type="#_x0000_t32" style="position:absolute;left:9769;top:399098;flip:y;height:1;width:510;" filled="f" stroked="t" coordsize="21600,21600" o:gfxdata="UEsDBAoAAAAAAIdO4kAAAAAAAAAAAAAAAAAEAAAAZHJzL1BLAwQUAAAACACHTuJAXqdLxL0AAADb&#10;AAAADwAAAGRycy9kb3ducmV2LnhtbEWPzWrDMBCE74W8g9hAb42UBJzgRjZJqaE+lfzQ82JtbBNr&#10;5Vpq7L59VSj0OMzMN8wun2wn7jT41rGG5UKBIK6cabnWcDkXT1sQPiAb7ByThm/ykGezhx2mxo18&#10;pPsp1CJC2KeooQmhT6X0VUMW/cL1xNG7usFiiHKopRlwjHDbyZVSibTYclxosKeXhqrb6ctqWK8o&#10;OXzS+8erslKVdlPsy67Q+nG+VM8gAk3hP/zXfjMatmv4/RJ/gM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0vE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group id="组合 192" o:spid="_x0000_s1026" o:spt="203" style="position:absolute;left:5936;top:396823;height:3250;width:8474;" coordorigin="3117,339218" coordsize="8432,3391"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849;top:339218;height:395;width:1020;" fillcolor="#000000" filled="t" stroked="t" coordsize="21600,21600" o:gfxdata="UEsDBAoAAAAAAIdO4kAAAAAAAAAAAAAAAAAEAAAAZHJzL1BLAwQUAAAACACHTuJANfxI6bsAAADb&#10;AAAADwAAAGRycy9kb3ducmV2LnhtbEWPT4vCMBTE78J+h/AW9iKaKtjVavSwIHgSqrLnR/NsSpqX&#10;0mT9s5/eCILHYWZ+w6w2N9eKC/Wh8axgMs5AEFdeN1wrOB23ozmIEJE1tp5JwZ0CbNYfgxUW2l+5&#10;pMsh1iJBOBSowMTYFVKGypDDMPYdcfLOvncYk+xrqXu8Jrhr5TTLcumw4bRgsKMfQ5U9/DkF+/2v&#10;Hc5wMf/3Zedsa2yZW6vU1+ckW4KIdIvv8Ku90wryb3h+S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xI6bsAAADb&#10;AAAADwAAAAAAAAABACAAAAAiAAAAZHJzL2Rvd25yZXYueG1sUEsBAhQAFAAAAAgAh07iQDMvBZ47&#10;AAAAOQAAABAAAAAAAAAAAQAgAAAACgEAAGRycy9zaGFwZXhtbC54bWxQSwUGAAAAAAYABgBbAQAA&#10;tAMAAAAA&#10;">
                          <v:fill on="t" opacity="0f" focussize="0,0"/>
                          <v:stroke weight="0.5pt" color="#000000 [3213]" joinstyle="round" dashstyle="3 1"/>
                          <v:imagedata o:title=""/>
                          <o:lock v:ext="edit" aspectratio="f"/>
                          <v:textbox>
                            <w:txbxContent>
                              <w:p w14:paraId="7F7BA962">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v:textbox>
                        </v:shape>
                        <v:group id="组合 71" o:spid="_x0000_s1026" o:spt="203" style="position:absolute;left:3117;top:339474;height:2614;width:8432;" coordorigin="2078,277004" coordsize="8432,2614" o:gfxdata="UEsDBAoAAAAAAIdO4kAAAAAAAAAAAAAAAAAEAAAAZHJzL1BLAwQUAAAACACHTuJAdLyBirwAAADc&#10;AAAADwAAAGRycy9kb3ducmV2LnhtbEVPS4vCMBC+L/gfwgh70zS+WLpGEdHFgyz4gGVvQzO2xWZS&#10;mtjqvzfCwt7m43vOfHm3lWip8aVjDWqYgCDOnCk513A+bQcfIHxANlg5Jg0P8rBc9N7mmBrX8YHa&#10;Y8hFDGGfooYihDqV0mcFWfRDVxNH7uIaiyHCJpemwS6G20qOkmQmLZYcGwqsaV1Qdj3erIavDrvV&#10;WG3a/fWyfvyept8/e0Vav/dV8gki0D38i//cOxPnTxS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0vIGK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3184;top:277790;flip:y;height:1;width:340;" filled="f" stroked="t" coordsize="21600,21600" o:gfxdata="UEsDBAoAAAAAAIdO4kAAAAAAAAAAAAAAAAAEAAAAZHJzL1BLAwQUAAAACACHTuJAgecIpbsAAADb&#10;AAAADwAAAGRycy9kb3ducmV2LnhtbEWPT4vCMBTE74LfITzBmyZWqEvXKKtY0NOiK54fzdu2bPNS&#10;m/jv25sFweMwM79h5su7bcSVOl871jAZKxDEhTM1lxqOP/noA4QPyAYbx6ThQR6Wi35vjplxN97T&#10;9RBKESHsM9RQhdBmUvqiIot+7Fri6P26zmKIsiul6fAW4baRiVKptFhzXKiwpXVFxd/hYjVME0pX&#10;Z/o+bZSVamdn+deuybUeDibqE0Sge3iHX+2t0ZAm8P8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ecIpb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group id="组合 70" o:spid="_x0000_s1026" o:spt="203" style="position:absolute;left:2078;top:277004;height:2614;width:8432;" coordorigin="2141,276794" coordsize="8432,2614"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3567;top:277389;height:397;width:907;" fillcolor="#000000" filled="t" stroked="t" coordsize="21600,21600" o:gfxdata="UEsDBAoAAAAAAIdO4kAAAAAAAAAAAAAAAAAEAAAAZHJzL1BLAwQUAAAACACHTuJAi7Vqc7YAAADb&#10;AAAADwAAAGRycy9kb3ducmV2LnhtbEVPyQrCMBC9C/5DGMGLaFpBkWr0ICiCJzfwODRjW0wmJYnb&#10;35uD4PHx9sXqbY14kg+NYwX5KANBXDrdcKXgfNoMZyBCRNZoHJOCDwVYLbudBRbavfhAz2OsRArh&#10;UKCCOsa2kDKUNVkMI9cSJ+7mvMWYoK+k9vhK4dbIcZZNpcWGU0ONLa1rKu/Hh1VgttPychjk/uo/&#10;1V7uNmZvthel+r08m4OI9I5/8c+90womaX36kn6AXH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u1anO2AAAA2wAAAA8A&#10;AAAAAAAAAQAgAAAAIgAAAGRycy9kb3ducmV2LnhtbFBLAQIUABQAAAAIAIdO4kAzLwWeOwAAADkA&#10;AAAQAAAAAAAAAAEAIAAAAAUBAABkcnMvc2hhcGV4bWwueG1sUEsFBgAAAAAGAAYAWwEAAK8DAAAA&#10;AA==&#10;">
                              <v:fill on="t" opacity="0f" focussize="0,0"/>
                              <v:stroke weight="0.5pt" color="#000000 [3213]" joinstyle="round"/>
                              <v:imagedata o:title=""/>
                              <o:lock v:ext="edit" aspectratio="f"/>
                              <v:textbox>
                                <w:txbxContent>
                                  <w:p w14:paraId="038C482F">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Theme="minorEastAsia"/>
                                        <w:sz w:val="22"/>
                                        <w:szCs w:val="21"/>
                                        <w:lang w:val="en-US" w:eastAsia="zh-CN"/>
                                      </w:rPr>
                                    </w:pPr>
                                    <w:r>
                                      <w:rPr>
                                        <w:rFonts w:hint="eastAsia" w:eastAsia="宋体" w:cs="Times New Roman"/>
                                        <w:color w:val="auto"/>
                                        <w:kern w:val="0"/>
                                        <w:sz w:val="20"/>
                                        <w:szCs w:val="20"/>
                                        <w:highlight w:val="none"/>
                                        <w:lang w:val="en-US" w:eastAsia="zh-CN" w:bidi="ar"/>
                                      </w:rPr>
                                      <w:t>给料机</w:t>
                                    </w:r>
                                  </w:p>
                                </w:txbxContent>
                              </v:textbox>
                            </v:shape>
                            <v:shape id="_x0000_s1026" o:spid="_x0000_s1026" o:spt="202" type="#_x0000_t202" style="position:absolute;left:4946;top:277265;height:646;width:907;" fillcolor="#000000" filled="t" stroked="t" coordsize="21600,21600" o:gfxdata="UEsDBAoAAAAAAIdO4kAAAAAAAAAAAAAAAAAEAAAAZHJzL1BLAwQUAAAACACHTuJA5PnP6LwAAADb&#10;AAAADwAAAGRycy9kb3ducmV2LnhtbEWPQYvCMBSE78L+h/AW9iI2raBINXpYUARPulvw+Giebdnk&#10;pSTR6r/fCILHYWa+YVabuzXiRj50jhUUWQ6CuHa640bB7892sgARIrJG45gUPCjAZv0xWmGp3cBH&#10;up1iIxKEQ4kK2hj7UspQt2QxZK4nTt7FeYsxSd9I7XFIcGvkNM/n0mLHaaHFnr5bqv9OV6vA7OZ1&#10;dRwX/uwfzUHut+ZgdpVSX59FvgQR6R7f4Vd7rxXMCnh+S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5z+i8AAAA&#10;2w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35B400D3">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r>
                                      <w:rPr>
                                        <w:rFonts w:hint="eastAsia" w:eastAsia="宋体" w:cs="Times New Roman"/>
                                        <w:color w:val="auto"/>
                                        <w:kern w:val="0"/>
                                        <w:sz w:val="20"/>
                                        <w:szCs w:val="20"/>
                                        <w:highlight w:val="none"/>
                                        <w:lang w:val="en-US" w:eastAsia="zh-CN" w:bidi="ar"/>
                                      </w:rPr>
                                      <w:t>颚式</w:t>
                                    </w:r>
                                  </w:p>
                                  <w:p w14:paraId="58F00AE2">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破碎机</w:t>
                                    </w:r>
                                  </w:p>
                                </w:txbxContent>
                              </v:textbox>
                            </v:shape>
                            <v:shape id="_x0000_s1026" o:spid="_x0000_s1026" o:spt="202" type="#_x0000_t202" style="position:absolute;left:5033;top:278555;height:646;width:912;" fillcolor="#000000" filled="t" stroked="t" coordsize="21600,21600" o:gfxdata="UEsDBAoAAAAAAIdO4kAAAAAAAAAAAAAAAAAEAAAAZHJzL1BLAwQUAAAACACHTuJA9I5scLwAAADb&#10;AAAADwAAAGRycy9kb3ducmV2LnhtbEWPQYvCMBSE78L+h/CEvciaVlxZaqOHBUXwpKvg8dE822Ly&#10;UpJo9d9vBMHjMDPfMOXybo24kQ+tYwX5OANBXDndcq3g8Lf6+gERIrJG45gUPCjAcvExKLHQrucd&#10;3faxFgnCoUAFTYxdIWWoGrIYxq4jTt7ZeYsxSV9L7bFPcGvkJMtm0mLLaaHBjn4bqi77q1Vg1rPq&#10;uBvl/uQf9VZuVmZr1kelPod5NgcR6R7f4Vd7oxV8T+H5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ObHC8AAAA&#10;2w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68EC2D16">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r>
                                      <w:rPr>
                                        <w:rFonts w:hint="eastAsia" w:eastAsia="宋体" w:cs="Times New Roman"/>
                                        <w:color w:val="auto"/>
                                        <w:kern w:val="0"/>
                                        <w:sz w:val="20"/>
                                        <w:szCs w:val="20"/>
                                        <w:highlight w:val="none"/>
                                        <w:lang w:val="en-US" w:eastAsia="zh-CN" w:bidi="ar"/>
                                      </w:rPr>
                                      <w:t>圆锥</w:t>
                                    </w:r>
                                  </w:p>
                                  <w:p w14:paraId="3F6DF76D">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破碎机</w:t>
                                    </w:r>
                                  </w:p>
                                  <w:p w14:paraId="07594FC6">
                                    <w:pPr>
                                      <w:rPr>
                                        <w:rFonts w:hint="default"/>
                                        <w:sz w:val="22"/>
                                        <w:szCs w:val="21"/>
                                        <w:lang w:val="en-US" w:eastAsia="zh-CN"/>
                                      </w:rPr>
                                    </w:pPr>
                                  </w:p>
                                </w:txbxContent>
                              </v:textbox>
                            </v:shape>
                            <v:shape id="_x0000_s1026" o:spid="_x0000_s1026" o:spt="202" type="#_x0000_t202" style="position:absolute;left:6328;top:277378;height:397;width:737;" fillcolor="#000000" filled="t" stroked="t" coordsize="21600,21600" o:gfxdata="UEsDBAoAAAAAAIdO4kAAAAAAAAAAAAAAAAAEAAAAZHJzL1BLAwQUAAAACACHTuJAe2f0BLwAAADb&#10;AAAADwAAAGRycy9kb3ducmV2LnhtbEWPQYvCMBSE78L+h/CEvciaVllZaqOHBUXwpKvg8dE822Ly&#10;UpJo9d9vBMHjMDPfMOXybo24kQ+tYwX5OANBXDndcq3g8Lf6+gERIrJG45gUPCjAcvExKLHQrucd&#10;3faxFgnCoUAFTYxdIWWoGrIYxq4jTt7ZeYsxSV9L7bFPcGvkJMtm0mLLaaHBjn4bqi77q1Vg1rPq&#10;uBvl/uQf9VZuVmZr1kelPod5NgcR6R7f4Vd7oxV8T+H5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9AS8AAAA&#10;2w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4426FFBC">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筛分</w:t>
                                    </w:r>
                                  </w:p>
                                </w:txbxContent>
                              </v:textbox>
                            </v:shape>
                            <v:shape id="_x0000_s1026" o:spid="_x0000_s1026" o:spt="202" type="#_x0000_t202" style="position:absolute;left:6455;top:278713;height:394;width:709;" fillcolor="#000000" filled="t" stroked="t" coordsize="21600,21600" o:gfxdata="UEsDBAoAAAAAAIdO4kAAAAAAAAAAAAAAAAAEAAAAZHJzL1BLAwQUAAAACACHTuJAm8LJ67oAAADb&#10;AAAADwAAAGRycy9kb3ducmV2LnhtbEWPS6vCMBSE94L/IRzBjWhaQZFqdCEogitf4PLQHNticlKS&#10;+Pr3Rrhwl8PMfMMsVm9rxJN8aBwryEcZCOLS6YYrBefTZjgDESKyRuOYFHwowGrZ7Syw0O7FB3oe&#10;YyUShEOBCuoY20LKUNZkMYxcS5y8m/MWY5K+ktrjK8GtkeMsm0qLDaeFGlta11Tejw+rwGyn5eUw&#10;yP3Vf6q93G3M3mwvSvV7eTYHEekd/8N/7Z1WMJnA70v6AXL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wsnrugAAANsA&#10;AAAPAAAAAAAAAAEAIAAAACIAAABkcnMvZG93bnJldi54bWxQSwECFAAUAAAACACHTuJAMy8FnjsA&#10;AAA5AAAAEAAAAAAAAAABACAAAAAJAQAAZHJzL3NoYXBleG1sLnhtbFBLBQYAAAAABgAGAFsBAACz&#10;AwAAAAA=&#10;">
                              <v:fill on="t" opacity="0f" focussize="0,0"/>
                              <v:stroke weight="0.5pt" color="#000000 [3213]" joinstyle="round"/>
                              <v:imagedata o:title=""/>
                              <o:lock v:ext="edit" aspectratio="f"/>
                              <v:textbox>
                                <w:txbxContent>
                                  <w:p w14:paraId="2620EDB0">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筛分</w:t>
                                    </w:r>
                                  </w:p>
                                </w:txbxContent>
                              </v:textbox>
                            </v:shape>
                            <v:shape id="_x0000_s1026" o:spid="_x0000_s1026" o:spt="32" type="#_x0000_t32" style="position:absolute;left:4493;top:277595;flip:y;height:1;width:454;" filled="f" stroked="t" coordsize="21600,21600" o:gfxdata="UEsDBAoAAAAAAIdO4kAAAAAAAAAAAAAAAAAEAAAAZHJzL1BLAwQUAAAACACHTuJAMLDEG7sAAADb&#10;AAAADwAAAGRycy9kb3ducmV2LnhtbEWPW4vCMBSE3xf8D+EIvmmislW6RlGxoE/ihX0+NGfbss1J&#10;beLt328EYR+HmfmGmS0ethY3an3lWMNwoEAQ585UXGg4n7L+FIQPyAZrx6ThSR4W887HDFPj7nyg&#10;2zEUIkLYp6ihDKFJpfR5SRb9wDXE0ftxrcUQZVtI0+I9wm0tR0ol0mLFcaHEhtYl5b/Hq9UwHlGy&#10;utD+e6OsVDs7yZa7OtO61x2qLxCBHuE//G5vjYbPBF5f4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DEG7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_x0000_s1026" o:spid="_x0000_s1026" o:spt="32" type="#_x0000_t32" style="position:absolute;left:5866;top:277587;flip:y;height:1;width:454;" filled="f" stroked="t" coordsize="21600,21600" o:gfxdata="UEsDBAoAAAAAAIdO4kAAAAAAAAAAAAAAAAAEAAAAZHJzL1BLAwQUAAAACACHTuJAX/xhgL0AAADb&#10;AAAADwAAAGRycy9kb3ducmV2LnhtbEWPzWrDMBCE74W+g9hCbrWUhPzgWjFtiCE5lbgl58Xa2qbW&#10;yrUUJ3n7qlDIcZiZb5gsv9pOjDT41rGGaaJAEFfOtFxr+PwontcgfEA22DkmDTfykG8eHzJMjbvw&#10;kcYy1CJC2KeooQmhT6X0VUMWfeJ64uh9ucFiiHKopRnwEuG2kzOlltJiy3GhwZ62DVXf5dlqmM9o&#10;+fZD76edslId7Kp4PXSF1pOnqXoBEega7uH/9t5oWKzg70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GA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shape id="_x0000_s1026" o:spid="_x0000_s1026" o:spt="32" type="#_x0000_t32" style="position:absolute;left:8924;top:277257;flip:y;height:1;width:964;" filled="f" stroked="t" coordsize="21600,21600" o:gfxdata="UEsDBAoAAAAAAIdO4kAAAAAAAAAAAAAAAAAEAAAAZHJzL1BLAwQUAAAACACHTuJAHnkzSboAAADb&#10;AAAADwAAAGRycy9kb3ducmV2LnhtbEVPz2vCMBS+D/wfwhN2m0k76EbXtOiwoKcxHTs/mmdbbF66&#10;Jlb975fDYMeP73dR3ewgZpp871hDslIgiBtnem41fB3rp1cQPiAbHByThjt5qMrFQ4G5cVf+pPkQ&#10;WhFD2OeooQthzKX0TUcW/cqNxJE7ucliiHBqpZnwGsPtIFOlMmmx59jQ4UjvHTXnw8VqeE4p2/zQ&#10;x/dWWan29qVe74da68dlot5ABLqFf/Gfe2c0ZHF9/BJ/gC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eTNJ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32" type="#_x0000_t32" style="position:absolute;left:5584;top:278477;flip:y;height:1;width:227;rotation:-5898240f;" filled="f" stroked="t" coordsize="21600,21600" o:gfxdata="UEsDBAoAAAAAAIdO4kAAAAAAAAAAAAAAAAAEAAAAZHJzL1BLAwQUAAAACACHTuJAfPGMG74AAADb&#10;AAAADwAAAGRycy9kb3ducmV2LnhtbEWPzYrCQBCE7wu+w9CCt3WiuItGRw9KUBZU/AE9Npk2CWZ6&#10;QmbU5O2dhYU9FtX1Vdds0ZhSPKl2hWUFg34Egji1uuBMwfmUfI5BOI+ssbRMClpysJh3PmYYa/vi&#10;Az2PPhMBwi5GBbn3VSylS3My6Pq2Ig7ezdYGfZB1JnWNrwA3pRxG0bc0WHBoyLGiZU7p/fgw4Y1k&#10;O9pdduukaa6r1v/si2S0bpXqdQfRFISnxv8f/6U3WsHXBH63BADI+R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GMG74A&#10;AADbAAAADwAAAAAAAAABACAAAAAiAAAAZHJzL2Rvd25yZXYueG1sUEsBAhQAFAAAAAgAh07iQDMv&#10;BZ47AAAAOQAAABAAAAAAAAAAAQAgAAAADQEAAGRycy9zaGFwZXhtbC54bWxQSwUGAAAAAAYABgBb&#10;AQAAtwMAAAAA&#10;">
                              <v:fill on="f" focussize="0,0"/>
                              <v:stroke weight="0.5pt" color="#000000 [3213]" joinstyle="round" endarrow="block"/>
                              <v:imagedata o:title=""/>
                              <o:lock v:ext="edit" aspectratio="f"/>
                            </v:shape>
                            <v:shape id="_x0000_s1026" o:spid="_x0000_s1026" o:spt="32" type="#_x0000_t32" style="position:absolute;left:7419;top:277272;flip:y;height:1;width:227;" filled="f" stroked="t" coordsize="21600,21600" o:gfxdata="UEsDBAoAAAAAAIdO4kAAAAAAAAAAAAAAAAAEAAAAZHJzL1BLAwQUAAAACACHTuJALmP18rkAAADb&#10;AAAADwAAAGRycy9kb3ducmV2LnhtbEVPy4rCMBTdC/MP4Q7MThMVH9SmMg4WdCU+cH1prm2Z5qY2&#10;GXX+3iwEl4fzTpcP24gbdb52rGE4UCCIC2dqLjWcjnl/DsIHZIONY9LwTx6W2UcvxcS4O+/pdgil&#10;iCHsE9RQhdAmUvqiIot+4FriyF1cZzFE2JXSdHiP4baRI6Wm0mLNsaHCln4qKn4Pf1bDeETT1ZV2&#10;57WyUm3tLP/eNrnWX59DtQAR6BHe4pd7YzRM4tj4Jf4AmT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5j9fK5AAAA2wAA&#10;AA8AAAAAAAAAAQAgAAAAIgAAAGRycy9kb3ducmV2LnhtbFBLAQIUABQAAAAIAIdO4kAzLwWeOwAA&#10;ADkAAAAQAAAAAAAAAAEAIAAAAAgBAABkcnMvc2hhcGV4bWwueG1sUEsFBgAAAAAGAAYAWwEAALID&#10;AAAAAA==&#10;">
                              <v:fill on="f" focussize="0,0"/>
                              <v:stroke weight="0.5pt" color="#000000 [3213]" joinstyle="round" endarrow="block"/>
                              <v:imagedata o:title=""/>
                              <o:lock v:ext="edit" aspectratio="f"/>
                            </v:shape>
                            <v:shape id="_x0000_s1026" o:spid="_x0000_s1026" o:spt="202" type="#_x0000_t202" style="position:absolute;left:7657;top:276896;height:657;width:1261;" fillcolor="#000000" filled="t" stroked="t" coordsize="21600,21600" o:gfxdata="UEsDBAoAAAAAAIdO4kAAAAAAAAAAAAAAAAAEAAAAZHJzL1BLAwQUAAAACACHTuJAKpUFVboAAADb&#10;AAAADwAAAGRycy9kb3ducmV2LnhtbEWPQYvCMBSE7wv+h/AEL4um9VCWavQgKIIndQWPj+bZFpOX&#10;kkSr/94IgsdhZr5h5suHNeJOPrSOFeSTDARx5XTLtYL/43r8ByJEZI3GMSl4UoDlYvAzx1K7nvd0&#10;P8RaJAiHEhU0MXallKFqyGKYuI44eRfnLcYkfS21xz7BrZHTLCukxZbTQoMdrRqqroebVWA2RXXa&#10;/+b+7J/1Tm7XZmc2J6VGwzybgYj0iN/wp73VCooc3l/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lQVVugAAANsA&#10;AAAPAAAAAAAAAAEAIAAAACIAAABkcnMvZG93bnJldi54bWxQSwECFAAUAAAACACHTuJAMy8FnjsA&#10;AAA5AAAAEAAAAAAAAAABACAAAAAJAQAAZHJzL3NoYXBleG1sLnhtbFBLBQYAAAAABgAGAFsBAACz&#10;AwAAAAA=&#10;">
                              <v:fill on="t" opacity="0f" focussize="0,0"/>
                              <v:stroke weight="0.5pt" color="#000000 [3213]" joinstyle="round"/>
                              <v:imagedata o:title=""/>
                              <o:lock v:ext="edit" aspectratio="f"/>
                              <v:textbox>
                                <w:txbxContent>
                                  <w:p w14:paraId="7CA2C261">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骨料颗粒（0~5mm）</w:t>
                                    </w:r>
                                  </w:p>
                                </w:txbxContent>
                              </v:textbox>
                            </v:shape>
                            <v:shape id="_x0000_s1026" o:spid="_x0000_s1026" o:spt="202" type="#_x0000_t202" style="position:absolute;left:9876;top:276794;height:2614;width:697;" fillcolor="#000000" filled="t" stroked="t" coordsize="21600,21600" o:gfxdata="UEsDBAoAAAAAAIdO4kAAAAAAAAAAAAAAAAAEAAAAZHJzL1BLAwQUAAAACACHTuJAVa4DVr0AAADb&#10;AAAADwAAAGRycy9kb3ducmV2LnhtbEWPzWrDMBCE74W+g9hCLiWRXYgJbpQcCgkBn5wfyHGxtrap&#10;tDKSmthvHxUKOQ4z8w2z3o7WiBv50DtWkC8yEMSN0z23Cs6n3XwFIkRkjcYxKZgowHbz+rLGUrs7&#10;13Q7xlYkCIcSFXQxDqWUoenIYli4gTh5385bjEn6VmqP9wS3Rn5kWSEt9pwWOhzoq6Pm5/hrFZh9&#10;0Vzq99xf/dRW8rAzldlflJq95dkniEhjfIb/2wetoFjC35f0A+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rgNWvQAA&#10;ANsAAAAPAAAAAAAAAAEAIAAAACIAAABkcnMvZG93bnJldi54bWxQSwECFAAUAAAACACHTuJAMy8F&#10;njsAAAA5AAAAEAAAAAAAAAABACAAAAAMAQAAZHJzL3NoYXBleG1sLnhtbFBLBQYAAAAABgAGAFsB&#10;AAC2AwAAAAA=&#10;">
                              <v:fill on="t" opacity="0f" focussize="0,0"/>
                              <v:stroke weight="0.5pt" color="#000000 [3213]" joinstyle="round"/>
                              <v:imagedata o:title=""/>
                              <o:lock v:ext="edit" aspectratio="f"/>
                              <v:textbox>
                                <w:txbxContent>
                                  <w:p w14:paraId="3C216D7F">
                                    <w:pPr>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cs="Times New Roman"/>
                                        <w:color w:val="auto"/>
                                        <w:kern w:val="0"/>
                                        <w:sz w:val="20"/>
                                        <w:szCs w:val="20"/>
                                        <w:highlight w:val="none"/>
                                        <w:lang w:val="en-US" w:eastAsia="zh-CN" w:bidi="ar"/>
                                      </w:rPr>
                                    </w:pPr>
                                  </w:p>
                                  <w:p w14:paraId="289DA17A">
                                    <w:pPr>
                                      <w:keepNext w:val="0"/>
                                      <w:keepLines w:val="0"/>
                                      <w:pageBreakBefore w:val="0"/>
                                      <w:widowControl w:val="0"/>
                                      <w:kinsoku/>
                                      <w:wordWrap/>
                                      <w:overflowPunct/>
                                      <w:topLinePunct w:val="0"/>
                                      <w:bidi w:val="0"/>
                                      <w:adjustRightInd/>
                                      <w:snapToGrid/>
                                      <w:spacing w:line="240" w:lineRule="auto"/>
                                      <w:jc w:val="both"/>
                                      <w:textAlignment w:val="auto"/>
                                      <w:rPr>
                                        <w:rFonts w:hint="eastAsia" w:eastAsia="宋体" w:cs="Times New Roman"/>
                                        <w:color w:val="auto"/>
                                        <w:kern w:val="0"/>
                                        <w:sz w:val="20"/>
                                        <w:szCs w:val="20"/>
                                        <w:highlight w:val="none"/>
                                        <w:lang w:val="en-US" w:eastAsia="zh-CN" w:bidi="ar"/>
                                      </w:rPr>
                                    </w:pPr>
                                  </w:p>
                                  <w:p w14:paraId="1422717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用于鄠邑区路桥工程建设</w:t>
                                    </w:r>
                                  </w:p>
                                </w:txbxContent>
                              </v:textbox>
                            </v:shape>
                            <v:shape id="_x0000_s1026" o:spid="_x0000_s1026" o:spt="202" type="#_x0000_t202" style="position:absolute;left:2141;top:277280;height:755;width:1245;" fillcolor="#000000" filled="t" stroked="f" coordsize="21600,21600" o:gfxdata="UEsDBAoAAAAAAIdO4kAAAAAAAAAAAAAAAAAEAAAAZHJzL1BLAwQUAAAACACHTuJAU+HyTr0AAADb&#10;AAAADwAAAGRycy9kb3ducmV2LnhtbEWPwW7CMBBE75X4B2uReis2bYWigOEAquihh5bwAUu8xBHx&#10;OsQmofn6ulKlHkcz80az2txdI3rqQu1Zw3ymQBCX3tRcaTgWb08ZiBCRDTaeScM3BdisJw8rzI0f&#10;+Iv6Q6xEgnDIUYONsc2lDKUlh2HmW+LknX3nMCbZVdJ0OCS4a+SzUgvpsOa0YLGlraXycrg5Da9y&#10;VJ9xb+mUlWNVjx+705UKrR+nc7UEEeke/8N/7XejYfECv1/S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4fJOvQAA&#10;ANs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166265E5">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人工分拣后的原料</w:t>
                                    </w:r>
                                  </w:p>
                                </w:txbxContent>
                              </v:textbox>
                            </v:shape>
                          </v:group>
                        </v:group>
                        <v:shape id="_x0000_s1026" o:spid="_x0000_s1026" o:spt="202" type="#_x0000_t202" style="position:absolute;left:7117;top:339219;height:395;width:1020;" fillcolor="#000000" filled="t" stroked="t" coordsize="21600,21600" o:gfxdata="UEsDBAoAAAAAAIdO4kAAAAAAAAAAAAAAAAAEAAAAZHJzL1BLAwQUAAAACACHTuJAoFJ9rLwAAADb&#10;AAAADwAAAGRycy9kb3ducmV2LnhtbEWPS2vDMBCE74X8B7GFXEoi29A83Cg+FAo5GZyWnhdrYxlZ&#10;K2Mpz19fFQo9DjPzDbOrbm4QF5pC71lBvsxAELde99wp+Pr8WGxAhIiscfBMCu4UoNrPnnZYan/l&#10;hi7H2IkE4VCiAhPjWEoZWkMOw9KPxMk7+clhTHLqpJ7wmuBukEWWraTDntOCwZHeDbX2eHYK6vrb&#10;vrzidvPwzejsYGyzslap+XOevYGIdIv/4b/2QStYF/D7Jf0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Sfay8AAAA&#10;2wAAAA8AAAAAAAAAAQAgAAAAIgAAAGRycy9kb3ducmV2LnhtbFBLAQIUABQAAAAIAIdO4kAzLwWe&#10;OwAAADkAAAAQAAAAAAAAAAEAIAAAAAsBAABkcnMvc2hhcGV4bWwueG1sUEsFBgAAAAAGAAYAWwEA&#10;ALUDAAAAAA==&#10;">
                          <v:fill on="t" opacity="0f" focussize="0,0"/>
                          <v:stroke weight="0.5pt" color="#000000 [3213]" joinstyle="round" dashstyle="3 1"/>
                          <v:imagedata o:title=""/>
                          <o:lock v:ext="edit" aspectratio="f"/>
                          <v:textbox>
                            <w:txbxContent>
                              <w:p w14:paraId="7739DBB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v:textbox>
                        </v:shape>
                        <v:shape id="_x0000_s1026" o:spid="_x0000_s1026" o:spt="202" type="#_x0000_t202" style="position:absolute;left:7232;top:342215;height:383;width:1020;" fillcolor="#000000" filled="t" stroked="t" coordsize="21600,21600" o:gfxdata="UEsDBAoAAAAAAIdO4kAAAAAAAAAAAAAAAAAEAAAAZHJzL1BLAwQUAAAACACHTuJAzx7YN70AAADb&#10;AAAADwAAAGRycy9kb3ducmV2LnhtbEWPzWrDMBCE74W8g9hALyWWk9IkdS37EAj0FHBacl6sjWVk&#10;rYyl/LRPXxUKPQ4z8w1T1nc3iCtNofesYJnlIIhbr3vuFHx+7BdbECEiaxw8k4IvClBXs4cSC+1v&#10;3ND1GDuRIBwKVGBiHAspQ2vIYcj8SJy8s58cxiSnTuoJbwnuBrnK87V02HNaMDjSzlBrjxen4HA4&#10;2acXfN1++2Z0djC2WVur1ON8mb+BiHSP/+G/9rtWsHmG3y/pB8j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tg3vQAA&#10;ANsAAAAPAAAAAAAAAAEAIAAAACIAAABkcnMvZG93bnJldi54bWxQSwECFAAUAAAACACHTuJAMy8F&#10;njsAAAA5AAAAEAAAAAAAAAABACAAAAAMAQAAZHJzL3NoYXBleG1sLnhtbFBLBQYAAAAABgAGAFsB&#10;AAC2AwAAAAA=&#10;">
                          <v:fill on="t" opacity="0f" focussize="0,0"/>
                          <v:stroke weight="0.5pt" color="#000000 [3213]" joinstyle="round" dashstyle="3 1"/>
                          <v:imagedata o:title=""/>
                          <o:lock v:ext="edit" aspectratio="f"/>
                          <v:textbox>
                            <w:txbxContent>
                              <w:p w14:paraId="69BD6852">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v:textbox>
                        </v:shape>
                        <v:shape id="_x0000_s1026" o:spid="_x0000_s1026" o:spt="202" type="#_x0000_t202" style="position:absolute;left:5917;top:342214;height:395;width:1020;" fillcolor="#000000" filled="t" stroked="t" coordsize="21600,21600" o:gfxdata="UEsDBAoAAAAAAIdO4kAAAAAAAAAAAAAAAAAEAAAAZHJzL1BLAwQUAAAACACHTuJAQPdAQ70AAADb&#10;AAAADwAAAGRycy9kb3ducmV2LnhtbEWPzWrDMBCE74W8g9hALyWWE9okdS37EAj0FHBacl6sjWVk&#10;rYyl/LRPXxUKPQ4z8w1T1nc3iCtNofesYJnlIIhbr3vuFHx+7BdbECEiaxw8k4IvClBXs4cSC+1v&#10;3ND1GDuRIBwKVGBiHAspQ2vIYcj8SJy8s58cxiSnTuoJbwnuBrnK87V02HNaMDjSzlBrjxen4HA4&#10;2acXfN1++2Z0djC2WVur1ON8mb+BiHSP/+G/9rtWsHmG3y/pB8j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90BDvQAA&#10;ANsAAAAPAAAAAAAAAAEAIAAAACIAAABkcnMvZG93bnJldi54bWxQSwECFAAUAAAACACHTuJAMy8F&#10;njsAAAA5AAAAEAAAAAAAAAABACAAAAAMAQAAZHJzL3NoYXBleG1sLnhtbFBLBQYAAAAABgAGAFsB&#10;AAC2AwAAAAA=&#10;">
                          <v:fill on="t" opacity="0f" focussize="0,0"/>
                          <v:stroke weight="0.5pt" color="#000000 [3213]" joinstyle="round" dashstyle="3 1"/>
                          <v:imagedata o:title=""/>
                          <o:lock v:ext="edit" aspectratio="f"/>
                          <v:textbox>
                            <w:txbxContent>
                              <w:p w14:paraId="2B8315E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粉尘、噪声</w:t>
                                </w:r>
                              </w:p>
                            </w:txbxContent>
                          </v:textbox>
                        </v:shape>
                        <v:shape id="_x0000_s1026" o:spid="_x0000_s1026" o:spt="32" type="#_x0000_t32" style="position:absolute;left:6367;top:339616;flip:x y;height:340;width:1;" filled="f" stroked="t" coordsize="21600,21600" o:gfxdata="UEsDBAoAAAAAAIdO4kAAAAAAAAAAAAAAAAAEAAAAZHJzL1BLAwQUAAAACACHTuJAnJYDK70AAADb&#10;AAAADwAAAGRycy9kb3ducmV2LnhtbEWPQWvCQBSE7wX/w/IEb3XXksYSXXPQCt5KtLTXZ/aZBLNv&#10;Q3aj8d93C4Ueh5n5hlnno23FjXrfONawmCsQxKUzDVcaPk/75zcQPiAbbB2Thgd5yDeTpzVmxt25&#10;oNsxVCJC2GeooQ6hy6T0ZU0W/dx1xNG7uN5iiLKvpOnxHuG2lS9KpdJiw3Ghxo62NZXX42A1JJdW&#10;nfG8/E74Iy3ehy+fJjuv9Wy6UCsQgcbwH/5rH4yG5Sv8fo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gMrvQAA&#10;ANsAAAAPAAAAAAAAAAEAIAAAACIAAABkcnMvZG93bnJldi54bWxQSwECFAAUAAAACACHTuJAMy8F&#10;njsAAAA5AAAAEAAAAAAAAAABACAAAAAMAQAAZHJzL3NoYXBleG1sLnhtbFBLBQYAAAAABgAGAFsB&#10;AAC2AwAAAAA=&#10;">
                          <v:fill on="f" focussize="0,0"/>
                          <v:stroke weight="0.5pt" color="#000000 [3213]" joinstyle="round" dashstyle="3 1" endarrow="block"/>
                          <v:imagedata o:title=""/>
                          <o:lock v:ext="edit" aspectratio="f"/>
                        </v:shape>
                        <v:shape id="_x0000_s1026" o:spid="_x0000_s1026" o:spt="32" type="#_x0000_t32" style="position:absolute;left:7643;top:339613;flip:x y;height:454;width:1;" filled="f" stroked="t" coordsize="21600,21600" o:gfxdata="UEsDBAoAAAAAAIdO4kAAAAAAAAAAAAAAAAAEAAAAZHJzL1BLAwQUAAAACACHTuJAbESdXL0AAADb&#10;AAAADwAAAGRycy9kb3ducmV2LnhtbEWPzWrDMBCE74W8g9hCb43kYpzgWPahaaG3kqQ01421/iHW&#10;ylhykr59VSjkOMzMN0xR3ewgLjT53rGGZKlAENfO9Nxq+Dq8P69B+IBscHBMGn7IQ1UuHgrMjbvy&#10;ji770IoIYZ+jhi6EMZfS1x1Z9Es3EkevcZPFEOXUSjPhNcLtIF+UyqTFnuNChyO9dlSf97PVkDaD&#10;OuFpdUz5M9u9zd8+S7de66fHRG1ABLqFe/i//WE0rDL4+xJ/gC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RJ1cvQAA&#10;ANsAAAAPAAAAAAAAAAEAIAAAACIAAABkcnMvZG93bnJldi54bWxQSwECFAAUAAAACACHTuJAMy8F&#10;njsAAAA5AAAAEAAAAAAAAAABACAAAAAMAQAAZHJzL3NoYXBleG1sLnhtbFBLBQYAAAAABgAGAFsB&#10;AAC2AwAAAAA=&#10;">
                          <v:fill on="f" focussize="0,0"/>
                          <v:stroke weight="0.5pt" color="#000000 [3213]" joinstyle="round" dashstyle="3 1" endarrow="block"/>
                          <v:imagedata o:title=""/>
                          <o:lock v:ext="edit" aspectratio="f"/>
                        </v:shape>
                        <v:shape id="_x0000_s1026" o:spid="_x0000_s1026" o:spt="32" type="#_x0000_t32" style="position:absolute;left:6436;top:341925;flip:x y;height:283;width:1;rotation:11796480f;" filled="f" stroked="t" coordsize="21600,21600" o:gfxdata="UEsDBAoAAAAAAIdO4kAAAAAAAAAAAAAAAAAEAAAAZHJzL1BLAwQUAAAACACHTuJAUOXstb4AAADb&#10;AAAADwAAAGRycy9kb3ducmV2LnhtbEWPQWvCQBSE74X+h+UVeqsbQzEhunoQhBSaQ1MPentkn0kw&#10;+zbsrhr99d1CocdhZr5hVpvJDOJKzveWFcxnCQjixuqeWwX7791bDsIHZI2DZVJwJw+b9fPTCgtt&#10;b/xF1zq0IkLYF6igC2EspPRNRwb9zI7E0TtZZzBE6VqpHd4i3AwyTZKFNNhzXOhwpG1Hzbm+GAXV&#10;9p1P+aPKradPl9WHj7RcHJV6fZknSxCBpvAf/muXWkGWwe+X+AP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Xstb4A&#10;AADbAAAADwAAAAAAAAABACAAAAAiAAAAZHJzL2Rvd25yZXYueG1sUEsBAhQAFAAAAAgAh07iQDMv&#10;BZ47AAAAOQAAABAAAAAAAAAAAQAgAAAADQEAAGRycy9zaGFwZXhtbC54bWxQSwUGAAAAAAYABgBb&#10;AQAAtwMAAAAA&#10;">
                          <v:fill on="f" focussize="0,0"/>
                          <v:stroke weight="0.5pt" color="#000000 [3213]" joinstyle="round" dashstyle="3 1" endarrow="block"/>
                          <v:imagedata o:title=""/>
                          <o:lock v:ext="edit" aspectratio="f"/>
                        </v:shape>
                        <v:shape id="_x0000_s1026" o:spid="_x0000_s1026" o:spt="32" type="#_x0000_t32" style="position:absolute;left:7736;top:341797;flip:x y;height:425;width:1;rotation:11796480f;" filled="f" stroked="t" coordsize="21600,21600" o:gfxdata="UEsDBAoAAAAAAIdO4kAAAAAAAAAAAAAAAAAEAAAAZHJzL1BLAwQUAAAACACHTuJAIXp4x7oAAADb&#10;AAAADwAAAGRycy9kb3ducmV2LnhtbEVPy4rCMBTdD/gP4Q7MbkwV0VJNuxAEBV1YXeju0lzbMs1N&#10;SeJj/HqzEFwezntRPEwnbuR8a1nBaJiAIK6sbrlWcDysflMQPiBr7CyTgn/yUOSDrwVm2t55T7cy&#10;1CKGsM9QQRNCn0npq4YM+qHtiSN3sc5giNDVUju8x3DTyXGSTKXBlmNDgz0tG6r+yqtRsFtO+JI+&#10;d6n1tHWz8rQZr6dnpX6+R8kcRKBH+Ijf7rVWMItj45f4A2T+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enjHugAAANsA&#10;AAAPAAAAAAAAAAEAIAAAACIAAABkcnMvZG93bnJldi54bWxQSwECFAAUAAAACACHTuJAMy8FnjsA&#10;AAA5AAAAEAAAAAAAAAABACAAAAAJAQAAZHJzL3NoYXBleG1sLnhtbFBLBQYAAAAABgAGAFsBAACz&#10;AwAAAAA=&#10;">
                          <v:fill on="f" focussize="0,0"/>
                          <v:stroke weight="0.5pt" color="#000000 [3213]" joinstyle="round" dashstyle="3 1" endarrow="block"/>
                          <v:imagedata o:title=""/>
                          <o:lock v:ext="edit" aspectratio="f"/>
                        </v:shape>
                        <v:shape id="_x0000_s1026" o:spid="_x0000_s1026" o:spt="32" type="#_x0000_t32" style="position:absolute;left:10144;top:341563;height:10;width:710;" filled="f" stroked="t" coordsize="21600,21600" o:gfxdata="UEsDBAoAAAAAAIdO4kAAAAAAAAAAAAAAAAAEAAAAZHJzL1BLAwQUAAAACACHTuJAJ/bLDb0AAADb&#10;AAAADwAAAGRycy9kb3ducmV2LnhtbEWPzWoCQRCE74LvMHQgF9EZhYhuHD0ISoRcXA3k2Ox0dpfs&#10;9Cw77e/TZwKCx6KqvqIWq6tv1Jm6WAe2MB4ZUMRFcDWXFo6HzXAGKgqywyYwWbhRhNWy31tg5sKF&#10;93TOpVQJwjFDC5VIm2kdi4o8xlFoiZP3EzqPkmRXatfhJcF9oyfGTLXHmtNChS2tKyp+85O3IIYP&#10;eX363sn2Nr+bz0ljcPBl7evL2LyDErrKM/xofzgLszf4/5J+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ssN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group>
                      <v:group id="组合 9" o:spid="_x0000_s1026" o:spt="203" style="position:absolute;left:9501;top:397513;height:1849;width:3629;" coordorigin="5458,354327" coordsize="3629,1849" o:gfxdata="UEsDBAoAAAAAAIdO4kAAAAAAAAAAAAAAAAAEAAAAZHJzL1BLAwQUAAAACACHTuJA6yK6ZrwAAADc&#10;AAAADwAAAGRycy9kb3ducmV2LnhtbEVPTYvCMBC9C/6HMIK3Na3uLlKNIqKyB1nYKoi3oRnbYjMp&#10;TWz13xthwds83ufMl3dTiZYaV1pWEI8iEMSZ1SXnCo6H7ccUhPPIGivLpOBBDpaLfm+OibYd/1Gb&#10;+lyEEHYJKii8rxMpXVaQQTeyNXHgLrYx6ANscqkb7EK4qeQ4ir6lwZJDQ4E1rQvKrunNKNh12K0m&#10;8abdXy/rx/nw9Xvax6TUcBBHMxCe7v4t/nf/6DD/c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Irpm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7479;top:355531;height:645;width:1272;" fillcolor="#000000" filled="t" stroked="t" coordsize="21600,21600" o:gfxdata="UEsDBAoAAAAAAIdO4kAAAAAAAAAAAAAAAAAEAAAAZHJzL1BLAwQUAAAACACHTuJAMd/yarsAAADa&#10;AAAADwAAAGRycy9kb3ducmV2LnhtbEWPQYvCMBSE78L+h/AWvMg27QqyVKMHQRE86W7B46N5tsXk&#10;pSRZq//eCILHYWa+YRarmzXiSj50jhUUWQ6CuHa640bB3+/m6wdEiMgajWNScKcAq+XHaIGldgMf&#10;6HqMjUgQDiUqaGPsSylD3ZLFkLmeOHln5y3GJH0jtcchwa2R33k+kxY7Tgst9rRuqb4c/60Cs53V&#10;1WFS+JO/N3u525i92VZKjT+LfA4i0i2+w6/2TiuYwvNKu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d/yarsAAADa&#10;AAAADwAAAAAAAAABACAAAAAiAAAAZHJzL2Rvd25yZXYueG1sUEsBAhQAFAAAAAgAh07iQDMvBZ47&#10;AAAAOQAAABAAAAAAAAAAAQAgAAAACgEAAGRycy9zaGFwZXhtbC54bWxQSwUGAAAAAAYABgBbAQAA&#10;tAMAAAAA&#10;">
                          <v:fill on="t" opacity="0f" focussize="0,0"/>
                          <v:stroke weight="0.5pt" color="#000000 [3213]" joinstyle="round"/>
                          <v:imagedata o:title=""/>
                          <o:lock v:ext="edit" aspectratio="f"/>
                          <v:textbox>
                            <w:txbxContent>
                              <w:p w14:paraId="54CB5763">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骨料颗粒（0~5mm）</w:t>
                                </w:r>
                              </w:p>
                            </w:txbxContent>
                          </v:textbox>
                        </v:shape>
                        <v:line id="_x0000_s1026" o:spid="_x0000_s1026" o:spt="20" style="position:absolute;left:6849;top:354627;height:0;width:340;"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3213]" joinstyle="round"/>
                          <v:imagedata o:title=""/>
                          <o:lock v:ext="edit" aspectratio="f"/>
                        </v:line>
                        <v:shape id="_x0000_s1026" o:spid="_x0000_s1026" o:spt="100" style="position:absolute;left:7189;top:354327;height:624;width:1;" filled="f" stroked="t" coordsize="9525,514350" o:gfxdata="UEsDBAoAAAAAAIdO4kAAAAAAAAAAAAAAAAAEAAAAZHJzL1BLAwQUAAAACACHTuJAaJwOu7sAAADb&#10;AAAADwAAAGRycy9kb3ducmV2LnhtbEVPyWrDMBC9F/IPYgq5NbJLmqRuFEMMhfZYJ5DrYE0tE2tk&#10;LHlpv74KBHqbx1tnn8+2FSP1vnGsIF0lIIgrpxuuFZxP7087ED4ga2wdk4If8pAfFg97zLSb+IvG&#10;MtQihrDPUIEJocuk9JUhi37lOuLIfbveYoiwr6XucYrhtpXPSbKRFhuODQY7KgxV13KwCqw9HXfr&#10;zbA1w/D5+9pcyunlWii1fEyTNxCB5vAvvrs/dJyfwu2XeIA8/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wOu7sAAADb&#10;AAAADwAAAAAAAAABACAAAAAiAAAAZHJzL2Rvd25yZXYueG1sUEsBAhQAFAAAAAgAh07iQDMvBZ47&#10;AAAAOQAAABAAAAAAAAAAAQAgAAAACgEAAGRycy9zaGFwZXhtbC54bWxQSwUGAAAAAAYABgBbAQAA&#10;tAMAAAAA&#10;" path="m0,0l9525,514350e">
                          <v:path o:connectlocs="0,0;1,624" o:connectangles="0,0"/>
                          <v:fill on="f" focussize="0,0"/>
                          <v:stroke weight="0.5pt" color="#000000 [3213]" joinstyle="round"/>
                          <v:imagedata o:title=""/>
                          <o:lock v:ext="edit" aspectratio="f"/>
                        </v:shape>
                        <v:shape id="_x0000_s1026" o:spid="_x0000_s1026" o:spt="32" type="#_x0000_t32" style="position:absolute;left:7204;top:354953;flip:y;height:1;width:227;" filled="f" stroked="t" coordsize="21600,21600" o:gfxdata="UEsDBAoAAAAAAIdO4kAAAAAAAAAAAAAAAAAEAAAAZHJzL1BLAwQUAAAACACHTuJA2eF72LoAAADb&#10;AAAADwAAAGRycy9kb3ducmV2LnhtbEVPTWvCQBC9C/6HZYTezK4pRIlZpZYGmlMxlp6H7JiEZmdj&#10;dqv233cLhd7m8T6n2N/tIK40+d6xhlWiQBA3zvTcang/lcsNCB+QDQ6OScM3edjv5rMCc+NufKRr&#10;HVoRQ9jnqKELYcyl9E1HFn3iRuLInd1kMUQ4tdJMeIvhdpCpUpm02HNs6HCk546az/rLanhMKTtc&#10;6O3jRVmpKrsun6qh1PphsVJbEIHu4V/85341cX4K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4XvYugAAANsA&#10;AAAPAAAAAAAAAAEAIAAAACIAAABkcnMvZG93bnJldi54bWxQSwECFAAUAAAACACHTuJAMy8FnjsA&#10;AAA5AAAAEAAAAAAAAAABACAAAAAJAQAAZHJzL3NoYXBleG1sLnhtbFBLBQYAAAAABgAGAFsBAACz&#10;AwAAAAA=&#10;">
                          <v:fill on="f" focussize="0,0"/>
                          <v:stroke weight="0.5pt" color="#000000 [3213]" joinstyle="round" endarrow="block"/>
                          <v:imagedata o:title=""/>
                          <o:lock v:ext="edit" aspectratio="f"/>
                        </v:shape>
                        <v:shape id="_x0000_s1026" o:spid="_x0000_s1026" o:spt="202" type="#_x0000_t202" style="position:absolute;left:7429;top:354679;height:642;width:1333;" fillcolor="#000000" filled="t" stroked="t" coordsize="21600,21600" o:gfxdata="UEsDBAoAAAAAAIdO4kAAAAAAAAAAAAAAAAAEAAAAZHJzL1BLAwQUAAAACACHTuJA9dVGNLYAAADb&#10;AAAADwAAAGRycy9kb3ducmV2LnhtbEVPuwrCMBTdBf8hXMFFNK2DSDU6CIrg5AscL821LSY3JYlW&#10;/94MguPhvJfrtzXiRT40jhXkkwwEcel0w5WCy3k7noMIEVmjcUwKPhRgver3llho1/GRXqdYiRTC&#10;oUAFdYxtIWUoa7IYJq4lTtzdeYsxQV9J7bFL4dbIaZbNpMWGU0ONLW1qKh+np1VgdrPyehzl/uY/&#10;1UHut+ZgdlelhoM8W4CI9I5/8c+91wrmaX36kn6AX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XVRjS2AAAA2wAAAA8A&#10;AAAAAAAAAQAgAAAAIgAAAGRycy9kb3ducmV2LnhtbFBLAQIUABQAAAAIAIdO4kAzLwWeOwAAADkA&#10;AAAQAAAAAAAAAAEAIAAAAAUBAABkcnMvc2hhcGV4bWwueG1sUEsFBgAAAAAGAAYAWwEAAK8DAAAA&#10;AA==&#10;">
                          <v:fill on="t" opacity="0f" focussize="0,0"/>
                          <v:stroke weight="0.5pt" color="#000000 [3213]" joinstyle="round"/>
                          <v:imagedata o:title=""/>
                          <o:lock v:ext="edit" aspectratio="f"/>
                          <v:textbox>
                            <w:txbxContent>
                              <w:p w14:paraId="50BED27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20"/>
                                    <w:lang w:val="en-US" w:eastAsia="zh-CN"/>
                                  </w:rPr>
                                </w:pPr>
                                <w:r>
                                  <w:rPr>
                                    <w:rFonts w:hint="eastAsia" w:eastAsia="宋体" w:cs="Times New Roman"/>
                                    <w:color w:val="auto"/>
                                    <w:kern w:val="0"/>
                                    <w:sz w:val="20"/>
                                    <w:szCs w:val="20"/>
                                    <w:highlight w:val="none"/>
                                    <w:lang w:val="en-US" w:eastAsia="zh-CN" w:bidi="ar"/>
                                  </w:rPr>
                                  <w:t>骨料颗粒（5~30mm）</w:t>
                                </w:r>
                              </w:p>
                            </w:txbxContent>
                          </v:textbox>
                        </v:shape>
                        <v:shape id="_x0000_s1026" o:spid="_x0000_s1026" o:spt="100" style="position:absolute;left:5458;top:354963;height:428;width:3629;" filled="f" stroked="t" coordsize="3799,428" o:gfxdata="UEsDBAoAAAAAAIdO4kAAAAAAAAAAAAAAAAAEAAAAZHJzL1BLAwQUAAAACACHTuJA+jTzn74AAADb&#10;AAAADwAAAGRycy9kb3ducmV2LnhtbEWPzW7CMBCE75V4B2uReisOHBBNMRyQED+nNiVw3drbJGq8&#10;jmwTaJ++RkLiOJqZbzTz5dW2oicfGscKxqMMBLF2puFKweFz/TIDESKywdYxKfilAMvF4GmOuXEX&#10;/qC+iJVIEA45Kqhj7HIpg67JYhi5jjh5385bjEn6ShqPlwS3rZxk2VRabDgt1NjRqib9U5ytgr/G&#10;H9/3fVmui9NJl3q38a9fG6Weh+PsDUSka3yE7+2tUTCbwO1L+gF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zn74A&#10;AADbAAAADwAAAAAAAAABACAAAAAiAAAAZHJzL2Rvd25yZXYueG1sUEsBAhQAFAAAAAgAh07iQDMv&#10;BZ47AAAAOQAAABAAAAAAAAAAAQAgAAAADQEAAGRycy9zaGFwZXhtbC54bWxQSwUGAAAAAAYABgBb&#10;AQAAtwMAAAAA&#10;" path="m3458,0l3799,2,3799,428,0,428e">
                          <v:path textboxrect="0,0,3799,428" o:connectlocs="3303,0;3629,2;3629,428;0,428" o:connectangles="0,0,0,0"/>
                          <v:fill on="f" focussize="0,0"/>
                          <v:stroke weight="0.5pt" color="#000000 [3213]" joinstyle="round"/>
                          <v:imagedata o:title=""/>
                          <o:lock v:ext="edit" aspectratio="f"/>
                          <v:textbox>
                            <w:txbxContent>
                              <w:p w14:paraId="021492C7">
                                <w:pPr>
                                  <w:jc w:val="center"/>
                                </w:pPr>
                              </w:p>
                            </w:txbxContent>
                          </v:textbox>
                        </v:shape>
                        <v:shape id="_x0000_s1026" o:spid="_x0000_s1026" o:spt="32" type="#_x0000_t32" style="position:absolute;left:6931;top:355921;flip:y;height:10;width:349;" filled="f" stroked="t" coordsize="21600,21600" o:gfxdata="UEsDBAoAAAAAAIdO4kAAAAAAAAAAAAAAAAAEAAAAZHJzL1BLAwQUAAAACACHTuJA0U7TsLsAAADb&#10;AAAADwAAAGRycy9kb3ducmV2LnhtbEWPS4sCMRCE74L/IbTgTRMfuDIaxV0cWE+yKp6bSTszOOmM&#10;k/jYf28EwWNRVV9R8+XDVuJGjS8daxj0FQjizJmScw2HfdqbgvAB2WDlmDT8k4flot2aY2Lcnf/o&#10;tgu5iBD2CWooQqgTKX1WkEXfdzVx9E6usRiibHJpGrxHuK3kUKmJtFhyXCiwpp+CsvPuajWMhjT5&#10;vtD2uFZWqo39SlebKtW62xmoGYhAj/AJv9u/RsN0DK8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7TsL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group>
                      <w10:wrap type="topAndBottom"/>
                    </v:group>
                  </w:pict>
                </mc:Fallback>
              </mc:AlternateContent>
            </w:r>
          </w:p>
          <w:p w14:paraId="2DDF9D0A">
            <w:pPr>
              <w:pStyle w:val="52"/>
              <w:keepNext w:val="0"/>
              <w:keepLines w:val="0"/>
              <w:pageBreakBefore w:val="0"/>
              <w:widowControl w:val="0"/>
              <w:kinsoku/>
              <w:wordWrap/>
              <w:overflowPunct/>
              <w:topLinePunct w:val="0"/>
              <w:autoSpaceDE/>
              <w:autoSpaceDN/>
              <w:bidi w:val="0"/>
              <w:adjustRightInd/>
              <w:snapToGrid/>
              <w:spacing w:before="157" w:beforeLines="50"/>
              <w:textAlignment w:val="auto"/>
              <w:rPr>
                <w:rFonts w:cs="Times New Roman"/>
                <w:color w:val="auto"/>
                <w:sz w:val="22"/>
                <w:highlight w:val="none"/>
              </w:rPr>
            </w:pPr>
            <w:r>
              <w:rPr>
                <w:rFonts w:cs="Times New Roman"/>
                <w:color w:val="auto"/>
                <w:highlight w:val="none"/>
              </w:rPr>
              <w:t>图2-</w:t>
            </w:r>
            <w:r>
              <w:rPr>
                <w:rFonts w:hint="eastAsia" w:cs="Times New Roman"/>
                <w:color w:val="auto"/>
                <w:highlight w:val="none"/>
                <w:lang w:val="en-US" w:eastAsia="zh-CN"/>
              </w:rPr>
              <w:t>6</w:t>
            </w:r>
            <w:r>
              <w:rPr>
                <w:rFonts w:cs="Times New Roman"/>
                <w:color w:val="auto"/>
                <w:highlight w:val="none"/>
              </w:rPr>
              <w:t xml:space="preserve"> </w:t>
            </w:r>
            <w:r>
              <w:rPr>
                <w:rFonts w:hint="eastAsia" w:cs="Times New Roman"/>
                <w:b/>
                <w:bCs/>
                <w:color w:val="auto"/>
                <w:highlight w:val="none"/>
                <w:lang w:val="en-US" w:eastAsia="zh-CN"/>
              </w:rPr>
              <w:t>机制骨料生产线</w:t>
            </w:r>
            <w:r>
              <w:rPr>
                <w:rFonts w:cs="Times New Roman"/>
                <w:color w:val="auto"/>
                <w:highlight w:val="none"/>
              </w:rPr>
              <w:t>工艺流程</w:t>
            </w:r>
            <w:r>
              <w:rPr>
                <w:rFonts w:hint="eastAsia" w:cs="Times New Roman"/>
                <w:color w:val="auto"/>
                <w:highlight w:val="none"/>
                <w:lang w:val="en-US" w:eastAsia="zh-CN"/>
              </w:rPr>
              <w:t>及产污节点</w:t>
            </w:r>
            <w:r>
              <w:rPr>
                <w:rFonts w:cs="Times New Roman"/>
                <w:color w:val="auto"/>
                <w:highlight w:val="none"/>
              </w:rPr>
              <w:t>图</w:t>
            </w:r>
          </w:p>
          <w:p w14:paraId="6F5365CA">
            <w:pPr>
              <w:numPr>
                <w:ilvl w:val="0"/>
                <w:numId w:val="3"/>
              </w:numPr>
              <w:ind w:firstLine="482" w:firstLineChars="200"/>
              <w:rPr>
                <w:rFonts w:cs="Times New Roman"/>
                <w:b/>
                <w:bCs/>
                <w:color w:val="auto"/>
                <w:highlight w:val="none"/>
              </w:rPr>
            </w:pPr>
            <w:r>
              <w:rPr>
                <w:rFonts w:cs="Times New Roman"/>
                <w:b/>
                <w:bCs/>
                <w:color w:val="auto"/>
                <w:highlight w:val="none"/>
              </w:rPr>
              <w:t>水稳材料工艺流程和产污分析</w:t>
            </w:r>
          </w:p>
          <w:p w14:paraId="34C6FDE1">
            <w:pPr>
              <w:pStyle w:val="3"/>
              <w:numPr>
                <w:ilvl w:val="0"/>
                <w:numId w:val="0"/>
              </w:numPr>
              <w:rPr>
                <w:color w:val="auto"/>
                <w:highlight w:val="none"/>
              </w:rPr>
            </w:pPr>
            <w:r>
              <w:rPr>
                <w:color w:val="auto"/>
                <w:sz w:val="21"/>
                <w:highlight w:val="none"/>
              </w:rPr>
              <mc:AlternateContent>
                <mc:Choice Requires="wpg">
                  <w:drawing>
                    <wp:anchor distT="0" distB="0" distL="114300" distR="114300" simplePos="0" relativeHeight="251663360" behindDoc="0" locked="0" layoutInCell="1" allowOverlap="1">
                      <wp:simplePos x="0" y="0"/>
                      <wp:positionH relativeFrom="column">
                        <wp:posOffset>38100</wp:posOffset>
                      </wp:positionH>
                      <wp:positionV relativeFrom="paragraph">
                        <wp:posOffset>3810</wp:posOffset>
                      </wp:positionV>
                      <wp:extent cx="5455285" cy="1699260"/>
                      <wp:effectExtent l="0" t="4445" r="0" b="10795"/>
                      <wp:wrapNone/>
                      <wp:docPr id="133" name="组合 133"/>
                      <wp:cNvGraphicFramePr/>
                      <a:graphic xmlns:a="http://schemas.openxmlformats.org/drawingml/2006/main">
                        <a:graphicData uri="http://schemas.microsoft.com/office/word/2010/wordprocessingGroup">
                          <wpg:wgp>
                            <wpg:cNvGrpSpPr/>
                            <wpg:grpSpPr>
                              <a:xfrm>
                                <a:off x="0" y="0"/>
                                <a:ext cx="5455285" cy="1699260"/>
                                <a:chOff x="6213" y="413663"/>
                                <a:chExt cx="8591" cy="2676"/>
                              </a:xfrm>
                            </wpg:grpSpPr>
                            <wps:wsp>
                              <wps:cNvPr id="81" name="文本框 67"/>
                              <wps:cNvSpPr txBox="1"/>
                              <wps:spPr>
                                <a:xfrm>
                                  <a:off x="9249" y="413670"/>
                                  <a:ext cx="801" cy="340"/>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56E3EFA9">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16"/>
                                        <w:szCs w:val="16"/>
                                        <w:lang w:val="en-US" w:eastAsia="zh-CN"/>
                                      </w:rPr>
                                    </w:pPr>
                                    <w:r>
                                      <w:rPr>
                                        <w:rFonts w:hint="eastAsia" w:eastAsia="宋体" w:cs="Times New Roman"/>
                                        <w:color w:val="auto"/>
                                        <w:kern w:val="0"/>
                                        <w:sz w:val="16"/>
                                        <w:szCs w:val="16"/>
                                        <w:highlight w:val="none"/>
                                        <w:lang w:val="en-US" w:eastAsia="zh-CN" w:bidi="ar"/>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直接箭头连接符 56"/>
                              <wps:cNvCnPr/>
                              <wps:spPr>
                                <a:xfrm flipV="1">
                                  <a:off x="6905" y="414843"/>
                                  <a:ext cx="340"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4" name="直接箭头连接符 58"/>
                              <wps:cNvCnPr/>
                              <wps:spPr>
                                <a:xfrm flipV="1">
                                  <a:off x="7980" y="414847"/>
                                  <a:ext cx="107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1" name="文本框 74"/>
                              <wps:cNvSpPr txBox="1"/>
                              <wps:spPr>
                                <a:xfrm>
                                  <a:off x="11195" y="413675"/>
                                  <a:ext cx="1020" cy="340"/>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0C245F5F">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直接箭头连接符 76"/>
                              <wps:cNvCnPr/>
                              <wps:spPr>
                                <a:xfrm flipH="1" flipV="1">
                                  <a:off x="9647" y="414006"/>
                                  <a:ext cx="1" cy="454"/>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05" name="直接箭头连接符 78"/>
                              <wps:cNvCnPr/>
                              <wps:spPr>
                                <a:xfrm flipH="1" flipV="1">
                                  <a:off x="11698" y="414044"/>
                                  <a:ext cx="1" cy="680"/>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13" name="直接箭头连接符 59"/>
                              <wps:cNvCnPr/>
                              <wps:spPr>
                                <a:xfrm flipV="1">
                                  <a:off x="9813" y="414832"/>
                                  <a:ext cx="1644"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1" name="文本框 65"/>
                              <wps:cNvSpPr txBox="1"/>
                              <wps:spPr>
                                <a:xfrm>
                                  <a:off x="8547" y="415831"/>
                                  <a:ext cx="933"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0E5C7FE">
                                    <w:pPr>
                                      <w:rPr>
                                        <w:rFonts w:hint="default"/>
                                        <w:lang w:val="en-US" w:eastAsia="zh-CN"/>
                                      </w:rPr>
                                    </w:pPr>
                                    <w:r>
                                      <w:rPr>
                                        <w:rFonts w:hint="eastAsia" w:eastAsia="宋体" w:cs="Times New Roman"/>
                                        <w:color w:val="auto"/>
                                        <w:kern w:val="0"/>
                                        <w:sz w:val="20"/>
                                        <w:szCs w:val="20"/>
                                        <w:highlight w:val="none"/>
                                        <w:lang w:val="en-US" w:eastAsia="zh-CN" w:bidi="ar"/>
                                      </w:rPr>
                                      <w:t>水泵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文本框 51"/>
                              <wps:cNvSpPr txBox="1"/>
                              <wps:spPr>
                                <a:xfrm>
                                  <a:off x="7229" y="414642"/>
                                  <a:ext cx="737"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092FCBA">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水泥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54"/>
                              <wps:cNvSpPr txBox="1"/>
                              <wps:spPr>
                                <a:xfrm>
                                  <a:off x="11466" y="414722"/>
                                  <a:ext cx="499" cy="1520"/>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5E6EAB2">
                                    <w:pPr>
                                      <w:keepNext w:val="0"/>
                                      <w:keepLines w:val="0"/>
                                      <w:pageBreakBefore w:val="0"/>
                                      <w:widowControl w:val="0"/>
                                      <w:kinsoku/>
                                      <w:wordWrap/>
                                      <w:overflowPunct/>
                                      <w:topLinePunct w:val="0"/>
                                      <w:bidi w:val="0"/>
                                      <w:adjustRightInd/>
                                      <w:snapToGrid/>
                                      <w:spacing w:before="0" w:beforeLines="50"/>
                                      <w:jc w:val="center"/>
                                      <w:textAlignment w:val="auto"/>
                                      <w:rPr>
                                        <w:rFonts w:hint="default"/>
                                        <w:sz w:val="22"/>
                                        <w:szCs w:val="21"/>
                                        <w:lang w:val="en-US" w:eastAsia="zh-CN"/>
                                      </w:rPr>
                                    </w:pPr>
                                    <w:r>
                                      <w:rPr>
                                        <w:rFonts w:hint="eastAsia" w:eastAsia="宋体" w:cs="Times New Roman"/>
                                        <w:color w:val="auto"/>
                                        <w:kern w:val="0"/>
                                        <w:sz w:val="20"/>
                                        <w:szCs w:val="20"/>
                                        <w:highlight w:val="none"/>
                                        <w:lang w:val="en-US" w:eastAsia="zh-CN" w:bidi="ar"/>
                                      </w:rPr>
                                      <w:t>搅拌机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53"/>
                              <wps:cNvSpPr txBox="1"/>
                              <wps:spPr>
                                <a:xfrm>
                                  <a:off x="9083" y="414641"/>
                                  <a:ext cx="737"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A31DE7F">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筒仓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55"/>
                              <wps:cNvSpPr txBox="1"/>
                              <wps:spPr>
                                <a:xfrm>
                                  <a:off x="9054" y="415329"/>
                                  <a:ext cx="1304"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ABFB01A">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骨料堆放区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直接箭头连接符 57"/>
                              <wps:cNvCnPr/>
                              <wps:spPr>
                                <a:xfrm flipV="1">
                                  <a:off x="6921" y="415545"/>
                                  <a:ext cx="340"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2" name="直接箭头连接符 60"/>
                              <wps:cNvCnPr/>
                              <wps:spPr>
                                <a:xfrm flipV="1">
                                  <a:off x="10362" y="415514"/>
                                  <a:ext cx="107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3" name="直接箭头连接符 59"/>
                              <wps:cNvCnPr/>
                              <wps:spPr>
                                <a:xfrm flipV="1">
                                  <a:off x="13360" y="415532"/>
                                  <a:ext cx="397"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5" name="文本框 61"/>
                              <wps:cNvSpPr txBox="1"/>
                              <wps:spPr>
                                <a:xfrm>
                                  <a:off x="12440" y="415344"/>
                                  <a:ext cx="907"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EC6D97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出料口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63"/>
                              <wps:cNvSpPr txBox="1"/>
                              <wps:spPr>
                                <a:xfrm>
                                  <a:off x="6213" y="414609"/>
                                  <a:ext cx="825"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1706885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外购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51"/>
                              <wps:cNvSpPr txBox="1"/>
                              <wps:spPr>
                                <a:xfrm>
                                  <a:off x="7278" y="415943"/>
                                  <a:ext cx="624"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78F06E7">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2" name="文本框 65"/>
                              <wps:cNvSpPr txBox="1"/>
                              <wps:spPr>
                                <a:xfrm>
                                  <a:off x="7854" y="414517"/>
                                  <a:ext cx="11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01D614C5">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气力输送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文本框 65"/>
                              <wps:cNvSpPr txBox="1"/>
                              <wps:spPr>
                                <a:xfrm>
                                  <a:off x="10254" y="414495"/>
                                  <a:ext cx="11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29146C0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螺旋输送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 name="文本框 65"/>
                              <wps:cNvSpPr txBox="1"/>
                              <wps:spPr>
                                <a:xfrm>
                                  <a:off x="10262" y="414758"/>
                                  <a:ext cx="11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27426298">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密闭输送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直接箭头连接符 59"/>
                              <wps:cNvCnPr/>
                              <wps:spPr>
                                <a:xfrm flipV="1">
                                  <a:off x="7902" y="416154"/>
                                  <a:ext cx="3572"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17" name="文本框 65"/>
                              <wps:cNvSpPr txBox="1"/>
                              <wps:spPr>
                                <a:xfrm>
                                  <a:off x="10329" y="415177"/>
                                  <a:ext cx="933"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4C60883D">
                                    <w:pPr>
                                      <w:rPr>
                                        <w:rFonts w:hint="default"/>
                                        <w:lang w:val="en-US" w:eastAsia="zh-CN"/>
                                      </w:rPr>
                                    </w:pPr>
                                    <w:r>
                                      <w:rPr>
                                        <w:rFonts w:hint="eastAsia" w:eastAsia="宋体" w:cs="Times New Roman"/>
                                        <w:color w:val="auto"/>
                                        <w:kern w:val="0"/>
                                        <w:sz w:val="20"/>
                                        <w:szCs w:val="20"/>
                                        <w:highlight w:val="none"/>
                                        <w:lang w:val="en-US" w:eastAsia="zh-CN" w:bidi="ar"/>
                                      </w:rPr>
                                      <w:t>装载机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文本框 65"/>
                              <wps:cNvSpPr txBox="1"/>
                              <wps:spPr>
                                <a:xfrm>
                                  <a:off x="10298" y="415492"/>
                                  <a:ext cx="130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13DD4C9A">
                                    <w:pPr>
                                      <w:rPr>
                                        <w:rFonts w:hint="default"/>
                                        <w:lang w:val="en-US" w:eastAsia="zh-CN"/>
                                      </w:rPr>
                                    </w:pPr>
                                    <w:r>
                                      <w:rPr>
                                        <w:rFonts w:hint="eastAsia" w:eastAsia="宋体" w:cs="Times New Roman"/>
                                        <w:color w:val="auto"/>
                                        <w:kern w:val="0"/>
                                        <w:sz w:val="20"/>
                                        <w:szCs w:val="20"/>
                                        <w:highlight w:val="none"/>
                                        <w:lang w:val="en-US" w:eastAsia="zh-CN" w:bidi="ar"/>
                                      </w:rPr>
                                      <w:t>提升跑道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 name="直接箭头连接符 60"/>
                              <wps:cNvCnPr/>
                              <wps:spPr>
                                <a:xfrm flipV="1">
                                  <a:off x="11995" y="415522"/>
                                  <a:ext cx="454"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3" name="文本框 63"/>
                              <wps:cNvSpPr txBox="1"/>
                              <wps:spPr>
                                <a:xfrm>
                                  <a:off x="13614" y="415319"/>
                                  <a:ext cx="11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6B4A9568">
                                    <w:pPr>
                                      <w:keepNext w:val="0"/>
                                      <w:keepLines w:val="0"/>
                                      <w:pageBreakBefore w:val="0"/>
                                      <w:widowControl w:val="0"/>
                                      <w:kinsoku/>
                                      <w:wordWrap/>
                                      <w:overflowPunct/>
                                      <w:topLinePunct w:val="0"/>
                                      <w:bidi w:val="0"/>
                                      <w:adjustRightInd/>
                                      <w:snapToGrid/>
                                      <w:spacing w:line="240" w:lineRule="auto"/>
                                      <w:jc w:val="both"/>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运输出厂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 name="文本框 55"/>
                              <wps:cNvSpPr txBox="1"/>
                              <wps:spPr>
                                <a:xfrm>
                                  <a:off x="7234" y="415337"/>
                                  <a:ext cx="1134" cy="397"/>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8347301">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再生骨料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7" name="直接箭头连接符 59"/>
                              <wps:cNvCnPr/>
                              <wps:spPr>
                                <a:xfrm flipV="1">
                                  <a:off x="8386" y="415534"/>
                                  <a:ext cx="680" cy="1"/>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8" name="矩形 128"/>
                              <wps:cNvSpPr/>
                              <wps:spPr>
                                <a:xfrm>
                                  <a:off x="8985" y="414450"/>
                                  <a:ext cx="1431" cy="1392"/>
                                </a:xfrm>
                                <a:prstGeom prst="rect">
                                  <a:avLst/>
                                </a:prstGeom>
                                <a:noFill/>
                                <a:ln w="3175">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1" name="文本框 67"/>
                              <wps:cNvSpPr txBox="1"/>
                              <wps:spPr>
                                <a:xfrm>
                                  <a:off x="8035" y="413663"/>
                                  <a:ext cx="801" cy="340"/>
                                </a:xfrm>
                                <a:prstGeom prst="rect">
                                  <a:avLst/>
                                </a:prstGeom>
                                <a:solidFill>
                                  <a:srgbClr val="000000">
                                    <a:alpha val="0"/>
                                  </a:srgbClr>
                                </a:solidFill>
                                <a:ln w="6350">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1227418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16"/>
                                        <w:szCs w:val="16"/>
                                        <w:lang w:val="en-US" w:eastAsia="zh-CN"/>
                                      </w:rPr>
                                    </w:pPr>
                                    <w:r>
                                      <w:rPr>
                                        <w:rFonts w:hint="eastAsia" w:eastAsia="宋体" w:cs="Times New Roman"/>
                                        <w:color w:val="auto"/>
                                        <w:kern w:val="0"/>
                                        <w:sz w:val="16"/>
                                        <w:szCs w:val="16"/>
                                        <w:highlight w:val="none"/>
                                        <w:lang w:val="en-US" w:eastAsia="zh-CN" w:bidi="ar"/>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 name="直接箭头连接符 76"/>
                              <wps:cNvCnPr/>
                              <wps:spPr>
                                <a:xfrm flipH="1" flipV="1">
                                  <a:off x="8433" y="413999"/>
                                  <a:ext cx="1" cy="454"/>
                                </a:xfrm>
                                <a:prstGeom prst="straightConnector1">
                                  <a:avLst/>
                                </a:prstGeom>
                                <a:ln w="6350">
                                  <a:solidFill>
                                    <a:schemeClr val="tx1"/>
                                  </a:solidFill>
                                  <a:prstDash val="sysDash"/>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03" name="矩形 203"/>
                              <wps:cNvSpPr/>
                              <wps:spPr>
                                <a:xfrm>
                                  <a:off x="8014" y="414459"/>
                                  <a:ext cx="923" cy="758"/>
                                </a:xfrm>
                                <a:prstGeom prst="rect">
                                  <a:avLst/>
                                </a:prstGeom>
                                <a:noFill/>
                                <a:ln w="3175">
                                  <a:solidFill>
                                    <a:schemeClr val="tx1"/>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4" name="文本框 65"/>
                              <wps:cNvSpPr txBox="1"/>
                              <wps:spPr>
                                <a:xfrm>
                                  <a:off x="7865" y="414771"/>
                                  <a:ext cx="1191" cy="397"/>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2550496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罐车运输</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pt;margin-top:0.3pt;height:133.8pt;width:429.55pt;z-index:251663360;mso-width-relative:page;mso-height-relative:page;" coordorigin="6213,413663" coordsize="8591,2676" o:gfxdata="UEsDBAoAAAAAAIdO4kAAAAAAAAAAAAAAAAAEAAAAZHJzL1BLAwQUAAAACACHTuJAXcWLk9cAAAAG&#10;AQAADwAAAGRycy9kb3ducmV2LnhtbE2PwWrDMBBE74X+g9hAb40slxjjWg4htD2FQpNC6U2xNraJ&#10;tTKWYid/3+2pPS3DDDNvy/XV9WLCMXSeNKhlAgKp9rajRsPn4fUxBxGiIWt6T6jhhgHW1f1daQrr&#10;Z/rAaR8bwSUUCqOhjXEopAx1i86EpR+Q2Dv50ZnIcmykHc3M5a6XaZJk0pmOeKE1A25brM/7i9Pw&#10;Npt586Rept35tL19H1bvXzuFWj8sVPIMIuI1/oXhF5/RoWKmo7+QDaLXkPEnkQ8INvNspUAcNaRZ&#10;noKsSvkfv/oBUEsDBBQAAAAIAIdO4kDpR7R2HggAAFRaAAAOAAAAZHJzL2Uyb0RvYy54bWztXM1v&#10;3EQUvyPxP1i+0/X426tuqpC0BamilcrHeeL17lry2mbsZBPOCDghTlxAIBAgIRVOvSHEX9OEP4P3&#10;Zsb2ruOUxGnSOJ0eUn/teOb5977fvLv3DpeJdhCxIs7SiU7uGLoWpWE2jdP5RP/owwfv+LpWlDSd&#10;0iRLo4l+FBX6va2337q7yseRmS2yZBoxDQZJi/Eqn+iLsszHo1ERLqIlLe5keZTCzVnGlrSEUzYf&#10;TRldwejLZGQahjtaZWyasyyMigKu7oqbuhyRnWfAbDaLw2g3C/eXUVqKUVmU0BKWVCzivNC3+Gxn&#10;sygsH89mRVRqyUSHlZb8L7wEjvfw72jrLh3PGc0XcSinQM8zhdaaljRO4aX1ULu0pNo+i08NtYxD&#10;lhXZrLwTZsuRWAinCKyCGC3aPGTZfs7XMh+v5nlNdPhQLar3Hjb84OAJ0+IpIMGydC2lS/jkJ399&#10;/uKbrzS8AvRZ5fMxPPaQ5U/zJ0xemIszXPLhjC3xf1iMdsgpe1RTNjostRAuOrbjmL6jayHcI24Q&#10;mK6kfbiAD4S/c00CE4DbNrFcl7+ZjsPFfTmC7wRE/Nx0PRfnNapePcIZ1hNa5YDLoiFWcTliPV3Q&#10;POLfoEAqSGL5MBdBq+Nvvzz+/tnxT19orieoxZ9DUmnl4bsZrIxU1wu42EGxwLSDeuWepEtFOd+Q&#10;y7ZsfqdeNR3nrCgfRtlSw4OJzgDsHIP04FFRCgJVj+BbiyyJpw/iJOEnbL63kzDtgCJj8H/it0m+&#10;oPKqJHIhHuUE3xgjSbUVfDfLMfhPN+7JH22ML6a08RjOb5cWC/FccVTgiXxvksIr8WsKsuFRebh3&#10;yAFYjPey6RGQmGWCpYs8fBDDYI9oUT6hDHgYOBykXPkY/sySDCaaySNdW2Tss67r+DygBe7q2gpk&#10;wkQvPt2nLNK15P0UcBQQGz6CVvIT2/FMOGHrd/bW76T7y50MqAvfD2bHD/H5MqkOZyxbfgLCcBvf&#10;CrdoGsK7J3pZHe6UQlKBMA2j7W3+EIiNnJaP0qd5iEPjt0yz7f0ym8X8myOZBG0k9YAXkIevgSkC&#10;WIMUIN89P/7615M//3jxy/N///kBj5/9pjmcbXEqwEg7qZQl1fcV3KzNkjj/uFqZFCluYIDo4KLB&#10;9m0pGioGQb4QYkXippJHFfYlexQlo/F8Ue5kaQqckjFBvDOYJc2QUwBrdLwGcy1EUMxA08Arl/kU&#10;AJLO4Wslc1ClYcleFR8gp+Jq6HgR0en9dKqVRzkI5hQ0srhe0jhprpcspuk8AaACzpfRFAAbwYzw&#10;SDBdBy8JkOBtCY7rQon9Pyjxcc49UOIFPiChQgkXxnRcoYQYnqdgMiCYENR7bRXr2WvYuIiKJYQE&#10;lQixXM8RTNSAAyU5miZKySoli1C4uUqWGI2Z3qllhXF8Dvn5HjdNuvRt4NogLIUkBY+txSyCU2yH&#10;8+LZ5uiQ9G1jd95GjUvQenqZYeadV+WeDRkCTh0EDiRmbI6NNe0rMOOCghb2yC2w0W45ZtAZfxlm&#10;nGBNFV/EmA/82s+3fctsCRcXoKOs+eFY88TsMNNcbl9JFXQRM813asXj+BaPmzRCJMAAFTfSAm7c&#10;n616XnckpHYeYYodnpeKYtxkA8t3K8HXhPacOoQHkYuLANozzSq0Z7t2S9h5lnRJrZsO6I2Y3blC&#10;ewr5EMobWPzOBzi2PW5h5fcQ5YTYLnCSMAiBDTb1vB0AW/BcgAOu90ttwtctzBX234TYtQ/Oyyns&#10;y/TXxRM6hl+lskDqt8wYJfVV1uYmZW18kMSnkN/XgIdEDfhvXOg7Fpg+INkbA55YhnTulMGDKUGV&#10;sETFj7bF60pY1r7rSWco1VnP6F8kxuEG6BYLNoDSh002UAlLSHEPKBMVmJWA7EaJqGQ5R8C9ndaG&#10;UL4LY0uYkHbMVGUsB4aTq4qYEssCjFU4aYdMUZeqiOlwIqaYh27bW27f+BIxeUWSNLjaaZfAUAEm&#10;VSB2gwrEOgJMotKzR4BprV7Udo2Wq+GbwGUqV6AqHuua6SspAyYE9HJbmF8iWQCJeKnmg3aZo2sq&#10;31nJ8psjywmp3aImT9Y78etB5ldC33ZIu3aTVKX/Nz5upDK/A65fh5TVaWneG9LEMBtM22D1b8ZC&#10;FabVnoxr2JNBSJe72Te8D5iuI1a25/CywbX4vsK0wvS1YLou0emOyPauTfQCowrIukSUPjTwtmDD&#10;l4q0DShwT8CQPOWdXUKfY0JTumcEdhNt6HNVnKhE33WIPtyo1A44XALSZl2079iQ59qANKTrIYmp&#10;gmgqiHbFQTQoDpSY7lbn/ROsJKh3/UH/gRa+cQeTSpwNJ3FGzDrBuhZx6lujB00m0N2XmTPSyh/A&#10;dlEl+1TLhCvvI0LM2pVpMO30dc8902ogDZsLNtU5wZuDUOeq5PpNKLkmZu2edev93m68b+EmHllX&#10;Bajf4APchKrU/pDUfl2af/Lj7y/+/lkj5vp+ZdyOBR8YKwiK7v5KfoCdpzgcbBuaFW3Agdiwz1Dg&#10;wRIeUP99hXX2p2oaYxFoNXFdTWNgQ3JW4uK6917d4oZJ2HlHdk8a2JYraPpW+T6N/u/dSMw3rAro&#10;TQu1qsmJaiSmGokNpJGYiVF4EeXqtgxeQY8T6CNW7dGyAtiNuKkUhEZQPU4G01XMXGuLI6wEvCLt&#10;ArlpW56dZSUYdTwArIQWIAKMPaDvJJOeykYYWlPFIdsI4Le/spi/50O6QBrDntfam6rCXm98p1De&#10;TBeaDXM3QjZGxm7G6+d8117TDHr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F3Fi5PXAAAABgEA&#10;AA8AAAAAAAAAAQAgAAAAIgAAAGRycy9kb3ducmV2LnhtbFBLAQIUABQAAAAIAIdO4kDpR7R2HggA&#10;AFRaAAAOAAAAAAAAAAEAIAAAACYBAABkcnMvZTJvRG9jLnhtbFBLBQYAAAAABgAGAFkBAAC2CwAA&#10;AAA=&#10;">
                      <o:lock v:ext="edit" aspectratio="f"/>
                      <v:shape id="文本框 67" o:spid="_x0000_s1026" o:spt="202" type="#_x0000_t202" style="position:absolute;left:9249;top:413670;height:340;width:801;" fillcolor="#000000" filled="t" stroked="t" coordsize="21600,21600" o:gfxdata="UEsDBAoAAAAAAIdO4kAAAAAAAAAAAAAAAAAEAAAAZHJzL1BLAwQUAAAACACHTuJAZVWT/LwAAADb&#10;AAAADwAAAGRycy9kb3ducmV2LnhtbEWPwWrDMBBE74H+g9hAL6GRHahxnCg5FAo9GeyWnBdraxlZ&#10;K2OpiZuvrwqFHoeZecMcz4sbxZXmMHhWkG8zEMSd1wP3Cj7eX59KECEiaxw9k4JvCnA+PayOWGl/&#10;44aubexFgnCoUIGJcaqkDJ0hh2HrJ+LkffrZYUxy7qWe8ZbgbpS7LCukw4HTgsGJXgx1tv1yCur6&#10;YjfPuC/vvpmcHY1tCmuVelzn2QFEpCX+h//ab1pBmcPvl/QD5O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Vk/y8AAAA&#10;2wAAAA8AAAAAAAAAAQAgAAAAIgAAAGRycy9kb3ducmV2LnhtbFBLAQIUABQAAAAIAIdO4kAzLwWe&#10;OwAAADkAAAAQAAAAAAAAAAEAIAAAAAsBAABkcnMvc2hhcGV4bWwueG1sUEsFBgAAAAAGAAYAWwEA&#10;ALUDAAAAAA==&#10;">
                        <v:fill on="t" opacity="0f" focussize="0,0"/>
                        <v:stroke weight="0.5pt" color="#000000 [3213]" joinstyle="round" dashstyle="3 1"/>
                        <v:imagedata o:title=""/>
                        <o:lock v:ext="edit" aspectratio="f"/>
                        <v:textbox>
                          <w:txbxContent>
                            <w:p w14:paraId="56E3EFA9">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16"/>
                                  <w:szCs w:val="16"/>
                                  <w:lang w:val="en-US" w:eastAsia="zh-CN"/>
                                </w:rPr>
                              </w:pPr>
                              <w:r>
                                <w:rPr>
                                  <w:rFonts w:hint="eastAsia" w:eastAsia="宋体" w:cs="Times New Roman"/>
                                  <w:color w:val="auto"/>
                                  <w:kern w:val="0"/>
                                  <w:sz w:val="16"/>
                                  <w:szCs w:val="16"/>
                                  <w:highlight w:val="none"/>
                                  <w:lang w:val="en-US" w:eastAsia="zh-CN" w:bidi="ar"/>
                                </w:rPr>
                                <w:t>废气</w:t>
                              </w:r>
                            </w:p>
                          </w:txbxContent>
                        </v:textbox>
                      </v:shape>
                      <v:shape id="直接箭头连接符 56" o:spid="_x0000_s1026" o:spt="32" type="#_x0000_t32" style="position:absolute;left:6905;top:414843;flip:y;height:1;width:340;" filled="f" stroked="t" coordsize="21600,21600" o:gfxdata="UEsDBAoAAAAAAIdO4kAAAAAAAAAAAAAAAAAEAAAAZHJzL1BLAwQUAAAACACHTuJAK6xDbrkAAADb&#10;AAAADwAAAGRycy9kb3ducmV2LnhtbEVPy4rCMBTdC/MP4Q7MThMVfNSmMg4WdCU+cH1prm2Z5qY2&#10;GXX+3iwEl4fzTpcP24gbdb52rGE4UCCIC2dqLjWcjnl/BsIHZIONY9LwTx6W2UcvxcS4O+/pdgil&#10;iCHsE9RQhdAmUvqiIot+4FriyF1cZzFE2JXSdHiP4baRI6Um0mLNsaHCln4qKn4Pf1bDeEST1ZV2&#10;57WyUm3tNP/eNrnWX59DtQAR6BHe4pd7YzTM4/r4Jf4AmT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sQ265AAAA2wAA&#10;AA8AAAAAAAAAAQAgAAAAIgAAAGRycy9kb3ducmV2LnhtbFBLAQIUABQAAAAIAIdO4kAzLwWeOwAA&#10;ADkAAAAQAAAAAAAAAAEAIAAAAAgBAABkcnMvc2hhcGV4bWwueG1sUEsFBgAAAAAGAAYAWwEAALID&#10;AAAAAA==&#10;">
                        <v:fill on="f" focussize="0,0"/>
                        <v:stroke weight="0.5pt" color="#000000 [3213]" joinstyle="round" endarrow="block"/>
                        <v:imagedata o:title=""/>
                        <o:lock v:ext="edit" aspectratio="f"/>
                      </v:shape>
                      <v:shape id="直接箭头连接符 58" o:spid="_x0000_s1026" o:spt="32" type="#_x0000_t32" style="position:absolute;left:7980;top:414847;flip:y;height:1;width:1077;" filled="f" stroked="t" coordsize="21600,21600" o:gfxdata="UEsDBAoAAAAAAIdO4kAAAAAAAAAAAAAAAAAEAAAAZHJzL1BLAwQUAAAACACHTuJAVJdFbbwAAADb&#10;AAAADwAAAGRycy9kb3ducmV2LnhtbEWPSYsCMRSE78L8h/AGvGnigktrlFFsGE/igudH59ndTOel&#10;7cRl/v1kQPBYVNVX1Hz5tJW4U+NLxxp6XQWCOHOm5FzD6Zh2JiB8QDZYOSYNv+RhufhozTEx7sF7&#10;uh9CLiKEfYIaihDqREqfFWTRd11NHL2LayyGKJtcmgYfEW4r2VdqJC2WHBcKrGldUPZzuFkNgz6N&#10;VlfanTfKSrW14/RrW6Vatz97agYi0DO8w6/2t9EwHcL/l/g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XRW28AAAA&#10;2wAAAA8AAAAAAAAAAQAgAAAAIgAAAGRycy9kb3ducmV2LnhtbFBLAQIUABQAAAAIAIdO4kAzLwWe&#10;OwAAADkAAAAQAAAAAAAAAAEAIAAAAAsBAABkcnMvc2hhcGV4bWwueG1sUEsFBgAAAAAGAAYAWwEA&#10;ALUDAAAAAA==&#10;">
                        <v:fill on="f" focussize="0,0"/>
                        <v:stroke weight="0.5pt" color="#000000 [3213]" joinstyle="round" endarrow="block"/>
                        <v:imagedata o:title=""/>
                        <o:lock v:ext="edit" aspectratio="f"/>
                      </v:shape>
                      <v:shape id="文本框 74" o:spid="_x0000_s1026" o:spt="202" type="#_x0000_t202" style="position:absolute;left:11195;top:413675;height:340;width:1020;" fillcolor="#000000" filled="t" stroked="t" coordsize="21600,21600" o:gfxdata="UEsDBAoAAAAAAIdO4kAAAAAAAAAAAAAAAAAEAAAAZHJzL1BLAwQUAAAACACHTuJAm/R6V7oAAADc&#10;AAAADwAAAGRycy9kb3ducmV2LnhtbEVPTWsCMRC9F/ofwgheiiZbUNbV6KFQ6ElYFc/DZtws2UyW&#10;Taq2v94UCt7m8T5ns7v7XlxpjF1gDcVcgSBugum41XA6fs5KEDEhG+wDk4YfirDbvr5ssDLhxjVd&#10;D6kVOYRjhRpsSkMlZWwseYzzMBBn7hJGjynDsZVmxFsO9718V2opPXacGywO9GGpcYdvr2G/P7u3&#10;Ba7K31AP3vXW1UvntJ5OCrUGkeienuJ/95fJ81UBf8/kC+T2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9HpXugAAANwA&#10;AAAPAAAAAAAAAAEAIAAAACIAAABkcnMvZG93bnJldi54bWxQSwECFAAUAAAACACHTuJAMy8FnjsA&#10;AAA5AAAAEAAAAAAAAAABACAAAAAJAQAAZHJzL3NoYXBleG1sLnhtbFBLBQYAAAAABgAGAFsBAACz&#10;AwAAAAA=&#10;">
                        <v:fill on="t" opacity="0f" focussize="0,0"/>
                        <v:stroke weight="0.5pt" color="#000000 [3213]" joinstyle="round" dashstyle="3 1"/>
                        <v:imagedata o:title=""/>
                        <o:lock v:ext="edit" aspectratio="f"/>
                        <v:textbox>
                          <w:txbxContent>
                            <w:p w14:paraId="0C245F5F">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0"/>
                                  <w:szCs w:val="18"/>
                                  <w:lang w:val="en-US" w:eastAsia="zh-CN"/>
                                </w:rPr>
                              </w:pPr>
                              <w:r>
                                <w:rPr>
                                  <w:rFonts w:hint="eastAsia" w:eastAsia="宋体" w:cs="Times New Roman"/>
                                  <w:color w:val="auto"/>
                                  <w:kern w:val="0"/>
                                  <w:sz w:val="16"/>
                                  <w:szCs w:val="16"/>
                                  <w:highlight w:val="none"/>
                                  <w:lang w:val="en-US" w:eastAsia="zh-CN" w:bidi="ar"/>
                                </w:rPr>
                                <w:t>废气、噪声</w:t>
                              </w:r>
                            </w:p>
                          </w:txbxContent>
                        </v:textbox>
                      </v:shape>
                      <v:shape id="直接箭头连接符 76" o:spid="_x0000_s1026" o:spt="32" type="#_x0000_t32" style="position:absolute;left:9647;top:414006;flip:x y;height:454;width:1;" filled="f" stroked="t" coordsize="21600,21600" o:gfxdata="UEsDBAoAAAAAAIdO4kAAAAAAAAAAAAAAAAAEAAAAZHJzL1BLAwQUAAAACACHTuJAH27a6bkAAADc&#10;AAAADwAAAGRycy9kb3ducmV2LnhtbEVPS4vCMBC+C/6HMII3TVxLlWr0oCt4W3QXvY7N2BabSWni&#10;69+bBcHbfHzPmS8fthY3an3lWMNoqEAQ585UXGj4+90MpiB8QDZYOyYNT/KwXHQ7c8yMu/OObvtQ&#10;iBjCPkMNZQhNJqXPS7Loh64hjtzZtRZDhG0hTYv3GG5r+aVUKi1WHBtKbGhVUn7ZX62G5FyrE54m&#10;x4R/0t339eDTZO217vdGagYi0CN8xG/31sT5agz/z8QL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u2um5AAAA3AAA&#10;AA8AAAAAAAAAAQAgAAAAIgAAAGRycy9kb3ducmV2LnhtbFBLAQIUABQAAAAIAIdO4kAzLwWeOwAA&#10;ADkAAAAQAAAAAAAAAAEAIAAAAAgBAABkcnMvc2hhcGV4bWwueG1sUEsFBgAAAAAGAAYAWwEAALID&#10;AAAAAA==&#10;">
                        <v:fill on="f" focussize="0,0"/>
                        <v:stroke weight="0.5pt" color="#000000 [3213]" joinstyle="round" dashstyle="3 1" endarrow="block"/>
                        <v:imagedata o:title=""/>
                        <o:lock v:ext="edit" aspectratio="f"/>
                      </v:shape>
                      <v:shape id="直接箭头连接符 78" o:spid="_x0000_s1026" o:spt="32" type="#_x0000_t32" style="position:absolute;left:11698;top:414044;flip:x y;height:680;width:1;" filled="f" stroked="t" coordsize="21600,21600" o:gfxdata="UEsDBAoAAAAAAIdO4kAAAAAAAAAAAAAAAAAEAAAAZHJzL1BLAwQUAAAACACHTuJA/8vnBrsAAADc&#10;AAAADwAAAGRycy9kb3ducmV2LnhtbEVPS2vCQBC+F/wPywje6q4lxpK6etAK3oq22OuYHZPQ7GzI&#10;bh7++65Q6G0+vuest6OtRU+trxxrWMwVCOLcmYoLDV+fh+dXED4gG6wdk4Y7edhuJk9rzIwb+ET9&#10;ORQihrDPUEMZQpNJ6fOSLPq5a4gjd3OtxRBhW0jT4hDDbS1flEqlxYpjQ4kN7UrKf86d1ZDcanXF&#10;6+o74Y/09N5dfJrsvdaz6UK9gQg0hn/xn/to4ny1hMcz8QK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vnBrsAAADc&#10;AAAADwAAAAAAAAABACAAAAAiAAAAZHJzL2Rvd25yZXYueG1sUEsBAhQAFAAAAAgAh07iQDMvBZ47&#10;AAAAOQAAABAAAAAAAAAAAQAgAAAACgEAAGRycy9zaGFwZXhtbC54bWxQSwUGAAAAAAYABgBbAQAA&#10;tAMAAAAA&#10;">
                        <v:fill on="f" focussize="0,0"/>
                        <v:stroke weight="0.5pt" color="#000000 [3213]" joinstyle="round" dashstyle="3 1" endarrow="block"/>
                        <v:imagedata o:title=""/>
                        <o:lock v:ext="edit" aspectratio="f"/>
                      </v:shape>
                      <v:shape id="直接箭头连接符 59" o:spid="_x0000_s1026" o:spt="32" type="#_x0000_t32" style="position:absolute;left:9813;top:414832;flip:y;height:1;width:1644;" filled="f" stroked="t" coordsize="21600,21600" o:gfxdata="UEsDBAoAAAAAAIdO4kAAAAAAAAAAAAAAAAAEAAAAZHJzL1BLAwQUAAAACACHTuJAHDe4t7kAAADc&#10;AAAADwAAAGRycy9kb3ducmV2LnhtbEVPS4vCMBC+C/6HMII3Taqg0jWKLhb0JFbZ89DMtmWbSbeJ&#10;r39vhIW9zcf3nOX6YRtxo87XjjUkYwWCuHCm5lLD5ZyNFiB8QDbYOCYNT/KwXvV7S0yNu/OJbnko&#10;RQxhn6KGKoQ2ldIXFVn0Y9cSR+7bdRZDhF0pTYf3GG4bOVFqJi3WHBsqbOmzouInv1oN0wnNtr90&#10;/NopK9XBzrPNocm0Hg4S9QEi0CP8i//cexPnJ1N4PxMvkK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3uLe5AAAA3AAA&#10;AA8AAAAAAAAAAQAgAAAAIgAAAGRycy9kb3ducmV2LnhtbFBLAQIUABQAAAAIAIdO4kAzLwWeOwAA&#10;ADkAAAAQAAAAAAAAAAEAIAAAAAgBAABkcnMvc2hhcGV4bWwueG1sUEsFBgAAAAAGAAYAWwEAALID&#10;AAAAAA==&#10;">
                        <v:fill on="f" focussize="0,0"/>
                        <v:stroke weight="0.5pt" color="#000000 [3213]" joinstyle="round" endarrow="block"/>
                        <v:imagedata o:title=""/>
                        <o:lock v:ext="edit" aspectratio="f"/>
                      </v:shape>
                      <v:shape id="文本框 65" o:spid="_x0000_s1026" o:spt="202" type="#_x0000_t202" style="position:absolute;left:8547;top:415831;height:397;width:933;" fillcolor="#000000" filled="t" stroked="f" coordsize="21600,21600" o:gfxdata="UEsDBAoAAAAAAIdO4kAAAAAAAAAAAAAAAAAEAAAAZHJzL1BLAwQUAAAACACHTuJANlXpU7wAAADc&#10;AAAADwAAAGRycy9kb3ducmV2LnhtbEVPS27CMBDdI/UO1lRiB3YQqqKAYQGq2kUXJeEAQzyNo8bj&#10;NHYhzelxpUrdzdP7znY/uk5caQitZw3ZUoEgrr1pudFwrp4XOYgQkQ12nknDDwXY7x5mWyyMv/GJ&#10;rmVsRArhUKAGG2NfSBlqSw7D0vfEifvwg8OY4NBIM+AthbtOrpR6kg5bTg0WezpYqj/Lb6dhLSf1&#10;Hl8sXfJ6atrp7Xj5okrr+WOmNiAijfFf/Od+NWn+KoPfZ9IF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V6VO8AAAA&#10;3A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00E5C7FE">
                              <w:pPr>
                                <w:rPr>
                                  <w:rFonts w:hint="default"/>
                                  <w:lang w:val="en-US" w:eastAsia="zh-CN"/>
                                </w:rPr>
                              </w:pPr>
                              <w:r>
                                <w:rPr>
                                  <w:rFonts w:hint="eastAsia" w:eastAsia="宋体" w:cs="Times New Roman"/>
                                  <w:color w:val="auto"/>
                                  <w:kern w:val="0"/>
                                  <w:sz w:val="20"/>
                                  <w:szCs w:val="20"/>
                                  <w:highlight w:val="none"/>
                                  <w:lang w:val="en-US" w:eastAsia="zh-CN" w:bidi="ar"/>
                                </w:rPr>
                                <w:t>水泵</w:t>
                              </w:r>
                            </w:p>
                          </w:txbxContent>
                        </v:textbox>
                      </v:shape>
                      <v:shape id="文本框 51" o:spid="_x0000_s1026" o:spt="202" type="#_x0000_t202" style="position:absolute;left:7229;top:414642;height:397;width:737;" fillcolor="#000000" filled="t" stroked="t" coordsize="21600,21600" o:gfxdata="UEsDBAoAAAAAAIdO4kAAAAAAAAAAAAAAAAAEAAAAZHJzL1BLAwQUAAAACACHTuJAFXB727wAAADb&#10;AAAADwAAAGRycy9kb3ducmV2LnhtbEWPQYvCMBSE78L+h/AEL7Km9VCka9qDoAiedFfw+GiebTF5&#10;KUnW6r83wsIeh5n5hlnXD2vEnXzoHSvIFxkI4sbpnlsFP9/bzxWIEJE1Gsek4EkB6upjssZSu5GP&#10;dD/FViQIhxIVdDEOpZSh6chiWLiBOHlX5y3GJH0rtccxwa2RyywrpMWe00KHA206am6nX6vA7Irm&#10;fJzn/uKf7UHut+ZgdmelZtM8+wIR6RH/w3/tvVawKuD9Jf0AW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we9u8AAAA&#10;2w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6092FCBA">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水泥</w:t>
                              </w:r>
                            </w:p>
                          </w:txbxContent>
                        </v:textbox>
                      </v:shape>
                      <v:shape id="文本框 54" o:spid="_x0000_s1026" o:spt="202" type="#_x0000_t202" style="position:absolute;left:11466;top:414722;height:1520;width:499;" fillcolor="#000000" filled="t" stroked="t" coordsize="21600,21600" o:gfxdata="UEsDBAoAAAAAAIdO4kAAAAAAAAAAAAAAAAAEAAAAZHJzL1BLAwQUAAAACACHTuJAejzeQLoAAADb&#10;AAAADwAAAGRycy9kb3ducmV2LnhtbEWPS6vCMBSE9xf8D+EIbkTTulCpRheCIrjyBS4PzbEtJicl&#10;ia9/bwThLoeZ+YaZL1/WiAf50DhWkA8zEMSl0w1XCk7H9WAKIkRkjcYxKXhTgOWi8zfHQrsn7+lx&#10;iJVIEA4FKqhjbAspQ1mTxTB0LXHyrs5bjEn6SmqPzwS3Ro6ybCwtNpwWamxpVVN5O9ytArMZl+d9&#10;P/cX/652crs2O7M5K9Xr5tkMRKRX/A//2lutYDqB75f0A+Ti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PN5AugAAANsA&#10;AAAPAAAAAAAAAAEAIAAAACIAAABkcnMvZG93bnJldi54bWxQSwECFAAUAAAACACHTuJAMy8FnjsA&#10;AAA5AAAAEAAAAAAAAAABACAAAAAJAQAAZHJzL3NoYXBleG1sLnhtbFBLBQYAAAAABgAGAFsBAACz&#10;AwAAAAA=&#10;">
                        <v:fill on="t" opacity="0f" focussize="0,0"/>
                        <v:stroke weight="0.5pt" color="#000000 [3213]" joinstyle="round"/>
                        <v:imagedata o:title=""/>
                        <o:lock v:ext="edit" aspectratio="f"/>
                        <v:textbox>
                          <w:txbxContent>
                            <w:p w14:paraId="75E6EAB2">
                              <w:pPr>
                                <w:keepNext w:val="0"/>
                                <w:keepLines w:val="0"/>
                                <w:pageBreakBefore w:val="0"/>
                                <w:widowControl w:val="0"/>
                                <w:kinsoku/>
                                <w:wordWrap/>
                                <w:overflowPunct/>
                                <w:topLinePunct w:val="0"/>
                                <w:bidi w:val="0"/>
                                <w:adjustRightInd/>
                                <w:snapToGrid/>
                                <w:spacing w:before="0" w:beforeLines="50"/>
                                <w:jc w:val="center"/>
                                <w:textAlignment w:val="auto"/>
                                <w:rPr>
                                  <w:rFonts w:hint="default"/>
                                  <w:sz w:val="22"/>
                                  <w:szCs w:val="21"/>
                                  <w:lang w:val="en-US" w:eastAsia="zh-CN"/>
                                </w:rPr>
                              </w:pPr>
                              <w:r>
                                <w:rPr>
                                  <w:rFonts w:hint="eastAsia" w:eastAsia="宋体" w:cs="Times New Roman"/>
                                  <w:color w:val="auto"/>
                                  <w:kern w:val="0"/>
                                  <w:sz w:val="20"/>
                                  <w:szCs w:val="20"/>
                                  <w:highlight w:val="none"/>
                                  <w:lang w:val="en-US" w:eastAsia="zh-CN" w:bidi="ar"/>
                                </w:rPr>
                                <w:t>搅拌机</w:t>
                              </w:r>
                            </w:p>
                          </w:txbxContent>
                        </v:textbox>
                      </v:shape>
                      <v:shape id="文本框 53" o:spid="_x0000_s1026" o:spt="202" type="#_x0000_t202" style="position:absolute;left:9083;top:414641;height:397;width:737;" fillcolor="#000000" filled="t" stroked="t" coordsize="21600,21600" o:gfxdata="UEsDBAoAAAAAAIdO4kAAAAAAAAAAAAAAAAAEAAAAZHJzL1BLAwQUAAAACACHTuJAC6NKMrYAAADb&#10;AAAADwAAAGRycy9kb3ducmV2LnhtbEVPuwrCMBTdBf8hXMFFNK2DSDU6CIrg5AscL821LSY3JYlW&#10;/94MguPhvJfrtzXiRT40jhXkkwwEcel0w5WCy3k7noMIEVmjcUwKPhRgver3llho1/GRXqdYiRTC&#10;oUAFdYxtIWUoa7IYJq4lTtzdeYsxQV9J7bFL4dbIaZbNpMWGU0ONLW1qKh+np1VgdrPyehzl/uY/&#10;1UHut+ZgdlelhoM8W4CI9I5/8c+91wrmaWz6kn6AXH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ujSjK2AAAA2wAAAA8A&#10;AAAAAAAAAQAgAAAAIgAAAGRycy9kb3ducmV2LnhtbFBLAQIUABQAAAAIAIdO4kAzLwWeOwAAADkA&#10;AAAQAAAAAAAAAAEAIAAAAAUBAABkcnMvc2hhcGV4bWwueG1sUEsFBgAAAAAGAAYAWwEAAK8DAAAA&#10;AA==&#10;">
                        <v:fill on="t" opacity="0f" focussize="0,0"/>
                        <v:stroke weight="0.5pt" color="#000000 [3213]" joinstyle="round"/>
                        <v:imagedata o:title=""/>
                        <o:lock v:ext="edit" aspectratio="f"/>
                        <v:textbox>
                          <w:txbxContent>
                            <w:p w14:paraId="3A31DE7F">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筒仓</w:t>
                              </w:r>
                            </w:p>
                          </w:txbxContent>
                        </v:textbox>
                      </v:shape>
                      <v:shape id="文本框 55" o:spid="_x0000_s1026" o:spt="202" type="#_x0000_t202" style="position:absolute;left:9054;top:415329;height:397;width:1304;" fillcolor="#000000" filled="t" stroked="t" coordsize="21600,21600" o:gfxdata="UEsDBAoAAAAAAIdO4kAAAAAAAAAAAAAAAAAEAAAAZHJzL1BLAwQUAAAACACHTuJAZO/vqboAAADb&#10;AAAADwAAAGRycy9kb3ducmV2LnhtbEWPS6vCMBSE94L/IRzBjWhaF6LV6EJQBFe+wOWhObbF5KQk&#10;8fXvjXDhLoeZ+YZZrN7WiCf50DhWkI8yEMSl0w1XCs6nzXAKIkRkjcYxKfhQgNWy21lgod2LD/Q8&#10;xkokCIcCFdQxtoWUoazJYhi5ljh5N+ctxiR9JbXHV4JbI8dZNpEWG04LNba0rqm8Hx9WgdlOysth&#10;kPur/1R7uduYvdlelOr38mwOItI7/of/2jutYDqD35f0A+Ty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pugAAANsA&#10;AAAPAAAAAAAAAAEAIAAAACIAAABkcnMvZG93bnJldi54bWxQSwECFAAUAAAACACHTuJAMy8FnjsA&#10;AAA5AAAAEAAAAAAAAAABACAAAAAJAQAAZHJzL3NoYXBleG1sLnhtbFBLBQYAAAAABgAGAFsBAACz&#10;AwAAAAA=&#10;">
                        <v:fill on="t" opacity="0f" focussize="0,0"/>
                        <v:stroke weight="0.5pt" color="#000000 [3213]" joinstyle="round"/>
                        <v:imagedata o:title=""/>
                        <o:lock v:ext="edit" aspectratio="f"/>
                        <v:textbox>
                          <w:txbxContent>
                            <w:p w14:paraId="2ABFB01A">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骨料堆放区</w:t>
                              </w:r>
                            </w:p>
                          </w:txbxContent>
                        </v:textbox>
                      </v:shape>
                      <v:shape id="直接箭头连接符 57" o:spid="_x0000_s1026" o:spt="32" type="#_x0000_t32" style="position:absolute;left:6921;top:415545;flip:y;height:1;width:340;" filled="f" stroked="t" coordsize="21600,21600" o:gfxdata="UEsDBAoAAAAAAIdO4kAAAAAAAAAAAAAAAAAEAAAAZHJzL1BLAwQUAAAACACHTuJARODm9bsAAADb&#10;AAAADwAAAGRycy9kb3ducmV2LnhtbEWPW4vCMBSE3xf8D+EIvmlSBS9do6hY0Cfxwj4fmrNt2eak&#10;NvH27zcLwj4OM/MNM18+bS3u1PrKsYZkoEAQ585UXGi4nLP+FIQPyAZrx6ThRR6Wi87HHFPjHnyk&#10;+ykUIkLYp6ihDKFJpfR5SRb9wDXE0ft2rcUQZVtI0+Ijwm0th0qNpcWK40KJDW1Kyn9ON6thNKTx&#10;+kqHr62yUu3tJFvt60zrXjdRnyACPcN/+N3eGQ2zBP6+xB8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Dm9b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直接箭头连接符 60" o:spid="_x0000_s1026" o:spt="32" type="#_x0000_t32" style="position:absolute;left:10362;top:415514;flip:y;height:1;width:1077;" filled="f" stroked="t" coordsize="21600,21600" o:gfxdata="UEsDBAoAAAAAAIdO4kAAAAAAAAAAAAAAAAAEAAAAZHJzL1BLAwQUAAAACACHTuJAtDJ4grsAAADb&#10;AAAADwAAAGRycy9kb3ducmV2LnhtbEWPT4vCMBTE78J+h/AWvGliBXWrUVS2oKdFXTw/mmdbbF5q&#10;k/XPtzfCgsdhZn7DzBZ3W4srtb5yrGHQVyCIc2cqLjT8HrLeBIQPyAZrx6ThQR4W84/ODFPjbryj&#10;6z4UIkLYp6ihDKFJpfR5SRZ93zXE0Tu51mKIsi2kafEW4baWiVIjabHiuFBiQ+uS8vP+z2oYJjRa&#10;Xejn+K2sVFs7zpbbOtO6+zlQUxCB7uEd/m9vjIavBF5f4g+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J4gr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直接箭头连接符 59" o:spid="_x0000_s1026" o:spt="32" type="#_x0000_t32" style="position:absolute;left:13360;top:415532;flip:y;height:1;width:397;" filled="f" stroked="t" coordsize="21600,21600" o:gfxdata="UEsDBAoAAAAAAIdO4kAAAAAAAAAAAAAAAAAEAAAAZHJzL1BLAwQUAAAACACHTuJA237dGbsAAADb&#10;AAAADwAAAGRycy9kb3ducmV2LnhtbEWPW4vCMBSE34X9D+Es+KaJCl66RlnFgj6J3cXnQ3O2Lduc&#10;1Cbe/r0RBB+HmfmGmS9vthYXan3lWMOgr0AQ585UXGj4/Ul7UxA+IBusHZOGO3lYLj46c0yMu/KB&#10;LlkoRISwT1BDGUKTSOnzkiz6vmuIo/fnWoshyraQpsVrhNtaDpUaS4sVx4USG1qXlP9nZ6thNKTx&#10;6kT740ZZqXZ2kn7v6lTr7udAfYEIdAvv8Ku9NRpmI3h+iT9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37dGbsAAADb&#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文本框 61" o:spid="_x0000_s1026" o:spt="202" type="#_x0000_t202" style="position:absolute;left:12440;top:415344;height:397;width:907;" fillcolor="#000000" filled="t" stroked="t" coordsize="21600,21600" o:gfxdata="UEsDBAoAAAAAAIdO4kAAAAAAAAAAAAAAAAAEAAAAZHJzL1BLAwQUAAAACACHTuJAYHtzcbwAAADb&#10;AAAADwAAAGRycy9kb3ducmV2LnhtbEWPzYvCMBTE78L+D+EteBFNKyhuNe1hQRE8+QV7fDTPtpi8&#10;lCTrx3+/WRA8DjPzG2ZVPawRN/Khc6wgn2QgiGunO24UnI7r8QJEiMgajWNS8KQAVfkxWGGh3Z33&#10;dDvERiQIhwIVtDH2hZShbslimLieOHkX5y3GJH0jtcd7glsjp1k2lxY7Tgst9vTdUn09/FoFZjOv&#10;z/tR7n/8s9nJ7drszOas1PAzz5YgIj3iO/xqb7WCrxn8f0k/QJ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7c3G8AAAA&#10;2w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0EC6D976">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出料口</w:t>
                              </w:r>
                            </w:p>
                          </w:txbxContent>
                        </v:textbox>
                      </v:shape>
                      <v:shape id="文本框 63" o:spid="_x0000_s1026" o:spt="202" type="#_x0000_t202" style="position:absolute;left:6213;top:414609;height:397;width:825;" fillcolor="#000000" filled="t" stroked="f" coordsize="21600,21600" o:gfxdata="UEsDBAoAAAAAAIdO4kAAAAAAAAAAAAAAAAAEAAAAZHJzL1BLAwQUAAAACACHTuJAGQ+EarwAAADb&#10;AAAADwAAAGRycy9kb3ducmV2LnhtbEWPzW7CMBCE75V4B2uRuBUbhFoIGA4gBIceWuABlniJI+J1&#10;iM1fnr6uVInjaGa+0cwWD1eJGzWh9Kxh0FcgiHNvSi40HPbr9zGIEJENVp5Jw5MCLOadtxlmxt/5&#10;h267WIgE4ZChBhtjnUkZcksOQ9/XxMk7+cZhTLIppGnwnuCukkOlPqTDktOCxZqWlvLz7uo0jGSr&#10;vuPG0nGct0XZfq2OF9pr3esO1BREpEd8hf/bW6Nh8gl/X9IP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PhGq8AAAA&#10;2w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1706885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外购</w:t>
                              </w:r>
                            </w:p>
                          </w:txbxContent>
                        </v:textbox>
                      </v:shape>
                      <v:shape id="文本框 51" o:spid="_x0000_s1026" o:spt="202" type="#_x0000_t202" style="position:absolute;left:7278;top:415943;height:397;width:624;" fillcolor="#000000" filled="t" stroked="t" coordsize="21600,21600" o:gfxdata="UEsDBAoAAAAAAIdO4kAAAAAAAAAAAAAAAAAEAAAAZHJzL1BLAwQUAAAACACHTuJAMP4YPLwAAADc&#10;AAAADwAAAGRycy9kb3ducmV2LnhtbEWPS4sCMRCE74L/IfSCF9HM7EFkNHpYUARPvsBjM+mdGTbp&#10;DEl8/fvtg+Ctm6qu+nq5fnqn7hRTF9hAOS1AEdfBdtwYOJ82kzmolJEtusBk4EUJ1qvhYImVDQ8+&#10;0P2YGyUhnCo00ObcV1qnuiWPaRp6YtF+Q/SYZY2NthEfEu6d/i6KmfbYsTS02NNPS/Xf8eYNuO2s&#10;vhzGZbzGV7PXu43bu+3FmNFXWSxAZXrmj/l9vbOCXwq+PCMT6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GDy8AAAA&#10;3AAAAA8AAAAAAAAAAQAgAAAAIgAAAGRycy9kb3ducmV2LnhtbFBLAQIUABQAAAAIAIdO4kAzLwWe&#10;OwAAADkAAAAQAAAAAAAAAAEAIAAAAAsBAABkcnMvc2hhcGV4bWwueG1sUEsFBgAAAAAGAAYAWwEA&#10;ALUDAAAAAA==&#10;">
                        <v:fill on="t" opacity="0f" focussize="0,0"/>
                        <v:stroke weight="0.5pt" color="#000000 [3213]" joinstyle="round"/>
                        <v:imagedata o:title=""/>
                        <o:lock v:ext="edit" aspectratio="f"/>
                        <v:textbox>
                          <w:txbxContent>
                            <w:p w14:paraId="778F06E7">
                              <w:pPr>
                                <w:jc w:val="center"/>
                                <w:rPr>
                                  <w:rFonts w:hint="default"/>
                                  <w:sz w:val="22"/>
                                  <w:szCs w:val="21"/>
                                  <w:lang w:val="en-US" w:eastAsia="zh-CN"/>
                                </w:rPr>
                              </w:pPr>
                              <w:r>
                                <w:rPr>
                                  <w:rFonts w:hint="eastAsia" w:eastAsia="宋体" w:cs="Times New Roman"/>
                                  <w:color w:val="auto"/>
                                  <w:kern w:val="0"/>
                                  <w:sz w:val="20"/>
                                  <w:szCs w:val="20"/>
                                  <w:highlight w:val="none"/>
                                  <w:lang w:val="en-US" w:eastAsia="zh-CN" w:bidi="ar"/>
                                </w:rPr>
                                <w:t>水</w:t>
                              </w:r>
                            </w:p>
                          </w:txbxContent>
                        </v:textbox>
                      </v:shape>
                      <v:shape id="文本框 65" o:spid="_x0000_s1026" o:spt="202" type="#_x0000_t202" style="position:absolute;left:7854;top:414517;height:397;width:1191;" fillcolor="#000000" filled="t" stroked="f" coordsize="21600,21600" o:gfxdata="UEsDBAoAAAAAAIdO4kAAAAAAAAAAAAAAAAAEAAAAZHJzL1BLAwQUAAAACACHTuJACOu9mbwAAADc&#10;AAAADwAAAGRycy9kb3ducmV2LnhtbEVPS27CMBDdI/UO1lRiB3YQqqKAYQGq2kUXJeEAQzyNo8bj&#10;NHYhzelxpUrdzdP7znY/uk5caQitZw3ZUoEgrr1pudFwrp4XOYgQkQ12nknDDwXY7x5mWyyMv/GJ&#10;rmVsRArhUKAGG2NfSBlqSw7D0vfEifvwg8OY4NBIM+AthbtOrpR6kg5bTg0WezpYqj/Lb6dhLSf1&#10;Hl8sXfJ6atrp7Xj5okrr+WOmNiAijfFf/Od+NWl+toLfZ9IF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rvZm8AAAA&#10;3A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01D614C5">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气力输送</w:t>
                              </w:r>
                            </w:p>
                          </w:txbxContent>
                        </v:textbox>
                      </v:shape>
                      <v:shape id="文本框 65" o:spid="_x0000_s1026" o:spt="202" type="#_x0000_t202" style="position:absolute;left:10254;top:414495;height:397;width:1191;" fillcolor="#000000" filled="t" stroked="f" coordsize="21600,21600" o:gfxdata="UEsDBAoAAAAAAIdO4kAAAAAAAAAAAAAAAAAEAAAAZHJzL1BLAwQUAAAACACHTuJA6E6AdrwAAADc&#10;AAAADwAAAGRycy9kb3ducmV2LnhtbEVPS27CMBDdI/UO1lTqDuygqIoChgWooosuSsIBhngaR43H&#10;aewCzelxpUrdzdP7znp7c7240Bg6zxqyhQJB3HjTcavhVL/MCxAhIhvsPZOGHwqw3TzM1lgaf+Uj&#10;XarYihTCoUQNNsahlDI0lhyGhR+IE/fhR4cxwbGVZsRrCne9XCr1LB12nBosDrSz1HxW305DLif1&#10;Hg+WzkUztd30tj9/Ua3102OmViAi3eK/+M/9atL8LIffZ9IF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OgHa8AAAA&#10;3A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29146C0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螺旋输送</w:t>
                              </w:r>
                            </w:p>
                          </w:txbxContent>
                        </v:textbox>
                      </v:shape>
                      <v:shape id="文本框 65" o:spid="_x0000_s1026" o:spt="202" type="#_x0000_t202" style="position:absolute;left:10262;top:414758;height:397;width:1191;" fillcolor="#000000" filled="t" stroked="f" coordsize="21600,21600" o:gfxdata="UEsDBAoAAAAAAIdO4kAAAAAAAAAAAAAAAAAEAAAAZHJzL1BLAwQUAAAACACHTuJAhwIl7bsAAADc&#10;AAAADwAAAGRycy9kb3ducmV2LnhtbEVPS27CMBDdV+odrEFiV+xUgFDAsKCq2gULIBxgiKdx1Hic&#10;xi6fnB4jIbGbp/edxeriGnGiLtSeNWQjBYK49KbmSsOh+HybgQgR2WDjmTRcKcBq+fqywNz4M+/o&#10;tI+VSCEcctRgY2xzKUNpyWEY+ZY4cT++cxgT7CppOjyncNfId6Wm0mHNqcFiS2tL5e/+32kYy15t&#10;45el46zsq7rffBz/qNB6OMjUHESkS3yKH+5vk+ZnE7g/ky6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Il7bsAAADc&#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14:paraId="27426298">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密闭输送</w:t>
                              </w:r>
                            </w:p>
                          </w:txbxContent>
                        </v:textbox>
                      </v:shape>
                      <v:shape id="直接箭头连接符 59" o:spid="_x0000_s1026" o:spt="32" type="#_x0000_t32" style="position:absolute;left:7902;top:416154;flip:y;height:1;width:3572;" filled="f" stroked="t" coordsize="21600,21600" o:gfxdata="UEsDBAoAAAAAAIdO4kAAAAAAAAAAAAAAAAAEAAAAZHJzL1BLAwQUAAAACACHTuJADEAbL7sAAADc&#10;AAAADwAAAGRycy9kb3ducmV2LnhtbEVP32vCMBB+H+x/CDfY20yq0Ek1io4V5pNMx56P5myLzaUm&#10;sXX//SIM9nYf389brm+2EwP50DrWkE0UCOLKmZZrDV/H8mUOIkRkg51j0vBDAdarx4clFsaN/EnD&#10;IdYihXAoUEMTY19IGaqGLIaJ64kTd3LeYkzQ19J4HFO47eRUqVxabDk1NNjTW0PV+XC1GmZTyrcX&#10;2n+/KyvVzr6Wm11Xav38lKkFiEi3+C/+c3+YND/L4f5Muk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AbL7sAAADc&#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shape id="文本框 65" o:spid="_x0000_s1026" o:spt="202" type="#_x0000_t202" style="position:absolute;left:10329;top:415177;height:397;width:933;" fillcolor="#000000" filled="t" stroked="f" coordsize="21600,21600" o:gfxdata="UEsDBAoAAAAAAIdO4kAAAAAAAAAAAAAAAAAEAAAAZHJzL1BLAwQUAAAACACHTuJAGJweAbsAAADc&#10;AAAADwAAAGRycy9kb3ducmV2LnhtbEVPS27CMBDdV+odrEFiV+xUCFDAsKCq2gULIBxgiKdx1Hic&#10;xi6fnB4jIbGbp/edxeriGnGiLtSeNWQjBYK49KbmSsOh+HybgQgR2WDjmTRcKcBq+fqywNz4M+/o&#10;tI+VSCEcctRgY2xzKUNpyWEY+ZY4cT++cxgT7CppOjyncNfId6Um0mHNqcFiS2tL5e/+32kYy15t&#10;45el46zsq7rffBz/qNB6OMjUHESkS3yKH+5vk+ZnU7g/ky6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weAbsAAADc&#10;AAAADwAAAAAAAAABACAAAAAiAAAAZHJzL2Rvd25yZXYueG1sUEsBAhQAFAAAAAgAh07iQDMvBZ47&#10;AAAAOQAAABAAAAAAAAAAAQAgAAAACgEAAGRycy9zaGFwZXhtbC54bWxQSwUGAAAAAAYABgBbAQAA&#10;tAMAAAAA&#10;">
                        <v:fill on="t" opacity="0f" focussize="0,0"/>
                        <v:stroke on="f" weight="0.5pt"/>
                        <v:imagedata o:title=""/>
                        <o:lock v:ext="edit" aspectratio="f"/>
                        <v:textbox>
                          <w:txbxContent>
                            <w:p w14:paraId="4C60883D">
                              <w:pPr>
                                <w:rPr>
                                  <w:rFonts w:hint="default"/>
                                  <w:lang w:val="en-US" w:eastAsia="zh-CN"/>
                                </w:rPr>
                              </w:pPr>
                              <w:r>
                                <w:rPr>
                                  <w:rFonts w:hint="eastAsia" w:eastAsia="宋体" w:cs="Times New Roman"/>
                                  <w:color w:val="auto"/>
                                  <w:kern w:val="0"/>
                                  <w:sz w:val="20"/>
                                  <w:szCs w:val="20"/>
                                  <w:highlight w:val="none"/>
                                  <w:lang w:val="en-US" w:eastAsia="zh-CN" w:bidi="ar"/>
                                </w:rPr>
                                <w:t>装载机</w:t>
                              </w:r>
                            </w:p>
                          </w:txbxContent>
                        </v:textbox>
                      </v:shape>
                      <v:shape id="文本框 65" o:spid="_x0000_s1026" o:spt="202" type="#_x0000_t202" style="position:absolute;left:10298;top:415492;height:397;width:1301;" fillcolor="#000000" filled="t" stroked="f" coordsize="21600,21600" o:gfxdata="UEsDBAoAAAAAAIdO4kAAAAAAAAAAAAAAAAAEAAAAZHJzL1BLAwQUAAAACACHTuJAWRlMyL0AAADc&#10;AAAADwAAAGRycy9kb3ducmV2LnhtbEWPzW4CMQyE75X6DpGReisJCCG0JXAoqsqBA38PYDbuZtWN&#10;s92En+7T4wMSN1sznvk8X95Coy7UpTqyhdHQgCIuo6u5snA8fL3PQKWM7LCJTBb+KcFy8foyx8LF&#10;K+/oss+VkhBOBVrwObeF1qn0FDANY0ss2k/sAmZZu0q7Dq8SHho9NmaqA9YsDR5b+vRU/u7PwcJE&#10;92abvz2dZmVf1f1mdfqjg7Vvg5H5AJXplp/mx/XaCf5Y8OUZmUA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GUzI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13DD4C9A">
                              <w:pPr>
                                <w:rPr>
                                  <w:rFonts w:hint="default"/>
                                  <w:lang w:val="en-US" w:eastAsia="zh-CN"/>
                                </w:rPr>
                              </w:pPr>
                              <w:r>
                                <w:rPr>
                                  <w:rFonts w:hint="eastAsia" w:eastAsia="宋体" w:cs="Times New Roman"/>
                                  <w:color w:val="auto"/>
                                  <w:kern w:val="0"/>
                                  <w:sz w:val="20"/>
                                  <w:szCs w:val="20"/>
                                  <w:highlight w:val="none"/>
                                  <w:lang w:val="en-US" w:eastAsia="zh-CN" w:bidi="ar"/>
                                </w:rPr>
                                <w:t>提升跑道</w:t>
                              </w:r>
                            </w:p>
                          </w:txbxContent>
                        </v:textbox>
                      </v:shape>
                      <v:shape id="直接箭头连接符 60" o:spid="_x0000_s1026" o:spt="32" type="#_x0000_t32" style="position:absolute;left:11995;top:415522;flip:y;height:1;width:454;" filled="f" stroked="t" coordsize="21600,21600" o:gfxdata="UEsDBAoAAAAAAIdO4kAAAAAAAAAAAAAAAAAEAAAAZHJzL1BLAwQUAAAACACHTuJAvRfXkbkAAADc&#10;AAAADwAAAGRycy9kb3ducmV2LnhtbEVPS4vCMBC+C/6HMMLeNLGCSjWKLltYT2IVz0MztsVmUpv4&#10;2H+/ERb2Nh/fc5brl23EgzpfO9YwHikQxIUzNZcaTsdsOAfhA7LBxjFp+CEP61W/t8TUuCcf6JGH&#10;UsQQ9ilqqEJoUyl9UZFFP3ItceQurrMYIuxKaTp8xnDbyESpqbRYc2yosKXPioprfrcaJglNtzfa&#10;n7+UlWpnZ9lm12RafwzGagEi0Cv8i//c3ybOTxJ4PxMvkK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0X15G5AAAA3AAA&#10;AA8AAAAAAAAAAQAgAAAAIgAAAGRycy9kb3ducmV2LnhtbFBLAQIUABQAAAAIAIdO4kAzLwWeOwAA&#10;ADkAAAAQAAAAAAAAAAEAIAAAAAgBAABkcnMvc2hhcGV4bWwueG1sUEsFBgAAAAAGAAYAWwEAALID&#10;AAAAAA==&#10;">
                        <v:fill on="f" focussize="0,0"/>
                        <v:stroke weight="0.5pt" color="#000000 [3213]" joinstyle="round" endarrow="block"/>
                        <v:imagedata o:title=""/>
                        <o:lock v:ext="edit" aspectratio="f"/>
                      </v:shape>
                      <v:shape id="文本框 63" o:spid="_x0000_s1026" o:spt="202" type="#_x0000_t202" style="position:absolute;left:13614;top:415319;height:397;width:1191;" fillcolor="#000000" filled="t" stroked="f" coordsize="21600,21600" o:gfxdata="UEsDBAoAAAAAAIdO4kAAAAAAAAAAAAAAAAAEAAAAZHJzL1BLAwQUAAAACACHTuJAqcvSv7wAAADc&#10;AAAADwAAAGRycy9kb3ducmV2LnhtbEVPS27CMBDdV+IO1iB1V2xoVUUBwwJUwaKLlnCAIR7iiHgc&#10;YpekOX1dqVJ38/S+s9oMrhF36kLtWcN8pkAQl97UXGk4FW9PGYgQkQ02nknDNwXYrCcPK8yN7/mT&#10;7sdYiRTCIUcNNsY2lzKUlhyGmW+JE3fxncOYYFdJ02Gfwl0jF0q9Soc1pwaLLW0tldfjl9PwIkf1&#10;EfeWzlk5VvX4vjvfqND6cTpXSxCRhvgv/nMfTJq/eIbfZ9IF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L0r+8AAAA&#10;3AAAAA8AAAAAAAAAAQAgAAAAIgAAAGRycy9kb3ducmV2LnhtbFBLAQIUABQAAAAIAIdO4kAzLwWe&#10;OwAAADkAAAAQAAAAAAAAAAEAIAAAAAsBAABkcnMvc2hhcGV4bWwueG1sUEsFBgAAAAAGAAYAWwEA&#10;ALUDAAAAAA==&#10;">
                        <v:fill on="t" opacity="0f" focussize="0,0"/>
                        <v:stroke on="f" weight="0.5pt"/>
                        <v:imagedata o:title=""/>
                        <o:lock v:ext="edit" aspectratio="f"/>
                        <v:textbox>
                          <w:txbxContent>
                            <w:p w14:paraId="6B4A9568">
                              <w:pPr>
                                <w:keepNext w:val="0"/>
                                <w:keepLines w:val="0"/>
                                <w:pageBreakBefore w:val="0"/>
                                <w:widowControl w:val="0"/>
                                <w:kinsoku/>
                                <w:wordWrap/>
                                <w:overflowPunct/>
                                <w:topLinePunct w:val="0"/>
                                <w:bidi w:val="0"/>
                                <w:adjustRightInd/>
                                <w:snapToGrid/>
                                <w:spacing w:line="240" w:lineRule="auto"/>
                                <w:jc w:val="both"/>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运输出厂</w:t>
                              </w:r>
                            </w:p>
                          </w:txbxContent>
                        </v:textbox>
                      </v:shape>
                      <v:shape id="文本框 55" o:spid="_x0000_s1026" o:spt="202" type="#_x0000_t202" style="position:absolute;left:7234;top:415337;height:397;width:1134;" fillcolor="#000000" filled="t" stroked="t" coordsize="21600,21600" o:gfxdata="UEsDBAoAAAAAAIdO4kAAAAAAAAAAAAAAAAAEAAAAZHJzL1BLAwQUAAAACACHTuJAHjfvbroAAADc&#10;AAAADwAAAGRycy9kb3ducmV2LnhtbEVPTYvCMBC9L+x/CCN4Wda0HsrSNe1BUARP6goeh2Zsi8mk&#10;JFmr/94Igrd5vM9Z1DdrxJV86B0ryGcZCOLG6Z5bBX+H1fcPiBCRNRrHpOBOAerq82OBpXYj7+i6&#10;j61IIRxKVNDFOJRShqYji2HmBuLEnZ23GBP0rdQexxRujZxnWSEt9pwaOhxo2VFz2f9bBWZdNMfd&#10;V+5P/t5u5WZltmZ9VGo6ybNfEJFu8S1+uTc6zZ8X8HwmXS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N+9uugAAANwA&#10;AAAPAAAAAAAAAAEAIAAAACIAAABkcnMvZG93bnJldi54bWxQSwECFAAUAAAACACHTuJAMy8FnjsA&#10;AAA5AAAAEAAAAAAAAAABACAAAAAJAQAAZHJzL3NoYXBleG1sLnhtbFBLBQYAAAAABgAGAFsBAACz&#10;AwAAAAA=&#10;">
                        <v:fill on="t" opacity="0f" focussize="0,0"/>
                        <v:stroke weight="0.5pt" color="#000000 [3213]" joinstyle="round"/>
                        <v:imagedata o:title=""/>
                        <o:lock v:ext="edit" aspectratio="f"/>
                        <v:textbox>
                          <w:txbxContent>
                            <w:p w14:paraId="28347301">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再生骨料</w:t>
                              </w:r>
                            </w:p>
                          </w:txbxContent>
                        </v:textbox>
                      </v:shape>
                      <v:shape id="直接箭头连接符 59" o:spid="_x0000_s1026" o:spt="32" type="#_x0000_t32" style="position:absolute;left:8386;top:415534;flip:y;height:1;width:680;" filled="f" stroked="t" coordsize="21600,21600" o:gfxdata="UEsDBAoAAAAAAIdO4kAAAAAAAAAAAAAAAAAEAAAAZHJzL1BLAwQUAAAACACHTuJArWB0CbsAAADc&#10;AAAADwAAAGRycy9kb3ducmV2LnhtbEVPTWvCQBC9F/wPywi91d2kEEvqKioNmFNpLD0P2WkSmp2N&#10;2W3Uf+8Khd7m8T5ntbnYXkw0+s6xhmShQBDXznTcaPg8Fk8vIHxANtg7Jg1X8rBZzx5WmBt35g+a&#10;qtCIGMI+Rw1tCEMupa9bsugXbiCO3LcbLYYIx0aaEc8x3PYyVSqTFjuODS0OtG+p/ql+rYbnlLLd&#10;id6/3pSVqrTLYlv2hdaP80S9ggh0Cf/iP/fBxPnpEu7PxAv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B0CbsAAADc&#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rect id="_x0000_s1026" o:spid="_x0000_s1026" o:spt="1" style="position:absolute;left:8985;top:414450;height:1392;width:1431;v-text-anchor:middle;" filled="f" stroked="t" coordsize="21600,21600" o:gfxdata="UEsDBAoAAAAAAIdO4kAAAAAAAAAAAAAAAAAEAAAAZHJzL1BLAwQUAAAACACHTuJAEsnoyMAAAADc&#10;AAAADwAAAGRycy9kb3ducmV2LnhtbEWPP28CMQzF90r9DpErdakgdwxQrgSGSu1VMKDSLt2si3t3&#10;auIcScqfb48HJDZb7/m9nxerk3fqQDH1gQ2U4wIUcRNsz62B76+30TOolJEtusBk4EwJVsv7uwVW&#10;Nhz5kw673CoJ4VShgS7nodI6NR15TOMwEIv2G6LHLGtstY14lHDv9KQoptpjz9LQ4UCvHTV/u39v&#10;YFbWm3l8r/32Rzvau6d9vS7Xxjw+lMULqEynfDNfrz+s4E+EVp6RCfTy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yejI&#10;wAAAANwAAAAPAAAAAAAAAAEAIAAAACIAAABkcnMvZG93bnJldi54bWxQSwECFAAUAAAACACHTuJA&#10;My8FnjsAAAA5AAAAEAAAAAAAAAABACAAAAAPAQAAZHJzL3NoYXBleG1sLnhtbFBLBQYAAAAABgAG&#10;AFsBAAC5AwAAAAA=&#10;">
                        <v:fill on="f" focussize="0,0"/>
                        <v:stroke weight="0.25pt" color="#000000 [3213]" joinstyle="round" dashstyle="1 1"/>
                        <v:imagedata o:title=""/>
                        <o:lock v:ext="edit" aspectratio="f"/>
                      </v:rect>
                      <v:shape id="文本框 67" o:spid="_x0000_s1026" o:spt="202" type="#_x0000_t202" style="position:absolute;left:8035;top:413663;height:340;width:801;" fillcolor="#000000" filled="t" stroked="t" coordsize="21600,21600" o:gfxdata="UEsDBAoAAAAAAIdO4kAAAAAAAAAAAAAAAAAEAAAAZHJzL1BLAwQUAAAACACHTuJAQNEbK7wAAADc&#10;AAAADwAAAGRycy9kb3ducmV2LnhtbEWPzWrDMBCE74W+g9hCLiWRHGhIXMs5FAI5BZyWnBdraxlZ&#10;K2Op+Xv6qFDocZiZb5hqe/WDONMU+8AaioUCQdwG03On4etzN1+DiAnZ4BCYNNwowrZ+fqqwNOHC&#10;DZ2PqRMZwrFEDTalsZQytpY8xkUYibP3HSaPKcupk2bCS4b7QS6VWkmPPecFiyN9WGrd8cdrOBxO&#10;7vUNN+t7aEbvBuualXNaz14K9Q4i0TX9h//ae6NhqQr4PZOPgK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RGyu8AAAA&#10;3AAAAA8AAAAAAAAAAQAgAAAAIgAAAGRycy9kb3ducmV2LnhtbFBLAQIUABQAAAAIAIdO4kAzLwWe&#10;OwAAADkAAAAQAAAAAAAAAAEAIAAAAAsBAABkcnMvc2hhcGV4bWwueG1sUEsFBgAAAAAGAAYAWwEA&#10;ALUDAAAAAA==&#10;">
                        <v:fill on="t" opacity="0f" focussize="0,0"/>
                        <v:stroke weight="0.5pt" color="#000000 [3213]" joinstyle="round" dashstyle="3 1"/>
                        <v:imagedata o:title=""/>
                        <o:lock v:ext="edit" aspectratio="f"/>
                        <v:textbox>
                          <w:txbxContent>
                            <w:p w14:paraId="1227418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16"/>
                                  <w:szCs w:val="16"/>
                                  <w:lang w:val="en-US" w:eastAsia="zh-CN"/>
                                </w:rPr>
                              </w:pPr>
                              <w:r>
                                <w:rPr>
                                  <w:rFonts w:hint="eastAsia" w:eastAsia="宋体" w:cs="Times New Roman"/>
                                  <w:color w:val="auto"/>
                                  <w:kern w:val="0"/>
                                  <w:sz w:val="16"/>
                                  <w:szCs w:val="16"/>
                                  <w:highlight w:val="none"/>
                                  <w:lang w:val="en-US" w:eastAsia="zh-CN" w:bidi="ar"/>
                                </w:rPr>
                                <w:t>废气</w:t>
                              </w:r>
                            </w:p>
                          </w:txbxContent>
                        </v:textbox>
                      </v:shape>
                      <v:shape id="直接箭头连接符 76" o:spid="_x0000_s1026" o:spt="32" type="#_x0000_t32" style="position:absolute;left:8433;top:413999;flip:x y;height:454;width:1;" filled="f" stroked="t" coordsize="21600,21600" o:gfxdata="UEsDBAoAAAAAAIdO4kAAAAAAAAAAAAAAAAAEAAAAZHJzL1BLAwQUAAAACACHTuJAqwceDrwAAADc&#10;AAAADwAAAGRycy9kb3ducmV2LnhtbEWPzYvCMBTE74L/Q3iCN00spUo1etBd8CZ+oNdn82yLzUtp&#10;4td/v1lY2OMwM79hFqu3bcSTOl871jAZKxDEhTM1lxpOx+/RDIQPyAYbx6ThQx5Wy35vgblxL97T&#10;8xBKESHsc9RQhdDmUvqiIot+7Fri6N1cZzFE2ZXSdPiKcNvIRKlMWqw5LlTY0rqi4n54WA3prVFX&#10;vE4vKe+y/dfj7LN047UeDiZqDiLQO/yH/9pboyFRCfyeiUd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HHg68AAAA&#10;3AAAAA8AAAAAAAAAAQAgAAAAIgAAAGRycy9kb3ducmV2LnhtbFBLAQIUABQAAAAIAIdO4kAzLwWe&#10;OwAAADkAAAAQAAAAAAAAAAEAIAAAAAsBAABkcnMvc2hhcGV4bWwueG1sUEsFBgAAAAAGAAYAWwEA&#10;ALUDAAAAAA==&#10;">
                        <v:fill on="f" focussize="0,0"/>
                        <v:stroke weight="0.5pt" color="#000000 [3213]" joinstyle="round" dashstyle="3 1" endarrow="block"/>
                        <v:imagedata o:title=""/>
                        <o:lock v:ext="edit" aspectratio="f"/>
                      </v:shape>
                      <v:rect id="_x0000_s1026" o:spid="_x0000_s1026" o:spt="1" style="position:absolute;left:8014;top:414459;height:758;width:923;v-text-anchor:middle;" filled="f" stroked="t" coordsize="21600,21600" o:gfxdata="UEsDBAoAAAAAAIdO4kAAAAAAAAAAAAAAAAAEAAAAZHJzL1BLAwQUAAAACACHTuJAjP1HpcAAAADc&#10;AAAADwAAAGRycy9kb3ducmV2LnhtbEWPT2sCMRTE74V+h/AKXkpN1kJtt0YPgq7Yg6i99PbYPHcX&#10;k5c1iX/67ZtCocdhZn7DTGY3Z8WFQuw8ayiGCgRx7U3HjYbP/eLpFURMyAatZ9LwTRFm0/u7CZbG&#10;X3lLl11qRIZwLFFDm1JfShnrlhzGoe+Js3fwwWHKMjTSBLxmuLNypNSLdNhxXmixp3lL9XF3dhrG&#10;RfXxFpaV23xJSyf7eKrWxVrrwUOh3kEkuqX/8F97ZTSM1DP8nslHQE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Uel&#10;wAAAANwAAAAPAAAAAAAAAAEAIAAAACIAAABkcnMvZG93bnJldi54bWxQSwECFAAUAAAACACHTuJA&#10;My8FnjsAAAA5AAAAEAAAAAAAAAABACAAAAAPAQAAZHJzL3NoYXBleG1sLnhtbFBLBQYAAAAABgAG&#10;AFsBAAC5AwAAAAA=&#10;">
                        <v:fill on="f" focussize="0,0"/>
                        <v:stroke weight="0.25pt" color="#000000 [3213]" joinstyle="round" dashstyle="1 1"/>
                        <v:imagedata o:title=""/>
                        <o:lock v:ext="edit" aspectratio="f"/>
                      </v:rect>
                      <v:shape id="文本框 65" o:spid="_x0000_s1026" o:spt="202" type="#_x0000_t202" style="position:absolute;left:7865;top:414771;height:397;width:1191;" fillcolor="#000000" filled="t" stroked="f" coordsize="21600,21600" o:gfxdata="UEsDBAoAAAAAAIdO4kAAAAAAAAAAAAAAAAAEAAAAZHJzL1BLAwQUAAAACACHTuJAtrJ3170AAADc&#10;AAAADwAAAGRycy9kb3ducmV2LnhtbEWPzYoCMRCE74LvEFrYmyaKiMwaPSjiHvaw/jxAz6R3Mjjp&#10;jJOsuvP0RhA8FlX1FbVY3V0trtSGyrOG8UiBIC68qbjUcDpuh3MQISIbrD2Thn8KsFr2ewvMjL/x&#10;nq6HWIoE4ZChBhtjk0kZCksOw8g3xMn79a3DmGRbStPiLcFdLSdKzaTDitOCxYbWlorz4c9pmMpO&#10;/cSdpXxedGXVfW/yCx21/hiM1SeISPf4Dr/aX0bDRE3heSYd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nfXvQAA&#10;ANwAAAAPAAAAAAAAAAEAIAAAACIAAABkcnMvZG93bnJldi54bWxQSwECFAAUAAAACACHTuJAMy8F&#10;njsAAAA5AAAAEAAAAAAAAAABACAAAAAMAQAAZHJzL3NoYXBleG1sLnhtbFBLBQYAAAAABgAGAFsB&#10;AAC2AwAAAAA=&#10;">
                        <v:fill on="t" opacity="0f" focussize="0,0"/>
                        <v:stroke on="f" weight="0.5pt"/>
                        <v:imagedata o:title=""/>
                        <o:lock v:ext="edit" aspectratio="f"/>
                        <v:textbox>
                          <w:txbxContent>
                            <w:p w14:paraId="25504964">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罐车运输</w:t>
                              </w:r>
                            </w:p>
                          </w:txbxContent>
                        </v:textbox>
                      </v:shape>
                    </v:group>
                  </w:pict>
                </mc:Fallback>
              </mc:AlternateContent>
            </w:r>
          </w:p>
          <w:p w14:paraId="6FBD7B3E">
            <w:pPr>
              <w:rPr>
                <w:color w:val="auto"/>
                <w:highlight w:val="none"/>
              </w:rPr>
            </w:pPr>
          </w:p>
          <w:p w14:paraId="766047A4">
            <w:pPr>
              <w:pStyle w:val="3"/>
              <w:rPr>
                <w:color w:val="auto"/>
                <w:highlight w:val="none"/>
              </w:rPr>
            </w:pPr>
          </w:p>
          <w:p w14:paraId="0D6E29BB">
            <w:pPr>
              <w:rPr>
                <w:color w:val="auto"/>
                <w:highlight w:val="none"/>
              </w:rPr>
            </w:pPr>
          </w:p>
          <w:p w14:paraId="6605E4C3">
            <w:pPr>
              <w:pStyle w:val="3"/>
              <w:rPr>
                <w:color w:val="auto"/>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19050</wp:posOffset>
                      </wp:positionV>
                      <wp:extent cx="628015" cy="335280"/>
                      <wp:effectExtent l="0" t="0" r="0" b="0"/>
                      <wp:wrapNone/>
                      <wp:docPr id="109" name="文本框 63"/>
                      <wp:cNvGraphicFramePr/>
                      <a:graphic xmlns:a="http://schemas.openxmlformats.org/drawingml/2006/main">
                        <a:graphicData uri="http://schemas.microsoft.com/office/word/2010/wordprocessingShape">
                          <wps:wsp>
                            <wps:cNvSpPr txBox="1"/>
                            <wps:spPr>
                              <a:xfrm>
                                <a:off x="1127760" y="7604760"/>
                                <a:ext cx="628015" cy="335280"/>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56BBE86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外购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3" o:spid="_x0000_s1026" o:spt="202" type="#_x0000_t202" style="position:absolute;left:0pt;margin-left:-2.4pt;margin-top:1.5pt;height:26.4pt;width:49.45pt;z-index:251662336;mso-width-relative:page;mso-height-relative:page;" fillcolor="#000000" filled="t" stroked="f" coordsize="21600,21600" o:gfxdata="UEsDBAoAAAAAAIdO4kAAAAAAAAAAAAAAAAAEAAAAZHJzL1BLAwQUAAAACACHTuJAsvkEcNUAAAAG&#10;AQAADwAAAGRycy9kb3ducmV2LnhtbE3Pz07DMAwG8DsS7xAZiduWFDpUuqY7gBAXDrDxAGljmmqN&#10;U5rsD316zIkdrc/6/HO1OftBHHGKfSAN2VKBQGqD7anT8Ll7WRQgYjJkzRAINfxghE19fVWZ0oYT&#10;feBxmzrBJRRLo8GlNJZSxtahN3EZRiTOvsLkTeJx6qSdzInL/SDvlHqQ3vTEF5wZ8clhu98evIZc&#10;zuo9vTpsinbu+vntufnGnda3N5lag0h4Tv/L8MdnOtRsasKBbBSDhkXO8qThnj/i+DHPQDQaVqsC&#10;ZF3JS379C1BLAwQUAAAACACHTuJAY4UkgGECAAC6BAAADgAAAGRycy9lMm9Eb2MueG1srVTNbtsw&#10;DL4P2DsIui92ftsGdYqsRYcBxVogG3ZWZDkWIImapMTOHmB7g5522X3PlecYJTtt1+3Qw3KwSfHz&#10;R/EjmfOLViuyE85LMAUdDnJKhOFQSrMp6KeP129OKfGBmZIpMKKge+HpxeL1q/PGzsUIalClcARJ&#10;jJ83tqB1CHaeZZ7XQjM/ACsMBitwmgV03SYrHWuQXatslOezrAFXWgdceI+nV12Q9ozuJYRQVZKL&#10;K+BbLUzoWJ1QLGBJvpbW00W6bVUJHm6ryotAVEGx0pCemATtdXxmi3M23zhma8n7K7CXXOFZTZpJ&#10;g0kfqK5YYGTr5F9UWnIHHqow4KCzrpCkCFYxzJ9ps6qZFakWlNrbB9H9/6PlH3Z3jsgSJyE/o8Qw&#10;jS0/3H8//Ph1+PmNzMZRocb6OQJXFqGhfQstoo/nHg9j4W3ldHxjSSTGh6OTkxmqvC8ovifRTlqL&#10;NhCOgNnoNB9OKeEIGI+n6MV49khknQ/vBGgSjYI6bGVSmO1ufOigR0jM60HJ8loqlRy3WV8qR3Ys&#10;tj39um+VrVl/2qfzHTSl/oNDGdLgNcfTPH1qIJJ3eZVBeBSlKz5aoV23GIzmGso9CuWgGzZv+bXE&#10;Em6YD3fM4XShKrh/4RYflQJMAr1FSQ3u67/OIx6bjlFKGpzWgvovW+YEJeq9wXE4G04mcbyTM5me&#10;jNBxTyPrpxGz1ZeAygxx0y1PZsQHdTQrB/ozrukyZsUQMxxzFzQczcvQ7RCuORfLZQLhQFsWbszK&#10;8kgd+2BguQ1QydSvR2169XCkk+z9+sWdeeon1ONfz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vkEcNUAAAAGAQAADwAAAAAAAAABACAAAAAiAAAAZHJzL2Rvd25yZXYueG1sUEsBAhQAFAAAAAgA&#10;h07iQGOFJIBhAgAAugQAAA4AAAAAAAAAAQAgAAAAJAEAAGRycy9lMm9Eb2MueG1sUEsFBgAAAAAG&#10;AAYAWQEAAPcFAAAAAA==&#10;">
                      <v:fill on="t" opacity="0f" focussize="0,0"/>
                      <v:stroke on="f" weight="0.5pt"/>
                      <v:imagedata o:title=""/>
                      <o:lock v:ext="edit" aspectratio="f"/>
                      <v:textbox>
                        <w:txbxContent>
                          <w:p w14:paraId="56BBE867">
                            <w:pPr>
                              <w:keepNext w:val="0"/>
                              <w:keepLines w:val="0"/>
                              <w:pageBreakBefore w:val="0"/>
                              <w:widowControl w:val="0"/>
                              <w:kinsoku/>
                              <w:wordWrap/>
                              <w:overflowPunct/>
                              <w:topLinePunct w:val="0"/>
                              <w:bidi w:val="0"/>
                              <w:adjustRightInd/>
                              <w:snapToGrid/>
                              <w:spacing w:line="240" w:lineRule="auto"/>
                              <w:jc w:val="center"/>
                              <w:textAlignment w:val="auto"/>
                              <w:rPr>
                                <w:rFonts w:hint="default" w:eastAsiaTheme="minorEastAsia"/>
                                <w:sz w:val="22"/>
                                <w:szCs w:val="21"/>
                                <w:lang w:val="en-US" w:eastAsia="zh-CN"/>
                              </w:rPr>
                            </w:pPr>
                            <w:r>
                              <w:rPr>
                                <w:rFonts w:hint="eastAsia" w:eastAsia="宋体" w:cs="Times New Roman"/>
                                <w:color w:val="auto"/>
                                <w:kern w:val="0"/>
                                <w:sz w:val="20"/>
                                <w:szCs w:val="20"/>
                                <w:highlight w:val="none"/>
                                <w:lang w:val="en-US" w:eastAsia="zh-CN" w:bidi="ar"/>
                              </w:rPr>
                              <w:t>外购</w:t>
                            </w:r>
                          </w:p>
                        </w:txbxContent>
                      </v:textbox>
                    </v:shape>
                  </w:pict>
                </mc:Fallback>
              </mc:AlternateContent>
            </w:r>
          </w:p>
          <w:p w14:paraId="120788F1">
            <w:pPr>
              <w:pStyle w:val="43"/>
              <w:rPr>
                <w:color w:val="auto"/>
                <w:highlight w:val="none"/>
              </w:rPr>
            </w:pPr>
          </w:p>
          <w:p w14:paraId="65E40C12">
            <w:pPr>
              <w:rPr>
                <w:color w:val="auto"/>
                <w:highlight w:val="none"/>
              </w:rPr>
            </w:pPr>
          </w:p>
          <w:p w14:paraId="780F92B7">
            <w:pPr>
              <w:pStyle w:val="52"/>
              <w:rPr>
                <w:rFonts w:cs="Times New Roman"/>
                <w:color w:val="auto"/>
                <w:sz w:val="22"/>
                <w:highlight w:val="none"/>
              </w:rPr>
            </w:pPr>
            <w:r>
              <w:rPr>
                <w:rFonts w:cs="Times New Roman"/>
                <w:color w:val="auto"/>
                <w:highlight w:val="none"/>
              </w:rPr>
              <w:t>图2-</w:t>
            </w:r>
            <w:r>
              <w:rPr>
                <w:rFonts w:hint="eastAsia" w:cs="Times New Roman"/>
                <w:color w:val="auto"/>
                <w:highlight w:val="none"/>
                <w:lang w:val="en-US" w:eastAsia="zh-CN"/>
              </w:rPr>
              <w:t>7</w:t>
            </w:r>
            <w:r>
              <w:rPr>
                <w:rFonts w:cs="Times New Roman"/>
                <w:color w:val="auto"/>
                <w:highlight w:val="none"/>
              </w:rPr>
              <w:t xml:space="preserve"> 水泥稳定材料生产线工艺流程图</w:t>
            </w:r>
          </w:p>
          <w:p w14:paraId="130DA4D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cs="Times New Roman"/>
                <w:color w:val="auto"/>
                <w:highlight w:val="none"/>
              </w:rPr>
            </w:pPr>
            <w:r>
              <w:rPr>
                <w:rFonts w:cs="Times New Roman"/>
                <w:color w:val="auto"/>
                <w:highlight w:val="none"/>
              </w:rPr>
              <w:t>工艺流程简述：</w:t>
            </w:r>
          </w:p>
          <w:p w14:paraId="0FCEF18C">
            <w:pPr>
              <w:numPr>
                <w:ilvl w:val="0"/>
                <w:numId w:val="0"/>
              </w:numPr>
              <w:ind w:firstLine="480" w:firstLineChars="200"/>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cs="Times New Roman"/>
                <w:color w:val="auto"/>
                <w:highlight w:val="none"/>
              </w:rPr>
              <w:t>原料：外购生产所需的水泥</w:t>
            </w:r>
            <w:r>
              <w:rPr>
                <w:rFonts w:hint="eastAsia" w:cs="Times New Roman"/>
                <w:color w:val="auto"/>
                <w:highlight w:val="none"/>
                <w:lang w:val="en-US" w:eastAsia="zh-CN"/>
              </w:rPr>
              <w:t>和</w:t>
            </w:r>
            <w:r>
              <w:rPr>
                <w:rFonts w:hint="eastAsia" w:cs="Times New Roman"/>
                <w:color w:val="auto"/>
                <w:sz w:val="24"/>
                <w:szCs w:val="24"/>
                <w:highlight w:val="none"/>
                <w:lang w:eastAsia="zh-CN"/>
              </w:rPr>
              <w:t>再生骨料。</w:t>
            </w:r>
            <w:r>
              <w:rPr>
                <w:rFonts w:hint="eastAsia" w:ascii="Times New Roman" w:hAnsi="Times New Roman" w:eastAsia="宋体" w:cs="Times New Roman"/>
                <w:color w:val="auto"/>
                <w:sz w:val="24"/>
                <w:szCs w:val="24"/>
                <w:highlight w:val="none"/>
                <w:lang w:val="en-US" w:eastAsia="zh-CN"/>
              </w:rPr>
              <w:t>水泥由罐车运至</w:t>
            </w:r>
            <w:r>
              <w:rPr>
                <w:rFonts w:hint="eastAsia" w:eastAsia="宋体" w:cs="Times New Roman"/>
                <w:color w:val="auto"/>
                <w:sz w:val="24"/>
                <w:szCs w:val="24"/>
                <w:highlight w:val="none"/>
                <w:lang w:val="en-US" w:eastAsia="zh-CN"/>
              </w:rPr>
              <w:t>厂内通过气力输送进入筒仓</w:t>
            </w:r>
            <w:r>
              <w:rPr>
                <w:rFonts w:hint="eastAsia" w:ascii="Times New Roman" w:hAnsi="Times New Roman" w:eastAsia="宋体" w:cs="Times New Roman"/>
                <w:color w:val="auto"/>
                <w:sz w:val="24"/>
                <w:szCs w:val="24"/>
                <w:highlight w:val="none"/>
                <w:lang w:val="en-US" w:eastAsia="zh-CN"/>
              </w:rPr>
              <w:t>储存</w:t>
            </w:r>
            <w:r>
              <w:rPr>
                <w:rFonts w:hint="eastAsia" w:cs="Times New Roman"/>
                <w:color w:val="auto"/>
                <w:highlight w:val="none"/>
              </w:rPr>
              <w:t>。此过程会产生车辆运输废气、装卸堆存废气、筒仓呼吸废气。</w:t>
            </w:r>
          </w:p>
          <w:p w14:paraId="24D1EC48">
            <w:pPr>
              <w:numPr>
                <w:ilvl w:val="0"/>
                <w:numId w:val="0"/>
              </w:numPr>
              <w:ind w:firstLine="480" w:firstLineChars="200"/>
              <w:rPr>
                <w:rFonts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2</w:t>
            </w:r>
            <w:r>
              <w:rPr>
                <w:rFonts w:hint="eastAsia" w:cs="Times New Roman"/>
                <w:color w:val="auto"/>
                <w:highlight w:val="none"/>
                <w:lang w:eastAsia="zh-CN"/>
              </w:rPr>
              <w:t>）</w:t>
            </w:r>
            <w:r>
              <w:rPr>
                <w:rFonts w:cs="Times New Roman"/>
                <w:color w:val="auto"/>
                <w:highlight w:val="none"/>
              </w:rPr>
              <w:t>物料计量：</w:t>
            </w:r>
            <w:r>
              <w:rPr>
                <w:rFonts w:hint="eastAsia" w:cs="Times New Roman"/>
                <w:color w:val="auto"/>
                <w:highlight w:val="none"/>
                <w:lang w:val="en-US" w:eastAsia="zh-CN"/>
              </w:rPr>
              <w:t>骨料由装载机运输至配料机上料口上料，上料后通过配料机进行配料、计量后由料斗通过提升机提升至搅拌机上方投料；</w:t>
            </w:r>
            <w:r>
              <w:rPr>
                <w:rFonts w:hint="eastAsia" w:ascii="Times New Roman" w:hAnsi="Times New Roman" w:eastAsia="宋体" w:cs="Times New Roman"/>
                <w:color w:val="auto"/>
                <w:sz w:val="24"/>
                <w:szCs w:val="24"/>
                <w:highlight w:val="none"/>
                <w:lang w:eastAsia="zh-CN"/>
              </w:rPr>
              <w:t>水泥从水泥</w:t>
            </w:r>
            <w:r>
              <w:rPr>
                <w:rFonts w:hint="eastAsia" w:eastAsia="宋体" w:cs="Times New Roman"/>
                <w:color w:val="auto"/>
                <w:sz w:val="24"/>
                <w:szCs w:val="24"/>
                <w:highlight w:val="none"/>
                <w:lang w:val="en-US" w:eastAsia="zh-CN"/>
              </w:rPr>
              <w:t>筒</w:t>
            </w:r>
            <w:r>
              <w:rPr>
                <w:rFonts w:hint="eastAsia" w:ascii="Times New Roman" w:hAnsi="Times New Roman" w:eastAsia="宋体" w:cs="Times New Roman"/>
                <w:color w:val="auto"/>
                <w:sz w:val="24"/>
                <w:szCs w:val="24"/>
                <w:highlight w:val="none"/>
                <w:lang w:eastAsia="zh-CN"/>
              </w:rPr>
              <w:t>仓经</w:t>
            </w:r>
            <w:r>
              <w:rPr>
                <w:rFonts w:hint="eastAsia" w:cs="Times New Roman"/>
                <w:color w:val="auto"/>
                <w:sz w:val="24"/>
                <w:szCs w:val="24"/>
                <w:highlight w:val="none"/>
                <w:lang w:eastAsia="zh-CN"/>
              </w:rPr>
              <w:t>封闭</w:t>
            </w:r>
            <w:r>
              <w:rPr>
                <w:rFonts w:hint="eastAsia" w:ascii="Times New Roman" w:hAnsi="Times New Roman" w:eastAsia="宋体" w:cs="Times New Roman"/>
                <w:color w:val="auto"/>
                <w:sz w:val="24"/>
                <w:szCs w:val="24"/>
                <w:highlight w:val="none"/>
                <w:lang w:eastAsia="zh-CN"/>
              </w:rPr>
              <w:t>螺旋输送机输送至搅拌机</w:t>
            </w:r>
            <w:r>
              <w:rPr>
                <w:rFonts w:cs="Times New Roman"/>
                <w:color w:val="auto"/>
                <w:highlight w:val="none"/>
              </w:rPr>
              <w:t>。</w:t>
            </w:r>
          </w:p>
          <w:p w14:paraId="62AB1710">
            <w:pPr>
              <w:ind w:firstLine="480" w:firstLineChars="200"/>
              <w:rPr>
                <w:rFonts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lang w:eastAsia="zh-CN"/>
              </w:rPr>
              <w:t>）</w:t>
            </w:r>
            <w:r>
              <w:rPr>
                <w:rFonts w:cs="Times New Roman"/>
                <w:color w:val="auto"/>
                <w:highlight w:val="none"/>
              </w:rPr>
              <w:t>搅拌：将原材料和水按照比例和顺序加入</w:t>
            </w:r>
            <w:r>
              <w:rPr>
                <w:rFonts w:hint="eastAsia" w:cs="Times New Roman"/>
                <w:color w:val="auto"/>
                <w:highlight w:val="none"/>
                <w:lang w:val="en-US" w:eastAsia="zh-CN"/>
              </w:rPr>
              <w:t>搅拌机</w:t>
            </w:r>
            <w:r>
              <w:rPr>
                <w:rFonts w:cs="Times New Roman"/>
                <w:color w:val="auto"/>
                <w:highlight w:val="none"/>
              </w:rPr>
              <w:t>中进行搅拌，此过程会产生搅拌废气和噪声。</w:t>
            </w:r>
          </w:p>
          <w:p w14:paraId="65CABAB9">
            <w:pPr>
              <w:adjustRightInd w:val="0"/>
              <w:snapToGrid/>
              <w:spacing w:line="360" w:lineRule="auto"/>
              <w:ind w:firstLine="480" w:firstLineChars="200"/>
              <w:rPr>
                <w:rFonts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4</w:t>
            </w:r>
            <w:r>
              <w:rPr>
                <w:rFonts w:hint="eastAsia" w:cs="Times New Roman"/>
                <w:color w:val="auto"/>
                <w:highlight w:val="none"/>
                <w:lang w:eastAsia="zh-CN"/>
              </w:rPr>
              <w:t>）</w:t>
            </w:r>
            <w:r>
              <w:rPr>
                <w:rFonts w:cs="Times New Roman"/>
                <w:color w:val="auto"/>
                <w:highlight w:val="none"/>
              </w:rPr>
              <w:t>外运：搅拌合格的产品，通过传送带运输至装卸台进入运输车送至建筑工地</w:t>
            </w:r>
            <w:r>
              <w:rPr>
                <w:rFonts w:hint="eastAsia" w:cs="Times New Roman"/>
                <w:color w:val="auto"/>
                <w:highlight w:val="none"/>
                <w:lang w:eastAsia="zh-CN"/>
              </w:rPr>
              <w:t>，</w:t>
            </w:r>
            <w:r>
              <w:rPr>
                <w:rFonts w:hint="eastAsia" w:cs="Times New Roman"/>
                <w:color w:val="auto"/>
                <w:highlight w:val="none"/>
                <w:lang w:val="en-US" w:eastAsia="zh-CN"/>
              </w:rPr>
              <w:t>不在厂内存放</w:t>
            </w:r>
            <w:r>
              <w:rPr>
                <w:rFonts w:cs="Times New Roman"/>
                <w:color w:val="auto"/>
                <w:highlight w:val="none"/>
              </w:rPr>
              <w:t>。此过程会产生车辆运输废气和噪声。</w:t>
            </w:r>
          </w:p>
          <w:p w14:paraId="31F341F4">
            <w:pPr>
              <w:autoSpaceDE w:val="0"/>
              <w:autoSpaceDN w:val="0"/>
              <w:spacing w:line="240" w:lineRule="auto"/>
              <w:jc w:val="center"/>
              <w:rPr>
                <w:rFonts w:cs="Times New Roman"/>
                <w:b/>
                <w:color w:val="auto"/>
                <w:sz w:val="21"/>
                <w:szCs w:val="21"/>
                <w:highlight w:val="none"/>
                <w:lang w:val="zh-CN" w:bidi="zh-CN"/>
              </w:rPr>
            </w:pPr>
            <w:r>
              <w:rPr>
                <w:rFonts w:cs="Times New Roman"/>
                <w:b/>
                <w:color w:val="auto"/>
                <w:sz w:val="21"/>
                <w:szCs w:val="21"/>
                <w:highlight w:val="none"/>
                <w:lang w:val="zh-CN" w:bidi="zh-CN"/>
              </w:rPr>
              <w:t>表2</w:t>
            </w:r>
            <w:r>
              <w:rPr>
                <w:rFonts w:hint="eastAsia" w:cs="Times New Roman"/>
                <w:b/>
                <w:color w:val="auto"/>
                <w:sz w:val="21"/>
                <w:szCs w:val="21"/>
                <w:highlight w:val="none"/>
                <w:lang w:val="en-US" w:bidi="zh-CN"/>
              </w:rPr>
              <w:t>-9</w:t>
            </w:r>
            <w:r>
              <w:rPr>
                <w:rFonts w:cs="Times New Roman"/>
                <w:b/>
                <w:color w:val="auto"/>
                <w:sz w:val="21"/>
                <w:szCs w:val="21"/>
                <w:highlight w:val="none"/>
                <w:lang w:val="zh-CN" w:bidi="zh-CN"/>
              </w:rPr>
              <w:t xml:space="preserve"> 项目生产工序及产排污环节一览表</w:t>
            </w:r>
          </w:p>
          <w:tbl>
            <w:tblPr>
              <w:tblStyle w:val="24"/>
              <w:tblW w:w="499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842"/>
              <w:gridCol w:w="1692"/>
              <w:gridCol w:w="3929"/>
            </w:tblGrid>
            <w:tr w14:paraId="5FE2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tcBorders>
                    <w:tl2br w:val="nil"/>
                    <w:tr2bl w:val="nil"/>
                  </w:tcBorders>
                  <w:vAlign w:val="center"/>
                </w:tcPr>
                <w:p w14:paraId="7DFC1D64">
                  <w:pPr>
                    <w:widowControl/>
                    <w:adjustRightInd w:val="0"/>
                    <w:snapToGrid w:val="0"/>
                    <w:spacing w:line="240" w:lineRule="auto"/>
                    <w:jc w:val="center"/>
                    <w:rPr>
                      <w:rFonts w:cs="Times New Roman"/>
                      <w:b/>
                      <w:bCs/>
                      <w:color w:val="auto"/>
                      <w:kern w:val="0"/>
                      <w:sz w:val="21"/>
                      <w:szCs w:val="21"/>
                      <w:highlight w:val="none"/>
                      <w:lang w:bidi="ar"/>
                    </w:rPr>
                  </w:pPr>
                  <w:r>
                    <w:rPr>
                      <w:rFonts w:cs="Times New Roman"/>
                      <w:b/>
                      <w:bCs/>
                      <w:color w:val="auto"/>
                      <w:kern w:val="0"/>
                      <w:sz w:val="21"/>
                      <w:szCs w:val="21"/>
                      <w:highlight w:val="none"/>
                      <w:lang w:bidi="ar"/>
                    </w:rPr>
                    <w:t>类别</w:t>
                  </w:r>
                </w:p>
              </w:tc>
              <w:tc>
                <w:tcPr>
                  <w:tcW w:w="1532" w:type="pct"/>
                  <w:tcBorders>
                    <w:tl2br w:val="nil"/>
                    <w:tr2bl w:val="nil"/>
                  </w:tcBorders>
                  <w:vAlign w:val="center"/>
                </w:tcPr>
                <w:p w14:paraId="74039C53">
                  <w:pPr>
                    <w:widowControl/>
                    <w:adjustRightInd w:val="0"/>
                    <w:snapToGrid w:val="0"/>
                    <w:spacing w:line="240" w:lineRule="auto"/>
                    <w:jc w:val="center"/>
                    <w:rPr>
                      <w:rFonts w:cs="Times New Roman"/>
                      <w:b/>
                      <w:bCs/>
                      <w:color w:val="auto"/>
                      <w:kern w:val="0"/>
                      <w:sz w:val="21"/>
                      <w:szCs w:val="21"/>
                      <w:highlight w:val="none"/>
                      <w:lang w:bidi="ar"/>
                    </w:rPr>
                  </w:pPr>
                  <w:r>
                    <w:rPr>
                      <w:rFonts w:cs="Times New Roman"/>
                      <w:b/>
                      <w:bCs/>
                      <w:color w:val="auto"/>
                      <w:kern w:val="0"/>
                      <w:sz w:val="21"/>
                      <w:szCs w:val="21"/>
                      <w:highlight w:val="none"/>
                      <w:lang w:bidi="ar"/>
                    </w:rPr>
                    <w:t>产污环节</w:t>
                  </w:r>
                </w:p>
              </w:tc>
              <w:tc>
                <w:tcPr>
                  <w:tcW w:w="912" w:type="pct"/>
                  <w:tcBorders>
                    <w:tl2br w:val="nil"/>
                    <w:tr2bl w:val="nil"/>
                  </w:tcBorders>
                  <w:vAlign w:val="center"/>
                </w:tcPr>
                <w:p w14:paraId="22F6D330">
                  <w:pPr>
                    <w:widowControl/>
                    <w:adjustRightInd w:val="0"/>
                    <w:snapToGrid w:val="0"/>
                    <w:spacing w:line="240" w:lineRule="auto"/>
                    <w:jc w:val="center"/>
                    <w:rPr>
                      <w:rFonts w:cs="Times New Roman"/>
                      <w:b/>
                      <w:bCs/>
                      <w:color w:val="auto"/>
                      <w:kern w:val="0"/>
                      <w:sz w:val="21"/>
                      <w:szCs w:val="21"/>
                      <w:highlight w:val="none"/>
                      <w:lang w:bidi="ar"/>
                    </w:rPr>
                  </w:pPr>
                  <w:r>
                    <w:rPr>
                      <w:rFonts w:cs="Times New Roman"/>
                      <w:b/>
                      <w:bCs/>
                      <w:color w:val="auto"/>
                      <w:kern w:val="0"/>
                      <w:sz w:val="21"/>
                      <w:szCs w:val="21"/>
                      <w:highlight w:val="none"/>
                      <w:lang w:bidi="ar"/>
                    </w:rPr>
                    <w:t>污染物类型</w:t>
                  </w:r>
                </w:p>
              </w:tc>
              <w:tc>
                <w:tcPr>
                  <w:tcW w:w="2118" w:type="pct"/>
                  <w:tcBorders>
                    <w:tl2br w:val="nil"/>
                    <w:tr2bl w:val="nil"/>
                  </w:tcBorders>
                  <w:vAlign w:val="center"/>
                </w:tcPr>
                <w:p w14:paraId="62BB50B6">
                  <w:pPr>
                    <w:widowControl/>
                    <w:adjustRightInd w:val="0"/>
                    <w:snapToGrid w:val="0"/>
                    <w:spacing w:line="240" w:lineRule="auto"/>
                    <w:jc w:val="center"/>
                    <w:rPr>
                      <w:rFonts w:cs="Times New Roman"/>
                      <w:b/>
                      <w:bCs/>
                      <w:color w:val="auto"/>
                      <w:kern w:val="0"/>
                      <w:sz w:val="21"/>
                      <w:szCs w:val="21"/>
                      <w:highlight w:val="none"/>
                      <w:lang w:bidi="ar"/>
                    </w:rPr>
                  </w:pPr>
                  <w:r>
                    <w:rPr>
                      <w:rFonts w:cs="Times New Roman"/>
                      <w:b/>
                      <w:bCs/>
                      <w:color w:val="auto"/>
                      <w:kern w:val="0"/>
                      <w:sz w:val="21"/>
                      <w:szCs w:val="21"/>
                      <w:highlight w:val="none"/>
                      <w:lang w:bidi="ar"/>
                    </w:rPr>
                    <w:t>污染因子</w:t>
                  </w:r>
                </w:p>
              </w:tc>
            </w:tr>
            <w:tr w14:paraId="429A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restart"/>
                  <w:tcBorders>
                    <w:tl2br w:val="nil"/>
                    <w:tr2bl w:val="nil"/>
                  </w:tcBorders>
                  <w:vAlign w:val="center"/>
                </w:tcPr>
                <w:p w14:paraId="5C108F79">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废气</w:t>
                  </w:r>
                </w:p>
              </w:tc>
              <w:tc>
                <w:tcPr>
                  <w:tcW w:w="1532" w:type="pct"/>
                  <w:tcBorders>
                    <w:tl2br w:val="nil"/>
                    <w:tr2bl w:val="nil"/>
                  </w:tcBorders>
                  <w:vAlign w:val="center"/>
                </w:tcPr>
                <w:p w14:paraId="0B79CEAB">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车辆运输</w:t>
                  </w:r>
                </w:p>
              </w:tc>
              <w:tc>
                <w:tcPr>
                  <w:tcW w:w="912" w:type="pct"/>
                  <w:tcBorders>
                    <w:tl2br w:val="nil"/>
                    <w:tr2bl w:val="nil"/>
                  </w:tcBorders>
                  <w:vAlign w:val="center"/>
                </w:tcPr>
                <w:p w14:paraId="28A56F11">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粉尘</w:t>
                  </w:r>
                </w:p>
              </w:tc>
              <w:tc>
                <w:tcPr>
                  <w:tcW w:w="2118" w:type="pct"/>
                  <w:tcBorders>
                    <w:tl2br w:val="nil"/>
                    <w:tr2bl w:val="nil"/>
                  </w:tcBorders>
                  <w:vAlign w:val="center"/>
                </w:tcPr>
                <w:p w14:paraId="6AD20019">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2909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671927D3">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33E560E3">
                  <w:pPr>
                    <w:widowControl/>
                    <w:adjustRightInd w:val="0"/>
                    <w:snapToGrid w:val="0"/>
                    <w:spacing w:line="240" w:lineRule="auto"/>
                    <w:jc w:val="center"/>
                    <w:rPr>
                      <w:rFonts w:eastAsia="宋体" w:cs="Times New Roman"/>
                      <w:color w:val="auto"/>
                      <w:kern w:val="0"/>
                      <w:sz w:val="21"/>
                      <w:szCs w:val="21"/>
                      <w:highlight w:val="none"/>
                      <w:lang w:bidi="ar"/>
                    </w:rPr>
                  </w:pPr>
                  <w:r>
                    <w:rPr>
                      <w:rFonts w:cs="Times New Roman"/>
                      <w:color w:val="auto"/>
                      <w:kern w:val="0"/>
                      <w:sz w:val="21"/>
                      <w:szCs w:val="21"/>
                      <w:highlight w:val="none"/>
                      <w:lang w:bidi="ar"/>
                    </w:rPr>
                    <w:t>物料装卸和堆存</w:t>
                  </w:r>
                </w:p>
              </w:tc>
              <w:tc>
                <w:tcPr>
                  <w:tcW w:w="912" w:type="pct"/>
                  <w:tcBorders>
                    <w:tl2br w:val="nil"/>
                    <w:tr2bl w:val="nil"/>
                  </w:tcBorders>
                  <w:vAlign w:val="center"/>
                </w:tcPr>
                <w:p w14:paraId="5F458194">
                  <w:pPr>
                    <w:widowControl/>
                    <w:adjustRightInd w:val="0"/>
                    <w:snapToGrid w:val="0"/>
                    <w:spacing w:line="240" w:lineRule="auto"/>
                    <w:jc w:val="center"/>
                    <w:rPr>
                      <w:rFonts w:eastAsia="宋体" w:cs="Times New Roman"/>
                      <w:color w:val="auto"/>
                      <w:kern w:val="0"/>
                      <w:sz w:val="21"/>
                      <w:szCs w:val="21"/>
                      <w:highlight w:val="none"/>
                      <w:lang w:bidi="ar"/>
                    </w:rPr>
                  </w:pPr>
                  <w:r>
                    <w:rPr>
                      <w:rFonts w:hint="eastAsia" w:ascii="Times New Roman" w:hAnsi="Times New Roman" w:eastAsia="宋体" w:cs="Times New Roman"/>
                      <w:b w:val="0"/>
                      <w:color w:val="auto"/>
                      <w:kern w:val="2"/>
                      <w:sz w:val="21"/>
                      <w:szCs w:val="21"/>
                      <w:highlight w:val="none"/>
                      <w:vertAlign w:val="baseline"/>
                      <w:lang w:val="en-US" w:eastAsia="zh-CN" w:bidi="ar-SA"/>
                    </w:rPr>
                    <w:t>粉尘</w:t>
                  </w:r>
                </w:p>
              </w:tc>
              <w:tc>
                <w:tcPr>
                  <w:tcW w:w="2118" w:type="pct"/>
                  <w:tcBorders>
                    <w:tl2br w:val="nil"/>
                    <w:tr2bl w:val="nil"/>
                  </w:tcBorders>
                  <w:vAlign w:val="center"/>
                </w:tcPr>
                <w:p w14:paraId="123EC1F6">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7F5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588837CC">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579F2723">
                  <w:pPr>
                    <w:widowControl/>
                    <w:adjustRightInd w:val="0"/>
                    <w:snapToGrid w:val="0"/>
                    <w:spacing w:line="240" w:lineRule="auto"/>
                    <w:jc w:val="center"/>
                    <w:rPr>
                      <w:rFonts w:hint="default" w:cs="Times New Roman" w:eastAsiaTheme="minorEastAsia"/>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破碎、筛分工序</w:t>
                  </w:r>
                </w:p>
              </w:tc>
              <w:tc>
                <w:tcPr>
                  <w:tcW w:w="912" w:type="pct"/>
                  <w:tcBorders>
                    <w:tl2br w:val="nil"/>
                    <w:tr2bl w:val="nil"/>
                  </w:tcBorders>
                  <w:vAlign w:val="center"/>
                </w:tcPr>
                <w:p w14:paraId="01F37459">
                  <w:pPr>
                    <w:widowControl/>
                    <w:adjustRightInd w:val="0"/>
                    <w:snapToGrid w:val="0"/>
                    <w:spacing w:line="240" w:lineRule="auto"/>
                    <w:jc w:val="center"/>
                    <w:rPr>
                      <w:rFonts w:hint="default" w:cs="Times New Roman" w:eastAsiaTheme="minorEastAsia"/>
                      <w:color w:val="auto"/>
                      <w:kern w:val="0"/>
                      <w:sz w:val="21"/>
                      <w:szCs w:val="21"/>
                      <w:highlight w:val="none"/>
                      <w:lang w:val="en-US" w:eastAsia="zh-CN" w:bidi="ar"/>
                    </w:rPr>
                  </w:pPr>
                  <w:r>
                    <w:rPr>
                      <w:rFonts w:cs="Times New Roman"/>
                      <w:color w:val="auto"/>
                      <w:kern w:val="0"/>
                      <w:sz w:val="21"/>
                      <w:szCs w:val="21"/>
                      <w:highlight w:val="none"/>
                      <w:lang w:bidi="ar"/>
                    </w:rPr>
                    <w:t>粉尘</w:t>
                  </w:r>
                </w:p>
              </w:tc>
              <w:tc>
                <w:tcPr>
                  <w:tcW w:w="2118" w:type="pct"/>
                  <w:tcBorders>
                    <w:tl2br w:val="nil"/>
                    <w:tr2bl w:val="nil"/>
                  </w:tcBorders>
                  <w:vAlign w:val="center"/>
                </w:tcPr>
                <w:p w14:paraId="7200F4D4">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3122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6CA11859">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6E87A66F">
                  <w:pPr>
                    <w:widowControl/>
                    <w:adjustRightInd w:val="0"/>
                    <w:snapToGrid w:val="0"/>
                    <w:spacing w:line="240" w:lineRule="auto"/>
                    <w:jc w:val="center"/>
                    <w:rPr>
                      <w:rFonts w:cs="Times New Roman"/>
                      <w:color w:val="auto"/>
                      <w:kern w:val="0"/>
                      <w:sz w:val="21"/>
                      <w:szCs w:val="21"/>
                      <w:highlight w:val="none"/>
                      <w:lang w:bidi="ar"/>
                    </w:rPr>
                  </w:pPr>
                  <w:r>
                    <w:rPr>
                      <w:rFonts w:hint="eastAsia" w:cs="Times New Roman"/>
                      <w:color w:val="auto"/>
                      <w:kern w:val="0"/>
                      <w:sz w:val="21"/>
                      <w:szCs w:val="21"/>
                      <w:highlight w:val="none"/>
                      <w:lang w:val="en-US" w:eastAsia="zh-CN" w:bidi="ar"/>
                    </w:rPr>
                    <w:t>水泥</w:t>
                  </w:r>
                  <w:r>
                    <w:rPr>
                      <w:rFonts w:cs="Times New Roman"/>
                      <w:color w:val="auto"/>
                      <w:kern w:val="0"/>
                      <w:sz w:val="21"/>
                      <w:szCs w:val="21"/>
                      <w:highlight w:val="none"/>
                      <w:lang w:bidi="ar"/>
                    </w:rPr>
                    <w:t>筒仓呼吸</w:t>
                  </w:r>
                </w:p>
              </w:tc>
              <w:tc>
                <w:tcPr>
                  <w:tcW w:w="912" w:type="pct"/>
                  <w:tcBorders>
                    <w:tl2br w:val="nil"/>
                    <w:tr2bl w:val="nil"/>
                  </w:tcBorders>
                  <w:vAlign w:val="center"/>
                </w:tcPr>
                <w:p w14:paraId="625A33B2">
                  <w:pPr>
                    <w:widowControl/>
                    <w:adjustRightInd w:val="0"/>
                    <w:snapToGrid w:val="0"/>
                    <w:spacing w:line="240" w:lineRule="auto"/>
                    <w:jc w:val="center"/>
                    <w:rPr>
                      <w:rFonts w:cs="Times New Roman"/>
                      <w:color w:val="auto"/>
                      <w:kern w:val="0"/>
                      <w:sz w:val="21"/>
                      <w:szCs w:val="21"/>
                      <w:highlight w:val="none"/>
                      <w:lang w:bidi="ar"/>
                    </w:rPr>
                  </w:pPr>
                  <w:r>
                    <w:rPr>
                      <w:rFonts w:hint="eastAsia" w:ascii="Times New Roman" w:hAnsi="Times New Roman" w:eastAsia="宋体" w:cs="Times New Roman"/>
                      <w:b w:val="0"/>
                      <w:color w:val="auto"/>
                      <w:kern w:val="2"/>
                      <w:sz w:val="21"/>
                      <w:szCs w:val="21"/>
                      <w:highlight w:val="none"/>
                      <w:vertAlign w:val="baseline"/>
                      <w:lang w:val="en-US" w:eastAsia="zh-CN" w:bidi="ar-SA"/>
                    </w:rPr>
                    <w:t>粉尘</w:t>
                  </w:r>
                </w:p>
              </w:tc>
              <w:tc>
                <w:tcPr>
                  <w:tcW w:w="2118" w:type="pct"/>
                  <w:tcBorders>
                    <w:tl2br w:val="nil"/>
                    <w:tr2bl w:val="nil"/>
                  </w:tcBorders>
                  <w:vAlign w:val="center"/>
                </w:tcPr>
                <w:p w14:paraId="5E798070">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5253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638437C7">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08C9CB41">
                  <w:pPr>
                    <w:widowControl/>
                    <w:adjustRightInd w:val="0"/>
                    <w:snapToGrid w:val="0"/>
                    <w:spacing w:line="240" w:lineRule="auto"/>
                    <w:jc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物料输送</w:t>
                  </w:r>
                </w:p>
              </w:tc>
              <w:tc>
                <w:tcPr>
                  <w:tcW w:w="912" w:type="pct"/>
                  <w:tcBorders>
                    <w:tl2br w:val="nil"/>
                    <w:tr2bl w:val="nil"/>
                  </w:tcBorders>
                  <w:vAlign w:val="center"/>
                </w:tcPr>
                <w:p w14:paraId="73B87F33">
                  <w:pPr>
                    <w:widowControl/>
                    <w:adjustRightInd w:val="0"/>
                    <w:snapToGrid w:val="0"/>
                    <w:spacing w:line="240" w:lineRule="auto"/>
                    <w:jc w:val="center"/>
                    <w:rPr>
                      <w:rFonts w:eastAsia="宋体" w:cs="Times New Roman"/>
                      <w:color w:val="auto"/>
                      <w:kern w:val="0"/>
                      <w:sz w:val="21"/>
                      <w:szCs w:val="21"/>
                      <w:highlight w:val="none"/>
                      <w:lang w:bidi="ar"/>
                    </w:rPr>
                  </w:pPr>
                  <w:r>
                    <w:rPr>
                      <w:rFonts w:cs="Times New Roman"/>
                      <w:color w:val="auto"/>
                      <w:kern w:val="0"/>
                      <w:sz w:val="21"/>
                      <w:szCs w:val="21"/>
                      <w:highlight w:val="none"/>
                      <w:lang w:bidi="ar"/>
                    </w:rPr>
                    <w:t>粉尘</w:t>
                  </w:r>
                </w:p>
              </w:tc>
              <w:tc>
                <w:tcPr>
                  <w:tcW w:w="2118" w:type="pct"/>
                  <w:tcBorders>
                    <w:tl2br w:val="nil"/>
                    <w:tr2bl w:val="nil"/>
                  </w:tcBorders>
                  <w:vAlign w:val="center"/>
                </w:tcPr>
                <w:p w14:paraId="747A1DF7">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62A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53BE9DE2">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2BF49ADE">
                  <w:pPr>
                    <w:widowControl/>
                    <w:adjustRightInd w:val="0"/>
                    <w:snapToGrid w:val="0"/>
                    <w:spacing w:line="240" w:lineRule="auto"/>
                    <w:jc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物料搅拌</w:t>
                  </w:r>
                </w:p>
              </w:tc>
              <w:tc>
                <w:tcPr>
                  <w:tcW w:w="912" w:type="pct"/>
                  <w:tcBorders>
                    <w:tl2br w:val="nil"/>
                    <w:tr2bl w:val="nil"/>
                  </w:tcBorders>
                  <w:vAlign w:val="center"/>
                </w:tcPr>
                <w:p w14:paraId="1EC4A868">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粉尘</w:t>
                  </w:r>
                </w:p>
              </w:tc>
              <w:tc>
                <w:tcPr>
                  <w:tcW w:w="2118" w:type="pct"/>
                  <w:tcBorders>
                    <w:tl2br w:val="nil"/>
                    <w:tr2bl w:val="nil"/>
                  </w:tcBorders>
                  <w:vAlign w:val="center"/>
                </w:tcPr>
                <w:p w14:paraId="35178B68">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颗粒物</w:t>
                  </w:r>
                </w:p>
              </w:tc>
            </w:tr>
            <w:tr w14:paraId="0037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restart"/>
                  <w:tcBorders>
                    <w:tl2br w:val="nil"/>
                    <w:tr2bl w:val="nil"/>
                  </w:tcBorders>
                  <w:vAlign w:val="center"/>
                </w:tcPr>
                <w:p w14:paraId="7CFE32B1">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废水</w:t>
                  </w:r>
                </w:p>
              </w:tc>
              <w:tc>
                <w:tcPr>
                  <w:tcW w:w="1532" w:type="pct"/>
                  <w:tcBorders>
                    <w:tl2br w:val="nil"/>
                    <w:tr2bl w:val="nil"/>
                  </w:tcBorders>
                  <w:vAlign w:val="center"/>
                </w:tcPr>
                <w:p w14:paraId="53601679">
                  <w:pPr>
                    <w:widowControl/>
                    <w:adjustRightInd w:val="0"/>
                    <w:snapToGrid w:val="0"/>
                    <w:spacing w:line="240" w:lineRule="auto"/>
                    <w:jc w:val="center"/>
                    <w:rPr>
                      <w:rFonts w:hint="eastAsia" w:cs="Times New Roman" w:eastAsiaTheme="minorEastAsia"/>
                      <w:color w:val="auto"/>
                      <w:kern w:val="0"/>
                      <w:sz w:val="21"/>
                      <w:szCs w:val="21"/>
                      <w:highlight w:val="none"/>
                      <w:lang w:eastAsia="zh-CN" w:bidi="ar"/>
                    </w:rPr>
                  </w:pPr>
                  <w:r>
                    <w:rPr>
                      <w:rFonts w:hint="eastAsia" w:cs="Times New Roman"/>
                      <w:color w:val="auto"/>
                      <w:kern w:val="0"/>
                      <w:sz w:val="21"/>
                      <w:szCs w:val="21"/>
                      <w:highlight w:val="none"/>
                      <w:lang w:eastAsia="zh-CN" w:bidi="ar"/>
                    </w:rPr>
                    <w:t>职工生活</w:t>
                  </w:r>
                </w:p>
              </w:tc>
              <w:tc>
                <w:tcPr>
                  <w:tcW w:w="912" w:type="pct"/>
                  <w:tcBorders>
                    <w:tl2br w:val="nil"/>
                    <w:tr2bl w:val="nil"/>
                  </w:tcBorders>
                  <w:vAlign w:val="center"/>
                </w:tcPr>
                <w:p w14:paraId="11F15499">
                  <w:pPr>
                    <w:widowControl/>
                    <w:adjustRightInd w:val="0"/>
                    <w:snapToGrid w:val="0"/>
                    <w:spacing w:line="240" w:lineRule="auto"/>
                    <w:jc w:val="center"/>
                    <w:rPr>
                      <w:rFonts w:cs="Times New Roman"/>
                      <w:color w:val="auto"/>
                      <w:kern w:val="0"/>
                      <w:sz w:val="21"/>
                      <w:szCs w:val="21"/>
                      <w:highlight w:val="none"/>
                      <w:lang w:bidi="ar"/>
                    </w:rPr>
                  </w:pPr>
                  <w:r>
                    <w:rPr>
                      <w:rFonts w:hint="eastAsia" w:cs="Times New Roman"/>
                      <w:color w:val="auto"/>
                      <w:kern w:val="0"/>
                      <w:sz w:val="21"/>
                      <w:szCs w:val="21"/>
                      <w:highlight w:val="none"/>
                      <w:lang w:eastAsia="zh-CN" w:bidi="ar"/>
                    </w:rPr>
                    <w:t>生活污水</w:t>
                  </w:r>
                </w:p>
              </w:tc>
              <w:tc>
                <w:tcPr>
                  <w:tcW w:w="2118" w:type="pct"/>
                  <w:tcBorders>
                    <w:tl2br w:val="nil"/>
                    <w:tr2bl w:val="nil"/>
                  </w:tcBorders>
                  <w:vAlign w:val="center"/>
                </w:tcPr>
                <w:p w14:paraId="521B9B58">
                  <w:pPr>
                    <w:widowControl/>
                    <w:adjustRightInd w:val="0"/>
                    <w:snapToGrid w:val="0"/>
                    <w:spacing w:line="240" w:lineRule="auto"/>
                    <w:jc w:val="center"/>
                    <w:rPr>
                      <w:rFonts w:eastAsia="宋体" w:cs="Times New Roman"/>
                      <w:color w:val="auto"/>
                      <w:kern w:val="0"/>
                      <w:sz w:val="21"/>
                      <w:szCs w:val="21"/>
                      <w:highlight w:val="none"/>
                      <w:lang w:bidi="ar"/>
                    </w:rPr>
                  </w:pPr>
                  <w:r>
                    <w:rPr>
                      <w:rFonts w:hint="default" w:eastAsia="宋体" w:cs="Times New Roman"/>
                      <w:color w:val="auto"/>
                      <w:kern w:val="0"/>
                      <w:sz w:val="21"/>
                      <w:szCs w:val="21"/>
                      <w:highlight w:val="none"/>
                      <w:lang w:val="en-US" w:eastAsia="zh-CN" w:bidi="ar"/>
                    </w:rPr>
                    <w:t>COD、BOD</w:t>
                  </w:r>
                  <w:r>
                    <w:rPr>
                      <w:rFonts w:hint="default" w:eastAsia="宋体" w:cs="Times New Roman"/>
                      <w:color w:val="auto"/>
                      <w:kern w:val="0"/>
                      <w:sz w:val="21"/>
                      <w:szCs w:val="21"/>
                      <w:highlight w:val="none"/>
                      <w:vertAlign w:val="subscript"/>
                      <w:lang w:val="en-US" w:eastAsia="zh-CN" w:bidi="ar"/>
                    </w:rPr>
                    <w:t>5</w:t>
                  </w:r>
                  <w:r>
                    <w:rPr>
                      <w:rFonts w:hint="default" w:eastAsia="宋体" w:cs="Times New Roman"/>
                      <w:color w:val="auto"/>
                      <w:kern w:val="0"/>
                      <w:sz w:val="21"/>
                      <w:szCs w:val="21"/>
                      <w:highlight w:val="none"/>
                      <w:lang w:val="en-US" w:eastAsia="zh-CN" w:bidi="ar"/>
                    </w:rPr>
                    <w:t>、SS、NH</w:t>
                  </w:r>
                  <w:r>
                    <w:rPr>
                      <w:rFonts w:hint="default" w:eastAsia="宋体" w:cs="Times New Roman"/>
                      <w:color w:val="auto"/>
                      <w:kern w:val="0"/>
                      <w:sz w:val="21"/>
                      <w:szCs w:val="21"/>
                      <w:highlight w:val="none"/>
                      <w:vertAlign w:val="subscript"/>
                      <w:lang w:val="en-US" w:eastAsia="zh-CN" w:bidi="ar"/>
                    </w:rPr>
                    <w:t>3</w:t>
                  </w:r>
                  <w:r>
                    <w:rPr>
                      <w:rFonts w:hint="default" w:eastAsia="宋体" w:cs="Times New Roman"/>
                      <w:color w:val="auto"/>
                      <w:kern w:val="0"/>
                      <w:sz w:val="21"/>
                      <w:szCs w:val="21"/>
                      <w:highlight w:val="none"/>
                      <w:lang w:val="en-US" w:eastAsia="zh-CN" w:bidi="ar"/>
                    </w:rPr>
                    <w:t>-N等</w:t>
                  </w:r>
                </w:p>
              </w:tc>
            </w:tr>
            <w:tr w14:paraId="0B07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1A85575D">
                  <w:pPr>
                    <w:widowControl/>
                    <w:adjustRightInd w:val="0"/>
                    <w:snapToGrid w:val="0"/>
                    <w:spacing w:line="240" w:lineRule="auto"/>
                    <w:jc w:val="center"/>
                    <w:rPr>
                      <w:rFonts w:cs="Times New Roman"/>
                      <w:color w:val="auto"/>
                      <w:kern w:val="0"/>
                      <w:sz w:val="21"/>
                      <w:szCs w:val="21"/>
                      <w:highlight w:val="none"/>
                      <w:lang w:bidi="ar"/>
                    </w:rPr>
                  </w:pPr>
                </w:p>
              </w:tc>
              <w:tc>
                <w:tcPr>
                  <w:tcW w:w="1532" w:type="pct"/>
                  <w:tcBorders>
                    <w:tl2br w:val="nil"/>
                    <w:tr2bl w:val="nil"/>
                  </w:tcBorders>
                  <w:vAlign w:val="center"/>
                </w:tcPr>
                <w:p w14:paraId="53061EA4">
                  <w:pPr>
                    <w:widowControl/>
                    <w:adjustRightInd w:val="0"/>
                    <w:snapToGrid w:val="0"/>
                    <w:spacing w:line="240" w:lineRule="auto"/>
                    <w:jc w:val="center"/>
                    <w:rPr>
                      <w:rFonts w:eastAsia="宋体" w:cs="Times New Roman"/>
                      <w:color w:val="auto"/>
                      <w:kern w:val="0"/>
                      <w:sz w:val="21"/>
                      <w:szCs w:val="21"/>
                      <w:highlight w:val="none"/>
                      <w:lang w:bidi="ar"/>
                    </w:rPr>
                  </w:pPr>
                  <w:r>
                    <w:rPr>
                      <w:rFonts w:cs="Times New Roman"/>
                      <w:color w:val="auto"/>
                      <w:kern w:val="0"/>
                      <w:sz w:val="21"/>
                      <w:szCs w:val="21"/>
                      <w:highlight w:val="none"/>
                      <w:lang w:bidi="ar"/>
                    </w:rPr>
                    <w:t>车辆冲洗</w:t>
                  </w:r>
                </w:p>
              </w:tc>
              <w:tc>
                <w:tcPr>
                  <w:tcW w:w="912" w:type="pct"/>
                  <w:tcBorders>
                    <w:tl2br w:val="nil"/>
                    <w:tr2bl w:val="nil"/>
                  </w:tcBorders>
                  <w:vAlign w:val="center"/>
                </w:tcPr>
                <w:p w14:paraId="61A9CED7">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车辆冲洗废水</w:t>
                  </w:r>
                </w:p>
              </w:tc>
              <w:tc>
                <w:tcPr>
                  <w:tcW w:w="2118" w:type="pct"/>
                  <w:tcBorders>
                    <w:tl2br w:val="nil"/>
                    <w:tr2bl w:val="nil"/>
                  </w:tcBorders>
                  <w:vAlign w:val="center"/>
                </w:tcPr>
                <w:p w14:paraId="52E35307">
                  <w:pPr>
                    <w:widowControl/>
                    <w:adjustRightInd w:val="0"/>
                    <w:snapToGrid w:val="0"/>
                    <w:spacing w:line="240" w:lineRule="auto"/>
                    <w:jc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SS</w:t>
                  </w:r>
                </w:p>
              </w:tc>
            </w:tr>
            <w:tr w14:paraId="1785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tcBorders>
                    <w:tl2br w:val="nil"/>
                    <w:tr2bl w:val="nil"/>
                  </w:tcBorders>
                  <w:vAlign w:val="center"/>
                </w:tcPr>
                <w:p w14:paraId="037EB9F9">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噪声</w:t>
                  </w:r>
                </w:p>
              </w:tc>
              <w:tc>
                <w:tcPr>
                  <w:tcW w:w="1532" w:type="pct"/>
                  <w:tcBorders>
                    <w:tl2br w:val="nil"/>
                    <w:tr2bl w:val="nil"/>
                  </w:tcBorders>
                  <w:vAlign w:val="center"/>
                </w:tcPr>
                <w:p w14:paraId="509559A3">
                  <w:pPr>
                    <w:widowControl/>
                    <w:adjustRightInd w:val="0"/>
                    <w:snapToGrid w:val="0"/>
                    <w:spacing w:line="240" w:lineRule="auto"/>
                    <w:jc w:val="center"/>
                    <w:rPr>
                      <w:rFonts w:eastAsia="宋体" w:cs="Times New Roman"/>
                      <w:color w:val="auto"/>
                      <w:kern w:val="0"/>
                      <w:sz w:val="21"/>
                      <w:szCs w:val="21"/>
                      <w:highlight w:val="none"/>
                      <w:lang w:bidi="ar"/>
                    </w:rPr>
                  </w:pPr>
                  <w:r>
                    <w:rPr>
                      <w:rFonts w:hint="eastAsia" w:cs="Times New Roman"/>
                      <w:color w:val="auto"/>
                      <w:kern w:val="0"/>
                      <w:sz w:val="21"/>
                      <w:szCs w:val="21"/>
                      <w:highlight w:val="none"/>
                      <w:lang w:val="en-US" w:eastAsia="zh-CN" w:bidi="ar"/>
                    </w:rPr>
                    <w:t>生产</w:t>
                  </w:r>
                  <w:r>
                    <w:rPr>
                      <w:rFonts w:cs="Times New Roman"/>
                      <w:color w:val="auto"/>
                      <w:kern w:val="0"/>
                      <w:sz w:val="21"/>
                      <w:szCs w:val="21"/>
                      <w:highlight w:val="none"/>
                      <w:lang w:bidi="ar"/>
                    </w:rPr>
                    <w:t>设备</w:t>
                  </w:r>
                </w:p>
              </w:tc>
              <w:tc>
                <w:tcPr>
                  <w:tcW w:w="912" w:type="pct"/>
                  <w:tcBorders>
                    <w:tl2br w:val="nil"/>
                    <w:tr2bl w:val="nil"/>
                  </w:tcBorders>
                  <w:vAlign w:val="center"/>
                </w:tcPr>
                <w:p w14:paraId="1CEA0B43">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设备噪声</w:t>
                  </w:r>
                </w:p>
              </w:tc>
              <w:tc>
                <w:tcPr>
                  <w:tcW w:w="2118" w:type="pct"/>
                  <w:tcBorders>
                    <w:tl2br w:val="nil"/>
                    <w:tr2bl w:val="nil"/>
                  </w:tcBorders>
                  <w:vAlign w:val="center"/>
                </w:tcPr>
                <w:p w14:paraId="43FF71AB">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dB（A）</w:t>
                  </w:r>
                </w:p>
              </w:tc>
            </w:tr>
            <w:tr w14:paraId="1AFF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restart"/>
                  <w:tcBorders>
                    <w:tl2br w:val="nil"/>
                    <w:tr2bl w:val="nil"/>
                  </w:tcBorders>
                  <w:vAlign w:val="center"/>
                </w:tcPr>
                <w:p w14:paraId="49C5CDB5">
                  <w:pPr>
                    <w:widowControl/>
                    <w:adjustRightInd w:val="0"/>
                    <w:snapToGrid w:val="0"/>
                    <w:spacing w:line="240" w:lineRule="auto"/>
                    <w:jc w:val="center"/>
                    <w:rPr>
                      <w:rFonts w:eastAsia="宋体" w:cs="Times New Roman"/>
                      <w:color w:val="auto"/>
                      <w:kern w:val="0"/>
                      <w:sz w:val="21"/>
                      <w:szCs w:val="21"/>
                      <w:highlight w:val="none"/>
                      <w:lang w:bidi="ar"/>
                    </w:rPr>
                  </w:pPr>
                  <w:r>
                    <w:rPr>
                      <w:rFonts w:cs="Times New Roman"/>
                      <w:color w:val="auto"/>
                      <w:kern w:val="0"/>
                      <w:sz w:val="21"/>
                      <w:szCs w:val="21"/>
                      <w:highlight w:val="none"/>
                      <w:lang w:bidi="ar"/>
                    </w:rPr>
                    <w:t>固体废物</w:t>
                  </w:r>
                </w:p>
              </w:tc>
              <w:tc>
                <w:tcPr>
                  <w:tcW w:w="1532" w:type="pct"/>
                  <w:tcBorders>
                    <w:tl2br w:val="nil"/>
                    <w:tr2bl w:val="nil"/>
                  </w:tcBorders>
                  <w:vAlign w:val="center"/>
                </w:tcPr>
                <w:p w14:paraId="28F500B6">
                  <w:pPr>
                    <w:widowControl/>
                    <w:adjustRightInd w:val="0"/>
                    <w:snapToGrid w:val="0"/>
                    <w:spacing w:line="240" w:lineRule="auto"/>
                    <w:jc w:val="center"/>
                    <w:rPr>
                      <w:rFonts w:hint="default" w:eastAsia="宋体" w:cs="Times New Roman"/>
                      <w:color w:val="auto"/>
                      <w:kern w:val="0"/>
                      <w:sz w:val="21"/>
                      <w:szCs w:val="21"/>
                      <w:highlight w:val="none"/>
                      <w:lang w:val="en-US" w:eastAsia="zh-CN" w:bidi="ar"/>
                    </w:rPr>
                  </w:pPr>
                  <w:r>
                    <w:rPr>
                      <w:rFonts w:hint="eastAsia" w:eastAsia="宋体" w:cs="Times New Roman"/>
                      <w:color w:val="auto"/>
                      <w:kern w:val="0"/>
                      <w:sz w:val="21"/>
                      <w:szCs w:val="21"/>
                      <w:highlight w:val="none"/>
                      <w:lang w:val="en-US" w:eastAsia="zh-CN" w:bidi="ar"/>
                    </w:rPr>
                    <w:t>职工生活</w:t>
                  </w:r>
                </w:p>
              </w:tc>
              <w:tc>
                <w:tcPr>
                  <w:tcW w:w="912" w:type="pct"/>
                  <w:tcBorders>
                    <w:tl2br w:val="nil"/>
                    <w:tr2bl w:val="nil"/>
                  </w:tcBorders>
                  <w:vAlign w:val="center"/>
                </w:tcPr>
                <w:p w14:paraId="67924125">
                  <w:pPr>
                    <w:widowControl/>
                    <w:adjustRightInd w:val="0"/>
                    <w:snapToGrid w:val="0"/>
                    <w:spacing w:line="240" w:lineRule="auto"/>
                    <w:jc w:val="center"/>
                    <w:rPr>
                      <w:rFonts w:hint="eastAsia" w:cs="Times New Roman" w:eastAsiaTheme="minorEastAsia"/>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生活垃圾</w:t>
                  </w:r>
                </w:p>
              </w:tc>
              <w:tc>
                <w:tcPr>
                  <w:tcW w:w="2118" w:type="pct"/>
                  <w:tcBorders>
                    <w:tl2br w:val="nil"/>
                    <w:tr2bl w:val="nil"/>
                  </w:tcBorders>
                  <w:vAlign w:val="center"/>
                </w:tcPr>
                <w:p w14:paraId="274BD61C">
                  <w:pPr>
                    <w:widowControl/>
                    <w:adjustRightInd w:val="0"/>
                    <w:snapToGrid w:val="0"/>
                    <w:spacing w:line="240" w:lineRule="auto"/>
                    <w:jc w:val="center"/>
                    <w:rPr>
                      <w:rFonts w:hint="default" w:cs="Times New Roman" w:eastAsiaTheme="minorEastAsia"/>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职工生活垃圾</w:t>
                  </w:r>
                </w:p>
              </w:tc>
            </w:tr>
            <w:tr w14:paraId="065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0BBB3AB0">
                  <w:pPr>
                    <w:widowControl/>
                    <w:adjustRightInd w:val="0"/>
                    <w:snapToGrid w:val="0"/>
                    <w:spacing w:line="240" w:lineRule="auto"/>
                    <w:jc w:val="center"/>
                    <w:rPr>
                      <w:rFonts w:eastAsia="宋体" w:cs="Times New Roman"/>
                      <w:color w:val="auto"/>
                      <w:kern w:val="0"/>
                      <w:sz w:val="21"/>
                      <w:szCs w:val="21"/>
                      <w:highlight w:val="none"/>
                      <w:lang w:bidi="ar"/>
                    </w:rPr>
                  </w:pPr>
                </w:p>
              </w:tc>
              <w:tc>
                <w:tcPr>
                  <w:tcW w:w="1532" w:type="pct"/>
                  <w:vMerge w:val="restart"/>
                  <w:tcBorders>
                    <w:tl2br w:val="nil"/>
                    <w:tr2bl w:val="nil"/>
                  </w:tcBorders>
                  <w:vAlign w:val="center"/>
                </w:tcPr>
                <w:p w14:paraId="0C85C650">
                  <w:pPr>
                    <w:widowControl/>
                    <w:adjustRightInd w:val="0"/>
                    <w:snapToGrid w:val="0"/>
                    <w:spacing w:line="240" w:lineRule="auto"/>
                    <w:jc w:val="center"/>
                    <w:rPr>
                      <w:rFonts w:eastAsia="宋体" w:cs="Times New Roman"/>
                      <w:color w:val="auto"/>
                      <w:kern w:val="0"/>
                      <w:sz w:val="21"/>
                      <w:szCs w:val="21"/>
                      <w:highlight w:val="none"/>
                      <w:lang w:bidi="ar"/>
                    </w:rPr>
                  </w:pPr>
                  <w:r>
                    <w:rPr>
                      <w:rFonts w:eastAsia="宋体" w:cs="Times New Roman"/>
                      <w:color w:val="auto"/>
                      <w:kern w:val="0"/>
                      <w:sz w:val="21"/>
                      <w:szCs w:val="21"/>
                      <w:highlight w:val="none"/>
                      <w:lang w:bidi="ar"/>
                    </w:rPr>
                    <w:t>生产过程</w:t>
                  </w:r>
                </w:p>
              </w:tc>
              <w:tc>
                <w:tcPr>
                  <w:tcW w:w="912" w:type="pct"/>
                  <w:tcBorders>
                    <w:tl2br w:val="nil"/>
                    <w:tr2bl w:val="nil"/>
                  </w:tcBorders>
                  <w:vAlign w:val="center"/>
                </w:tcPr>
                <w:p w14:paraId="4F227791">
                  <w:pPr>
                    <w:widowControl/>
                    <w:adjustRightInd w:val="0"/>
                    <w:snapToGrid w:val="0"/>
                    <w:spacing w:line="240" w:lineRule="auto"/>
                    <w:jc w:val="center"/>
                    <w:rPr>
                      <w:rFonts w:eastAsia="宋体" w:cs="Times New Roman"/>
                      <w:color w:val="auto"/>
                      <w:kern w:val="0"/>
                      <w:sz w:val="21"/>
                      <w:szCs w:val="21"/>
                      <w:highlight w:val="none"/>
                      <w:lang w:bidi="ar"/>
                    </w:rPr>
                  </w:pPr>
                  <w:r>
                    <w:rPr>
                      <w:rFonts w:cs="Times New Roman"/>
                      <w:color w:val="auto"/>
                      <w:kern w:val="0"/>
                      <w:sz w:val="21"/>
                      <w:szCs w:val="21"/>
                      <w:highlight w:val="none"/>
                      <w:lang w:bidi="ar"/>
                    </w:rPr>
                    <w:t>一般固体废物</w:t>
                  </w:r>
                </w:p>
              </w:tc>
              <w:tc>
                <w:tcPr>
                  <w:tcW w:w="2118" w:type="pct"/>
                  <w:tcBorders>
                    <w:tl2br w:val="nil"/>
                    <w:tr2bl w:val="nil"/>
                  </w:tcBorders>
                  <w:vAlign w:val="center"/>
                </w:tcPr>
                <w:p w14:paraId="15FDB19C">
                  <w:pPr>
                    <w:widowControl/>
                    <w:adjustRightInd w:val="0"/>
                    <w:snapToGrid w:val="0"/>
                    <w:spacing w:line="240" w:lineRule="auto"/>
                    <w:jc w:val="center"/>
                    <w:rPr>
                      <w:rFonts w:hint="default" w:cs="Times New Roman" w:eastAsiaTheme="minorEastAsia"/>
                      <w:color w:val="auto"/>
                      <w:kern w:val="0"/>
                      <w:sz w:val="21"/>
                      <w:szCs w:val="21"/>
                      <w:highlight w:val="none"/>
                      <w:lang w:val="en-US" w:eastAsia="zh-CN" w:bidi="ar"/>
                    </w:rPr>
                  </w:pPr>
                  <w:r>
                    <w:rPr>
                      <w:rFonts w:cs="Times New Roman"/>
                      <w:color w:val="auto"/>
                      <w:kern w:val="0"/>
                      <w:sz w:val="21"/>
                      <w:szCs w:val="21"/>
                      <w:highlight w:val="none"/>
                      <w:lang w:bidi="ar"/>
                    </w:rPr>
                    <w:t>除尘器收集粉尘、沉淀池沉渣</w:t>
                  </w:r>
                </w:p>
              </w:tc>
            </w:tr>
            <w:tr w14:paraId="3A1A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Merge w:val="continue"/>
                  <w:tcBorders>
                    <w:tl2br w:val="nil"/>
                    <w:tr2bl w:val="nil"/>
                  </w:tcBorders>
                  <w:vAlign w:val="center"/>
                </w:tcPr>
                <w:p w14:paraId="57A7FC7D">
                  <w:pPr>
                    <w:widowControl/>
                    <w:adjustRightInd w:val="0"/>
                    <w:snapToGrid w:val="0"/>
                    <w:spacing w:line="240" w:lineRule="auto"/>
                    <w:jc w:val="center"/>
                    <w:rPr>
                      <w:rFonts w:cs="Times New Roman"/>
                      <w:color w:val="auto"/>
                      <w:kern w:val="0"/>
                      <w:sz w:val="21"/>
                      <w:szCs w:val="21"/>
                      <w:highlight w:val="none"/>
                      <w:lang w:bidi="ar"/>
                    </w:rPr>
                  </w:pPr>
                </w:p>
              </w:tc>
              <w:tc>
                <w:tcPr>
                  <w:tcW w:w="1532" w:type="pct"/>
                  <w:vMerge w:val="continue"/>
                  <w:tcBorders>
                    <w:tl2br w:val="nil"/>
                    <w:tr2bl w:val="nil"/>
                  </w:tcBorders>
                  <w:vAlign w:val="center"/>
                </w:tcPr>
                <w:p w14:paraId="0374B6DA">
                  <w:pPr>
                    <w:widowControl/>
                    <w:adjustRightInd w:val="0"/>
                    <w:snapToGrid w:val="0"/>
                    <w:spacing w:line="240" w:lineRule="auto"/>
                    <w:jc w:val="center"/>
                    <w:rPr>
                      <w:rFonts w:cs="Times New Roman"/>
                      <w:color w:val="auto"/>
                      <w:kern w:val="0"/>
                      <w:sz w:val="21"/>
                      <w:szCs w:val="21"/>
                      <w:highlight w:val="none"/>
                      <w:lang w:bidi="ar"/>
                    </w:rPr>
                  </w:pPr>
                </w:p>
              </w:tc>
              <w:tc>
                <w:tcPr>
                  <w:tcW w:w="912" w:type="pct"/>
                  <w:tcBorders>
                    <w:tl2br w:val="nil"/>
                    <w:tr2bl w:val="nil"/>
                  </w:tcBorders>
                  <w:vAlign w:val="center"/>
                </w:tcPr>
                <w:p w14:paraId="2877B786">
                  <w:pPr>
                    <w:widowControl/>
                    <w:adjustRightInd w:val="0"/>
                    <w:snapToGrid w:val="0"/>
                    <w:spacing w:line="240" w:lineRule="auto"/>
                    <w:jc w:val="center"/>
                    <w:rPr>
                      <w:rFonts w:cs="Times New Roman"/>
                      <w:color w:val="auto"/>
                      <w:kern w:val="0"/>
                      <w:sz w:val="21"/>
                      <w:szCs w:val="21"/>
                      <w:highlight w:val="none"/>
                      <w:lang w:bidi="ar"/>
                    </w:rPr>
                  </w:pPr>
                  <w:r>
                    <w:rPr>
                      <w:rFonts w:cs="Times New Roman"/>
                      <w:color w:val="auto"/>
                      <w:kern w:val="0"/>
                      <w:sz w:val="21"/>
                      <w:szCs w:val="21"/>
                      <w:highlight w:val="none"/>
                      <w:lang w:bidi="ar"/>
                    </w:rPr>
                    <w:t>危险废物</w:t>
                  </w:r>
                </w:p>
              </w:tc>
              <w:tc>
                <w:tcPr>
                  <w:tcW w:w="2118" w:type="pct"/>
                  <w:tcBorders>
                    <w:tl2br w:val="nil"/>
                    <w:tr2bl w:val="nil"/>
                  </w:tcBorders>
                  <w:vAlign w:val="center"/>
                </w:tcPr>
                <w:p w14:paraId="2F497E10">
                  <w:pPr>
                    <w:pStyle w:val="44"/>
                    <w:kinsoku w:val="0"/>
                    <w:overflowPunct w:val="0"/>
                    <w:spacing w:line="240" w:lineRule="auto"/>
                    <w:contextualSpacing/>
                    <w:rPr>
                      <w:rFonts w:hint="default" w:ascii="Times New Roman" w:hAnsi="Times New Roman" w:cs="Times New Roman" w:eastAsiaTheme="minorEastAsia"/>
                      <w:color w:val="auto"/>
                      <w:kern w:val="0"/>
                      <w:sz w:val="21"/>
                      <w:szCs w:val="21"/>
                      <w:highlight w:val="none"/>
                      <w:lang w:val="en-US" w:eastAsia="zh-CN" w:bidi="ar"/>
                    </w:rPr>
                  </w:pPr>
                  <w:r>
                    <w:rPr>
                      <w:rFonts w:ascii="Times New Roman" w:hAnsi="Times New Roman" w:cs="Times New Roman"/>
                      <w:color w:val="auto"/>
                      <w:sz w:val="21"/>
                      <w:szCs w:val="21"/>
                      <w:highlight w:val="none"/>
                      <w:lang w:val="en-US"/>
                    </w:rPr>
                    <w:t>废机油、废油桶</w:t>
                  </w:r>
                  <w:r>
                    <w:rPr>
                      <w:rFonts w:hint="eastAsia" w:ascii="Times New Roman" w:hAnsi="Times New Roman" w:cs="Times New Roman"/>
                      <w:color w:val="auto"/>
                      <w:sz w:val="21"/>
                      <w:szCs w:val="21"/>
                      <w:highlight w:val="none"/>
                      <w:lang w:val="en-US" w:eastAsia="zh-CN"/>
                    </w:rPr>
                    <w:t>、废油手套等</w:t>
                  </w:r>
                </w:p>
              </w:tc>
            </w:tr>
          </w:tbl>
          <w:p w14:paraId="66B1EDDA">
            <w:pPr>
              <w:rPr>
                <w:rFonts w:cs="Times New Roman"/>
                <w:color w:val="auto"/>
                <w:highlight w:val="none"/>
              </w:rPr>
            </w:pPr>
          </w:p>
        </w:tc>
      </w:tr>
      <w:tr w14:paraId="251A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 w:type="pct"/>
            <w:vAlign w:val="center"/>
          </w:tcPr>
          <w:p w14:paraId="1AD7FD3C">
            <w:pPr>
              <w:adjustRightInd w:val="0"/>
              <w:snapToGrid w:val="0"/>
              <w:spacing w:line="240" w:lineRule="auto"/>
              <w:jc w:val="center"/>
              <w:rPr>
                <w:rFonts w:cs="Times New Roman"/>
                <w:color w:val="auto"/>
                <w:highlight w:val="none"/>
              </w:rPr>
            </w:pPr>
            <w:r>
              <w:rPr>
                <w:rFonts w:cs="Times New Roman"/>
                <w:bCs/>
                <w:color w:val="auto"/>
                <w:kern w:val="21"/>
                <w:szCs w:val="24"/>
                <w:highlight w:val="none"/>
              </w:rPr>
              <w:t>与项目有关的原有环境污染问题</w:t>
            </w:r>
          </w:p>
        </w:tc>
        <w:tc>
          <w:tcPr>
            <w:tcW w:w="4796" w:type="pct"/>
            <w:vAlign w:val="center"/>
          </w:tcPr>
          <w:p w14:paraId="5212CB72">
            <w:pPr>
              <w:numPr>
                <w:ilvl w:val="0"/>
                <w:numId w:val="0"/>
              </w:numPr>
              <w:tabs>
                <w:tab w:val="left" w:pos="650"/>
              </w:tabs>
              <w:adjustRightInd/>
              <w:snapToGrid/>
              <w:spacing w:line="336" w:lineRule="auto"/>
              <w:ind w:firstLine="480"/>
              <w:rPr>
                <w:rFonts w:hint="eastAsia"/>
                <w:b/>
                <w:bCs/>
                <w:color w:val="auto"/>
                <w:sz w:val="24"/>
                <w:highlight w:val="none"/>
              </w:rPr>
            </w:pPr>
            <w:r>
              <w:rPr>
                <w:rFonts w:ascii="Times New Roman" w:hAnsi="Times New Roman" w:cs="Times New Roman"/>
                <w:color w:val="auto"/>
                <w:highlight w:val="none"/>
                <w:lang w:val="en-US" w:eastAsia="zh-CN"/>
              </w:rPr>
              <w:t>本项目</w:t>
            </w:r>
            <w:r>
              <w:rPr>
                <w:rFonts w:hint="eastAsia" w:ascii="Times New Roman" w:hAnsi="Times New Roman" w:cs="Times New Roman"/>
                <w:color w:val="auto"/>
                <w:highlight w:val="none"/>
                <w:lang w:val="en-US" w:eastAsia="zh-CN"/>
              </w:rPr>
              <w:t>位于陕西省</w:t>
            </w:r>
            <w:r>
              <w:rPr>
                <w:rFonts w:hint="eastAsia" w:cs="Times New Roman"/>
                <w:color w:val="auto"/>
                <w:highlight w:val="none"/>
                <w:lang w:val="en-US" w:eastAsia="zh-CN"/>
              </w:rPr>
              <w:t>西安市鄠邑区玉蝉街道天桥片区</w:t>
            </w:r>
            <w:r>
              <w:rPr>
                <w:rFonts w:ascii="Times New Roman" w:hAnsi="Times New Roman" w:cs="Times New Roman"/>
                <w:color w:val="auto"/>
                <w:highlight w:val="none"/>
                <w:lang w:val="en-US" w:eastAsia="zh-CN"/>
              </w:rPr>
              <w:t>，</w:t>
            </w:r>
            <w:r>
              <w:rPr>
                <w:rFonts w:hint="eastAsia" w:cs="Times New Roman"/>
                <w:color w:val="auto"/>
                <w:highlight w:val="none"/>
                <w:lang w:val="en-US" w:eastAsia="zh-CN"/>
              </w:rPr>
              <w:t>陕西交控鄠邑资源开发有限公司</w:t>
            </w:r>
            <w:r>
              <w:rPr>
                <w:rFonts w:hint="eastAsia"/>
                <w:bCs/>
                <w:color w:val="auto"/>
                <w:kern w:val="0"/>
                <w:sz w:val="24"/>
                <w:highlight w:val="none"/>
              </w:rPr>
              <w:t>与</w:t>
            </w:r>
            <w:r>
              <w:rPr>
                <w:rFonts w:hint="eastAsia"/>
                <w:bCs/>
                <w:color w:val="auto"/>
                <w:kern w:val="0"/>
                <w:sz w:val="24"/>
                <w:highlight w:val="none"/>
                <w:lang w:val="en-US" w:eastAsia="zh-CN"/>
              </w:rPr>
              <w:t>西安昊立土方工程</w:t>
            </w:r>
            <w:r>
              <w:rPr>
                <w:rFonts w:hint="eastAsia"/>
                <w:bCs/>
                <w:color w:val="auto"/>
                <w:kern w:val="0"/>
                <w:sz w:val="24"/>
                <w:highlight w:val="none"/>
              </w:rPr>
              <w:t>有限公司签订有租赁协议（见附件</w:t>
            </w:r>
            <w:r>
              <w:rPr>
                <w:rFonts w:hint="eastAsia"/>
                <w:bCs/>
                <w:color w:val="auto"/>
                <w:kern w:val="0"/>
                <w:sz w:val="24"/>
                <w:highlight w:val="none"/>
                <w:lang w:val="en-US" w:eastAsia="zh-CN"/>
              </w:rPr>
              <w:t>2</w:t>
            </w:r>
            <w:r>
              <w:rPr>
                <w:rFonts w:hint="eastAsia"/>
                <w:bCs/>
                <w:color w:val="auto"/>
                <w:kern w:val="0"/>
                <w:sz w:val="24"/>
                <w:highlight w:val="none"/>
              </w:rPr>
              <w:t>），租赁</w:t>
            </w:r>
            <w:r>
              <w:rPr>
                <w:rFonts w:hint="eastAsia"/>
                <w:bCs/>
                <w:color w:val="auto"/>
                <w:kern w:val="0"/>
                <w:sz w:val="24"/>
                <w:highlight w:val="none"/>
                <w:lang w:val="en-US" w:eastAsia="zh-CN"/>
              </w:rPr>
              <w:t>其</w:t>
            </w:r>
            <w:r>
              <w:rPr>
                <w:rFonts w:hint="eastAsia"/>
                <w:bCs/>
                <w:color w:val="auto"/>
                <w:kern w:val="0"/>
                <w:sz w:val="24"/>
                <w:highlight w:val="none"/>
              </w:rPr>
              <w:t>闲置场地</w:t>
            </w:r>
            <w:r>
              <w:rPr>
                <w:rFonts w:hint="eastAsia"/>
                <w:bCs/>
                <w:color w:val="auto"/>
                <w:kern w:val="0"/>
                <w:sz w:val="24"/>
                <w:highlight w:val="none"/>
                <w:lang w:val="en-US" w:eastAsia="zh-CN"/>
              </w:rPr>
              <w:t>及厂房</w:t>
            </w:r>
            <w:r>
              <w:rPr>
                <w:rFonts w:hint="eastAsia"/>
                <w:bCs/>
                <w:color w:val="auto"/>
                <w:kern w:val="0"/>
                <w:sz w:val="24"/>
                <w:highlight w:val="none"/>
              </w:rPr>
              <w:t>，周围</w:t>
            </w:r>
            <w:r>
              <w:rPr>
                <w:bCs/>
                <w:color w:val="auto"/>
                <w:kern w:val="0"/>
                <w:sz w:val="24"/>
                <w:highlight w:val="none"/>
              </w:rPr>
              <w:t>交通便利，水、电等配套设施完善。</w:t>
            </w:r>
            <w:r>
              <w:rPr>
                <w:rFonts w:hint="eastAsia"/>
                <w:bCs/>
                <w:color w:val="auto"/>
                <w:kern w:val="0"/>
                <w:sz w:val="24"/>
                <w:highlight w:val="none"/>
                <w:lang w:val="en-US" w:eastAsia="zh-CN"/>
              </w:rPr>
              <w:t>本次评价的工程内容</w:t>
            </w:r>
            <w:r>
              <w:rPr>
                <w:rFonts w:hint="eastAsia" w:cs="Times New Roman"/>
                <w:color w:val="auto"/>
                <w:highlight w:val="none"/>
                <w:lang w:val="en-US" w:eastAsia="zh-CN"/>
              </w:rPr>
              <w:t>占地范围为原京昆高速公路蒲城至涝峪段改扩建工程JK-ZC02合同段2#集中场站，用地面积为</w:t>
            </w:r>
            <w:r>
              <w:rPr>
                <w:rFonts w:hint="eastAsia"/>
                <w:color w:val="auto"/>
                <w:sz w:val="24"/>
                <w:szCs w:val="24"/>
                <w:highlight w:val="none"/>
                <w:lang w:val="en-US" w:eastAsia="zh-CN"/>
              </w:rPr>
              <w:t>64716</w:t>
            </w:r>
            <w:r>
              <w:rPr>
                <w:color w:val="auto"/>
                <w:sz w:val="24"/>
                <w:szCs w:val="24"/>
                <w:highlight w:val="none"/>
              </w:rPr>
              <w:t>m</w:t>
            </w:r>
            <w:r>
              <w:rPr>
                <w:color w:val="auto"/>
                <w:sz w:val="24"/>
                <w:szCs w:val="24"/>
                <w:highlight w:val="none"/>
                <w:vertAlign w:val="superscript"/>
              </w:rPr>
              <w:t>2</w:t>
            </w:r>
            <w:r>
              <w:rPr>
                <w:color w:val="auto"/>
                <w:sz w:val="24"/>
                <w:szCs w:val="24"/>
                <w:highlight w:val="none"/>
              </w:rPr>
              <w:t>（</w:t>
            </w:r>
            <w:r>
              <w:rPr>
                <w:rFonts w:hint="eastAsia"/>
                <w:color w:val="auto"/>
                <w:sz w:val="24"/>
                <w:szCs w:val="24"/>
                <w:highlight w:val="none"/>
                <w:lang w:val="en-US" w:eastAsia="zh-CN"/>
              </w:rPr>
              <w:t>97</w:t>
            </w:r>
            <w:r>
              <w:rPr>
                <w:color w:val="auto"/>
                <w:sz w:val="24"/>
                <w:szCs w:val="24"/>
                <w:highlight w:val="none"/>
              </w:rPr>
              <w:t>亩）</w:t>
            </w:r>
            <w:r>
              <w:rPr>
                <w:rFonts w:hint="eastAsia" w:cs="Times New Roman"/>
                <w:color w:val="auto"/>
                <w:highlight w:val="none"/>
                <w:lang w:val="en-US" w:eastAsia="zh-CN"/>
              </w:rPr>
              <w:t>，本项目依托封闭厂房内拟建设机制骨料生产线和</w:t>
            </w:r>
            <w:r>
              <w:rPr>
                <w:rFonts w:hint="eastAsia" w:cs="Times New Roman"/>
                <w:color w:val="auto"/>
                <w:highlight w:val="none"/>
                <w:lang w:eastAsia="zh-CN"/>
              </w:rPr>
              <w:t>水稳材料生产线</w:t>
            </w:r>
            <w:r>
              <w:rPr>
                <w:rFonts w:hint="eastAsia" w:cs="Times New Roman"/>
                <w:color w:val="auto"/>
                <w:highlight w:val="none"/>
                <w:lang w:val="en-US" w:eastAsia="zh-CN"/>
              </w:rPr>
              <w:t>各1条</w:t>
            </w:r>
            <w:r>
              <w:rPr>
                <w:rFonts w:cs="Times New Roman"/>
                <w:color w:val="auto"/>
                <w:highlight w:val="none"/>
              </w:rPr>
              <w:t>。</w:t>
            </w:r>
          </w:p>
          <w:p w14:paraId="7C89259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color w:val="auto"/>
                <w:highlight w:val="none"/>
                <w:lang w:val="en-US" w:eastAsia="zh-CN"/>
              </w:rPr>
            </w:pPr>
            <w:r>
              <w:rPr>
                <w:rFonts w:hint="default" w:ascii="Times New Roman" w:hAnsi="Times New Roman" w:cs="Times New Roman"/>
                <w:color w:val="auto"/>
                <w:highlight w:val="none"/>
                <w:lang w:val="en-US" w:eastAsia="zh-CN"/>
              </w:rPr>
              <w:t>根据现场</w:t>
            </w:r>
            <w:r>
              <w:rPr>
                <w:rFonts w:hint="eastAsia" w:cs="Times New Roman"/>
                <w:color w:val="auto"/>
                <w:highlight w:val="none"/>
                <w:lang w:val="en-US" w:eastAsia="zh-CN"/>
              </w:rPr>
              <w:t>调查与</w:t>
            </w:r>
            <w:r>
              <w:rPr>
                <w:rFonts w:hint="default" w:ascii="Times New Roman" w:hAnsi="Times New Roman" w:cs="Times New Roman"/>
                <w:color w:val="auto"/>
                <w:highlight w:val="none"/>
                <w:lang w:val="en-US" w:eastAsia="zh-CN"/>
              </w:rPr>
              <w:t>勘察，</w:t>
            </w:r>
            <w:r>
              <w:rPr>
                <w:rFonts w:hint="eastAsia" w:cs="Times New Roman"/>
                <w:color w:val="auto"/>
                <w:highlight w:val="none"/>
                <w:lang w:val="en-US" w:eastAsia="zh-CN"/>
              </w:rPr>
              <w:t>2023年5月</w:t>
            </w:r>
            <w:r>
              <w:rPr>
                <w:rFonts w:hint="eastAsia" w:ascii="宋体" w:hAnsi="宋体" w:eastAsia="宋体" w:cs="宋体"/>
                <w:color w:val="auto"/>
                <w:kern w:val="0"/>
                <w:sz w:val="24"/>
                <w:szCs w:val="24"/>
                <w:highlight w:val="none"/>
                <w:lang w:val="en-US" w:eastAsia="zh-CN" w:bidi="ar"/>
              </w:rPr>
              <w:t>，</w:t>
            </w:r>
            <w:r>
              <w:rPr>
                <w:rFonts w:hint="eastAsia" w:cs="Times New Roman"/>
                <w:color w:val="auto"/>
                <w:highlight w:val="none"/>
                <w:lang w:val="en-US" w:eastAsia="zh-CN"/>
              </w:rPr>
              <w:t>原京昆高速公路蒲城至涝峪段改扩建工程JK-ZC02合同段2#集中场站通过了环保设备竣工验收，于2023年底停止运行，运行阶段无环保投诉事件，目前，原京昆高速公路蒲城至涝峪段改扩建工程JK-ZC02合同段2#集中场站的沥青生产线设备和水稳材料生产线设备已由原单位搬离，</w:t>
            </w:r>
            <w:r>
              <w:rPr>
                <w:rFonts w:hint="eastAsia"/>
                <w:color w:val="auto"/>
                <w:sz w:val="24"/>
                <w:szCs w:val="24"/>
                <w:highlight w:val="none"/>
              </w:rPr>
              <w:t>厂区无危险废物堆存，地面无油污渍</w:t>
            </w:r>
            <w:r>
              <w:rPr>
                <w:rFonts w:hint="eastAsia" w:cs="Times New Roman"/>
                <w:color w:val="auto"/>
                <w:highlight w:val="none"/>
                <w:lang w:val="en-US" w:eastAsia="zh-CN"/>
              </w:rPr>
              <w:t>。因此，</w:t>
            </w:r>
            <w:r>
              <w:rPr>
                <w:rFonts w:hint="eastAsia"/>
                <w:color w:val="auto"/>
                <w:sz w:val="24"/>
                <w:szCs w:val="20"/>
                <w:highlight w:val="none"/>
                <w:lang w:val="en-US" w:eastAsia="zh-CN"/>
              </w:rPr>
              <w:t>不存在原有遗留的环境问题。</w:t>
            </w:r>
          </w:p>
        </w:tc>
      </w:tr>
    </w:tbl>
    <w:p w14:paraId="51DBB6C6">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bCs/>
          <w:color w:val="auto"/>
          <w:sz w:val="28"/>
          <w:szCs w:val="24"/>
          <w:highlight w:val="none"/>
        </w:rPr>
      </w:pPr>
      <w:r>
        <w:rPr>
          <w:rFonts w:cs="Times New Roman"/>
          <w:color w:val="auto"/>
          <w:highlight w:val="none"/>
        </w:rPr>
        <w:br w:type="page"/>
      </w:r>
      <w:r>
        <w:rPr>
          <w:rFonts w:cs="Times New Roman"/>
          <w:b/>
          <w:bCs/>
          <w:color w:val="auto"/>
          <w:sz w:val="28"/>
          <w:szCs w:val="24"/>
          <w:highlight w:val="none"/>
        </w:rPr>
        <w:t>三、区域环境质量现状、环境保护目标及评价标准</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9"/>
        <w:gridCol w:w="9533"/>
      </w:tblGrid>
      <w:tr w14:paraId="05861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15" w:type="pct"/>
            <w:vAlign w:val="center"/>
          </w:tcPr>
          <w:p w14:paraId="2BC2B7B0">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区域</w:t>
            </w:r>
          </w:p>
          <w:p w14:paraId="41C3C5C3">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环境</w:t>
            </w:r>
          </w:p>
          <w:p w14:paraId="66E75541">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质量</w:t>
            </w:r>
          </w:p>
          <w:p w14:paraId="23AB4A14">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现状</w:t>
            </w:r>
          </w:p>
        </w:tc>
        <w:tc>
          <w:tcPr>
            <w:tcW w:w="4784" w:type="pct"/>
            <w:vAlign w:val="center"/>
          </w:tcPr>
          <w:p w14:paraId="2A6E7462">
            <w:pPr>
              <w:tabs>
                <w:tab w:val="right" w:leader="hyphen" w:pos="8190"/>
              </w:tabs>
              <w:adjustRightInd w:val="0"/>
              <w:snapToGrid w:val="0"/>
              <w:ind w:firstLine="482" w:firstLineChars="200"/>
              <w:rPr>
                <w:rFonts w:cs="Times New Roman"/>
                <w:b/>
                <w:bCs/>
                <w:color w:val="auto"/>
                <w:highlight w:val="none"/>
              </w:rPr>
            </w:pPr>
            <w:r>
              <w:rPr>
                <w:rFonts w:hint="eastAsia" w:cs="Times New Roman"/>
                <w:b/>
                <w:bCs/>
                <w:color w:val="auto"/>
                <w:highlight w:val="none"/>
              </w:rPr>
              <w:t>1、</w:t>
            </w:r>
            <w:r>
              <w:rPr>
                <w:rFonts w:cs="Times New Roman"/>
                <w:b/>
                <w:bCs/>
                <w:color w:val="auto"/>
                <w:highlight w:val="none"/>
              </w:rPr>
              <w:t>环境空气质量现状</w:t>
            </w:r>
          </w:p>
          <w:p w14:paraId="5F72AE5D">
            <w:pPr>
              <w:wordWrap w:val="0"/>
              <w:adjustRightInd w:val="0"/>
              <w:snapToGrid w:val="0"/>
              <w:ind w:firstLine="482" w:firstLineChars="200"/>
              <w:outlineLvl w:val="3"/>
              <w:rPr>
                <w:rFonts w:cs="Times New Roman"/>
                <w:b/>
                <w:bCs/>
                <w:color w:val="auto"/>
                <w:highlight w:val="none"/>
              </w:rPr>
            </w:pPr>
            <w:r>
              <w:rPr>
                <w:rFonts w:hint="eastAsia" w:cs="Times New Roman"/>
                <w:b/>
                <w:bCs/>
                <w:color w:val="auto"/>
                <w:highlight w:val="none"/>
              </w:rPr>
              <w:t>（1）</w:t>
            </w:r>
            <w:r>
              <w:rPr>
                <w:rFonts w:cs="Times New Roman"/>
                <w:b/>
                <w:bCs/>
                <w:color w:val="auto"/>
                <w:highlight w:val="none"/>
              </w:rPr>
              <w:t>基本污染物环境质量现状评价</w:t>
            </w:r>
          </w:p>
          <w:p w14:paraId="1AEC5FBD">
            <w:pPr>
              <w:ind w:firstLine="480" w:firstLineChars="200"/>
              <w:rPr>
                <w:rFonts w:cs="Times New Roman"/>
                <w:b/>
                <w:bCs/>
                <w:color w:val="auto"/>
                <w:highlight w:val="none"/>
              </w:rPr>
            </w:pPr>
            <w:r>
              <w:rPr>
                <w:rFonts w:cs="Times New Roman"/>
                <w:color w:val="auto"/>
                <w:highlight w:val="none"/>
              </w:rPr>
              <w:t>本项目位于</w:t>
            </w:r>
            <w:r>
              <w:rPr>
                <w:rFonts w:hint="eastAsia" w:cs="Times New Roman"/>
                <w:color w:val="auto"/>
                <w:highlight w:val="none"/>
                <w:lang w:eastAsia="zh-CN"/>
              </w:rPr>
              <w:t>西安市</w:t>
            </w:r>
            <w:r>
              <w:rPr>
                <w:rFonts w:hint="eastAsia" w:cs="Times New Roman"/>
                <w:color w:val="auto"/>
                <w:highlight w:val="none"/>
                <w:lang w:val="en-US" w:eastAsia="zh-CN"/>
              </w:rPr>
              <w:t>西安市鄠邑区</w:t>
            </w:r>
            <w:r>
              <w:rPr>
                <w:rFonts w:cs="Times New Roman"/>
                <w:color w:val="auto"/>
                <w:highlight w:val="none"/>
              </w:rPr>
              <w:t>，根据大气功能区划，本项目所在地为二类功能区，环境空气质量标准执行《环境空气质量标准》（GB</w:t>
            </w:r>
            <w:r>
              <w:rPr>
                <w:rFonts w:hint="eastAsia" w:cs="Times New Roman"/>
                <w:color w:val="auto"/>
                <w:highlight w:val="none"/>
                <w:lang w:val="en-US" w:eastAsia="zh-CN"/>
              </w:rPr>
              <w:t xml:space="preserve"> </w:t>
            </w:r>
            <w:r>
              <w:rPr>
                <w:rFonts w:cs="Times New Roman"/>
                <w:color w:val="auto"/>
                <w:highlight w:val="none"/>
              </w:rPr>
              <w:t>3095-2012）二级标准要求。根据</w:t>
            </w:r>
            <w:r>
              <w:rPr>
                <w:rFonts w:hint="eastAsia" w:cs="Times New Roman"/>
                <w:color w:val="auto"/>
                <w:highlight w:val="none"/>
              </w:rPr>
              <w:t>陕西省生态环境厅办公室202</w:t>
            </w:r>
            <w:r>
              <w:rPr>
                <w:rFonts w:hint="eastAsia" w:cs="Times New Roman"/>
                <w:color w:val="auto"/>
                <w:highlight w:val="none"/>
                <w:lang w:val="en-US" w:eastAsia="zh-CN"/>
              </w:rPr>
              <w:t>5</w:t>
            </w:r>
            <w:r>
              <w:rPr>
                <w:rFonts w:hint="eastAsia" w:cs="Times New Roman"/>
                <w:color w:val="auto"/>
                <w:highlight w:val="none"/>
              </w:rPr>
              <w:t>年</w:t>
            </w:r>
            <w:r>
              <w:rPr>
                <w:rFonts w:cs="Times New Roman"/>
                <w:color w:val="auto"/>
                <w:highlight w:val="none"/>
              </w:rPr>
              <w:t>1</w:t>
            </w:r>
            <w:r>
              <w:rPr>
                <w:rFonts w:hint="eastAsia" w:cs="Times New Roman"/>
                <w:color w:val="auto"/>
                <w:highlight w:val="none"/>
              </w:rPr>
              <w:t>月</w:t>
            </w:r>
            <w:r>
              <w:rPr>
                <w:rFonts w:hint="eastAsia" w:cs="Times New Roman"/>
                <w:color w:val="auto"/>
                <w:highlight w:val="none"/>
                <w:lang w:val="en-US" w:eastAsia="zh-CN"/>
              </w:rPr>
              <w:t>21</w:t>
            </w:r>
            <w:r>
              <w:rPr>
                <w:rFonts w:hint="eastAsia" w:cs="Times New Roman"/>
                <w:color w:val="auto"/>
                <w:highlight w:val="none"/>
              </w:rPr>
              <w:t>日发布的《环保快报》中关于202</w:t>
            </w:r>
            <w:r>
              <w:rPr>
                <w:rFonts w:hint="eastAsia" w:cs="Times New Roman"/>
                <w:color w:val="auto"/>
                <w:highlight w:val="none"/>
                <w:lang w:val="en-US" w:eastAsia="zh-CN"/>
              </w:rPr>
              <w:t>4</w:t>
            </w:r>
            <w:r>
              <w:rPr>
                <w:rFonts w:hint="eastAsia" w:cs="Times New Roman"/>
                <w:color w:val="auto"/>
                <w:highlight w:val="none"/>
              </w:rPr>
              <w:t>年1~12月西安市</w:t>
            </w:r>
            <w:r>
              <w:rPr>
                <w:rFonts w:hint="eastAsia" w:cs="Times New Roman"/>
                <w:color w:val="auto"/>
                <w:highlight w:val="none"/>
                <w:lang w:val="en-US" w:eastAsia="zh-CN"/>
              </w:rPr>
              <w:t>鄠邑</w:t>
            </w:r>
            <w:r>
              <w:rPr>
                <w:rFonts w:hint="eastAsia" w:cs="Times New Roman"/>
                <w:color w:val="auto"/>
                <w:highlight w:val="none"/>
              </w:rPr>
              <w:t>区环境空气质量现状数据</w:t>
            </w:r>
            <w:r>
              <w:rPr>
                <w:rFonts w:cs="Times New Roman"/>
                <w:color w:val="auto"/>
                <w:highlight w:val="none"/>
              </w:rPr>
              <w:t>，对区域环境空气质量现状进行分析，具体统计结果见下表。</w:t>
            </w:r>
          </w:p>
          <w:p w14:paraId="2D04FD87">
            <w:pPr>
              <w:pStyle w:val="6"/>
              <w:adjustRightInd w:val="0"/>
              <w:snapToGrid w:val="0"/>
              <w:spacing w:line="240" w:lineRule="auto"/>
              <w:ind w:firstLine="0"/>
              <w:jc w:val="center"/>
              <w:rPr>
                <w:rFonts w:cs="Times New Roman"/>
                <w:b/>
                <w:bCs/>
                <w:color w:val="auto"/>
                <w:sz w:val="21"/>
                <w:szCs w:val="21"/>
                <w:highlight w:val="none"/>
              </w:rPr>
            </w:pPr>
            <w:r>
              <w:rPr>
                <w:rFonts w:cs="Times New Roman"/>
                <w:b/>
                <w:bCs/>
                <w:color w:val="auto"/>
                <w:sz w:val="21"/>
                <w:szCs w:val="21"/>
                <w:highlight w:val="none"/>
              </w:rPr>
              <w:t>表3-1</w:t>
            </w:r>
            <w:r>
              <w:rPr>
                <w:rFonts w:hint="eastAsia" w:cs="Times New Roman"/>
                <w:b/>
                <w:bCs/>
                <w:color w:val="auto"/>
                <w:sz w:val="21"/>
                <w:szCs w:val="21"/>
                <w:highlight w:val="none"/>
                <w:lang w:val="en-US" w:eastAsia="zh-CN"/>
              </w:rPr>
              <w:t xml:space="preserve">  </w:t>
            </w:r>
            <w:r>
              <w:rPr>
                <w:rFonts w:cs="Times New Roman"/>
                <w:b/>
                <w:bCs/>
                <w:color w:val="auto"/>
                <w:sz w:val="21"/>
                <w:szCs w:val="21"/>
                <w:highlight w:val="none"/>
              </w:rPr>
              <w:t>2023年1~12月西安市</w:t>
            </w:r>
            <w:r>
              <w:rPr>
                <w:rFonts w:hint="eastAsia" w:cs="Times New Roman"/>
                <w:b/>
                <w:bCs/>
                <w:color w:val="auto"/>
                <w:sz w:val="21"/>
                <w:szCs w:val="21"/>
                <w:highlight w:val="none"/>
                <w:lang w:val="en-US" w:eastAsia="zh-CN"/>
              </w:rPr>
              <w:t>鄠邑区</w:t>
            </w:r>
            <w:r>
              <w:rPr>
                <w:rFonts w:cs="Times New Roman"/>
                <w:b/>
                <w:bCs/>
                <w:color w:val="auto"/>
                <w:sz w:val="21"/>
                <w:szCs w:val="21"/>
                <w:highlight w:val="none"/>
              </w:rPr>
              <w:t>环境空气质量状况统计表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028"/>
              <w:gridCol w:w="2828"/>
              <w:gridCol w:w="1273"/>
              <w:gridCol w:w="1398"/>
              <w:gridCol w:w="1504"/>
              <w:gridCol w:w="1269"/>
            </w:tblGrid>
            <w:tr w14:paraId="7598B2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3" w:type="pct"/>
                  <w:tcBorders>
                    <w:tl2br w:val="nil"/>
                    <w:tr2bl w:val="nil"/>
                  </w:tcBorders>
                  <w:vAlign w:val="center"/>
                </w:tcPr>
                <w:p w14:paraId="49A42234">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污染物</w:t>
                  </w:r>
                </w:p>
              </w:tc>
              <w:tc>
                <w:tcPr>
                  <w:tcW w:w="1520" w:type="pct"/>
                  <w:tcBorders>
                    <w:tl2br w:val="nil"/>
                    <w:tr2bl w:val="nil"/>
                  </w:tcBorders>
                  <w:vAlign w:val="center"/>
                </w:tcPr>
                <w:p w14:paraId="65190809">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评价指标</w:t>
                  </w:r>
                </w:p>
              </w:tc>
              <w:tc>
                <w:tcPr>
                  <w:tcW w:w="684" w:type="pct"/>
                  <w:tcBorders>
                    <w:tl2br w:val="nil"/>
                    <w:tr2bl w:val="nil"/>
                  </w:tcBorders>
                  <w:vAlign w:val="center"/>
                </w:tcPr>
                <w:p w14:paraId="0B8730B6">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现状浓度/（μg/m³）</w:t>
                  </w:r>
                </w:p>
              </w:tc>
              <w:tc>
                <w:tcPr>
                  <w:tcW w:w="752" w:type="pct"/>
                  <w:tcBorders>
                    <w:tl2br w:val="nil"/>
                    <w:tr2bl w:val="nil"/>
                  </w:tcBorders>
                  <w:vAlign w:val="center"/>
                </w:tcPr>
                <w:p w14:paraId="22535DE6">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评价标准/（μg/m³）</w:t>
                  </w:r>
                </w:p>
              </w:tc>
              <w:tc>
                <w:tcPr>
                  <w:tcW w:w="809" w:type="pct"/>
                  <w:tcBorders>
                    <w:tl2br w:val="nil"/>
                    <w:tr2bl w:val="nil"/>
                  </w:tcBorders>
                  <w:vAlign w:val="center"/>
                </w:tcPr>
                <w:p w14:paraId="0216F75D">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占标率/（%）</w:t>
                  </w:r>
                </w:p>
              </w:tc>
              <w:tc>
                <w:tcPr>
                  <w:tcW w:w="683" w:type="pct"/>
                  <w:tcBorders>
                    <w:tl2br w:val="nil"/>
                    <w:tr2bl w:val="nil"/>
                  </w:tcBorders>
                  <w:vAlign w:val="center"/>
                </w:tcPr>
                <w:p w14:paraId="20F830CA">
                  <w:pPr>
                    <w:adjustRightInd w:val="0"/>
                    <w:snapToGrid w:val="0"/>
                    <w:spacing w:line="260" w:lineRule="exact"/>
                    <w:jc w:val="center"/>
                    <w:rPr>
                      <w:rFonts w:cs="Times New Roman"/>
                      <w:b/>
                      <w:color w:val="auto"/>
                      <w:kern w:val="0"/>
                      <w:sz w:val="21"/>
                      <w:szCs w:val="21"/>
                      <w:highlight w:val="none"/>
                    </w:rPr>
                  </w:pPr>
                  <w:r>
                    <w:rPr>
                      <w:rFonts w:cs="Times New Roman"/>
                      <w:b/>
                      <w:color w:val="auto"/>
                      <w:kern w:val="0"/>
                      <w:sz w:val="21"/>
                      <w:szCs w:val="21"/>
                      <w:highlight w:val="none"/>
                    </w:rPr>
                    <w:t>达标情况</w:t>
                  </w:r>
                </w:p>
              </w:tc>
            </w:tr>
            <w:tr w14:paraId="66720C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5F1BB81A">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PM</w:t>
                  </w:r>
                  <w:r>
                    <w:rPr>
                      <w:rFonts w:cs="Times New Roman"/>
                      <w:color w:val="auto"/>
                      <w:kern w:val="0"/>
                      <w:sz w:val="21"/>
                      <w:szCs w:val="21"/>
                      <w:highlight w:val="none"/>
                      <w:vertAlign w:val="subscript"/>
                    </w:rPr>
                    <w:t>10</w:t>
                  </w:r>
                </w:p>
              </w:tc>
              <w:tc>
                <w:tcPr>
                  <w:tcW w:w="1520" w:type="pct"/>
                  <w:tcBorders>
                    <w:tl2br w:val="nil"/>
                    <w:tr2bl w:val="nil"/>
                  </w:tcBorders>
                  <w:vAlign w:val="center"/>
                </w:tcPr>
                <w:p w14:paraId="2BB26863">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年平均</w:t>
                  </w:r>
                </w:p>
              </w:tc>
              <w:tc>
                <w:tcPr>
                  <w:tcW w:w="684" w:type="pct"/>
                  <w:tcBorders>
                    <w:tl2br w:val="nil"/>
                    <w:tr2bl w:val="nil"/>
                  </w:tcBorders>
                  <w:vAlign w:val="center"/>
                </w:tcPr>
                <w:p w14:paraId="13EF1FAE">
                  <w:pPr>
                    <w:adjustRightInd w:val="0"/>
                    <w:snapToGrid w:val="0"/>
                    <w:spacing w:line="260" w:lineRule="exact"/>
                    <w:jc w:val="center"/>
                    <w:rPr>
                      <w:rFonts w:hint="default" w:cs="Times New Roman" w:eastAsiaTheme="minorEastAsia"/>
                      <w:color w:val="auto"/>
                      <w:kern w:val="0"/>
                      <w:sz w:val="21"/>
                      <w:szCs w:val="21"/>
                      <w:highlight w:val="none"/>
                      <w:lang w:val="en-US" w:eastAsia="zh-CN"/>
                    </w:rPr>
                  </w:pPr>
                  <w:r>
                    <w:rPr>
                      <w:rFonts w:hint="eastAsia" w:cs="Times New Roman"/>
                      <w:color w:val="auto"/>
                      <w:kern w:val="0"/>
                      <w:sz w:val="21"/>
                      <w:szCs w:val="21"/>
                      <w:highlight w:val="none"/>
                      <w:lang w:val="en-US" w:eastAsia="zh-CN"/>
                    </w:rPr>
                    <w:t>72</w:t>
                  </w:r>
                </w:p>
              </w:tc>
              <w:tc>
                <w:tcPr>
                  <w:tcW w:w="752" w:type="pct"/>
                  <w:tcBorders>
                    <w:tl2br w:val="nil"/>
                    <w:tr2bl w:val="nil"/>
                  </w:tcBorders>
                  <w:vAlign w:val="center"/>
                </w:tcPr>
                <w:p w14:paraId="0555C450">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70</w:t>
                  </w:r>
                </w:p>
              </w:tc>
              <w:tc>
                <w:tcPr>
                  <w:tcW w:w="1451" w:type="dxa"/>
                  <w:tcBorders>
                    <w:tl2br w:val="nil"/>
                    <w:tr2bl w:val="nil"/>
                  </w:tcBorders>
                  <w:vAlign w:val="center"/>
                </w:tcPr>
                <w:p w14:paraId="02B9D9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102.86%</w:t>
                  </w:r>
                </w:p>
              </w:tc>
              <w:tc>
                <w:tcPr>
                  <w:tcW w:w="683" w:type="pct"/>
                  <w:tcBorders>
                    <w:tl2br w:val="nil"/>
                    <w:tr2bl w:val="nil"/>
                  </w:tcBorders>
                  <w:vAlign w:val="center"/>
                </w:tcPr>
                <w:p w14:paraId="36B828A8">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不达标</w:t>
                  </w:r>
                </w:p>
              </w:tc>
            </w:tr>
            <w:tr w14:paraId="655BE1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28453826">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PM</w:t>
                  </w:r>
                  <w:r>
                    <w:rPr>
                      <w:rFonts w:cs="Times New Roman"/>
                      <w:color w:val="auto"/>
                      <w:kern w:val="0"/>
                      <w:sz w:val="21"/>
                      <w:szCs w:val="21"/>
                      <w:highlight w:val="none"/>
                      <w:vertAlign w:val="subscript"/>
                    </w:rPr>
                    <w:t>2.5</w:t>
                  </w:r>
                </w:p>
              </w:tc>
              <w:tc>
                <w:tcPr>
                  <w:tcW w:w="1520" w:type="pct"/>
                  <w:tcBorders>
                    <w:tl2br w:val="nil"/>
                    <w:tr2bl w:val="nil"/>
                  </w:tcBorders>
                  <w:vAlign w:val="center"/>
                </w:tcPr>
                <w:p w14:paraId="162B5FB3">
                  <w:pPr>
                    <w:adjustRightInd w:val="0"/>
                    <w:snapToGrid w:val="0"/>
                    <w:spacing w:line="260" w:lineRule="exact"/>
                    <w:jc w:val="center"/>
                    <w:rPr>
                      <w:rFonts w:cs="Times New Roman"/>
                      <w:color w:val="auto"/>
                      <w:sz w:val="21"/>
                      <w:szCs w:val="21"/>
                      <w:highlight w:val="none"/>
                    </w:rPr>
                  </w:pPr>
                  <w:r>
                    <w:rPr>
                      <w:rFonts w:cs="Times New Roman"/>
                      <w:color w:val="auto"/>
                      <w:kern w:val="0"/>
                      <w:sz w:val="21"/>
                      <w:szCs w:val="21"/>
                      <w:highlight w:val="none"/>
                    </w:rPr>
                    <w:t>年平均</w:t>
                  </w:r>
                </w:p>
              </w:tc>
              <w:tc>
                <w:tcPr>
                  <w:tcW w:w="684" w:type="pct"/>
                  <w:tcBorders>
                    <w:tl2br w:val="nil"/>
                    <w:tr2bl w:val="nil"/>
                  </w:tcBorders>
                  <w:vAlign w:val="center"/>
                </w:tcPr>
                <w:p w14:paraId="77034BD2">
                  <w:pPr>
                    <w:adjustRightInd w:val="0"/>
                    <w:snapToGrid w:val="0"/>
                    <w:spacing w:line="260" w:lineRule="exact"/>
                    <w:jc w:val="center"/>
                    <w:rPr>
                      <w:rFonts w:hint="eastAsia" w:cs="Times New Roman" w:eastAsiaTheme="minorEastAsia"/>
                      <w:color w:val="auto"/>
                      <w:kern w:val="0"/>
                      <w:sz w:val="21"/>
                      <w:szCs w:val="21"/>
                      <w:highlight w:val="none"/>
                      <w:lang w:val="en-US" w:eastAsia="zh-CN"/>
                    </w:rPr>
                  </w:pPr>
                  <w:r>
                    <w:rPr>
                      <w:rFonts w:cs="Times New Roman"/>
                      <w:color w:val="auto"/>
                      <w:kern w:val="0"/>
                      <w:sz w:val="21"/>
                      <w:szCs w:val="21"/>
                      <w:highlight w:val="none"/>
                    </w:rPr>
                    <w:t>4</w:t>
                  </w:r>
                  <w:r>
                    <w:rPr>
                      <w:rFonts w:hint="eastAsia" w:cs="Times New Roman"/>
                      <w:color w:val="auto"/>
                      <w:kern w:val="0"/>
                      <w:sz w:val="21"/>
                      <w:szCs w:val="21"/>
                      <w:highlight w:val="none"/>
                      <w:lang w:val="en-US" w:eastAsia="zh-CN"/>
                    </w:rPr>
                    <w:t>5</w:t>
                  </w:r>
                </w:p>
              </w:tc>
              <w:tc>
                <w:tcPr>
                  <w:tcW w:w="752" w:type="pct"/>
                  <w:tcBorders>
                    <w:tl2br w:val="nil"/>
                    <w:tr2bl w:val="nil"/>
                  </w:tcBorders>
                  <w:vAlign w:val="center"/>
                </w:tcPr>
                <w:p w14:paraId="496A200D">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35</w:t>
                  </w:r>
                </w:p>
              </w:tc>
              <w:tc>
                <w:tcPr>
                  <w:tcW w:w="1451" w:type="dxa"/>
                  <w:tcBorders>
                    <w:tl2br w:val="nil"/>
                    <w:tr2bl w:val="nil"/>
                  </w:tcBorders>
                  <w:vAlign w:val="center"/>
                </w:tcPr>
                <w:p w14:paraId="1FB2A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128.57%</w:t>
                  </w:r>
                </w:p>
              </w:tc>
              <w:tc>
                <w:tcPr>
                  <w:tcW w:w="683" w:type="pct"/>
                  <w:tcBorders>
                    <w:tl2br w:val="nil"/>
                    <w:tr2bl w:val="nil"/>
                  </w:tcBorders>
                  <w:vAlign w:val="center"/>
                </w:tcPr>
                <w:p w14:paraId="26CBCBE7">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不达标</w:t>
                  </w:r>
                </w:p>
              </w:tc>
            </w:tr>
            <w:tr w14:paraId="336D481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5A009FF7">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SO</w:t>
                  </w:r>
                  <w:r>
                    <w:rPr>
                      <w:rFonts w:cs="Times New Roman"/>
                      <w:color w:val="auto"/>
                      <w:kern w:val="0"/>
                      <w:sz w:val="21"/>
                      <w:szCs w:val="21"/>
                      <w:highlight w:val="none"/>
                      <w:vertAlign w:val="subscript"/>
                    </w:rPr>
                    <w:t>2</w:t>
                  </w:r>
                </w:p>
              </w:tc>
              <w:tc>
                <w:tcPr>
                  <w:tcW w:w="1520" w:type="pct"/>
                  <w:tcBorders>
                    <w:tl2br w:val="nil"/>
                    <w:tr2bl w:val="nil"/>
                  </w:tcBorders>
                  <w:vAlign w:val="center"/>
                </w:tcPr>
                <w:p w14:paraId="6A961361">
                  <w:pPr>
                    <w:adjustRightInd w:val="0"/>
                    <w:snapToGrid w:val="0"/>
                    <w:spacing w:line="260" w:lineRule="exact"/>
                    <w:jc w:val="center"/>
                    <w:rPr>
                      <w:rFonts w:cs="Times New Roman"/>
                      <w:color w:val="auto"/>
                      <w:sz w:val="21"/>
                      <w:szCs w:val="21"/>
                      <w:highlight w:val="none"/>
                    </w:rPr>
                  </w:pPr>
                  <w:r>
                    <w:rPr>
                      <w:rFonts w:cs="Times New Roman"/>
                      <w:color w:val="auto"/>
                      <w:kern w:val="0"/>
                      <w:sz w:val="21"/>
                      <w:szCs w:val="21"/>
                      <w:highlight w:val="none"/>
                    </w:rPr>
                    <w:t>年平均</w:t>
                  </w:r>
                </w:p>
              </w:tc>
              <w:tc>
                <w:tcPr>
                  <w:tcW w:w="684" w:type="pct"/>
                  <w:tcBorders>
                    <w:tl2br w:val="nil"/>
                    <w:tr2bl w:val="nil"/>
                  </w:tcBorders>
                  <w:vAlign w:val="center"/>
                </w:tcPr>
                <w:p w14:paraId="6F3E2F90">
                  <w:pPr>
                    <w:adjustRightInd w:val="0"/>
                    <w:snapToGrid w:val="0"/>
                    <w:spacing w:line="260" w:lineRule="exact"/>
                    <w:jc w:val="center"/>
                    <w:rPr>
                      <w:rFonts w:hint="eastAsia" w:cs="Times New Roman" w:eastAsiaTheme="minorEastAsia"/>
                      <w:color w:val="auto"/>
                      <w:kern w:val="0"/>
                      <w:sz w:val="21"/>
                      <w:szCs w:val="21"/>
                      <w:highlight w:val="none"/>
                      <w:lang w:val="en-US" w:eastAsia="zh-CN"/>
                    </w:rPr>
                  </w:pPr>
                  <w:r>
                    <w:rPr>
                      <w:rFonts w:hint="eastAsia" w:cs="Times New Roman"/>
                      <w:color w:val="auto"/>
                      <w:kern w:val="0"/>
                      <w:sz w:val="21"/>
                      <w:szCs w:val="21"/>
                      <w:highlight w:val="none"/>
                      <w:lang w:val="en-US" w:eastAsia="zh-CN"/>
                    </w:rPr>
                    <w:t>7</w:t>
                  </w:r>
                </w:p>
              </w:tc>
              <w:tc>
                <w:tcPr>
                  <w:tcW w:w="752" w:type="pct"/>
                  <w:tcBorders>
                    <w:tl2br w:val="nil"/>
                    <w:tr2bl w:val="nil"/>
                  </w:tcBorders>
                  <w:vAlign w:val="center"/>
                </w:tcPr>
                <w:p w14:paraId="014528D9">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60</w:t>
                  </w:r>
                </w:p>
              </w:tc>
              <w:tc>
                <w:tcPr>
                  <w:tcW w:w="1451" w:type="dxa"/>
                  <w:tcBorders>
                    <w:tl2br w:val="nil"/>
                    <w:tr2bl w:val="nil"/>
                  </w:tcBorders>
                  <w:vAlign w:val="center"/>
                </w:tcPr>
                <w:p w14:paraId="169109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11.67%</w:t>
                  </w:r>
                </w:p>
              </w:tc>
              <w:tc>
                <w:tcPr>
                  <w:tcW w:w="683" w:type="pct"/>
                  <w:tcBorders>
                    <w:tl2br w:val="nil"/>
                    <w:tr2bl w:val="nil"/>
                  </w:tcBorders>
                  <w:vAlign w:val="center"/>
                </w:tcPr>
                <w:p w14:paraId="60E0F8B3">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达标</w:t>
                  </w:r>
                </w:p>
              </w:tc>
            </w:tr>
            <w:tr w14:paraId="6A54B6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0D71A003">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NO</w:t>
                  </w:r>
                  <w:r>
                    <w:rPr>
                      <w:rFonts w:cs="Times New Roman"/>
                      <w:color w:val="auto"/>
                      <w:kern w:val="0"/>
                      <w:sz w:val="21"/>
                      <w:szCs w:val="21"/>
                      <w:highlight w:val="none"/>
                      <w:vertAlign w:val="subscript"/>
                    </w:rPr>
                    <w:t>2</w:t>
                  </w:r>
                </w:p>
              </w:tc>
              <w:tc>
                <w:tcPr>
                  <w:tcW w:w="1520" w:type="pct"/>
                  <w:tcBorders>
                    <w:tl2br w:val="nil"/>
                    <w:tr2bl w:val="nil"/>
                  </w:tcBorders>
                  <w:vAlign w:val="center"/>
                </w:tcPr>
                <w:p w14:paraId="3DBE4C60">
                  <w:pPr>
                    <w:adjustRightInd w:val="0"/>
                    <w:snapToGrid w:val="0"/>
                    <w:spacing w:line="260" w:lineRule="exact"/>
                    <w:jc w:val="center"/>
                    <w:rPr>
                      <w:rFonts w:cs="Times New Roman"/>
                      <w:color w:val="auto"/>
                      <w:sz w:val="21"/>
                      <w:szCs w:val="21"/>
                      <w:highlight w:val="none"/>
                    </w:rPr>
                  </w:pPr>
                  <w:r>
                    <w:rPr>
                      <w:rFonts w:cs="Times New Roman"/>
                      <w:color w:val="auto"/>
                      <w:kern w:val="0"/>
                      <w:sz w:val="21"/>
                      <w:szCs w:val="21"/>
                      <w:highlight w:val="none"/>
                    </w:rPr>
                    <w:t>年平均</w:t>
                  </w:r>
                </w:p>
              </w:tc>
              <w:tc>
                <w:tcPr>
                  <w:tcW w:w="684" w:type="pct"/>
                  <w:tcBorders>
                    <w:tl2br w:val="nil"/>
                    <w:tr2bl w:val="nil"/>
                  </w:tcBorders>
                  <w:vAlign w:val="center"/>
                </w:tcPr>
                <w:p w14:paraId="5C3FC6EC">
                  <w:pPr>
                    <w:adjustRightInd w:val="0"/>
                    <w:snapToGrid w:val="0"/>
                    <w:spacing w:line="260" w:lineRule="exact"/>
                    <w:jc w:val="center"/>
                    <w:rPr>
                      <w:rFonts w:hint="eastAsia" w:cs="Times New Roman" w:eastAsiaTheme="minorEastAsia"/>
                      <w:color w:val="auto"/>
                      <w:kern w:val="0"/>
                      <w:sz w:val="21"/>
                      <w:szCs w:val="21"/>
                      <w:highlight w:val="none"/>
                      <w:lang w:val="en-US" w:eastAsia="zh-CN"/>
                    </w:rPr>
                  </w:pPr>
                  <w:r>
                    <w:rPr>
                      <w:rFonts w:cs="Times New Roman"/>
                      <w:color w:val="auto"/>
                      <w:kern w:val="0"/>
                      <w:sz w:val="21"/>
                      <w:szCs w:val="21"/>
                      <w:highlight w:val="none"/>
                    </w:rPr>
                    <w:t>2</w:t>
                  </w:r>
                  <w:r>
                    <w:rPr>
                      <w:rFonts w:hint="eastAsia" w:cs="Times New Roman"/>
                      <w:color w:val="auto"/>
                      <w:kern w:val="0"/>
                      <w:sz w:val="21"/>
                      <w:szCs w:val="21"/>
                      <w:highlight w:val="none"/>
                      <w:lang w:val="en-US" w:eastAsia="zh-CN"/>
                    </w:rPr>
                    <w:t>5</w:t>
                  </w:r>
                </w:p>
              </w:tc>
              <w:tc>
                <w:tcPr>
                  <w:tcW w:w="752" w:type="pct"/>
                  <w:tcBorders>
                    <w:tl2br w:val="nil"/>
                    <w:tr2bl w:val="nil"/>
                  </w:tcBorders>
                  <w:vAlign w:val="center"/>
                </w:tcPr>
                <w:p w14:paraId="54F99967">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40</w:t>
                  </w:r>
                </w:p>
              </w:tc>
              <w:tc>
                <w:tcPr>
                  <w:tcW w:w="1451" w:type="dxa"/>
                  <w:tcBorders>
                    <w:tl2br w:val="nil"/>
                    <w:tr2bl w:val="nil"/>
                  </w:tcBorders>
                  <w:vAlign w:val="center"/>
                </w:tcPr>
                <w:p w14:paraId="67F519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62.50%</w:t>
                  </w:r>
                </w:p>
              </w:tc>
              <w:tc>
                <w:tcPr>
                  <w:tcW w:w="683" w:type="pct"/>
                  <w:tcBorders>
                    <w:tl2br w:val="nil"/>
                    <w:tr2bl w:val="nil"/>
                  </w:tcBorders>
                  <w:vAlign w:val="center"/>
                </w:tcPr>
                <w:p w14:paraId="6F7FC52C">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达标</w:t>
                  </w:r>
                </w:p>
              </w:tc>
            </w:tr>
            <w:tr w14:paraId="4A11EB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774F1260">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CO</w:t>
                  </w:r>
                </w:p>
              </w:tc>
              <w:tc>
                <w:tcPr>
                  <w:tcW w:w="1520" w:type="pct"/>
                  <w:tcBorders>
                    <w:tl2br w:val="nil"/>
                    <w:tr2bl w:val="nil"/>
                  </w:tcBorders>
                  <w:vAlign w:val="center"/>
                </w:tcPr>
                <w:p w14:paraId="2DE9E558">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第95百分位浓度</w:t>
                  </w:r>
                </w:p>
              </w:tc>
              <w:tc>
                <w:tcPr>
                  <w:tcW w:w="684" w:type="pct"/>
                  <w:tcBorders>
                    <w:tl2br w:val="nil"/>
                    <w:tr2bl w:val="nil"/>
                  </w:tcBorders>
                  <w:vAlign w:val="center"/>
                </w:tcPr>
                <w:p w14:paraId="0C239DFD">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1.</w:t>
                  </w:r>
                  <w:r>
                    <w:rPr>
                      <w:rFonts w:hint="eastAsia" w:cs="Times New Roman"/>
                      <w:color w:val="auto"/>
                      <w:kern w:val="0"/>
                      <w:sz w:val="21"/>
                      <w:szCs w:val="21"/>
                      <w:highlight w:val="none"/>
                      <w:lang w:val="en-US" w:eastAsia="zh-CN"/>
                    </w:rPr>
                    <w:t>5</w:t>
                  </w:r>
                  <w:r>
                    <w:rPr>
                      <w:rFonts w:cs="Times New Roman"/>
                      <w:color w:val="auto"/>
                      <w:sz w:val="21"/>
                      <w:szCs w:val="21"/>
                      <w:highlight w:val="none"/>
                    </w:rPr>
                    <w:t>mg/m</w:t>
                  </w:r>
                  <w:r>
                    <w:rPr>
                      <w:rFonts w:cs="Times New Roman"/>
                      <w:color w:val="auto"/>
                      <w:sz w:val="21"/>
                      <w:szCs w:val="21"/>
                      <w:highlight w:val="none"/>
                      <w:vertAlign w:val="superscript"/>
                    </w:rPr>
                    <w:t>3</w:t>
                  </w:r>
                </w:p>
              </w:tc>
              <w:tc>
                <w:tcPr>
                  <w:tcW w:w="752" w:type="pct"/>
                  <w:tcBorders>
                    <w:tl2br w:val="nil"/>
                    <w:tr2bl w:val="nil"/>
                  </w:tcBorders>
                  <w:vAlign w:val="center"/>
                </w:tcPr>
                <w:p w14:paraId="62A66DBE">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4</w:t>
                  </w:r>
                  <w:r>
                    <w:rPr>
                      <w:rFonts w:cs="Times New Roman"/>
                      <w:color w:val="auto"/>
                      <w:sz w:val="21"/>
                      <w:szCs w:val="21"/>
                      <w:highlight w:val="none"/>
                    </w:rPr>
                    <w:t>mg/m</w:t>
                  </w:r>
                  <w:r>
                    <w:rPr>
                      <w:rFonts w:cs="Times New Roman"/>
                      <w:color w:val="auto"/>
                      <w:sz w:val="21"/>
                      <w:szCs w:val="21"/>
                      <w:highlight w:val="none"/>
                      <w:vertAlign w:val="superscript"/>
                    </w:rPr>
                    <w:t>3</w:t>
                  </w:r>
                </w:p>
              </w:tc>
              <w:tc>
                <w:tcPr>
                  <w:tcW w:w="1451" w:type="dxa"/>
                  <w:tcBorders>
                    <w:tl2br w:val="nil"/>
                    <w:tr2bl w:val="nil"/>
                  </w:tcBorders>
                  <w:vAlign w:val="center"/>
                </w:tcPr>
                <w:p w14:paraId="0C66C8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37.50%</w:t>
                  </w:r>
                </w:p>
              </w:tc>
              <w:tc>
                <w:tcPr>
                  <w:tcW w:w="683" w:type="pct"/>
                  <w:tcBorders>
                    <w:tl2br w:val="nil"/>
                    <w:tr2bl w:val="nil"/>
                  </w:tcBorders>
                  <w:vAlign w:val="center"/>
                </w:tcPr>
                <w:p w14:paraId="6EC6E6B3">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达标</w:t>
                  </w:r>
                </w:p>
              </w:tc>
            </w:tr>
            <w:tr w14:paraId="1E4B9B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3" w:type="pct"/>
                  <w:tcBorders>
                    <w:tl2br w:val="nil"/>
                    <w:tr2bl w:val="nil"/>
                  </w:tcBorders>
                  <w:vAlign w:val="center"/>
                </w:tcPr>
                <w:p w14:paraId="38D167B7">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O</w:t>
                  </w:r>
                  <w:r>
                    <w:rPr>
                      <w:rFonts w:cs="Times New Roman"/>
                      <w:color w:val="auto"/>
                      <w:kern w:val="0"/>
                      <w:sz w:val="21"/>
                      <w:szCs w:val="21"/>
                      <w:highlight w:val="none"/>
                      <w:vertAlign w:val="subscript"/>
                    </w:rPr>
                    <w:t>3</w:t>
                  </w:r>
                </w:p>
              </w:tc>
              <w:tc>
                <w:tcPr>
                  <w:tcW w:w="1520" w:type="pct"/>
                  <w:tcBorders>
                    <w:tl2br w:val="nil"/>
                    <w:tr2bl w:val="nil"/>
                  </w:tcBorders>
                  <w:vAlign w:val="center"/>
                </w:tcPr>
                <w:p w14:paraId="42128137">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第90百分位浓度</w:t>
                  </w:r>
                </w:p>
              </w:tc>
              <w:tc>
                <w:tcPr>
                  <w:tcW w:w="684" w:type="pct"/>
                  <w:tcBorders>
                    <w:tl2br w:val="nil"/>
                    <w:tr2bl w:val="nil"/>
                  </w:tcBorders>
                  <w:vAlign w:val="center"/>
                </w:tcPr>
                <w:p w14:paraId="2E140ADE">
                  <w:pPr>
                    <w:adjustRightInd w:val="0"/>
                    <w:snapToGrid w:val="0"/>
                    <w:spacing w:line="260" w:lineRule="exact"/>
                    <w:jc w:val="center"/>
                    <w:rPr>
                      <w:rFonts w:hint="default" w:cs="Times New Roman" w:eastAsiaTheme="minorEastAsia"/>
                      <w:color w:val="auto"/>
                      <w:kern w:val="0"/>
                      <w:sz w:val="21"/>
                      <w:szCs w:val="21"/>
                      <w:highlight w:val="none"/>
                      <w:lang w:val="en-US" w:eastAsia="zh-CN"/>
                    </w:rPr>
                  </w:pPr>
                  <w:r>
                    <w:rPr>
                      <w:rFonts w:cs="Times New Roman"/>
                      <w:color w:val="auto"/>
                      <w:kern w:val="0"/>
                      <w:sz w:val="21"/>
                      <w:szCs w:val="21"/>
                      <w:highlight w:val="none"/>
                    </w:rPr>
                    <w:t>1</w:t>
                  </w:r>
                  <w:r>
                    <w:rPr>
                      <w:rFonts w:hint="eastAsia" w:cs="Times New Roman"/>
                      <w:color w:val="auto"/>
                      <w:kern w:val="0"/>
                      <w:sz w:val="21"/>
                      <w:szCs w:val="21"/>
                      <w:highlight w:val="none"/>
                      <w:lang w:val="en-US" w:eastAsia="zh-CN"/>
                    </w:rPr>
                    <w:t>84</w:t>
                  </w:r>
                </w:p>
              </w:tc>
              <w:tc>
                <w:tcPr>
                  <w:tcW w:w="752" w:type="pct"/>
                  <w:tcBorders>
                    <w:tl2br w:val="nil"/>
                    <w:tr2bl w:val="nil"/>
                  </w:tcBorders>
                  <w:vAlign w:val="center"/>
                </w:tcPr>
                <w:p w14:paraId="1B1B6B6F">
                  <w:pPr>
                    <w:adjustRightInd w:val="0"/>
                    <w:snapToGrid w:val="0"/>
                    <w:spacing w:line="260" w:lineRule="exact"/>
                    <w:jc w:val="center"/>
                    <w:rPr>
                      <w:rFonts w:cs="Times New Roman"/>
                      <w:color w:val="auto"/>
                      <w:kern w:val="0"/>
                      <w:sz w:val="21"/>
                      <w:szCs w:val="21"/>
                      <w:highlight w:val="none"/>
                    </w:rPr>
                  </w:pPr>
                  <w:r>
                    <w:rPr>
                      <w:rFonts w:cs="Times New Roman"/>
                      <w:color w:val="auto"/>
                      <w:kern w:val="0"/>
                      <w:sz w:val="21"/>
                      <w:szCs w:val="21"/>
                      <w:highlight w:val="none"/>
                    </w:rPr>
                    <w:t>160</w:t>
                  </w:r>
                </w:p>
              </w:tc>
              <w:tc>
                <w:tcPr>
                  <w:tcW w:w="1451" w:type="dxa"/>
                  <w:tcBorders>
                    <w:tl2br w:val="nil"/>
                    <w:tr2bl w:val="nil"/>
                  </w:tcBorders>
                  <w:vAlign w:val="center"/>
                </w:tcPr>
                <w:p w14:paraId="5DE2C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115.00%</w:t>
                  </w:r>
                </w:p>
              </w:tc>
              <w:tc>
                <w:tcPr>
                  <w:tcW w:w="683" w:type="pct"/>
                  <w:tcBorders>
                    <w:tl2br w:val="nil"/>
                    <w:tr2bl w:val="nil"/>
                  </w:tcBorders>
                  <w:vAlign w:val="center"/>
                </w:tcPr>
                <w:p w14:paraId="444AA0EF">
                  <w:pPr>
                    <w:widowControl/>
                    <w:adjustRightInd w:val="0"/>
                    <w:snapToGrid w:val="0"/>
                    <w:spacing w:line="260" w:lineRule="exact"/>
                    <w:jc w:val="center"/>
                    <w:textAlignment w:val="center"/>
                    <w:rPr>
                      <w:rFonts w:cs="Times New Roman"/>
                      <w:color w:val="auto"/>
                      <w:kern w:val="0"/>
                      <w:sz w:val="21"/>
                      <w:szCs w:val="21"/>
                      <w:highlight w:val="none"/>
                    </w:rPr>
                  </w:pPr>
                  <w:r>
                    <w:rPr>
                      <w:rFonts w:cs="Times New Roman"/>
                      <w:color w:val="auto"/>
                      <w:kern w:val="0"/>
                      <w:sz w:val="21"/>
                      <w:szCs w:val="21"/>
                      <w:highlight w:val="none"/>
                      <w:lang w:bidi="ar"/>
                    </w:rPr>
                    <w:t>不达标</w:t>
                  </w:r>
                </w:p>
              </w:tc>
            </w:tr>
          </w:tbl>
          <w:p w14:paraId="32C4ADA5">
            <w:pPr>
              <w:adjustRightInd w:val="0"/>
              <w:snapToGrid w:val="0"/>
              <w:spacing w:line="240" w:lineRule="auto"/>
              <w:ind w:firstLine="422" w:firstLineChars="200"/>
              <w:rPr>
                <w:rFonts w:cs="Times New Roman"/>
                <w:b/>
                <w:bCs/>
                <w:color w:val="auto"/>
                <w:sz w:val="21"/>
                <w:szCs w:val="21"/>
                <w:highlight w:val="none"/>
              </w:rPr>
            </w:pPr>
            <w:r>
              <w:rPr>
                <w:rFonts w:cs="Times New Roman"/>
                <w:b/>
                <w:bCs/>
                <w:color w:val="auto"/>
                <w:sz w:val="21"/>
                <w:szCs w:val="21"/>
                <w:highlight w:val="none"/>
              </w:rPr>
              <w:t>注：CO为24小时平均第95百分位数，单位为毫克/立方米；其他五项指标单位为微克/立方米，O</w:t>
            </w:r>
            <w:r>
              <w:rPr>
                <w:rFonts w:cs="Times New Roman"/>
                <w:b/>
                <w:bCs/>
                <w:color w:val="auto"/>
                <w:sz w:val="21"/>
                <w:szCs w:val="21"/>
                <w:highlight w:val="none"/>
                <w:vertAlign w:val="subscript"/>
              </w:rPr>
              <w:t>3</w:t>
            </w:r>
            <w:r>
              <w:rPr>
                <w:rFonts w:cs="Times New Roman"/>
                <w:b/>
                <w:bCs/>
                <w:color w:val="auto"/>
                <w:sz w:val="21"/>
                <w:szCs w:val="21"/>
                <w:highlight w:val="none"/>
              </w:rPr>
              <w:t>为最大8小时滑动平均值的第90百分位数。</w:t>
            </w:r>
          </w:p>
          <w:p w14:paraId="3341E441">
            <w:pPr>
              <w:ind w:firstLine="480" w:firstLineChars="200"/>
              <w:rPr>
                <w:rFonts w:cs="Times New Roman"/>
                <w:color w:val="auto"/>
                <w:highlight w:val="none"/>
              </w:rPr>
            </w:pPr>
            <w:r>
              <w:rPr>
                <w:rFonts w:cs="Times New Roman"/>
                <w:color w:val="auto"/>
                <w:highlight w:val="none"/>
              </w:rPr>
              <w:t>根据以上</w:t>
            </w:r>
            <w:r>
              <w:rPr>
                <w:rFonts w:hint="eastAsia" w:cs="Times New Roman"/>
                <w:color w:val="auto"/>
                <w:highlight w:val="none"/>
                <w:lang w:val="en-US" w:eastAsia="zh-CN"/>
              </w:rPr>
              <w:t>统计</w:t>
            </w:r>
            <w:r>
              <w:rPr>
                <w:rFonts w:cs="Times New Roman"/>
                <w:color w:val="auto"/>
                <w:highlight w:val="none"/>
              </w:rPr>
              <w:t>结果可知，</w:t>
            </w:r>
            <w:r>
              <w:rPr>
                <w:rFonts w:hint="eastAsia" w:cs="Times New Roman"/>
                <w:color w:val="auto"/>
                <w:highlight w:val="none"/>
                <w:lang w:val="en-US" w:eastAsia="zh-CN"/>
              </w:rPr>
              <w:t>鄠邑区</w:t>
            </w:r>
            <w:r>
              <w:rPr>
                <w:rFonts w:cs="Times New Roman"/>
                <w:color w:val="auto"/>
                <w:highlight w:val="none"/>
              </w:rPr>
              <w:t>SO</w:t>
            </w:r>
            <w:r>
              <w:rPr>
                <w:rFonts w:cs="Times New Roman"/>
                <w:color w:val="auto"/>
                <w:highlight w:val="none"/>
                <w:vertAlign w:val="subscript"/>
              </w:rPr>
              <w:t>2</w:t>
            </w:r>
            <w:r>
              <w:rPr>
                <w:rFonts w:cs="Times New Roman"/>
                <w:color w:val="auto"/>
                <w:highlight w:val="none"/>
              </w:rPr>
              <w:t>、NO</w:t>
            </w:r>
            <w:r>
              <w:rPr>
                <w:rFonts w:cs="Times New Roman"/>
                <w:color w:val="auto"/>
                <w:highlight w:val="none"/>
                <w:vertAlign w:val="subscript"/>
              </w:rPr>
              <w:t>2</w:t>
            </w:r>
            <w:r>
              <w:rPr>
                <w:rFonts w:cs="Times New Roman"/>
                <w:color w:val="auto"/>
                <w:highlight w:val="none"/>
              </w:rPr>
              <w:t>的年均浓度值和CO的24小时平均第95百分位浓度值均</w:t>
            </w:r>
            <w:r>
              <w:rPr>
                <w:color w:val="auto"/>
                <w:sz w:val="24"/>
                <w:highlight w:val="none"/>
              </w:rPr>
              <w:t>可达到《环境空气质量标准》（GB</w:t>
            </w:r>
            <w:r>
              <w:rPr>
                <w:rFonts w:hint="eastAsia"/>
                <w:color w:val="auto"/>
                <w:sz w:val="24"/>
                <w:highlight w:val="none"/>
                <w:lang w:val="en-US" w:eastAsia="zh-CN"/>
              </w:rPr>
              <w:t xml:space="preserve"> </w:t>
            </w:r>
            <w:r>
              <w:rPr>
                <w:color w:val="auto"/>
                <w:sz w:val="24"/>
                <w:highlight w:val="none"/>
              </w:rPr>
              <w:t>3095-2012）中二级标准</w:t>
            </w:r>
            <w:r>
              <w:rPr>
                <w:rFonts w:cs="Times New Roman"/>
                <w:color w:val="auto"/>
                <w:highlight w:val="none"/>
              </w:rPr>
              <w:t>；PM</w:t>
            </w:r>
            <w:r>
              <w:rPr>
                <w:rFonts w:cs="Times New Roman"/>
                <w:color w:val="auto"/>
                <w:highlight w:val="none"/>
                <w:vertAlign w:val="subscript"/>
              </w:rPr>
              <w:t>10</w:t>
            </w:r>
            <w:r>
              <w:rPr>
                <w:rFonts w:cs="Times New Roman"/>
                <w:color w:val="auto"/>
                <w:highlight w:val="none"/>
              </w:rPr>
              <w:t>、PM</w:t>
            </w:r>
            <w:r>
              <w:rPr>
                <w:rFonts w:cs="Times New Roman"/>
                <w:color w:val="auto"/>
                <w:highlight w:val="none"/>
                <w:vertAlign w:val="subscript"/>
              </w:rPr>
              <w:t>2.5</w:t>
            </w:r>
            <w:r>
              <w:rPr>
                <w:rFonts w:hint="eastAsia" w:cs="Times New Roman"/>
                <w:color w:val="auto"/>
                <w:highlight w:val="none"/>
                <w:lang w:val="en-US" w:eastAsia="zh-CN"/>
              </w:rPr>
              <w:t>及</w:t>
            </w:r>
            <w:r>
              <w:rPr>
                <w:rFonts w:cs="Times New Roman"/>
                <w:color w:val="auto"/>
                <w:highlight w:val="none"/>
              </w:rPr>
              <w:t>O</w:t>
            </w:r>
            <w:r>
              <w:rPr>
                <w:rFonts w:cs="Times New Roman"/>
                <w:color w:val="auto"/>
                <w:highlight w:val="none"/>
                <w:vertAlign w:val="subscript"/>
              </w:rPr>
              <w:t>3</w:t>
            </w:r>
            <w:r>
              <w:rPr>
                <w:rFonts w:cs="Times New Roman"/>
                <w:color w:val="auto"/>
                <w:highlight w:val="none"/>
              </w:rPr>
              <w:t>的第90百分位浓度</w:t>
            </w:r>
            <w:r>
              <w:rPr>
                <w:color w:val="auto"/>
                <w:sz w:val="24"/>
                <w:highlight w:val="none"/>
              </w:rPr>
              <w:t>未达到《环境空气质量标准》中二级标准</w:t>
            </w:r>
            <w:r>
              <w:rPr>
                <w:rFonts w:hint="eastAsia"/>
                <w:color w:val="auto"/>
                <w:sz w:val="24"/>
                <w:highlight w:val="none"/>
                <w:lang w:eastAsia="zh-CN"/>
              </w:rPr>
              <w:t>要求</w:t>
            </w:r>
            <w:r>
              <w:rPr>
                <w:rFonts w:cs="Times New Roman"/>
                <w:color w:val="auto"/>
                <w:highlight w:val="none"/>
              </w:rPr>
              <w:t>。</w:t>
            </w:r>
            <w:r>
              <w:rPr>
                <w:color w:val="auto"/>
                <w:sz w:val="24"/>
                <w:highlight w:val="none"/>
              </w:rPr>
              <w:t>根据《环境影响评价技术导则 大气环境》中达标区判定原则，</w:t>
            </w:r>
            <w:r>
              <w:rPr>
                <w:rFonts w:cs="Times New Roman"/>
                <w:color w:val="auto"/>
                <w:highlight w:val="none"/>
              </w:rPr>
              <w:t>项目所在区域属于不达标区</w:t>
            </w:r>
            <w:r>
              <w:rPr>
                <w:rFonts w:hint="eastAsia" w:cs="Times New Roman"/>
                <w:color w:val="auto"/>
                <w:highlight w:val="none"/>
                <w:lang w:eastAsia="zh-CN"/>
              </w:rPr>
              <w:t>。</w:t>
            </w:r>
            <w:r>
              <w:rPr>
                <w:rFonts w:cs="Times New Roman"/>
                <w:color w:val="auto"/>
                <w:highlight w:val="none"/>
              </w:rPr>
              <w:t>本项目配套完善的环保设施，污染物均可达标排放。</w:t>
            </w:r>
          </w:p>
          <w:p w14:paraId="561853A4">
            <w:pPr>
              <w:wordWrap w:val="0"/>
              <w:adjustRightInd w:val="0"/>
              <w:snapToGrid w:val="0"/>
              <w:ind w:firstLine="482" w:firstLineChars="200"/>
              <w:outlineLvl w:val="3"/>
              <w:rPr>
                <w:rFonts w:cs="Times New Roman"/>
                <w:b/>
                <w:bCs/>
                <w:color w:val="auto"/>
                <w:highlight w:val="none"/>
              </w:rPr>
            </w:pPr>
            <w:r>
              <w:rPr>
                <w:rFonts w:hint="eastAsia" w:cs="Times New Roman"/>
                <w:b/>
                <w:bCs/>
                <w:color w:val="auto"/>
                <w:highlight w:val="none"/>
              </w:rPr>
              <w:t>（2）</w:t>
            </w:r>
            <w:r>
              <w:rPr>
                <w:rFonts w:cs="Times New Roman"/>
                <w:b/>
                <w:bCs/>
                <w:color w:val="auto"/>
                <w:highlight w:val="none"/>
              </w:rPr>
              <w:t>特征污染物环境质量状况</w:t>
            </w:r>
          </w:p>
          <w:p w14:paraId="4C8AF9B8">
            <w:pPr>
              <w:adjustRightInd w:val="0"/>
              <w:spacing w:line="360" w:lineRule="auto"/>
              <w:ind w:firstLine="480" w:firstLineChars="200"/>
              <w:jc w:val="left"/>
              <w:rPr>
                <w:color w:val="auto"/>
                <w:sz w:val="24"/>
                <w:highlight w:val="none"/>
              </w:rPr>
            </w:pPr>
            <w:r>
              <w:rPr>
                <w:rFonts w:hint="eastAsia"/>
                <w:color w:val="auto"/>
                <w:sz w:val="24"/>
                <w:highlight w:val="none"/>
                <w:lang w:val="en-US" w:eastAsia="zh-CN"/>
              </w:rPr>
              <w:t>本次评价委托陕西正泽检测科技有限公司进行了监测，2024年12月19日～2024年12月21日对项目厂址下风向的环境空气特征因子TSP进行了监测，监测报编号为：ZZJC-2024-H-12-092</w:t>
            </w:r>
            <w:r>
              <w:rPr>
                <w:rFonts w:hint="eastAsia"/>
                <w:color w:val="auto"/>
                <w:sz w:val="24"/>
                <w:highlight w:val="none"/>
              </w:rPr>
              <w:t>，</w:t>
            </w:r>
            <w:r>
              <w:rPr>
                <w:rFonts w:hint="eastAsia"/>
                <w:color w:val="auto"/>
                <w:sz w:val="24"/>
                <w:highlight w:val="none"/>
                <w:lang w:eastAsia="zh-CN"/>
              </w:rPr>
              <w:t>监测点位</w:t>
            </w:r>
            <w:r>
              <w:rPr>
                <w:rFonts w:hint="eastAsia"/>
                <w:color w:val="auto"/>
                <w:sz w:val="24"/>
                <w:highlight w:val="none"/>
              </w:rPr>
              <w:t>于本项目</w:t>
            </w:r>
            <w:r>
              <w:rPr>
                <w:rFonts w:hint="eastAsia"/>
                <w:color w:val="auto"/>
                <w:sz w:val="24"/>
                <w:highlight w:val="none"/>
                <w:lang w:val="en-US" w:eastAsia="zh-CN"/>
              </w:rPr>
              <w:t>东南</w:t>
            </w:r>
            <w:r>
              <w:rPr>
                <w:rFonts w:hint="eastAsia"/>
                <w:color w:val="auto"/>
                <w:sz w:val="24"/>
                <w:highlight w:val="none"/>
              </w:rPr>
              <w:t>侧</w:t>
            </w:r>
            <w:r>
              <w:rPr>
                <w:rFonts w:hint="eastAsia"/>
                <w:color w:val="auto"/>
                <w:sz w:val="24"/>
                <w:highlight w:val="none"/>
                <w:lang w:val="en-US" w:eastAsia="zh-CN"/>
              </w:rPr>
              <w:t>新民庄村东庄</w:t>
            </w:r>
            <w:r>
              <w:rPr>
                <w:rFonts w:hint="eastAsia"/>
                <w:color w:val="auto"/>
                <w:sz w:val="24"/>
                <w:highlight w:val="none"/>
              </w:rPr>
              <w:t>（约</w:t>
            </w:r>
            <w:r>
              <w:rPr>
                <w:rFonts w:hint="eastAsia"/>
                <w:color w:val="auto"/>
                <w:sz w:val="24"/>
                <w:highlight w:val="none"/>
                <w:lang w:val="en-US" w:eastAsia="zh-CN"/>
              </w:rPr>
              <w:t>47m</w:t>
            </w:r>
            <w:r>
              <w:rPr>
                <w:rFonts w:hint="eastAsia"/>
                <w:color w:val="auto"/>
                <w:sz w:val="24"/>
                <w:highlight w:val="none"/>
              </w:rPr>
              <w:t>处）。</w:t>
            </w:r>
          </w:p>
          <w:p w14:paraId="4552A5DA">
            <w:pPr>
              <w:adjustRightInd w:val="0"/>
              <w:snapToGrid w:val="0"/>
              <w:ind w:firstLine="480" w:firstLineChars="200"/>
              <w:rPr>
                <w:rFonts w:hint="default" w:cs="Times New Roman"/>
                <w:color w:val="auto"/>
                <w:highlight w:val="none"/>
                <w:lang w:val="en-US" w:eastAsia="zh-CN"/>
              </w:rPr>
            </w:pPr>
            <w:r>
              <w:rPr>
                <w:rFonts w:hint="eastAsia"/>
                <w:color w:val="auto"/>
                <w:sz w:val="24"/>
                <w:highlight w:val="none"/>
              </w:rPr>
              <w:t>监测结果统计如下表：</w:t>
            </w:r>
          </w:p>
          <w:p w14:paraId="61B397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cs="Times New Roman" w:eastAsiaTheme="minorEastAsia"/>
                <w:b/>
                <w:bCs/>
                <w:color w:val="auto"/>
                <w:kern w:val="2"/>
                <w:sz w:val="21"/>
                <w:szCs w:val="21"/>
                <w:highlight w:val="none"/>
                <w:lang w:val="en-US" w:eastAsia="zh-CN" w:bidi="ar-SA"/>
              </w:rPr>
              <w:t>表3-</w:t>
            </w:r>
            <w:r>
              <w:rPr>
                <w:rFonts w:hint="eastAsia" w:cs="Times New Roman"/>
                <w:b/>
                <w:bCs/>
                <w:color w:val="auto"/>
                <w:kern w:val="2"/>
                <w:sz w:val="21"/>
                <w:szCs w:val="21"/>
                <w:highlight w:val="none"/>
                <w:lang w:val="en-US" w:eastAsia="zh-CN" w:bidi="ar-SA"/>
              </w:rPr>
              <w:t xml:space="preserve">2  </w:t>
            </w:r>
            <w:r>
              <w:rPr>
                <w:rFonts w:hint="default" w:ascii="Times New Roman" w:hAnsi="Times New Roman" w:cs="Times New Roman" w:eastAsiaTheme="minorEastAsia"/>
                <w:b/>
                <w:bCs/>
                <w:color w:val="auto"/>
                <w:kern w:val="2"/>
                <w:sz w:val="21"/>
                <w:szCs w:val="21"/>
                <w:highlight w:val="none"/>
                <w:lang w:val="en-US" w:eastAsia="zh-CN" w:bidi="ar-SA"/>
              </w:rPr>
              <w:t>TSP监测统计、分析结果</w:t>
            </w:r>
          </w:p>
          <w:tbl>
            <w:tblPr>
              <w:tblStyle w:val="24"/>
              <w:tblpPr w:leftFromText="180" w:rightFromText="180" w:vertAnchor="text" w:horzAnchor="page" w:tblpXSpec="center" w:tblpY="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457"/>
              <w:gridCol w:w="1493"/>
              <w:gridCol w:w="3216"/>
            </w:tblGrid>
            <w:tr w14:paraId="6464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14:paraId="3CC9F68F">
                  <w:pPr>
                    <w:adjustRightInd w:val="0"/>
                    <w:snapToGrid w:val="0"/>
                    <w:spacing w:line="260" w:lineRule="exact"/>
                    <w:jc w:val="center"/>
                    <w:rPr>
                      <w:rFonts w:hint="eastAsia" w:ascii="Times New Roman" w:hAnsi="Times New Roman" w:cs="Times New Roman"/>
                      <w:b w:val="0"/>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采样日期</w:t>
                  </w:r>
                </w:p>
              </w:tc>
              <w:tc>
                <w:tcPr>
                  <w:tcW w:w="1320"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14:paraId="5AE14D59">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监测点位</w:t>
                  </w:r>
                </w:p>
              </w:tc>
              <w:tc>
                <w:tcPr>
                  <w:tcW w:w="802"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14:paraId="1DE4A8E4">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监</w:t>
                  </w:r>
                  <w:r>
                    <w:rPr>
                      <w:rFonts w:hint="eastAsia" w:ascii="Times New Roman" w:hAnsi="Times New Roman" w:cs="Times New Roman"/>
                      <w:color w:val="auto"/>
                      <w:kern w:val="0"/>
                      <w:sz w:val="21"/>
                      <w:szCs w:val="21"/>
                      <w:highlight w:val="none"/>
                      <w:lang w:val="en-US" w:eastAsia="zh-CN"/>
                    </w:rPr>
                    <w:t>测项目</w:t>
                  </w:r>
                </w:p>
              </w:tc>
              <w:tc>
                <w:tcPr>
                  <w:tcW w:w="1727" w:type="pct"/>
                  <w:tcBorders>
                    <w:tl2br w:val="nil"/>
                    <w:tr2bl w:val="nil"/>
                  </w:tcBorders>
                  <w:noWrap w:val="0"/>
                  <w:vAlign w:val="center"/>
                </w:tcPr>
                <w:p w14:paraId="1356D431">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监测结果</w:t>
                  </w:r>
                </w:p>
              </w:tc>
            </w:tr>
            <w:tr w14:paraId="2DD9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4FEF4D">
                  <w:pPr>
                    <w:adjustRightInd w:val="0"/>
                    <w:snapToGrid w:val="0"/>
                    <w:spacing w:line="260" w:lineRule="exact"/>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202</w:t>
                  </w:r>
                  <w:r>
                    <w:rPr>
                      <w:rFonts w:hint="eastAsia"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lang w:val="en-US" w:eastAsia="zh-CN"/>
                    </w:rPr>
                    <w:t>年</w:t>
                  </w:r>
                  <w:r>
                    <w:rPr>
                      <w:rFonts w:hint="default" w:ascii="Times New Roman" w:hAnsi="Times New Roman"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月</w:t>
                  </w:r>
                  <w:r>
                    <w:rPr>
                      <w:rFonts w:hint="eastAsia" w:cs="Times New Roman"/>
                      <w:color w:val="auto"/>
                      <w:kern w:val="0"/>
                      <w:sz w:val="21"/>
                      <w:szCs w:val="21"/>
                      <w:highlight w:val="none"/>
                      <w:lang w:val="en-US" w:eastAsia="zh-CN"/>
                    </w:rPr>
                    <w:t>19</w:t>
                  </w:r>
                  <w:r>
                    <w:rPr>
                      <w:rFonts w:hint="default" w:ascii="Times New Roman" w:hAnsi="Times New Roman" w:cs="Times New Roman"/>
                      <w:color w:val="auto"/>
                      <w:kern w:val="0"/>
                      <w:sz w:val="21"/>
                      <w:szCs w:val="21"/>
                      <w:highlight w:val="none"/>
                      <w:lang w:val="en-US" w:eastAsia="zh-CN"/>
                    </w:rPr>
                    <w:t>日</w:t>
                  </w:r>
                </w:p>
              </w:tc>
              <w:tc>
                <w:tcPr>
                  <w:tcW w:w="1320" w:type="pct"/>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14:paraId="59FD542D">
                  <w:pPr>
                    <w:adjustRightInd w:val="0"/>
                    <w:snapToGrid w:val="0"/>
                    <w:spacing w:line="260" w:lineRule="exact"/>
                    <w:jc w:val="center"/>
                    <w:rPr>
                      <w:rFonts w:hint="eastAsia" w:cs="Times New Roman"/>
                      <w:b w:val="0"/>
                      <w:color w:val="auto"/>
                      <w:kern w:val="0"/>
                      <w:sz w:val="21"/>
                      <w:szCs w:val="21"/>
                      <w:highlight w:val="none"/>
                      <w:lang w:val="en-US" w:eastAsia="zh-CN"/>
                    </w:rPr>
                  </w:pPr>
                  <w:r>
                    <w:rPr>
                      <w:rFonts w:hint="eastAsia" w:cs="Times New Roman"/>
                      <w:b w:val="0"/>
                      <w:color w:val="auto"/>
                      <w:kern w:val="0"/>
                      <w:sz w:val="21"/>
                      <w:szCs w:val="21"/>
                      <w:highlight w:val="none"/>
                      <w:lang w:val="en-US" w:eastAsia="zh-CN"/>
                    </w:rPr>
                    <w:t>项目地下风向</w:t>
                  </w:r>
                </w:p>
                <w:p w14:paraId="34DA1A4E">
                  <w:pPr>
                    <w:adjustRightInd w:val="0"/>
                    <w:snapToGrid w:val="0"/>
                    <w:spacing w:line="260" w:lineRule="exact"/>
                    <w:jc w:val="center"/>
                    <w:rPr>
                      <w:rFonts w:hint="eastAsia" w:cs="Times New Roman"/>
                      <w:b w:val="0"/>
                      <w:color w:val="auto"/>
                      <w:kern w:val="0"/>
                      <w:sz w:val="21"/>
                      <w:szCs w:val="21"/>
                      <w:highlight w:val="none"/>
                      <w:lang w:val="en-US" w:eastAsia="zh-CN"/>
                    </w:rPr>
                  </w:pPr>
                  <w:r>
                    <w:rPr>
                      <w:rFonts w:hint="eastAsia" w:cs="Times New Roman"/>
                      <w:b w:val="0"/>
                      <w:color w:val="auto"/>
                      <w:kern w:val="0"/>
                      <w:sz w:val="21"/>
                      <w:szCs w:val="21"/>
                      <w:highlight w:val="none"/>
                      <w:lang w:val="en-US" w:eastAsia="zh-CN"/>
                    </w:rPr>
                    <w:t>（经度：108.575984°E;</w:t>
                  </w:r>
                </w:p>
                <w:p w14:paraId="4CBAE4D7">
                  <w:pPr>
                    <w:adjustRightInd w:val="0"/>
                    <w:snapToGrid w:val="0"/>
                    <w:spacing w:line="260" w:lineRule="exact"/>
                    <w:jc w:val="center"/>
                    <w:rPr>
                      <w:rFonts w:hint="default" w:ascii="Times New Roman" w:hAnsi="Times New Roman" w:cs="Times New Roman"/>
                      <w:b w:val="0"/>
                      <w:color w:val="auto"/>
                      <w:kern w:val="0"/>
                      <w:sz w:val="21"/>
                      <w:szCs w:val="21"/>
                      <w:highlight w:val="none"/>
                      <w:lang w:val="en-US" w:eastAsia="zh-CN"/>
                    </w:rPr>
                  </w:pPr>
                  <w:r>
                    <w:rPr>
                      <w:rFonts w:hint="eastAsia" w:cs="Times New Roman"/>
                      <w:b w:val="0"/>
                      <w:color w:val="auto"/>
                      <w:kern w:val="0"/>
                      <w:sz w:val="21"/>
                      <w:szCs w:val="21"/>
                      <w:highlight w:val="none"/>
                      <w:lang w:val="en-US" w:eastAsia="zh-CN"/>
                    </w:rPr>
                    <w:t>纬度34.060816°N)</w:t>
                  </w:r>
                </w:p>
              </w:tc>
              <w:tc>
                <w:tcPr>
                  <w:tcW w:w="802" w:type="pct"/>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14:paraId="69C89409">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TSP日均值</w:t>
                  </w:r>
                </w:p>
                <w:p w14:paraId="7CA94121">
                  <w:pPr>
                    <w:adjustRightInd w:val="0"/>
                    <w:snapToGrid w:val="0"/>
                    <w:spacing w:line="260" w:lineRule="exact"/>
                    <w:jc w:val="center"/>
                    <w:rPr>
                      <w:rFonts w:hint="default" w:ascii="Times New Roman" w:hAnsi="Times New Roman" w:cs="Times New Roman"/>
                      <w:b w:val="0"/>
                      <w:color w:val="auto"/>
                      <w:kern w:val="0"/>
                      <w:sz w:val="21"/>
                      <w:szCs w:val="21"/>
                      <w:highlight w:val="none"/>
                      <w:lang w:val="en-US" w:eastAsia="zh-CN"/>
                    </w:rPr>
                  </w:pPr>
                  <w:r>
                    <w:rPr>
                      <w:rFonts w:hint="eastAsia" w:cs="Times New Roman"/>
                      <w:color w:val="auto"/>
                      <w:kern w:val="0"/>
                      <w:sz w:val="21"/>
                      <w:szCs w:val="21"/>
                      <w:highlight w:val="none"/>
                      <w:lang w:val="en-US" w:eastAsia="zh-CN"/>
                    </w:rPr>
                    <w:t>（μg/m</w:t>
                  </w:r>
                  <w:r>
                    <w:rPr>
                      <w:rFonts w:hint="eastAsia" w:cs="Times New Roman"/>
                      <w:color w:val="auto"/>
                      <w:kern w:val="0"/>
                      <w:sz w:val="21"/>
                      <w:szCs w:val="21"/>
                      <w:highlight w:val="none"/>
                      <w:vertAlign w:val="superscript"/>
                      <w:lang w:val="en-US" w:eastAsia="zh-CN"/>
                    </w:rPr>
                    <w:t>3</w:t>
                  </w:r>
                  <w:r>
                    <w:rPr>
                      <w:rFonts w:hint="eastAsia" w:cs="Times New Roman"/>
                      <w:color w:val="auto"/>
                      <w:kern w:val="0"/>
                      <w:sz w:val="21"/>
                      <w:szCs w:val="21"/>
                      <w:highlight w:val="none"/>
                      <w:lang w:val="en-US" w:eastAsia="zh-CN"/>
                    </w:rPr>
                    <w:t>）</w:t>
                  </w:r>
                </w:p>
              </w:tc>
              <w:tc>
                <w:tcPr>
                  <w:tcW w:w="1727" w:type="pct"/>
                  <w:tcBorders>
                    <w:tl2br w:val="nil"/>
                    <w:tr2bl w:val="nil"/>
                  </w:tcBorders>
                  <w:noWrap w:val="0"/>
                  <w:vAlign w:val="center"/>
                </w:tcPr>
                <w:p w14:paraId="3971D37E">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147</w:t>
                  </w:r>
                </w:p>
              </w:tc>
            </w:tr>
            <w:tr w14:paraId="4EB8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2D7058">
                  <w:pPr>
                    <w:adjustRightInd w:val="0"/>
                    <w:snapToGrid w:val="0"/>
                    <w:spacing w:line="260" w:lineRule="exact"/>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202</w:t>
                  </w:r>
                  <w:r>
                    <w:rPr>
                      <w:rFonts w:hint="eastAsia"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lang w:val="en-US" w:eastAsia="zh-CN"/>
                    </w:rPr>
                    <w:t>年</w:t>
                  </w:r>
                  <w:r>
                    <w:rPr>
                      <w:rFonts w:hint="default" w:ascii="Times New Roman" w:hAnsi="Times New Roman"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月2</w:t>
                  </w:r>
                  <w:r>
                    <w:rPr>
                      <w:rFonts w:hint="eastAsia" w:cs="Times New Roman"/>
                      <w:color w:val="auto"/>
                      <w:kern w:val="0"/>
                      <w:sz w:val="21"/>
                      <w:szCs w:val="21"/>
                      <w:highlight w:val="none"/>
                      <w:lang w:val="en-US" w:eastAsia="zh-CN"/>
                    </w:rPr>
                    <w:t>0</w:t>
                  </w:r>
                  <w:r>
                    <w:rPr>
                      <w:rFonts w:hint="default" w:ascii="Times New Roman" w:hAnsi="Times New Roman" w:cs="Times New Roman"/>
                      <w:color w:val="auto"/>
                      <w:kern w:val="0"/>
                      <w:sz w:val="21"/>
                      <w:szCs w:val="21"/>
                      <w:highlight w:val="none"/>
                      <w:lang w:val="en-US" w:eastAsia="zh-CN"/>
                    </w:rPr>
                    <w:t>日</w:t>
                  </w:r>
                </w:p>
              </w:tc>
              <w:tc>
                <w:tcPr>
                  <w:tcW w:w="1320" w:type="pct"/>
                  <w:vMerge w:val="continue"/>
                  <w:tcBorders>
                    <w:left w:val="single" w:color="000000" w:sz="4" w:space="0"/>
                    <w:right w:val="single" w:color="000000" w:sz="4" w:space="0"/>
                    <w:tl2br w:val="nil"/>
                    <w:tr2bl w:val="nil"/>
                  </w:tcBorders>
                  <w:shd w:val="clear" w:color="auto" w:fill="auto"/>
                  <w:noWrap w:val="0"/>
                  <w:vAlign w:val="center"/>
                </w:tcPr>
                <w:p w14:paraId="4DDB0788">
                  <w:pPr>
                    <w:adjustRightInd w:val="0"/>
                    <w:snapToGrid w:val="0"/>
                    <w:spacing w:line="260" w:lineRule="exact"/>
                    <w:jc w:val="center"/>
                    <w:rPr>
                      <w:rFonts w:hint="default" w:ascii="Times New Roman" w:hAnsi="Times New Roman" w:cs="Times New Roman"/>
                      <w:b w:val="0"/>
                      <w:color w:val="auto"/>
                      <w:kern w:val="0"/>
                      <w:sz w:val="21"/>
                      <w:szCs w:val="21"/>
                      <w:highlight w:val="none"/>
                      <w:lang w:val="en-US" w:eastAsia="zh-CN"/>
                    </w:rPr>
                  </w:pPr>
                </w:p>
              </w:tc>
              <w:tc>
                <w:tcPr>
                  <w:tcW w:w="802" w:type="pct"/>
                  <w:vMerge w:val="continue"/>
                  <w:tcBorders>
                    <w:left w:val="single" w:color="000000" w:sz="4" w:space="0"/>
                    <w:right w:val="single" w:color="000000" w:sz="4" w:space="0"/>
                    <w:tl2br w:val="nil"/>
                    <w:tr2bl w:val="nil"/>
                  </w:tcBorders>
                  <w:shd w:val="clear" w:color="auto" w:fill="auto"/>
                  <w:noWrap w:val="0"/>
                  <w:vAlign w:val="center"/>
                </w:tcPr>
                <w:p w14:paraId="5B61347B">
                  <w:pPr>
                    <w:adjustRightInd w:val="0"/>
                    <w:snapToGrid w:val="0"/>
                    <w:spacing w:line="260" w:lineRule="exact"/>
                    <w:jc w:val="center"/>
                    <w:rPr>
                      <w:rFonts w:hint="default" w:ascii="Times New Roman" w:hAnsi="Times New Roman" w:cs="Times New Roman"/>
                      <w:b w:val="0"/>
                      <w:color w:val="auto"/>
                      <w:kern w:val="0"/>
                      <w:sz w:val="21"/>
                      <w:szCs w:val="21"/>
                      <w:highlight w:val="none"/>
                      <w:lang w:val="en-US" w:eastAsia="zh-CN"/>
                    </w:rPr>
                  </w:pPr>
                </w:p>
              </w:tc>
              <w:tc>
                <w:tcPr>
                  <w:tcW w:w="1727" w:type="pct"/>
                  <w:tcBorders>
                    <w:tl2br w:val="nil"/>
                    <w:tr2bl w:val="nil"/>
                  </w:tcBorders>
                  <w:noWrap w:val="0"/>
                  <w:vAlign w:val="center"/>
                </w:tcPr>
                <w:p w14:paraId="07C37E76">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195</w:t>
                  </w:r>
                </w:p>
              </w:tc>
            </w:tr>
            <w:tr w14:paraId="71A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581A0B7">
                  <w:pPr>
                    <w:adjustRightInd w:val="0"/>
                    <w:snapToGrid w:val="0"/>
                    <w:spacing w:line="260" w:lineRule="exact"/>
                    <w:jc w:val="center"/>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202</w:t>
                  </w:r>
                  <w:r>
                    <w:rPr>
                      <w:rFonts w:hint="eastAsia"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lang w:val="en-US" w:eastAsia="zh-CN"/>
                    </w:rPr>
                    <w:t>年</w:t>
                  </w:r>
                  <w:r>
                    <w:rPr>
                      <w:rFonts w:hint="default" w:ascii="Times New Roman" w:hAnsi="Times New Roman"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lang w:val="en-US" w:eastAsia="zh-CN"/>
                    </w:rPr>
                    <w:t>月2</w:t>
                  </w:r>
                  <w:r>
                    <w:rPr>
                      <w:rFonts w:hint="eastAsia" w:ascii="Times New Roman" w:hAnsi="Times New Roman"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val="en-US" w:eastAsia="zh-CN"/>
                    </w:rPr>
                    <w:t>日</w:t>
                  </w:r>
                </w:p>
              </w:tc>
              <w:tc>
                <w:tcPr>
                  <w:tcW w:w="1320" w:type="pct"/>
                  <w:vMerge w:val="continue"/>
                  <w:tcBorders>
                    <w:left w:val="single" w:color="000000" w:sz="4" w:space="0"/>
                    <w:bottom w:val="single" w:color="000000" w:sz="4" w:space="0"/>
                    <w:right w:val="single" w:color="000000" w:sz="4" w:space="0"/>
                    <w:tl2br w:val="nil"/>
                    <w:tr2bl w:val="nil"/>
                  </w:tcBorders>
                  <w:shd w:val="clear" w:color="auto" w:fill="auto"/>
                  <w:noWrap w:val="0"/>
                  <w:vAlign w:val="center"/>
                </w:tcPr>
                <w:p w14:paraId="5EAF47B2">
                  <w:pPr>
                    <w:adjustRightInd w:val="0"/>
                    <w:snapToGrid w:val="0"/>
                    <w:spacing w:line="260" w:lineRule="exact"/>
                    <w:jc w:val="center"/>
                    <w:rPr>
                      <w:rFonts w:hint="default" w:ascii="Times New Roman" w:hAnsi="Times New Roman" w:cs="Times New Roman"/>
                      <w:b w:val="0"/>
                      <w:color w:val="auto"/>
                      <w:kern w:val="0"/>
                      <w:sz w:val="21"/>
                      <w:szCs w:val="21"/>
                      <w:highlight w:val="none"/>
                      <w:lang w:val="en-US" w:eastAsia="zh-CN"/>
                    </w:rPr>
                  </w:pPr>
                </w:p>
              </w:tc>
              <w:tc>
                <w:tcPr>
                  <w:tcW w:w="802" w:type="pct"/>
                  <w:vMerge w:val="continue"/>
                  <w:tcBorders>
                    <w:left w:val="single" w:color="000000" w:sz="4" w:space="0"/>
                    <w:right w:val="single" w:color="000000" w:sz="4" w:space="0"/>
                    <w:tl2br w:val="nil"/>
                    <w:tr2bl w:val="nil"/>
                  </w:tcBorders>
                  <w:noWrap w:val="0"/>
                  <w:vAlign w:val="center"/>
                </w:tcPr>
                <w:p w14:paraId="22297AE3">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p>
              </w:tc>
              <w:tc>
                <w:tcPr>
                  <w:tcW w:w="1727" w:type="pct"/>
                  <w:tcBorders>
                    <w:tl2br w:val="nil"/>
                    <w:tr2bl w:val="nil"/>
                  </w:tcBorders>
                  <w:noWrap w:val="0"/>
                  <w:vAlign w:val="center"/>
                </w:tcPr>
                <w:p w14:paraId="4D5C5E16">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75</w:t>
                  </w:r>
                </w:p>
              </w:tc>
            </w:tr>
            <w:tr w14:paraId="43E5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72" w:type="pct"/>
                  <w:gridSpan w:val="3"/>
                  <w:tcBorders>
                    <w:top w:val="single" w:color="000000" w:sz="4" w:space="0"/>
                    <w:left w:val="single" w:color="000000" w:sz="4" w:space="0"/>
                    <w:bottom w:val="single" w:color="000000" w:sz="4" w:space="0"/>
                    <w:tl2br w:val="nil"/>
                    <w:tr2bl w:val="nil"/>
                  </w:tcBorders>
                  <w:shd w:val="clear" w:color="auto" w:fill="auto"/>
                  <w:noWrap w:val="0"/>
                  <w:vAlign w:val="center"/>
                </w:tcPr>
                <w:p w14:paraId="33CD463D">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标准值</w:t>
                  </w:r>
                </w:p>
              </w:tc>
              <w:tc>
                <w:tcPr>
                  <w:tcW w:w="1727" w:type="pct"/>
                  <w:tcBorders>
                    <w:tl2br w:val="nil"/>
                    <w:tr2bl w:val="nil"/>
                  </w:tcBorders>
                  <w:noWrap w:val="0"/>
                  <w:vAlign w:val="center"/>
                </w:tcPr>
                <w:p w14:paraId="0EE4A0AC">
                  <w:pPr>
                    <w:adjustRightInd w:val="0"/>
                    <w:snapToGrid w:val="0"/>
                    <w:spacing w:line="260" w:lineRule="exact"/>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300</w:t>
                  </w:r>
                </w:p>
              </w:tc>
            </w:tr>
          </w:tbl>
          <w:p w14:paraId="04D02C36">
            <w:pPr>
              <w:adjustRightInd w:val="0"/>
              <w:snapToGrid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由监测结果</w:t>
            </w:r>
            <w:r>
              <w:rPr>
                <w:rFonts w:hint="eastAsia" w:cs="Times New Roman"/>
                <w:color w:val="auto"/>
                <w:highlight w:val="none"/>
                <w:lang w:val="en-US" w:eastAsia="zh-CN"/>
              </w:rPr>
              <w:t>可知</w:t>
            </w:r>
            <w:r>
              <w:rPr>
                <w:rFonts w:hint="default" w:cs="Times New Roman"/>
                <w:color w:val="auto"/>
                <w:highlight w:val="none"/>
                <w:lang w:val="en-US" w:eastAsia="zh-CN"/>
              </w:rPr>
              <w:t>，项目所在地区域环境空气质量连续3个监测日，TSP的24小时平均浓度值均达到《环境空气质量标准》（GB</w:t>
            </w:r>
            <w:r>
              <w:rPr>
                <w:rFonts w:hint="eastAsia" w:cs="Times New Roman"/>
                <w:color w:val="auto"/>
                <w:highlight w:val="none"/>
                <w:lang w:val="en-US" w:eastAsia="zh-CN"/>
              </w:rPr>
              <w:t xml:space="preserve"> </w:t>
            </w:r>
            <w:r>
              <w:rPr>
                <w:rFonts w:hint="default" w:cs="Times New Roman"/>
                <w:color w:val="auto"/>
                <w:highlight w:val="none"/>
                <w:lang w:val="en-US" w:eastAsia="zh-CN"/>
              </w:rPr>
              <w:t>3095-2012）二级标准要求。</w:t>
            </w:r>
          </w:p>
          <w:p w14:paraId="25E908CB">
            <w:pPr>
              <w:adjustRightInd w:val="0"/>
              <w:snapToGrid w:val="0"/>
              <w:ind w:firstLine="482" w:firstLineChars="200"/>
              <w:rPr>
                <w:rFonts w:cs="Times New Roman"/>
                <w:b/>
                <w:color w:val="auto"/>
                <w:highlight w:val="none"/>
              </w:rPr>
            </w:pPr>
            <w:r>
              <w:rPr>
                <w:rFonts w:hint="eastAsia" w:cs="Times New Roman"/>
                <w:b/>
                <w:color w:val="auto"/>
                <w:highlight w:val="none"/>
              </w:rPr>
              <w:t>2、</w:t>
            </w:r>
            <w:r>
              <w:rPr>
                <w:rFonts w:cs="Times New Roman"/>
                <w:b/>
                <w:color w:val="auto"/>
                <w:highlight w:val="none"/>
              </w:rPr>
              <w:t>声环境现状监测与评价</w:t>
            </w:r>
          </w:p>
          <w:p w14:paraId="71ED3768">
            <w:pPr>
              <w:adjustRightInd w:val="0"/>
              <w:snapToGrid w:val="0"/>
              <w:ind w:firstLine="480" w:firstLineChars="200"/>
              <w:rPr>
                <w:rFonts w:hint="eastAsia" w:cs="Times New Roman"/>
                <w:color w:val="auto"/>
                <w:highlight w:val="none"/>
              </w:rPr>
            </w:pPr>
            <w:r>
              <w:rPr>
                <w:rFonts w:hint="eastAsia" w:cs="Times New Roman"/>
                <w:color w:val="auto"/>
                <w:highlight w:val="none"/>
              </w:rPr>
              <w:t>本项目位于</w:t>
            </w:r>
            <w:r>
              <w:rPr>
                <w:rFonts w:hint="eastAsia" w:cs="Times New Roman"/>
                <w:color w:val="auto"/>
                <w:highlight w:val="none"/>
                <w:lang w:val="en-US" w:eastAsia="zh-CN"/>
              </w:rPr>
              <w:t>玉蝉街道天桥片区</w:t>
            </w:r>
            <w:r>
              <w:rPr>
                <w:rFonts w:hint="eastAsia" w:cs="Times New Roman"/>
                <w:color w:val="auto"/>
                <w:highlight w:val="none"/>
              </w:rPr>
              <w:t>，根据《声环境质量标准》（GB</w:t>
            </w:r>
            <w:r>
              <w:rPr>
                <w:rFonts w:hint="eastAsia" w:cs="Times New Roman"/>
                <w:color w:val="auto"/>
                <w:highlight w:val="none"/>
                <w:lang w:val="en-US" w:eastAsia="zh-CN"/>
              </w:rPr>
              <w:t xml:space="preserve"> </w:t>
            </w:r>
            <w:r>
              <w:rPr>
                <w:rFonts w:hint="eastAsia" w:cs="Times New Roman"/>
                <w:color w:val="auto"/>
                <w:highlight w:val="none"/>
              </w:rPr>
              <w:t>3096-2008）中声环境功能区分类，项目所在地属于2类声环境功能区。</w:t>
            </w:r>
          </w:p>
          <w:p w14:paraId="3AC66801">
            <w:pPr>
              <w:adjustRightInd w:val="0"/>
              <w:snapToGrid w:val="0"/>
              <w:spacing w:line="480" w:lineRule="exact"/>
              <w:ind w:firstLine="48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项目声环境质量现状委托陕西正泽检测科技有限公司进行监测，监测时间为</w:t>
            </w:r>
            <w:r>
              <w:rPr>
                <w:rFonts w:hint="eastAsia" w:cs="Times New Roman"/>
                <w:color w:val="auto"/>
                <w:sz w:val="24"/>
                <w:highlight w:val="none"/>
                <w:lang w:val="en-US" w:eastAsia="zh-CN"/>
              </w:rPr>
              <w:t>2024</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12</w:t>
            </w:r>
            <w:r>
              <w:rPr>
                <w:rFonts w:hint="eastAsia" w:ascii="Times New Roman" w:hAnsi="Times New Roman" w:eastAsia="宋体" w:cs="Times New Roman"/>
                <w:color w:val="auto"/>
                <w:sz w:val="24"/>
                <w:highlight w:val="none"/>
                <w:lang w:val="en-US" w:eastAsia="zh-CN"/>
              </w:rPr>
              <w:t>月</w:t>
            </w:r>
            <w:r>
              <w:rPr>
                <w:rFonts w:hint="eastAsia" w:eastAsia="宋体" w:cs="Times New Roman"/>
                <w:color w:val="auto"/>
                <w:sz w:val="24"/>
                <w:highlight w:val="none"/>
                <w:lang w:val="en-US" w:eastAsia="zh-CN"/>
              </w:rPr>
              <w:t>20</w:t>
            </w:r>
            <w:r>
              <w:rPr>
                <w:rFonts w:hint="eastAsia" w:ascii="Times New Roman" w:hAnsi="Times New Roman" w:eastAsia="宋体" w:cs="Times New Roman"/>
                <w:color w:val="auto"/>
                <w:sz w:val="24"/>
                <w:highlight w:val="none"/>
                <w:lang w:val="en-US" w:eastAsia="zh-CN"/>
              </w:rPr>
              <w:t>日</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12</w:t>
            </w:r>
            <w:r>
              <w:rPr>
                <w:rFonts w:hint="eastAsia" w:ascii="Times New Roman" w:hAnsi="Times New Roman" w:eastAsia="宋体" w:cs="Times New Roman"/>
                <w:color w:val="auto"/>
                <w:sz w:val="24"/>
                <w:highlight w:val="none"/>
                <w:lang w:val="en-US" w:eastAsia="zh-CN"/>
              </w:rPr>
              <w:t>月</w:t>
            </w:r>
            <w:r>
              <w:rPr>
                <w:rFonts w:hint="eastAsia" w:eastAsia="宋体" w:cs="Times New Roman"/>
                <w:color w:val="auto"/>
                <w:sz w:val="24"/>
                <w:highlight w:val="none"/>
                <w:lang w:val="en-US" w:eastAsia="zh-CN"/>
              </w:rPr>
              <w:t>21</w:t>
            </w:r>
            <w:r>
              <w:rPr>
                <w:rFonts w:hint="eastAsia" w:ascii="Times New Roman" w:hAnsi="Times New Roman" w:eastAsia="宋体" w:cs="Times New Roman"/>
                <w:color w:val="auto"/>
                <w:sz w:val="24"/>
                <w:highlight w:val="none"/>
                <w:lang w:val="en-US" w:eastAsia="zh-CN"/>
              </w:rPr>
              <w:t>日。</w:t>
            </w:r>
            <w:r>
              <w:rPr>
                <w:rFonts w:hint="eastAsia" w:cs="Times New Roman"/>
                <w:color w:val="auto"/>
                <w:sz w:val="24"/>
                <w:highlight w:val="none"/>
                <w:lang w:val="en-US" w:eastAsia="zh-CN"/>
              </w:rPr>
              <w:t>监测结果</w:t>
            </w:r>
            <w:r>
              <w:rPr>
                <w:rFonts w:hint="eastAsia" w:ascii="Times New Roman" w:hAnsi="Times New Roman" w:eastAsia="宋体" w:cs="Times New Roman"/>
                <w:color w:val="auto"/>
                <w:sz w:val="24"/>
                <w:highlight w:val="none"/>
                <w:lang w:val="en-US" w:eastAsia="zh-CN"/>
              </w:rPr>
              <w:t>见表</w:t>
            </w:r>
            <w:r>
              <w:rPr>
                <w:rFonts w:hint="default" w:ascii="Times New Roman" w:hAnsi="Times New Roman" w:eastAsia="宋体" w:cs="Times New Roman"/>
                <w:color w:val="auto"/>
                <w:sz w:val="24"/>
                <w:highlight w:val="none"/>
                <w:lang w:val="en-US" w:eastAsia="zh-CN"/>
              </w:rPr>
              <w:t>3-3</w:t>
            </w:r>
            <w:r>
              <w:rPr>
                <w:rFonts w:hint="eastAsia" w:ascii="Times New Roman" w:hAnsi="Times New Roman" w:eastAsia="宋体" w:cs="Times New Roman"/>
                <w:color w:val="auto"/>
                <w:sz w:val="24"/>
                <w:highlight w:val="none"/>
                <w:lang w:val="en-US" w:eastAsia="zh-CN"/>
              </w:rPr>
              <w:t>。</w:t>
            </w:r>
          </w:p>
          <w:p w14:paraId="2050A523">
            <w:pPr>
              <w:spacing w:line="480" w:lineRule="exact"/>
              <w:jc w:val="right"/>
              <w:rPr>
                <w:rFonts w:hint="eastAsia" w:ascii="Times New Roman" w:hAnsi="Times New Roman" w:eastAsia="黑体" w:cs="Times New Roman"/>
                <w:color w:val="auto"/>
                <w:kern w:val="24"/>
                <w:sz w:val="24"/>
                <w:szCs w:val="24"/>
                <w:highlight w:val="none"/>
                <w:lang w:val="en-US" w:eastAsia="zh-CN" w:bidi="ar-SA"/>
              </w:rPr>
            </w:pPr>
            <w:r>
              <w:rPr>
                <w:rFonts w:hint="default" w:ascii="Times New Roman" w:hAnsi="Times New Roman" w:eastAsia="黑体" w:cs="Times New Roman"/>
                <w:color w:val="auto"/>
                <w:kern w:val="24"/>
                <w:sz w:val="24"/>
                <w:szCs w:val="24"/>
                <w:highlight w:val="none"/>
                <w:lang w:val="en-US" w:eastAsia="zh-CN" w:bidi="ar-SA"/>
              </w:rPr>
              <w:t>表3-</w:t>
            </w:r>
            <w:r>
              <w:rPr>
                <w:rFonts w:hint="eastAsia" w:ascii="Times New Roman" w:hAnsi="Times New Roman" w:eastAsia="黑体" w:cs="Times New Roman"/>
                <w:color w:val="auto"/>
                <w:kern w:val="24"/>
                <w:sz w:val="24"/>
                <w:szCs w:val="24"/>
                <w:highlight w:val="none"/>
                <w:lang w:val="en-US" w:eastAsia="zh-CN" w:bidi="ar-SA"/>
              </w:rPr>
              <w:t>3</w:t>
            </w:r>
            <w:r>
              <w:rPr>
                <w:rFonts w:hint="default" w:ascii="Times New Roman" w:hAnsi="Times New Roman" w:eastAsia="黑体" w:cs="Times New Roman"/>
                <w:color w:val="auto"/>
                <w:kern w:val="24"/>
                <w:sz w:val="24"/>
                <w:szCs w:val="24"/>
                <w:highlight w:val="none"/>
                <w:lang w:val="en-US" w:eastAsia="zh-CN" w:bidi="ar-SA"/>
              </w:rPr>
              <w:t xml:space="preserve">      环境噪声监测结果       单位：dB（A）</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17"/>
              <w:gridCol w:w="1617"/>
              <w:gridCol w:w="1617"/>
              <w:gridCol w:w="1617"/>
              <w:gridCol w:w="1212"/>
            </w:tblGrid>
            <w:tr w14:paraId="5996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0" w:type="pct"/>
                  <w:vMerge w:val="restart"/>
                  <w:tcBorders>
                    <w:bottom w:val="single" w:color="auto" w:sz="4" w:space="0"/>
                    <w:right w:val="single" w:color="auto" w:sz="4" w:space="0"/>
                  </w:tcBorders>
                  <w:noWrap w:val="0"/>
                  <w:vAlign w:val="center"/>
                </w:tcPr>
                <w:p w14:paraId="747BEBC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监测点位</w:t>
                  </w:r>
                </w:p>
              </w:tc>
              <w:tc>
                <w:tcPr>
                  <w:tcW w:w="1738" w:type="pct"/>
                  <w:gridSpan w:val="2"/>
                  <w:tcBorders>
                    <w:left w:val="single" w:color="auto" w:sz="4" w:space="0"/>
                    <w:bottom w:val="single" w:color="auto" w:sz="4" w:space="0"/>
                    <w:right w:val="single" w:color="auto" w:sz="4" w:space="0"/>
                  </w:tcBorders>
                  <w:noWrap w:val="0"/>
                  <w:vAlign w:val="center"/>
                </w:tcPr>
                <w:p w14:paraId="099262C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202</w:t>
                  </w:r>
                  <w:r>
                    <w:rPr>
                      <w:rFonts w:hint="eastAsia"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lang w:val="en-US" w:eastAsia="zh-CN"/>
                    </w:rPr>
                    <w:t>年</w:t>
                  </w:r>
                  <w:r>
                    <w:rPr>
                      <w:rFonts w:hint="eastAsia" w:eastAsia="宋体" w:cs="Times New Roman"/>
                      <w:color w:val="auto"/>
                      <w:sz w:val="21"/>
                      <w:highlight w:val="none"/>
                      <w:lang w:val="en-US" w:eastAsia="zh-CN"/>
                    </w:rPr>
                    <w:t>12</w:t>
                  </w:r>
                  <w:r>
                    <w:rPr>
                      <w:rFonts w:hint="default" w:ascii="Times New Roman" w:hAnsi="Times New Roman" w:eastAsia="宋体" w:cs="Times New Roman"/>
                      <w:color w:val="auto"/>
                      <w:sz w:val="21"/>
                      <w:highlight w:val="none"/>
                      <w:lang w:val="en-US" w:eastAsia="zh-CN"/>
                    </w:rPr>
                    <w:t>月</w:t>
                  </w:r>
                  <w:r>
                    <w:rPr>
                      <w:rFonts w:hint="eastAsia" w:eastAsia="宋体" w:cs="Times New Roman"/>
                      <w:color w:val="auto"/>
                      <w:sz w:val="21"/>
                      <w:highlight w:val="none"/>
                      <w:lang w:val="en-US" w:eastAsia="zh-CN"/>
                    </w:rPr>
                    <w:t>20</w:t>
                  </w:r>
                  <w:r>
                    <w:rPr>
                      <w:rFonts w:hint="default" w:ascii="Times New Roman" w:hAnsi="Times New Roman" w:eastAsia="宋体" w:cs="Times New Roman"/>
                      <w:color w:val="auto"/>
                      <w:sz w:val="21"/>
                      <w:highlight w:val="none"/>
                      <w:lang w:val="en-US" w:eastAsia="zh-CN"/>
                    </w:rPr>
                    <w:t>日</w:t>
                  </w:r>
                </w:p>
              </w:tc>
              <w:tc>
                <w:tcPr>
                  <w:tcW w:w="1738" w:type="pct"/>
                  <w:gridSpan w:val="2"/>
                  <w:tcBorders>
                    <w:left w:val="single" w:color="auto" w:sz="4" w:space="0"/>
                    <w:bottom w:val="single" w:color="auto" w:sz="4" w:space="0"/>
                    <w:right w:val="single" w:color="auto" w:sz="4" w:space="0"/>
                  </w:tcBorders>
                  <w:noWrap w:val="0"/>
                  <w:vAlign w:val="center"/>
                </w:tcPr>
                <w:p w14:paraId="65101BFD">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20</w:t>
                  </w:r>
                  <w:r>
                    <w:rPr>
                      <w:rFonts w:hint="eastAsia" w:eastAsia="宋体" w:cs="Times New Roman"/>
                      <w:color w:val="auto"/>
                      <w:sz w:val="21"/>
                      <w:highlight w:val="none"/>
                      <w:lang w:val="en-US" w:eastAsia="zh-CN"/>
                    </w:rPr>
                    <w:t>24</w:t>
                  </w:r>
                  <w:r>
                    <w:rPr>
                      <w:rFonts w:hint="default" w:ascii="Times New Roman" w:hAnsi="Times New Roman" w:eastAsia="宋体" w:cs="Times New Roman"/>
                      <w:color w:val="auto"/>
                      <w:sz w:val="21"/>
                      <w:highlight w:val="none"/>
                      <w:lang w:val="en-US" w:eastAsia="zh-CN"/>
                    </w:rPr>
                    <w:t>年</w:t>
                  </w:r>
                  <w:r>
                    <w:rPr>
                      <w:rFonts w:hint="eastAsia" w:eastAsia="宋体" w:cs="Times New Roman"/>
                      <w:color w:val="auto"/>
                      <w:sz w:val="21"/>
                      <w:highlight w:val="none"/>
                      <w:lang w:val="en-US" w:eastAsia="zh-CN"/>
                    </w:rPr>
                    <w:t>12</w:t>
                  </w:r>
                  <w:r>
                    <w:rPr>
                      <w:rFonts w:hint="default" w:ascii="Times New Roman" w:hAnsi="Times New Roman" w:eastAsia="宋体" w:cs="Times New Roman"/>
                      <w:color w:val="auto"/>
                      <w:sz w:val="21"/>
                      <w:highlight w:val="none"/>
                      <w:lang w:val="en-US" w:eastAsia="zh-CN"/>
                    </w:rPr>
                    <w:t>月</w:t>
                  </w:r>
                  <w:r>
                    <w:rPr>
                      <w:rFonts w:hint="eastAsia" w:eastAsia="宋体" w:cs="Times New Roman"/>
                      <w:color w:val="auto"/>
                      <w:sz w:val="21"/>
                      <w:highlight w:val="none"/>
                      <w:lang w:val="en-US" w:eastAsia="zh-CN"/>
                    </w:rPr>
                    <w:t>21</w:t>
                  </w:r>
                  <w:r>
                    <w:rPr>
                      <w:rFonts w:hint="default" w:ascii="Times New Roman" w:hAnsi="Times New Roman" w:eastAsia="宋体" w:cs="Times New Roman"/>
                      <w:color w:val="auto"/>
                      <w:sz w:val="21"/>
                      <w:highlight w:val="none"/>
                      <w:lang w:val="en-US" w:eastAsia="zh-CN"/>
                    </w:rPr>
                    <w:t>日</w:t>
                  </w:r>
                </w:p>
              </w:tc>
              <w:tc>
                <w:tcPr>
                  <w:tcW w:w="651" w:type="pct"/>
                  <w:vMerge w:val="restart"/>
                  <w:tcBorders>
                    <w:left w:val="single" w:color="auto" w:sz="4" w:space="0"/>
                    <w:bottom w:val="single" w:color="auto" w:sz="4" w:space="0"/>
                  </w:tcBorders>
                  <w:noWrap w:val="0"/>
                  <w:vAlign w:val="center"/>
                </w:tcPr>
                <w:p w14:paraId="38805CB2">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执行标准</w:t>
                  </w:r>
                </w:p>
              </w:tc>
            </w:tr>
            <w:tr w14:paraId="48A4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70" w:type="pct"/>
                  <w:vMerge w:val="continue"/>
                  <w:tcBorders>
                    <w:top w:val="single" w:color="auto" w:sz="12" w:space="0"/>
                    <w:bottom w:val="single" w:color="auto" w:sz="4" w:space="0"/>
                    <w:right w:val="single" w:color="auto" w:sz="4" w:space="0"/>
                  </w:tcBorders>
                  <w:noWrap w:val="0"/>
                  <w:vAlign w:val="center"/>
                </w:tcPr>
                <w:p w14:paraId="6E603108">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3919A9E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昼间</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6CD8C24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夜间</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1725BB12">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昼间</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32933264">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夜间</w:t>
                  </w:r>
                </w:p>
              </w:tc>
              <w:tc>
                <w:tcPr>
                  <w:tcW w:w="651" w:type="pct"/>
                  <w:vMerge w:val="continue"/>
                  <w:tcBorders>
                    <w:top w:val="single" w:color="auto" w:sz="12" w:space="0"/>
                    <w:left w:val="single" w:color="auto" w:sz="4" w:space="0"/>
                    <w:bottom w:val="single" w:color="auto" w:sz="4" w:space="0"/>
                  </w:tcBorders>
                  <w:noWrap w:val="0"/>
                  <w:vAlign w:val="center"/>
                </w:tcPr>
                <w:p w14:paraId="20AF5C8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p>
              </w:tc>
            </w:tr>
            <w:tr w14:paraId="4047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70" w:type="pct"/>
                  <w:tcBorders>
                    <w:top w:val="single" w:color="auto" w:sz="4" w:space="0"/>
                    <w:bottom w:val="single" w:color="auto" w:sz="4" w:space="0"/>
                    <w:right w:val="single" w:color="auto" w:sz="4" w:space="0"/>
                  </w:tcBorders>
                  <w:noWrap w:val="0"/>
                  <w:vAlign w:val="center"/>
                </w:tcPr>
                <w:p w14:paraId="43622677">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eastAsia="宋体" w:cs="Times New Roman"/>
                      <w:color w:val="auto"/>
                      <w:sz w:val="21"/>
                      <w:highlight w:val="none"/>
                      <w:lang w:val="en-US" w:eastAsia="zh-CN"/>
                    </w:rPr>
                    <w:t>5#新民庄村东庄</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2E05F33D">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eastAsia="宋体" w:cs="Times New Roman"/>
                      <w:color w:val="auto"/>
                      <w:sz w:val="21"/>
                      <w:highlight w:val="none"/>
                      <w:lang w:val="en-US" w:eastAsia="zh-CN"/>
                    </w:rPr>
                    <w:t>40</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285A7C51">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eastAsia="宋体" w:cs="Times New Roman"/>
                      <w:color w:val="auto"/>
                      <w:sz w:val="21"/>
                      <w:highlight w:val="none"/>
                      <w:lang w:val="en-US" w:eastAsia="zh-CN"/>
                    </w:rPr>
                    <w:t>39</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47B66E7F">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eastAsia="宋体" w:cs="Times New Roman"/>
                      <w:color w:val="auto"/>
                      <w:sz w:val="21"/>
                      <w:highlight w:val="none"/>
                      <w:lang w:val="en-US" w:eastAsia="zh-CN"/>
                    </w:rPr>
                    <w:t>43</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74270038">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eastAsia="宋体" w:cs="Times New Roman"/>
                      <w:color w:val="auto"/>
                      <w:sz w:val="21"/>
                      <w:highlight w:val="none"/>
                      <w:lang w:val="en-US" w:eastAsia="zh-CN"/>
                    </w:rPr>
                    <w:t>41</w:t>
                  </w:r>
                </w:p>
              </w:tc>
              <w:tc>
                <w:tcPr>
                  <w:tcW w:w="651" w:type="pct"/>
                  <w:vMerge w:val="continue"/>
                  <w:tcBorders>
                    <w:left w:val="single" w:color="auto" w:sz="4" w:space="0"/>
                  </w:tcBorders>
                  <w:noWrap w:val="0"/>
                  <w:vAlign w:val="center"/>
                </w:tcPr>
                <w:p w14:paraId="719AA931">
                  <w:pPr>
                    <w:widowControl/>
                    <w:snapToGrid w:val="0"/>
                    <w:jc w:val="center"/>
                    <w:rPr>
                      <w:rFonts w:hint="default" w:ascii="Times New Roman" w:hAnsi="Times New Roman" w:cs="Times New Roman"/>
                      <w:bCs/>
                      <w:color w:val="auto"/>
                      <w:kern w:val="0"/>
                      <w:sz w:val="21"/>
                      <w:szCs w:val="21"/>
                      <w:highlight w:val="none"/>
                    </w:rPr>
                  </w:pPr>
                </w:p>
              </w:tc>
            </w:tr>
            <w:tr w14:paraId="301A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jc w:val="center"/>
              </w:trPr>
              <w:tc>
                <w:tcPr>
                  <w:tcW w:w="870" w:type="pct"/>
                  <w:tcBorders>
                    <w:top w:val="single" w:color="auto" w:sz="4" w:space="0"/>
                    <w:bottom w:val="single" w:color="auto" w:sz="4" w:space="0"/>
                    <w:right w:val="single" w:color="auto" w:sz="4" w:space="0"/>
                  </w:tcBorders>
                  <w:noWrap w:val="0"/>
                  <w:vAlign w:val="center"/>
                </w:tcPr>
                <w:p w14:paraId="1BCA2D93">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气象条件</w:t>
                  </w:r>
                </w:p>
              </w:tc>
              <w:tc>
                <w:tcPr>
                  <w:tcW w:w="1738" w:type="pct"/>
                  <w:gridSpan w:val="2"/>
                  <w:tcBorders>
                    <w:top w:val="single" w:color="auto" w:sz="4" w:space="0"/>
                    <w:left w:val="single" w:color="auto" w:sz="4" w:space="0"/>
                    <w:bottom w:val="single" w:color="auto" w:sz="4" w:space="0"/>
                    <w:right w:val="single" w:color="auto" w:sz="4" w:space="0"/>
                  </w:tcBorders>
                  <w:noWrap w:val="0"/>
                  <w:vAlign w:val="center"/>
                </w:tcPr>
                <w:p w14:paraId="6A0A8AB9">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lang w:val="en-US" w:eastAsia="zh-CN"/>
                    </w:rPr>
                  </w:pPr>
                  <w:r>
                    <w:rPr>
                      <w:rFonts w:hint="eastAsia" w:ascii="宋体" w:hAnsi="宋体" w:eastAsia="宋体"/>
                      <w:color w:val="auto"/>
                      <w:sz w:val="21"/>
                      <w:szCs w:val="24"/>
                      <w:highlight w:val="none"/>
                    </w:rPr>
                    <w:t>风速：</w:t>
                  </w:r>
                  <w:r>
                    <w:rPr>
                      <w:rFonts w:hint="eastAsia" w:ascii="TimesNewRomanPSMT" w:hAnsi="TimesNewRomanPSMT" w:eastAsia="宋体"/>
                      <w:color w:val="auto"/>
                      <w:sz w:val="21"/>
                      <w:szCs w:val="24"/>
                      <w:highlight w:val="none"/>
                      <w:lang w:val="en-US" w:eastAsia="zh-CN"/>
                    </w:rPr>
                    <w:t>1.6</w:t>
                  </w:r>
                  <w:r>
                    <w:rPr>
                      <w:rFonts w:hint="eastAsia" w:ascii="TimesNewRomanPSMT" w:hAnsi="TimesNewRomanPSMT" w:eastAsia="TimesNewRomanPSMT"/>
                      <w:color w:val="auto"/>
                      <w:sz w:val="21"/>
                      <w:szCs w:val="24"/>
                      <w:highlight w:val="none"/>
                    </w:rPr>
                    <w:t>m/s</w:t>
                  </w:r>
                  <w:r>
                    <w:rPr>
                      <w:rFonts w:hint="eastAsia" w:ascii="宋体" w:hAnsi="宋体" w:eastAsia="宋体"/>
                      <w:color w:val="auto"/>
                      <w:sz w:val="21"/>
                      <w:szCs w:val="24"/>
                      <w:highlight w:val="none"/>
                    </w:rPr>
                    <w:t>；天气：多云</w:t>
                  </w:r>
                </w:p>
              </w:tc>
              <w:tc>
                <w:tcPr>
                  <w:tcW w:w="1738" w:type="pct"/>
                  <w:gridSpan w:val="2"/>
                  <w:tcBorders>
                    <w:top w:val="single" w:color="auto" w:sz="4" w:space="0"/>
                    <w:left w:val="single" w:color="auto" w:sz="4" w:space="0"/>
                    <w:bottom w:val="single" w:color="auto" w:sz="4" w:space="0"/>
                    <w:right w:val="single" w:color="auto" w:sz="4" w:space="0"/>
                  </w:tcBorders>
                  <w:noWrap w:val="0"/>
                  <w:vAlign w:val="center"/>
                </w:tcPr>
                <w:p w14:paraId="687CC61E">
                  <w:pPr>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highlight w:val="none"/>
                      <w:lang w:val="en-US" w:eastAsia="zh-CN"/>
                    </w:rPr>
                  </w:pPr>
                  <w:r>
                    <w:rPr>
                      <w:rFonts w:hint="eastAsia" w:ascii="宋体" w:hAnsi="宋体" w:eastAsia="宋体"/>
                      <w:color w:val="auto"/>
                      <w:sz w:val="21"/>
                      <w:szCs w:val="24"/>
                      <w:highlight w:val="none"/>
                    </w:rPr>
                    <w:t>风速：</w:t>
                  </w:r>
                  <w:r>
                    <w:rPr>
                      <w:rFonts w:hint="eastAsia" w:ascii="TimesNewRomanPSMT" w:hAnsi="TimesNewRomanPSMT" w:eastAsia="宋体"/>
                      <w:color w:val="auto"/>
                      <w:sz w:val="21"/>
                      <w:szCs w:val="24"/>
                      <w:highlight w:val="none"/>
                      <w:lang w:val="en-US" w:eastAsia="zh-CN"/>
                    </w:rPr>
                    <w:t>1.9</w:t>
                  </w:r>
                  <w:r>
                    <w:rPr>
                      <w:rFonts w:hint="eastAsia" w:ascii="TimesNewRomanPSMT" w:hAnsi="TimesNewRomanPSMT" w:eastAsia="TimesNewRomanPSMT"/>
                      <w:color w:val="auto"/>
                      <w:sz w:val="21"/>
                      <w:szCs w:val="24"/>
                      <w:highlight w:val="none"/>
                    </w:rPr>
                    <w:t>m/s</w:t>
                  </w:r>
                  <w:r>
                    <w:rPr>
                      <w:rFonts w:hint="eastAsia" w:ascii="宋体" w:hAnsi="宋体" w:eastAsia="宋体"/>
                      <w:color w:val="auto"/>
                      <w:sz w:val="21"/>
                      <w:szCs w:val="24"/>
                      <w:highlight w:val="none"/>
                    </w:rPr>
                    <w:t>；天气：</w:t>
                  </w:r>
                  <w:r>
                    <w:rPr>
                      <w:rFonts w:hint="eastAsia" w:ascii="宋体" w:hAnsi="宋体"/>
                      <w:color w:val="auto"/>
                      <w:sz w:val="21"/>
                      <w:szCs w:val="24"/>
                      <w:highlight w:val="none"/>
                      <w:lang w:val="en-US" w:eastAsia="zh-CN"/>
                    </w:rPr>
                    <w:t>阴</w:t>
                  </w:r>
                </w:p>
              </w:tc>
              <w:tc>
                <w:tcPr>
                  <w:tcW w:w="651" w:type="pct"/>
                  <w:vMerge w:val="continue"/>
                  <w:tcBorders>
                    <w:left w:val="single" w:color="auto" w:sz="4" w:space="0"/>
                  </w:tcBorders>
                  <w:noWrap w:val="0"/>
                  <w:vAlign w:val="center"/>
                </w:tcPr>
                <w:p w14:paraId="7B687010">
                  <w:pPr>
                    <w:widowControl/>
                    <w:snapToGrid w:val="0"/>
                    <w:jc w:val="center"/>
                    <w:rPr>
                      <w:rFonts w:hint="default" w:ascii="Times New Roman" w:hAnsi="Times New Roman" w:cs="Times New Roman"/>
                      <w:bCs/>
                      <w:color w:val="auto"/>
                      <w:kern w:val="0"/>
                      <w:sz w:val="21"/>
                      <w:szCs w:val="21"/>
                      <w:highlight w:val="none"/>
                    </w:rPr>
                  </w:pPr>
                </w:p>
              </w:tc>
            </w:tr>
          </w:tbl>
          <w:p w14:paraId="6394D7DC">
            <w:pPr>
              <w:adjustRightInd w:val="0"/>
              <w:snapToGrid w:val="0"/>
              <w:ind w:firstLine="480" w:firstLineChars="200"/>
              <w:rPr>
                <w:rFonts w:cs="Times New Roman"/>
                <w:color w:val="auto"/>
                <w:highlight w:val="none"/>
              </w:rPr>
            </w:pPr>
            <w:r>
              <w:rPr>
                <w:rFonts w:ascii="宋体" w:hAnsi="宋体"/>
                <w:bCs/>
                <w:color w:val="auto"/>
                <w:sz w:val="24"/>
                <w:highlight w:val="none"/>
              </w:rPr>
              <w:t>由</w:t>
            </w:r>
            <w:r>
              <w:rPr>
                <w:rFonts w:hint="eastAsia"/>
                <w:color w:val="auto"/>
                <w:sz w:val="24"/>
                <w:highlight w:val="none"/>
                <w:lang w:val="en-US" w:eastAsia="zh-CN"/>
              </w:rPr>
              <w:t>监测结果</w:t>
            </w:r>
            <w:r>
              <w:rPr>
                <w:color w:val="auto"/>
                <w:sz w:val="24"/>
                <w:highlight w:val="none"/>
              </w:rPr>
              <w:t>可知</w:t>
            </w:r>
            <w:r>
              <w:rPr>
                <w:rFonts w:hint="eastAsia"/>
                <w:color w:val="auto"/>
                <w:sz w:val="24"/>
                <w:highlight w:val="none"/>
                <w:lang w:eastAsia="zh-CN"/>
              </w:rPr>
              <w:t>，</w:t>
            </w:r>
            <w:r>
              <w:rPr>
                <w:rFonts w:hint="eastAsia"/>
                <w:color w:val="auto"/>
                <w:sz w:val="24"/>
                <w:highlight w:val="none"/>
                <w:lang w:val="en-US" w:eastAsia="zh-CN"/>
              </w:rPr>
              <w:t>新民庄村东庄</w:t>
            </w:r>
            <w:r>
              <w:rPr>
                <w:color w:val="auto"/>
                <w:sz w:val="24"/>
                <w:highlight w:val="none"/>
              </w:rPr>
              <w:t>满足《声环境质量标准》（GB3096-2008）中的</w:t>
            </w:r>
            <w:r>
              <w:rPr>
                <w:rFonts w:hint="eastAsia"/>
                <w:color w:val="auto"/>
                <w:sz w:val="24"/>
                <w:highlight w:val="none"/>
                <w:lang w:val="en-US" w:eastAsia="zh-CN"/>
              </w:rPr>
              <w:t>2</w:t>
            </w:r>
            <w:r>
              <w:rPr>
                <w:color w:val="auto"/>
                <w:sz w:val="24"/>
                <w:highlight w:val="none"/>
              </w:rPr>
              <w:t>类标准要求</w:t>
            </w:r>
            <w:r>
              <w:rPr>
                <w:rFonts w:cs="Times New Roman"/>
                <w:color w:val="auto"/>
                <w:highlight w:val="none"/>
              </w:rPr>
              <w:t>。</w:t>
            </w:r>
          </w:p>
          <w:p w14:paraId="4EB7030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cs="Times New Roman"/>
                <w:b/>
                <w:color w:val="auto"/>
                <w:highlight w:val="none"/>
              </w:rPr>
            </w:pPr>
            <w:r>
              <w:rPr>
                <w:rFonts w:hint="eastAsia" w:cs="Times New Roman"/>
                <w:b/>
                <w:color w:val="auto"/>
                <w:highlight w:val="none"/>
              </w:rPr>
              <w:t>3、</w:t>
            </w:r>
            <w:r>
              <w:rPr>
                <w:rFonts w:cs="Times New Roman"/>
                <w:b/>
                <w:color w:val="auto"/>
                <w:highlight w:val="none"/>
              </w:rPr>
              <w:t>地下水、土壤环境现状监测与评价</w:t>
            </w:r>
          </w:p>
          <w:p w14:paraId="19D09108">
            <w:pPr>
              <w:adjustRightInd w:val="0"/>
              <w:snapToGrid w:val="0"/>
              <w:ind w:firstLine="480" w:firstLineChars="200"/>
              <w:rPr>
                <w:rFonts w:hint="eastAsia" w:cs="Times New Roman"/>
                <w:color w:val="auto"/>
                <w:highlight w:val="none"/>
                <w:lang w:val="en-US" w:eastAsia="zh-CN"/>
              </w:rPr>
            </w:pPr>
            <w:r>
              <w:rPr>
                <w:rFonts w:hint="eastAsia"/>
                <w:color w:val="auto"/>
                <w:sz w:val="24"/>
                <w:szCs w:val="24"/>
                <w:highlight w:val="none"/>
                <w:lang w:val="en-US" w:eastAsia="zh-CN"/>
              </w:rPr>
              <w:t>本项目大气污染物为颗粒物，不属于土壤污染因子，</w:t>
            </w:r>
            <w:r>
              <w:rPr>
                <w:rFonts w:hint="eastAsia" w:cs="Times New Roman"/>
                <w:color w:val="auto"/>
                <w:highlight w:val="none"/>
                <w:lang w:val="en-US" w:eastAsia="zh-CN"/>
              </w:rPr>
              <w:t>厂区地面做全面水泥硬化处理，化粪池、车辆冲洗废水沉淀池以及危废贮存点等区域均采用防渗措施，不会导致污染物的地表漫流及垂直入渗。因此废气、废水和固体废弃物均不存在土壤、地下水污染途径。故可不进行土壤、地下水环境现状监测评价。</w:t>
            </w:r>
          </w:p>
          <w:p w14:paraId="6AB0AECB">
            <w:pPr>
              <w:adjustRightInd w:val="0"/>
              <w:snapToGrid w:val="0"/>
              <w:rPr>
                <w:rFonts w:hint="default" w:cs="Times New Roman"/>
                <w:color w:val="auto"/>
                <w:kern w:val="21"/>
                <w:szCs w:val="21"/>
                <w:highlight w:val="none"/>
                <w:lang w:val="en-US"/>
              </w:rPr>
            </w:pPr>
          </w:p>
        </w:tc>
      </w:tr>
      <w:tr w14:paraId="24E1C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215" w:type="pct"/>
            <w:vAlign w:val="center"/>
          </w:tcPr>
          <w:p w14:paraId="58C99C06">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环境</w:t>
            </w:r>
          </w:p>
          <w:p w14:paraId="43668FC7">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保护</w:t>
            </w:r>
          </w:p>
          <w:p w14:paraId="4C90656C">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目标</w:t>
            </w:r>
          </w:p>
        </w:tc>
        <w:tc>
          <w:tcPr>
            <w:tcW w:w="4784" w:type="pct"/>
            <w:vAlign w:val="center"/>
          </w:tcPr>
          <w:p w14:paraId="0A90ECF0">
            <w:pPr>
              <w:pStyle w:val="3"/>
              <w:ind w:firstLine="480" w:firstLineChars="20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根据环境敏感因素的界定原则，经调查，本项目所在地不属于特殊保护区、社会关注区、生态脆弱区和特殊地貌景观区；经实地调查了解，评价区内也无重点保护文物、古迹、植物、动物及人文景观等。项目地厂界周边50m范围内无声环境保护目标，500m范围内大气环境保护目标主要为</w:t>
            </w:r>
            <w:r>
              <w:rPr>
                <w:rFonts w:hint="eastAsia" w:ascii="Times New Roman" w:hAnsi="Times New Roman" w:cs="Times New Roman"/>
                <w:b w:val="0"/>
                <w:bCs w:val="0"/>
                <w:color w:val="auto"/>
                <w:highlight w:val="none"/>
                <w:lang w:val="en-US" w:eastAsia="zh-CN"/>
              </w:rPr>
              <w:t>新民庄村和南斑竹园村</w:t>
            </w:r>
            <w:r>
              <w:rPr>
                <w:rFonts w:hint="default" w:ascii="Times New Roman" w:hAnsi="Times New Roman" w:cs="Times New Roman"/>
                <w:b w:val="0"/>
                <w:bCs w:val="0"/>
                <w:color w:val="auto"/>
                <w:highlight w:val="none"/>
                <w:lang w:val="en-US" w:eastAsia="zh-CN"/>
              </w:rPr>
              <w:t>。具体见下表3-</w:t>
            </w:r>
            <w:r>
              <w:rPr>
                <w:rFonts w:hint="eastAsia" w:ascii="Times New Roman" w:hAnsi="Times New Roman" w:cs="Times New Roman"/>
                <w:b w:val="0"/>
                <w:bCs w:val="0"/>
                <w:color w:val="auto"/>
                <w:highlight w:val="none"/>
                <w:lang w:val="en-US" w:eastAsia="zh-CN"/>
              </w:rPr>
              <w:t>4</w:t>
            </w:r>
            <w:r>
              <w:rPr>
                <w:rFonts w:hint="default" w:ascii="Times New Roman" w:hAnsi="Times New Roman" w:cs="Times New Roman"/>
                <w:b w:val="0"/>
                <w:bCs w:val="0"/>
                <w:color w:val="auto"/>
                <w:highlight w:val="none"/>
                <w:lang w:val="en-US" w:eastAsia="zh-CN"/>
              </w:rPr>
              <w:t>。具体分布见附图3。</w:t>
            </w:r>
          </w:p>
          <w:p w14:paraId="5AB1884C">
            <w:pPr>
              <w:pStyle w:val="31"/>
              <w:rPr>
                <w:rFonts w:cs="Times New Roman"/>
                <w:color w:val="auto"/>
                <w:highlight w:val="none"/>
              </w:rPr>
            </w:pPr>
            <w:r>
              <w:rPr>
                <w:rFonts w:cs="Times New Roman"/>
                <w:color w:val="auto"/>
                <w:highlight w:val="none"/>
              </w:rPr>
              <w:t>表</w:t>
            </w:r>
            <w:r>
              <w:rPr>
                <w:rFonts w:cs="Times New Roman"/>
                <w:color w:val="auto"/>
                <w:highlight w:val="none"/>
                <w:lang w:val="en-US"/>
              </w:rPr>
              <w:t>3-</w:t>
            </w:r>
            <w:r>
              <w:rPr>
                <w:rFonts w:hint="eastAsia" w:cs="Times New Roman"/>
                <w:color w:val="auto"/>
                <w:highlight w:val="none"/>
                <w:lang w:val="en-US" w:eastAsia="zh-CN"/>
              </w:rPr>
              <w:t>4</w:t>
            </w:r>
            <w:r>
              <w:rPr>
                <w:rFonts w:cs="Times New Roman"/>
                <w:color w:val="auto"/>
                <w:highlight w:val="none"/>
              </w:rPr>
              <w:t xml:space="preserve"> 环境</w:t>
            </w:r>
            <w:r>
              <w:rPr>
                <w:rFonts w:hint="eastAsia" w:cs="Times New Roman"/>
                <w:color w:val="auto"/>
                <w:highlight w:val="none"/>
              </w:rPr>
              <w:t>保护</w:t>
            </w:r>
            <w:r>
              <w:rPr>
                <w:rFonts w:cs="Times New Roman"/>
                <w:color w:val="auto"/>
                <w:highlight w:val="none"/>
              </w:rPr>
              <w:t>目标</w:t>
            </w:r>
            <w:r>
              <w:rPr>
                <w:rFonts w:hint="eastAsia" w:cs="Times New Roman"/>
                <w:color w:val="auto"/>
                <w:highlight w:val="none"/>
              </w:rPr>
              <w:t>一览表</w:t>
            </w:r>
          </w:p>
          <w:tbl>
            <w:tblPr>
              <w:tblStyle w:val="24"/>
              <w:tblW w:w="501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47"/>
              <w:gridCol w:w="1511"/>
              <w:gridCol w:w="1399"/>
              <w:gridCol w:w="636"/>
              <w:gridCol w:w="844"/>
              <w:gridCol w:w="1222"/>
              <w:gridCol w:w="2088"/>
            </w:tblGrid>
            <w:tr w14:paraId="0018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vMerge w:val="restart"/>
                  <w:tcBorders>
                    <w:tl2br w:val="nil"/>
                    <w:tr2bl w:val="nil"/>
                  </w:tcBorders>
                  <w:noWrap w:val="0"/>
                  <w:vAlign w:val="center"/>
                </w:tcPr>
                <w:p w14:paraId="5AC43F4D">
                  <w:pPr>
                    <w:adjustRightInd w:val="0"/>
                    <w:snapToGrid w:val="0"/>
                    <w:spacing w:line="240" w:lineRule="auto"/>
                    <w:jc w:val="center"/>
                    <w:rPr>
                      <w:rFonts w:hint="eastAsia" w:ascii="Times New Roman" w:hAnsi="Times New Roman" w:cs="Times New Roman" w:eastAsiaTheme="minorEastAsia"/>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保护对象</w:t>
                  </w:r>
                </w:p>
              </w:tc>
              <w:tc>
                <w:tcPr>
                  <w:tcW w:w="507" w:type="pct"/>
                  <w:vMerge w:val="restart"/>
                  <w:tcBorders>
                    <w:tl2br w:val="nil"/>
                    <w:tr2bl w:val="nil"/>
                  </w:tcBorders>
                  <w:noWrap w:val="0"/>
                  <w:vAlign w:val="center"/>
                </w:tcPr>
                <w:p w14:paraId="08DBDB79">
                  <w:pPr>
                    <w:adjustRightInd w:val="0"/>
                    <w:snapToGrid w:val="0"/>
                    <w:spacing w:line="240" w:lineRule="auto"/>
                    <w:jc w:val="center"/>
                    <w:rPr>
                      <w:rFonts w:hint="eastAsia" w:ascii="Times New Roman" w:hAnsi="Times New Roman" w:cs="Times New Roman" w:eastAsiaTheme="minorEastAsia"/>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主要敏感点</w:t>
                  </w:r>
                </w:p>
              </w:tc>
              <w:tc>
                <w:tcPr>
                  <w:tcW w:w="1558" w:type="pct"/>
                  <w:gridSpan w:val="2"/>
                  <w:tcBorders>
                    <w:tl2br w:val="nil"/>
                    <w:tr2bl w:val="nil"/>
                  </w:tcBorders>
                  <w:noWrap w:val="0"/>
                  <w:vAlign w:val="center"/>
                </w:tcPr>
                <w:p w14:paraId="38DB2926">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坐标</w:t>
                  </w:r>
                </w:p>
              </w:tc>
              <w:tc>
                <w:tcPr>
                  <w:tcW w:w="792" w:type="pct"/>
                  <w:gridSpan w:val="2"/>
                  <w:tcBorders>
                    <w:tl2br w:val="nil"/>
                    <w:tr2bl w:val="nil"/>
                  </w:tcBorders>
                  <w:noWrap w:val="0"/>
                  <w:vAlign w:val="center"/>
                </w:tcPr>
                <w:p w14:paraId="7ACE0665">
                  <w:pPr>
                    <w:adjustRightInd w:val="0"/>
                    <w:snapToGrid w:val="0"/>
                    <w:spacing w:line="240" w:lineRule="auto"/>
                    <w:jc w:val="center"/>
                    <w:rPr>
                      <w:rFonts w:hint="eastAsia"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相对厂址位置</w:t>
                  </w:r>
                </w:p>
              </w:tc>
              <w:tc>
                <w:tcPr>
                  <w:tcW w:w="654" w:type="pct"/>
                  <w:vMerge w:val="restart"/>
                  <w:tcBorders>
                    <w:tl2br w:val="nil"/>
                    <w:tr2bl w:val="nil"/>
                  </w:tcBorders>
                  <w:noWrap w:val="0"/>
                  <w:vAlign w:val="center"/>
                </w:tcPr>
                <w:p w14:paraId="7AAE32B5">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cs="Times New Roman"/>
                      <w:b/>
                      <w:bCs/>
                      <w:color w:val="auto"/>
                      <w:kern w:val="21"/>
                      <w:sz w:val="21"/>
                      <w:szCs w:val="21"/>
                      <w:highlight w:val="none"/>
                      <w:lang w:val="en-US" w:eastAsia="zh-CN"/>
                    </w:rPr>
                    <w:t>保护内容</w:t>
                  </w:r>
                </w:p>
              </w:tc>
              <w:tc>
                <w:tcPr>
                  <w:tcW w:w="1117" w:type="pct"/>
                  <w:vMerge w:val="restart"/>
                  <w:tcBorders>
                    <w:tl2br w:val="nil"/>
                    <w:tr2bl w:val="nil"/>
                  </w:tcBorders>
                  <w:noWrap w:val="0"/>
                  <w:vAlign w:val="center"/>
                </w:tcPr>
                <w:p w14:paraId="70E7568E">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保护级别</w:t>
                  </w:r>
                </w:p>
              </w:tc>
            </w:tr>
            <w:tr w14:paraId="195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vMerge w:val="continue"/>
                  <w:tcBorders>
                    <w:tl2br w:val="nil"/>
                    <w:tr2bl w:val="nil"/>
                  </w:tcBorders>
                  <w:noWrap w:val="0"/>
                  <w:vAlign w:val="center"/>
                </w:tcPr>
                <w:p w14:paraId="3D085274">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c>
                <w:tcPr>
                  <w:tcW w:w="507" w:type="pct"/>
                  <w:vMerge w:val="continue"/>
                  <w:tcBorders>
                    <w:tl2br w:val="nil"/>
                    <w:tr2bl w:val="nil"/>
                  </w:tcBorders>
                  <w:noWrap w:val="0"/>
                  <w:vAlign w:val="center"/>
                </w:tcPr>
                <w:p w14:paraId="69F17786">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c>
                <w:tcPr>
                  <w:tcW w:w="809" w:type="pct"/>
                  <w:tcBorders>
                    <w:tl2br w:val="nil"/>
                    <w:tr2bl w:val="nil"/>
                  </w:tcBorders>
                  <w:noWrap w:val="0"/>
                  <w:vAlign w:val="center"/>
                </w:tcPr>
                <w:p w14:paraId="6F05DC55">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经度</w:t>
                  </w:r>
                </w:p>
              </w:tc>
              <w:tc>
                <w:tcPr>
                  <w:tcW w:w="749" w:type="pct"/>
                  <w:tcBorders>
                    <w:tl2br w:val="nil"/>
                    <w:tr2bl w:val="nil"/>
                  </w:tcBorders>
                  <w:noWrap w:val="0"/>
                  <w:vAlign w:val="center"/>
                </w:tcPr>
                <w:p w14:paraId="35D9ADF2">
                  <w:pPr>
                    <w:adjustRightInd w:val="0"/>
                    <w:snapToGrid w:val="0"/>
                    <w:spacing w:line="240" w:lineRule="auto"/>
                    <w:jc w:val="center"/>
                    <w:rPr>
                      <w:rFonts w:hint="eastAsia" w:ascii="Times New Roman" w:hAnsi="Times New Roman" w:cs="Times New Roman" w:eastAsiaTheme="minorEastAsia"/>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纬度</w:t>
                  </w:r>
                </w:p>
              </w:tc>
              <w:tc>
                <w:tcPr>
                  <w:tcW w:w="340" w:type="pct"/>
                  <w:tcBorders>
                    <w:tl2br w:val="nil"/>
                    <w:tr2bl w:val="nil"/>
                  </w:tcBorders>
                  <w:noWrap w:val="0"/>
                  <w:vAlign w:val="center"/>
                </w:tcPr>
                <w:p w14:paraId="73E03DA5">
                  <w:pPr>
                    <w:adjustRightInd w:val="0"/>
                    <w:snapToGrid w:val="0"/>
                    <w:spacing w:line="240" w:lineRule="auto"/>
                    <w:jc w:val="center"/>
                    <w:rPr>
                      <w:rFonts w:hint="eastAsia" w:ascii="Times New Roman" w:hAnsi="Times New Roman" w:cs="Times New Roman" w:eastAsiaTheme="minorEastAsia"/>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方位</w:t>
                  </w:r>
                </w:p>
              </w:tc>
              <w:tc>
                <w:tcPr>
                  <w:tcW w:w="451" w:type="pct"/>
                  <w:tcBorders>
                    <w:tl2br w:val="nil"/>
                    <w:tr2bl w:val="nil"/>
                  </w:tcBorders>
                  <w:noWrap w:val="0"/>
                  <w:vAlign w:val="center"/>
                </w:tcPr>
                <w:p w14:paraId="6F4663F7">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距离/m</w:t>
                  </w:r>
                </w:p>
              </w:tc>
              <w:tc>
                <w:tcPr>
                  <w:tcW w:w="654" w:type="pct"/>
                  <w:vMerge w:val="continue"/>
                  <w:tcBorders>
                    <w:tl2br w:val="nil"/>
                    <w:tr2bl w:val="nil"/>
                  </w:tcBorders>
                  <w:noWrap w:val="0"/>
                  <w:vAlign w:val="center"/>
                </w:tcPr>
                <w:p w14:paraId="071ACD19">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c>
                <w:tcPr>
                  <w:tcW w:w="1117" w:type="pct"/>
                  <w:vMerge w:val="continue"/>
                  <w:tcBorders>
                    <w:tl2br w:val="nil"/>
                    <w:tr2bl w:val="nil"/>
                  </w:tcBorders>
                  <w:noWrap w:val="0"/>
                  <w:vAlign w:val="center"/>
                </w:tcPr>
                <w:p w14:paraId="317DB24B">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r>
            <w:tr w14:paraId="26DE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vMerge w:val="restart"/>
                  <w:tcBorders>
                    <w:tl2br w:val="nil"/>
                    <w:tr2bl w:val="nil"/>
                  </w:tcBorders>
                  <w:noWrap w:val="0"/>
                  <w:vAlign w:val="center"/>
                </w:tcPr>
                <w:p w14:paraId="1427AB7D">
                  <w:pPr>
                    <w:adjustRightInd w:val="0"/>
                    <w:snapToGrid w:val="0"/>
                    <w:spacing w:line="240" w:lineRule="auto"/>
                    <w:jc w:val="center"/>
                    <w:rPr>
                      <w:rFonts w:hint="eastAsia" w:ascii="Times New Roman" w:hAnsi="Times New Roman" w:cs="Times New Roman" w:eastAsiaTheme="minorEastAsia"/>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大气环境</w:t>
                  </w:r>
                </w:p>
              </w:tc>
              <w:tc>
                <w:tcPr>
                  <w:tcW w:w="507" w:type="pct"/>
                  <w:tcBorders>
                    <w:tl2br w:val="nil"/>
                    <w:tr2bl w:val="nil"/>
                  </w:tcBorders>
                  <w:noWrap w:val="0"/>
                  <w:vAlign w:val="center"/>
                </w:tcPr>
                <w:p w14:paraId="10F6C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b w:val="0"/>
                      <w:bCs w:val="0"/>
                      <w:color w:val="auto"/>
                      <w:kern w:val="21"/>
                      <w:sz w:val="21"/>
                      <w:szCs w:val="21"/>
                      <w:highlight w:val="none"/>
                      <w:lang w:val="en-US" w:eastAsia="zh-CN"/>
                    </w:rPr>
                  </w:pPr>
                  <w:r>
                    <w:rPr>
                      <w:rFonts w:hint="eastAsia" w:ascii="Times New Roman" w:hAnsi="Times New Roman" w:cs="Times New Roman" w:eastAsiaTheme="minorEastAsia"/>
                      <w:b w:val="0"/>
                      <w:bCs w:val="0"/>
                      <w:color w:val="auto"/>
                      <w:kern w:val="21"/>
                      <w:sz w:val="21"/>
                      <w:szCs w:val="21"/>
                      <w:highlight w:val="none"/>
                      <w:lang w:val="en-US" w:eastAsia="zh-CN"/>
                    </w:rPr>
                    <w:t>新民庄村东庄</w:t>
                  </w:r>
                </w:p>
              </w:tc>
              <w:tc>
                <w:tcPr>
                  <w:tcW w:w="809" w:type="pct"/>
                  <w:tcBorders>
                    <w:tl2br w:val="nil"/>
                    <w:tr2bl w:val="nil"/>
                  </w:tcBorders>
                  <w:noWrap w:val="0"/>
                  <w:vAlign w:val="center"/>
                </w:tcPr>
                <w:p w14:paraId="3AA81463">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cs="Times New Roman"/>
                      <w:b w:val="0"/>
                      <w:color w:val="auto"/>
                      <w:kern w:val="0"/>
                      <w:sz w:val="21"/>
                      <w:szCs w:val="21"/>
                      <w:highlight w:val="none"/>
                      <w:lang w:val="en-US" w:eastAsia="zh-CN"/>
                    </w:rPr>
                    <w:t>108.575984°</w:t>
                  </w:r>
                </w:p>
              </w:tc>
              <w:tc>
                <w:tcPr>
                  <w:tcW w:w="749" w:type="pct"/>
                  <w:tcBorders>
                    <w:tl2br w:val="nil"/>
                    <w:tr2bl w:val="nil"/>
                  </w:tcBorders>
                  <w:noWrap w:val="0"/>
                  <w:vAlign w:val="center"/>
                </w:tcPr>
                <w:p w14:paraId="566B06A1">
                  <w:pPr>
                    <w:adjustRightInd w:val="0"/>
                    <w:snapToGrid w:val="0"/>
                    <w:spacing w:line="240" w:lineRule="auto"/>
                    <w:jc w:val="center"/>
                    <w:rPr>
                      <w:rFonts w:hint="default" w:ascii="Times New Roman" w:hAnsi="Times New Roman" w:cs="Times New Roman"/>
                      <w:b w:val="0"/>
                      <w:bCs w:val="0"/>
                      <w:color w:val="auto"/>
                      <w:kern w:val="21"/>
                      <w:sz w:val="21"/>
                      <w:szCs w:val="21"/>
                      <w:highlight w:val="none"/>
                    </w:rPr>
                  </w:pPr>
                  <w:r>
                    <w:rPr>
                      <w:rFonts w:hint="eastAsia" w:cs="Times New Roman"/>
                      <w:b w:val="0"/>
                      <w:color w:val="auto"/>
                      <w:kern w:val="0"/>
                      <w:sz w:val="21"/>
                      <w:szCs w:val="21"/>
                      <w:highlight w:val="none"/>
                      <w:lang w:val="en-US" w:eastAsia="zh-CN"/>
                    </w:rPr>
                    <w:t>34.060816°</w:t>
                  </w:r>
                </w:p>
              </w:tc>
              <w:tc>
                <w:tcPr>
                  <w:tcW w:w="340" w:type="pct"/>
                  <w:tcBorders>
                    <w:tl2br w:val="nil"/>
                    <w:tr2bl w:val="nil"/>
                  </w:tcBorders>
                  <w:noWrap w:val="0"/>
                  <w:vAlign w:val="center"/>
                </w:tcPr>
                <w:p w14:paraId="64D2C7E9">
                  <w:pPr>
                    <w:adjustRightInd w:val="0"/>
                    <w:snapToGrid w:val="0"/>
                    <w:spacing w:line="240" w:lineRule="auto"/>
                    <w:jc w:val="center"/>
                    <w:rPr>
                      <w:rFonts w:hint="eastAsia" w:ascii="Times New Roman" w:hAnsi="Times New Roman" w:cs="Times New Roman" w:eastAsiaTheme="minorEastAsia"/>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ES</w:t>
                  </w:r>
                </w:p>
              </w:tc>
              <w:tc>
                <w:tcPr>
                  <w:tcW w:w="451" w:type="pct"/>
                  <w:tcBorders>
                    <w:tl2br w:val="nil"/>
                    <w:tr2bl w:val="nil"/>
                  </w:tcBorders>
                  <w:noWrap w:val="0"/>
                  <w:vAlign w:val="center"/>
                </w:tcPr>
                <w:p w14:paraId="31DB9468">
                  <w:pPr>
                    <w:adjustRightInd w:val="0"/>
                    <w:snapToGrid w:val="0"/>
                    <w:spacing w:line="240" w:lineRule="auto"/>
                    <w:jc w:val="center"/>
                    <w:rPr>
                      <w:rFonts w:hint="default" w:ascii="Times New Roman" w:hAnsi="Times New Roman" w:cs="Times New Roman" w:eastAsiaTheme="minorEastAsia"/>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47</w:t>
                  </w:r>
                </w:p>
              </w:tc>
              <w:tc>
                <w:tcPr>
                  <w:tcW w:w="654" w:type="pct"/>
                  <w:tcBorders>
                    <w:tl2br w:val="nil"/>
                    <w:tr2bl w:val="nil"/>
                  </w:tcBorders>
                  <w:noWrap w:val="0"/>
                  <w:vAlign w:val="center"/>
                </w:tcPr>
                <w:p w14:paraId="10C60A54">
                  <w:pPr>
                    <w:adjustRightInd w:val="0"/>
                    <w:snapToGrid w:val="0"/>
                    <w:spacing w:line="240" w:lineRule="auto"/>
                    <w:jc w:val="center"/>
                    <w:rPr>
                      <w:rFonts w:hint="default" w:ascii="Times New Roman" w:hAnsi="Times New Roman" w:cs="Times New Roman" w:eastAsiaTheme="minorEastAsia"/>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居住区居民，19</w:t>
                  </w:r>
                  <w:r>
                    <w:rPr>
                      <w:rFonts w:hint="eastAsia" w:ascii="Times New Roman" w:hAnsi="Times New Roman" w:cs="Times New Roman"/>
                      <w:b w:val="0"/>
                      <w:bCs w:val="0"/>
                      <w:color w:val="auto"/>
                      <w:kern w:val="21"/>
                      <w:sz w:val="21"/>
                      <w:szCs w:val="21"/>
                      <w:highlight w:val="none"/>
                      <w:lang w:val="en-US" w:eastAsia="zh-CN"/>
                    </w:rPr>
                    <w:t>户</w:t>
                  </w:r>
                </w:p>
              </w:tc>
              <w:tc>
                <w:tcPr>
                  <w:tcW w:w="1117" w:type="pct"/>
                  <w:vMerge w:val="restart"/>
                  <w:tcBorders>
                    <w:tl2br w:val="nil"/>
                    <w:tr2bl w:val="nil"/>
                  </w:tcBorders>
                  <w:noWrap w:val="0"/>
                  <w:vAlign w:val="center"/>
                </w:tcPr>
                <w:p w14:paraId="70F0E5EA">
                  <w:pPr>
                    <w:adjustRightInd w:val="0"/>
                    <w:snapToGrid w:val="0"/>
                    <w:spacing w:line="240" w:lineRule="auto"/>
                    <w:jc w:val="center"/>
                    <w:rPr>
                      <w:rFonts w:hint="default" w:ascii="Times New Roman" w:hAnsi="Times New Roman" w:cs="Times New Roman"/>
                      <w:b w:val="0"/>
                      <w:bCs w:val="0"/>
                      <w:color w:val="auto"/>
                      <w:kern w:val="21"/>
                      <w:sz w:val="21"/>
                      <w:szCs w:val="21"/>
                      <w:highlight w:val="none"/>
                    </w:rPr>
                  </w:pPr>
                  <w:r>
                    <w:rPr>
                      <w:rFonts w:hint="default" w:ascii="Times New Roman" w:hAnsi="Times New Roman" w:cs="Times New Roman"/>
                      <w:b w:val="0"/>
                      <w:bCs w:val="0"/>
                      <w:color w:val="auto"/>
                      <w:kern w:val="21"/>
                      <w:sz w:val="21"/>
                      <w:szCs w:val="21"/>
                      <w:highlight w:val="none"/>
                      <w:lang w:val="en-US" w:eastAsia="zh-CN"/>
                    </w:rPr>
                    <w:t>《环境空气质量标准》（GB</w:t>
                  </w:r>
                  <w:r>
                    <w:rPr>
                      <w:rFonts w:hint="eastAsia" w:ascii="Times New Roman" w:hAnsi="Times New Roman" w:cs="Times New Roman"/>
                      <w:b w:val="0"/>
                      <w:bCs w:val="0"/>
                      <w:color w:val="auto"/>
                      <w:kern w:val="21"/>
                      <w:sz w:val="21"/>
                      <w:szCs w:val="21"/>
                      <w:highlight w:val="none"/>
                      <w:lang w:val="en-US" w:eastAsia="zh-CN"/>
                    </w:rPr>
                    <w:t xml:space="preserve"> </w:t>
                  </w:r>
                  <w:r>
                    <w:rPr>
                      <w:rFonts w:hint="default" w:ascii="Times New Roman" w:hAnsi="Times New Roman" w:cs="Times New Roman"/>
                      <w:b w:val="0"/>
                      <w:bCs w:val="0"/>
                      <w:color w:val="auto"/>
                      <w:kern w:val="21"/>
                      <w:sz w:val="21"/>
                      <w:szCs w:val="21"/>
                      <w:highlight w:val="none"/>
                      <w:lang w:val="en-US" w:eastAsia="zh-CN"/>
                    </w:rPr>
                    <w:t>3095-2012）二级标准</w:t>
                  </w:r>
                </w:p>
              </w:tc>
            </w:tr>
            <w:tr w14:paraId="69CA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vMerge w:val="continue"/>
                  <w:tcBorders>
                    <w:tl2br w:val="nil"/>
                    <w:tr2bl w:val="nil"/>
                  </w:tcBorders>
                  <w:noWrap w:val="0"/>
                  <w:vAlign w:val="center"/>
                </w:tcPr>
                <w:p w14:paraId="1FBF8F1F">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p>
              </w:tc>
              <w:tc>
                <w:tcPr>
                  <w:tcW w:w="507" w:type="pct"/>
                  <w:tcBorders>
                    <w:tl2br w:val="nil"/>
                    <w:tr2bl w:val="nil"/>
                  </w:tcBorders>
                  <w:noWrap w:val="0"/>
                  <w:vAlign w:val="center"/>
                </w:tcPr>
                <w:p w14:paraId="741AC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b w:val="0"/>
                      <w:bCs w:val="0"/>
                      <w:color w:val="auto"/>
                      <w:kern w:val="21"/>
                      <w:sz w:val="21"/>
                      <w:szCs w:val="21"/>
                      <w:highlight w:val="none"/>
                      <w:lang w:val="en-US" w:eastAsia="zh-CN"/>
                    </w:rPr>
                  </w:pPr>
                  <w:r>
                    <w:rPr>
                      <w:rFonts w:hint="eastAsia" w:ascii="Times New Roman" w:hAnsi="Times New Roman" w:cs="Times New Roman" w:eastAsiaTheme="minorEastAsia"/>
                      <w:b w:val="0"/>
                      <w:bCs w:val="0"/>
                      <w:color w:val="auto"/>
                      <w:kern w:val="21"/>
                      <w:sz w:val="21"/>
                      <w:szCs w:val="21"/>
                      <w:highlight w:val="none"/>
                      <w:lang w:val="en-US" w:eastAsia="zh-CN"/>
                    </w:rPr>
                    <w:t>新民庄村</w:t>
                  </w:r>
                </w:p>
              </w:tc>
              <w:tc>
                <w:tcPr>
                  <w:tcW w:w="809" w:type="pct"/>
                  <w:tcBorders>
                    <w:tl2br w:val="nil"/>
                    <w:tr2bl w:val="nil"/>
                  </w:tcBorders>
                  <w:noWrap w:val="0"/>
                  <w:vAlign w:val="center"/>
                </w:tcPr>
                <w:p w14:paraId="49A8C695">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default" w:ascii="Times New Roman" w:hAnsi="Times New Roman" w:cs="Times New Roman"/>
                      <w:b w:val="0"/>
                      <w:bCs w:val="0"/>
                      <w:color w:val="auto"/>
                      <w:kern w:val="21"/>
                      <w:sz w:val="21"/>
                      <w:szCs w:val="21"/>
                      <w:highlight w:val="none"/>
                      <w:lang w:val="en-US" w:eastAsia="zh-CN"/>
                    </w:rPr>
                    <w:t>108.576094</w:t>
                  </w:r>
                  <w:r>
                    <w:rPr>
                      <w:rFonts w:hint="eastAsia" w:cs="Times New Roman"/>
                      <w:b w:val="0"/>
                      <w:color w:val="auto"/>
                      <w:kern w:val="0"/>
                      <w:sz w:val="21"/>
                      <w:szCs w:val="21"/>
                      <w:highlight w:val="none"/>
                      <w:lang w:val="en-US" w:eastAsia="zh-CN"/>
                    </w:rPr>
                    <w:t>°</w:t>
                  </w:r>
                </w:p>
              </w:tc>
              <w:tc>
                <w:tcPr>
                  <w:tcW w:w="749" w:type="pct"/>
                  <w:tcBorders>
                    <w:tl2br w:val="nil"/>
                    <w:tr2bl w:val="nil"/>
                  </w:tcBorders>
                  <w:noWrap w:val="0"/>
                  <w:vAlign w:val="center"/>
                </w:tcPr>
                <w:p w14:paraId="25F5E949">
                  <w:pPr>
                    <w:adjustRightInd w:val="0"/>
                    <w:snapToGrid w:val="0"/>
                    <w:spacing w:line="240" w:lineRule="auto"/>
                    <w:jc w:val="center"/>
                    <w:rPr>
                      <w:rFonts w:hint="default" w:ascii="Times New Roman" w:hAnsi="Times New Roman" w:cs="Times New Roman"/>
                      <w:b w:val="0"/>
                      <w:bCs w:val="0"/>
                      <w:color w:val="auto"/>
                      <w:kern w:val="21"/>
                      <w:sz w:val="21"/>
                      <w:szCs w:val="21"/>
                      <w:highlight w:val="none"/>
                    </w:rPr>
                  </w:pPr>
                  <w:r>
                    <w:rPr>
                      <w:rFonts w:hint="default" w:ascii="Times New Roman" w:hAnsi="Times New Roman" w:cs="Times New Roman"/>
                      <w:b w:val="0"/>
                      <w:bCs w:val="0"/>
                      <w:color w:val="auto"/>
                      <w:kern w:val="21"/>
                      <w:sz w:val="21"/>
                      <w:szCs w:val="21"/>
                      <w:highlight w:val="none"/>
                    </w:rPr>
                    <w:t>34.058654</w:t>
                  </w:r>
                  <w:r>
                    <w:rPr>
                      <w:rFonts w:hint="eastAsia" w:cs="Times New Roman"/>
                      <w:b w:val="0"/>
                      <w:color w:val="auto"/>
                      <w:kern w:val="0"/>
                      <w:sz w:val="21"/>
                      <w:szCs w:val="21"/>
                      <w:highlight w:val="none"/>
                      <w:lang w:val="en-US" w:eastAsia="zh-CN"/>
                    </w:rPr>
                    <w:t>°</w:t>
                  </w:r>
                </w:p>
              </w:tc>
              <w:tc>
                <w:tcPr>
                  <w:tcW w:w="340" w:type="pct"/>
                  <w:tcBorders>
                    <w:tl2br w:val="nil"/>
                    <w:tr2bl w:val="nil"/>
                  </w:tcBorders>
                  <w:noWrap w:val="0"/>
                  <w:vAlign w:val="center"/>
                </w:tcPr>
                <w:p w14:paraId="6AE7EE0E">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WS</w:t>
                  </w:r>
                </w:p>
              </w:tc>
              <w:tc>
                <w:tcPr>
                  <w:tcW w:w="451" w:type="pct"/>
                  <w:tcBorders>
                    <w:tl2br w:val="nil"/>
                    <w:tr2bl w:val="nil"/>
                  </w:tcBorders>
                  <w:noWrap w:val="0"/>
                  <w:vAlign w:val="center"/>
                </w:tcPr>
                <w:p w14:paraId="2BB29F42">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230</w:t>
                  </w:r>
                </w:p>
              </w:tc>
              <w:tc>
                <w:tcPr>
                  <w:tcW w:w="654" w:type="pct"/>
                  <w:tcBorders>
                    <w:tl2br w:val="nil"/>
                    <w:tr2bl w:val="nil"/>
                  </w:tcBorders>
                  <w:noWrap w:val="0"/>
                  <w:vAlign w:val="center"/>
                </w:tcPr>
                <w:p w14:paraId="071484E6">
                  <w:pPr>
                    <w:adjustRightInd w:val="0"/>
                    <w:snapToGrid w:val="0"/>
                    <w:spacing w:line="240" w:lineRule="auto"/>
                    <w:jc w:val="center"/>
                    <w:rPr>
                      <w:rFonts w:hint="eastAsia"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居住区居民，9</w:t>
                  </w:r>
                  <w:r>
                    <w:rPr>
                      <w:rFonts w:hint="eastAsia" w:ascii="Times New Roman" w:hAnsi="Times New Roman" w:cs="Times New Roman"/>
                      <w:b w:val="0"/>
                      <w:bCs w:val="0"/>
                      <w:color w:val="auto"/>
                      <w:kern w:val="21"/>
                      <w:sz w:val="21"/>
                      <w:szCs w:val="21"/>
                      <w:highlight w:val="none"/>
                      <w:lang w:val="en-US" w:eastAsia="zh-CN"/>
                    </w:rPr>
                    <w:t>户</w:t>
                  </w:r>
                </w:p>
              </w:tc>
              <w:tc>
                <w:tcPr>
                  <w:tcW w:w="1117" w:type="pct"/>
                  <w:vMerge w:val="continue"/>
                  <w:tcBorders>
                    <w:tl2br w:val="nil"/>
                    <w:tr2bl w:val="nil"/>
                  </w:tcBorders>
                  <w:noWrap w:val="0"/>
                  <w:vAlign w:val="center"/>
                </w:tcPr>
                <w:p w14:paraId="49EE9014">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p>
              </w:tc>
            </w:tr>
            <w:tr w14:paraId="358A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vMerge w:val="continue"/>
                  <w:tcBorders>
                    <w:tl2br w:val="nil"/>
                    <w:tr2bl w:val="nil"/>
                  </w:tcBorders>
                  <w:noWrap w:val="0"/>
                  <w:vAlign w:val="center"/>
                </w:tcPr>
                <w:p w14:paraId="6FC1552C">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p>
              </w:tc>
              <w:tc>
                <w:tcPr>
                  <w:tcW w:w="507" w:type="pct"/>
                  <w:tcBorders>
                    <w:tl2br w:val="nil"/>
                    <w:tr2bl w:val="nil"/>
                  </w:tcBorders>
                  <w:noWrap w:val="0"/>
                  <w:vAlign w:val="center"/>
                </w:tcPr>
                <w:p w14:paraId="408BB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南斑竹园村</w:t>
                  </w:r>
                </w:p>
              </w:tc>
              <w:tc>
                <w:tcPr>
                  <w:tcW w:w="809" w:type="pct"/>
                  <w:tcBorders>
                    <w:tl2br w:val="nil"/>
                    <w:tr2bl w:val="nil"/>
                  </w:tcBorders>
                  <w:noWrap w:val="0"/>
                  <w:vAlign w:val="center"/>
                </w:tcPr>
                <w:p w14:paraId="625FA1AF">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default" w:ascii="Times New Roman" w:hAnsi="Times New Roman" w:cs="Times New Roman"/>
                      <w:b w:val="0"/>
                      <w:bCs w:val="0"/>
                      <w:color w:val="auto"/>
                      <w:kern w:val="21"/>
                      <w:sz w:val="21"/>
                      <w:szCs w:val="21"/>
                      <w:highlight w:val="none"/>
                      <w:lang w:val="en-US" w:eastAsia="zh-CN"/>
                    </w:rPr>
                    <w:t>108.572058</w:t>
                  </w:r>
                  <w:r>
                    <w:rPr>
                      <w:rFonts w:hint="eastAsia" w:cs="Times New Roman"/>
                      <w:b w:val="0"/>
                      <w:color w:val="auto"/>
                      <w:kern w:val="0"/>
                      <w:sz w:val="21"/>
                      <w:szCs w:val="21"/>
                      <w:highlight w:val="none"/>
                      <w:lang w:val="en-US" w:eastAsia="zh-CN"/>
                    </w:rPr>
                    <w:t>°</w:t>
                  </w:r>
                </w:p>
              </w:tc>
              <w:tc>
                <w:tcPr>
                  <w:tcW w:w="749" w:type="pct"/>
                  <w:tcBorders>
                    <w:tl2br w:val="nil"/>
                    <w:tr2bl w:val="nil"/>
                  </w:tcBorders>
                  <w:noWrap w:val="0"/>
                  <w:vAlign w:val="center"/>
                </w:tcPr>
                <w:p w14:paraId="5EB2637F">
                  <w:pPr>
                    <w:adjustRightInd w:val="0"/>
                    <w:snapToGrid w:val="0"/>
                    <w:spacing w:line="240" w:lineRule="auto"/>
                    <w:jc w:val="center"/>
                    <w:rPr>
                      <w:rFonts w:hint="default" w:ascii="Times New Roman" w:hAnsi="Times New Roman" w:cs="Times New Roman"/>
                      <w:b w:val="0"/>
                      <w:bCs w:val="0"/>
                      <w:color w:val="auto"/>
                      <w:kern w:val="21"/>
                      <w:sz w:val="21"/>
                      <w:szCs w:val="21"/>
                      <w:highlight w:val="none"/>
                    </w:rPr>
                  </w:pPr>
                  <w:r>
                    <w:rPr>
                      <w:rFonts w:hint="default" w:ascii="Times New Roman" w:hAnsi="Times New Roman" w:cs="Times New Roman"/>
                      <w:b w:val="0"/>
                      <w:bCs w:val="0"/>
                      <w:color w:val="auto"/>
                      <w:kern w:val="21"/>
                      <w:sz w:val="21"/>
                      <w:szCs w:val="21"/>
                      <w:highlight w:val="none"/>
                    </w:rPr>
                    <w:t>34.068714</w:t>
                  </w:r>
                  <w:r>
                    <w:rPr>
                      <w:rFonts w:hint="eastAsia" w:cs="Times New Roman"/>
                      <w:b w:val="0"/>
                      <w:color w:val="auto"/>
                      <w:kern w:val="0"/>
                      <w:sz w:val="21"/>
                      <w:szCs w:val="21"/>
                      <w:highlight w:val="none"/>
                      <w:lang w:val="en-US" w:eastAsia="zh-CN"/>
                    </w:rPr>
                    <w:t>°</w:t>
                  </w:r>
                </w:p>
              </w:tc>
              <w:tc>
                <w:tcPr>
                  <w:tcW w:w="340" w:type="pct"/>
                  <w:tcBorders>
                    <w:tl2br w:val="nil"/>
                    <w:tr2bl w:val="nil"/>
                  </w:tcBorders>
                  <w:noWrap w:val="0"/>
                  <w:vAlign w:val="center"/>
                </w:tcPr>
                <w:p w14:paraId="5D2A4026">
                  <w:pPr>
                    <w:adjustRightInd w:val="0"/>
                    <w:snapToGrid w:val="0"/>
                    <w:spacing w:line="240" w:lineRule="auto"/>
                    <w:jc w:val="center"/>
                    <w:rPr>
                      <w:rFonts w:hint="default"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WN</w:t>
                  </w:r>
                </w:p>
              </w:tc>
              <w:tc>
                <w:tcPr>
                  <w:tcW w:w="451" w:type="pct"/>
                  <w:tcBorders>
                    <w:tl2br w:val="nil"/>
                    <w:tr2bl w:val="nil"/>
                  </w:tcBorders>
                  <w:noWrap w:val="0"/>
                  <w:vAlign w:val="center"/>
                </w:tcPr>
                <w:p w14:paraId="7735B0AA">
                  <w:pPr>
                    <w:adjustRightInd w:val="0"/>
                    <w:snapToGrid w:val="0"/>
                    <w:spacing w:line="240" w:lineRule="auto"/>
                    <w:jc w:val="center"/>
                    <w:rPr>
                      <w:rFonts w:hint="default"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380</w:t>
                  </w:r>
                </w:p>
              </w:tc>
              <w:tc>
                <w:tcPr>
                  <w:tcW w:w="654" w:type="pct"/>
                  <w:tcBorders>
                    <w:tl2br w:val="nil"/>
                    <w:tr2bl w:val="nil"/>
                  </w:tcBorders>
                  <w:noWrap w:val="0"/>
                  <w:vAlign w:val="center"/>
                </w:tcPr>
                <w:p w14:paraId="7C2AEC05">
                  <w:pPr>
                    <w:adjustRightInd w:val="0"/>
                    <w:snapToGrid w:val="0"/>
                    <w:spacing w:line="240" w:lineRule="auto"/>
                    <w:jc w:val="center"/>
                    <w:rPr>
                      <w:rFonts w:hint="eastAsia" w:cs="Times New Roman"/>
                      <w:b w:val="0"/>
                      <w:bCs w:val="0"/>
                      <w:color w:val="auto"/>
                      <w:kern w:val="21"/>
                      <w:sz w:val="21"/>
                      <w:szCs w:val="21"/>
                      <w:highlight w:val="none"/>
                      <w:lang w:val="en-US" w:eastAsia="zh-CN"/>
                    </w:rPr>
                  </w:pPr>
                  <w:r>
                    <w:rPr>
                      <w:rFonts w:hint="eastAsia" w:cs="Times New Roman"/>
                      <w:b w:val="0"/>
                      <w:bCs w:val="0"/>
                      <w:color w:val="auto"/>
                      <w:kern w:val="21"/>
                      <w:sz w:val="21"/>
                      <w:szCs w:val="21"/>
                      <w:highlight w:val="none"/>
                      <w:lang w:val="en-US" w:eastAsia="zh-CN"/>
                    </w:rPr>
                    <w:t>居住区居民，507</w:t>
                  </w:r>
                  <w:r>
                    <w:rPr>
                      <w:rFonts w:hint="eastAsia" w:ascii="Times New Roman" w:hAnsi="Times New Roman" w:cs="Times New Roman"/>
                      <w:b w:val="0"/>
                      <w:bCs w:val="0"/>
                      <w:color w:val="auto"/>
                      <w:kern w:val="21"/>
                      <w:sz w:val="21"/>
                      <w:szCs w:val="21"/>
                      <w:highlight w:val="none"/>
                      <w:lang w:val="en-US" w:eastAsia="zh-CN"/>
                    </w:rPr>
                    <w:t>户</w:t>
                  </w:r>
                </w:p>
              </w:tc>
              <w:tc>
                <w:tcPr>
                  <w:tcW w:w="1117" w:type="pct"/>
                  <w:vMerge w:val="continue"/>
                  <w:tcBorders>
                    <w:tl2br w:val="nil"/>
                    <w:tr2bl w:val="nil"/>
                  </w:tcBorders>
                  <w:noWrap w:val="0"/>
                  <w:vAlign w:val="center"/>
                </w:tcPr>
                <w:p w14:paraId="17B3B72A">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p>
              </w:tc>
            </w:tr>
            <w:tr w14:paraId="68F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369" w:type="pct"/>
                  <w:tcBorders>
                    <w:tl2br w:val="nil"/>
                    <w:tr2bl w:val="nil"/>
                  </w:tcBorders>
                  <w:noWrap w:val="0"/>
                  <w:vAlign w:val="center"/>
                </w:tcPr>
                <w:p w14:paraId="033DD507">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声环境</w:t>
                  </w:r>
                </w:p>
              </w:tc>
              <w:tc>
                <w:tcPr>
                  <w:tcW w:w="507" w:type="pct"/>
                  <w:tcBorders>
                    <w:tl2br w:val="nil"/>
                    <w:tr2bl w:val="nil"/>
                  </w:tcBorders>
                  <w:noWrap w:val="0"/>
                  <w:vAlign w:val="center"/>
                </w:tcPr>
                <w:p w14:paraId="327E1AD5">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新民庄村东庄</w:t>
                  </w:r>
                </w:p>
              </w:tc>
              <w:tc>
                <w:tcPr>
                  <w:tcW w:w="809" w:type="pct"/>
                  <w:tcBorders>
                    <w:tl2br w:val="nil"/>
                    <w:tr2bl w:val="nil"/>
                  </w:tcBorders>
                  <w:noWrap w:val="0"/>
                  <w:vAlign w:val="center"/>
                </w:tcPr>
                <w:p w14:paraId="44AAC66E">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108.575984°</w:t>
                  </w:r>
                </w:p>
              </w:tc>
              <w:tc>
                <w:tcPr>
                  <w:tcW w:w="749" w:type="pct"/>
                  <w:tcBorders>
                    <w:tl2br w:val="nil"/>
                    <w:tr2bl w:val="nil"/>
                  </w:tcBorders>
                  <w:noWrap w:val="0"/>
                  <w:vAlign w:val="center"/>
                </w:tcPr>
                <w:p w14:paraId="7803E1E5">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34.060816°</w:t>
                  </w:r>
                </w:p>
              </w:tc>
              <w:tc>
                <w:tcPr>
                  <w:tcW w:w="340" w:type="pct"/>
                  <w:tcBorders>
                    <w:tl2br w:val="nil"/>
                    <w:tr2bl w:val="nil"/>
                  </w:tcBorders>
                  <w:shd w:val="clear" w:color="auto" w:fill="auto"/>
                  <w:noWrap w:val="0"/>
                  <w:vAlign w:val="center"/>
                </w:tcPr>
                <w:p w14:paraId="26B0E733">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ES</w:t>
                  </w:r>
                </w:p>
              </w:tc>
              <w:tc>
                <w:tcPr>
                  <w:tcW w:w="451" w:type="pct"/>
                  <w:tcBorders>
                    <w:tl2br w:val="nil"/>
                    <w:tr2bl w:val="nil"/>
                  </w:tcBorders>
                  <w:shd w:val="clear" w:color="auto" w:fill="auto"/>
                  <w:noWrap w:val="0"/>
                  <w:vAlign w:val="center"/>
                </w:tcPr>
                <w:p w14:paraId="56F8EAD5">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47</w:t>
                  </w:r>
                </w:p>
              </w:tc>
              <w:tc>
                <w:tcPr>
                  <w:tcW w:w="654" w:type="pct"/>
                  <w:tcBorders>
                    <w:tl2br w:val="nil"/>
                    <w:tr2bl w:val="nil"/>
                  </w:tcBorders>
                  <w:shd w:val="clear" w:color="auto" w:fill="auto"/>
                  <w:noWrap w:val="0"/>
                  <w:vAlign w:val="center"/>
                </w:tcPr>
                <w:p w14:paraId="2568D031">
                  <w:pPr>
                    <w:adjustRightInd w:val="0"/>
                    <w:snapToGrid w:val="0"/>
                    <w:spacing w:line="240" w:lineRule="auto"/>
                    <w:jc w:val="center"/>
                    <w:rPr>
                      <w:rFonts w:hint="eastAsia"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居住区居民，1户</w:t>
                  </w:r>
                </w:p>
              </w:tc>
              <w:tc>
                <w:tcPr>
                  <w:tcW w:w="1117" w:type="pct"/>
                  <w:tcBorders>
                    <w:tl2br w:val="nil"/>
                    <w:tr2bl w:val="nil"/>
                  </w:tcBorders>
                  <w:noWrap w:val="0"/>
                  <w:vAlign w:val="center"/>
                </w:tcPr>
                <w:p w14:paraId="38E2C8C2">
                  <w:pPr>
                    <w:adjustRightInd w:val="0"/>
                    <w:snapToGrid w:val="0"/>
                    <w:spacing w:line="240" w:lineRule="auto"/>
                    <w:jc w:val="center"/>
                    <w:rPr>
                      <w:rFonts w:hint="default" w:ascii="Times New Roman" w:hAnsi="Times New Roman" w:cs="Times New Roman"/>
                      <w:b w:val="0"/>
                      <w:bCs w:val="0"/>
                      <w:color w:val="auto"/>
                      <w:kern w:val="21"/>
                      <w:sz w:val="21"/>
                      <w:szCs w:val="21"/>
                      <w:highlight w:val="none"/>
                      <w:lang w:val="en-US" w:eastAsia="zh-CN"/>
                    </w:rPr>
                  </w:pPr>
                  <w:r>
                    <w:rPr>
                      <w:rFonts w:hint="eastAsia" w:ascii="Times New Roman" w:hAnsi="Times New Roman" w:cs="Times New Roman"/>
                      <w:b w:val="0"/>
                      <w:bCs w:val="0"/>
                      <w:color w:val="auto"/>
                      <w:kern w:val="21"/>
                      <w:sz w:val="21"/>
                      <w:szCs w:val="21"/>
                      <w:highlight w:val="none"/>
                      <w:lang w:val="en-US" w:eastAsia="zh-CN"/>
                    </w:rPr>
                    <w:t>《声环境质量标准》（GB3096-2008）2类标准</w:t>
                  </w:r>
                </w:p>
              </w:tc>
            </w:tr>
          </w:tbl>
          <w:p w14:paraId="5A3DE10B">
            <w:pPr>
              <w:rPr>
                <w:color w:val="auto"/>
                <w:highlight w:val="none"/>
              </w:rPr>
            </w:pPr>
          </w:p>
        </w:tc>
      </w:tr>
      <w:tr w14:paraId="2AB8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5" w:type="pct"/>
            <w:tcMar>
              <w:left w:w="28" w:type="dxa"/>
              <w:right w:w="28" w:type="dxa"/>
            </w:tcMar>
            <w:vAlign w:val="center"/>
          </w:tcPr>
          <w:p w14:paraId="15D3A313">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污染</w:t>
            </w:r>
          </w:p>
          <w:p w14:paraId="50498981">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物排</w:t>
            </w:r>
          </w:p>
          <w:p w14:paraId="52745040">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放控</w:t>
            </w:r>
          </w:p>
          <w:p w14:paraId="685A795A">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制标</w:t>
            </w:r>
          </w:p>
          <w:p w14:paraId="08103D77">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准</w:t>
            </w:r>
          </w:p>
        </w:tc>
        <w:tc>
          <w:tcPr>
            <w:tcW w:w="4784" w:type="pct"/>
            <w:vAlign w:val="center"/>
          </w:tcPr>
          <w:p w14:paraId="41CE36F9">
            <w:pPr>
              <w:adjustRightInd w:val="0"/>
              <w:snapToGrid w:val="0"/>
              <w:spacing w:before="120" w:beforeLines="50"/>
              <w:ind w:firstLine="482" w:firstLineChars="200"/>
              <w:rPr>
                <w:rFonts w:cs="Times New Roman"/>
                <w:b/>
                <w:color w:val="auto"/>
                <w:highlight w:val="none"/>
              </w:rPr>
            </w:pPr>
            <w:r>
              <w:rPr>
                <w:rFonts w:hint="eastAsia" w:cs="Times New Roman"/>
                <w:b/>
                <w:color w:val="auto"/>
                <w:highlight w:val="none"/>
              </w:rPr>
              <w:t>1、</w:t>
            </w:r>
            <w:r>
              <w:rPr>
                <w:rFonts w:cs="Times New Roman"/>
                <w:b/>
                <w:color w:val="auto"/>
                <w:highlight w:val="none"/>
              </w:rPr>
              <w:t>大气污染物排放标准</w:t>
            </w:r>
          </w:p>
          <w:p w14:paraId="1E749377">
            <w:pPr>
              <w:adjustRightInd w:val="0"/>
              <w:ind w:firstLine="480" w:firstLineChars="200"/>
              <w:jc w:val="both"/>
              <w:rPr>
                <w:rFonts w:eastAsia="宋体" w:cs="Times New Roman"/>
                <w:color w:val="auto"/>
                <w:szCs w:val="24"/>
                <w:highlight w:val="none"/>
              </w:rPr>
            </w:pPr>
            <w:r>
              <w:rPr>
                <w:rFonts w:eastAsia="宋体" w:cs="Times New Roman"/>
                <w:color w:val="auto"/>
                <w:szCs w:val="24"/>
                <w:highlight w:val="none"/>
              </w:rPr>
              <w:t>施工期扬尘执行《</w:t>
            </w:r>
            <w:r>
              <w:rPr>
                <w:rFonts w:hint="eastAsia" w:eastAsia="宋体" w:cs="Times New Roman"/>
                <w:color w:val="auto"/>
                <w:szCs w:val="24"/>
                <w:highlight w:val="none"/>
                <w:lang w:eastAsia="zh-CN"/>
              </w:rPr>
              <w:t>施工场界扬尘排放限值</w:t>
            </w:r>
            <w:r>
              <w:rPr>
                <w:rFonts w:eastAsia="宋体" w:cs="Times New Roman"/>
                <w:color w:val="auto"/>
                <w:szCs w:val="24"/>
                <w:highlight w:val="none"/>
              </w:rPr>
              <w:t>》（DB61/1078-2017）中的要求。</w:t>
            </w:r>
          </w:p>
          <w:p w14:paraId="2F3CCADF">
            <w:pPr>
              <w:pStyle w:val="31"/>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rPr>
                <w:rFonts w:hint="eastAsia" w:ascii="Times New Roman" w:hAnsi="Times New Roman" w:eastAsia="宋体" w:cs="Times New Roman"/>
                <w:b w:val="0"/>
                <w:color w:val="auto"/>
                <w:kern w:val="2"/>
                <w:sz w:val="24"/>
                <w:szCs w:val="24"/>
                <w:highlight w:val="none"/>
                <w:lang w:val="en-US" w:eastAsia="zh-CN" w:bidi="ar-SA"/>
              </w:rPr>
            </w:pPr>
            <w:r>
              <w:rPr>
                <w:rFonts w:hint="eastAsia" w:cs="Times New Roman"/>
                <w:b w:val="0"/>
                <w:color w:val="auto"/>
                <w:kern w:val="2"/>
                <w:sz w:val="24"/>
                <w:szCs w:val="24"/>
                <w:highlight w:val="none"/>
                <w:lang w:val="en-US" w:eastAsia="zh-CN" w:bidi="ar-SA"/>
              </w:rPr>
              <w:t>运</w:t>
            </w:r>
            <w:r>
              <w:rPr>
                <w:rFonts w:hint="eastAsia" w:ascii="Times New Roman" w:hAnsi="Times New Roman" w:eastAsia="宋体" w:cs="Times New Roman"/>
                <w:b w:val="0"/>
                <w:color w:val="auto"/>
                <w:kern w:val="2"/>
                <w:sz w:val="24"/>
                <w:szCs w:val="24"/>
                <w:highlight w:val="none"/>
                <w:lang w:val="en-US" w:eastAsia="zh-CN" w:bidi="ar-SA"/>
              </w:rPr>
              <w:t>营期无组织颗粒物执行《水泥工业大气污染物排放标准》（GB</w:t>
            </w:r>
            <w:r>
              <w:rPr>
                <w:rFonts w:hint="eastAsia" w:cs="Times New Roman"/>
                <w:b w:val="0"/>
                <w:color w:val="auto"/>
                <w:kern w:val="2"/>
                <w:sz w:val="24"/>
                <w:szCs w:val="24"/>
                <w:highlight w:val="none"/>
                <w:lang w:val="en-US" w:eastAsia="zh-CN" w:bidi="ar-SA"/>
              </w:rPr>
              <w:t xml:space="preserve"> </w:t>
            </w:r>
            <w:r>
              <w:rPr>
                <w:rFonts w:hint="eastAsia" w:ascii="Times New Roman" w:hAnsi="Times New Roman" w:eastAsia="宋体" w:cs="Times New Roman"/>
                <w:b w:val="0"/>
                <w:color w:val="auto"/>
                <w:kern w:val="2"/>
                <w:sz w:val="24"/>
                <w:szCs w:val="24"/>
                <w:highlight w:val="none"/>
                <w:lang w:val="en-US" w:eastAsia="zh-CN" w:bidi="ar-SA"/>
              </w:rPr>
              <w:t>4915-2013）中</w:t>
            </w:r>
            <w:r>
              <w:rPr>
                <w:rFonts w:hint="eastAsia" w:cs="Times New Roman"/>
                <w:b w:val="0"/>
                <w:color w:val="auto"/>
                <w:kern w:val="2"/>
                <w:sz w:val="24"/>
                <w:szCs w:val="24"/>
                <w:highlight w:val="none"/>
                <w:lang w:val="en-US" w:eastAsia="zh-CN" w:bidi="ar-SA"/>
              </w:rPr>
              <w:t>“</w:t>
            </w:r>
            <w:r>
              <w:rPr>
                <w:rFonts w:hint="eastAsia" w:ascii="Times New Roman" w:hAnsi="Times New Roman" w:eastAsia="宋体" w:cs="Times New Roman"/>
                <w:b w:val="0"/>
                <w:color w:val="auto"/>
                <w:kern w:val="2"/>
                <w:sz w:val="24"/>
                <w:szCs w:val="24"/>
                <w:highlight w:val="none"/>
                <w:lang w:val="en-US" w:eastAsia="zh-CN" w:bidi="ar-SA"/>
              </w:rPr>
              <w:t>表3</w:t>
            </w:r>
            <w:r>
              <w:rPr>
                <w:rFonts w:hint="eastAsia" w:cs="Times New Roman"/>
                <w:b w:val="0"/>
                <w:color w:val="auto"/>
                <w:kern w:val="2"/>
                <w:sz w:val="24"/>
                <w:szCs w:val="24"/>
                <w:highlight w:val="none"/>
                <w:lang w:val="en-US" w:eastAsia="zh-CN" w:bidi="ar-SA"/>
              </w:rPr>
              <w:t xml:space="preserve"> </w:t>
            </w:r>
            <w:r>
              <w:rPr>
                <w:rFonts w:hint="eastAsia" w:ascii="Times New Roman" w:hAnsi="Times New Roman" w:eastAsia="宋体" w:cs="Times New Roman"/>
                <w:b w:val="0"/>
                <w:color w:val="auto"/>
                <w:kern w:val="2"/>
                <w:sz w:val="24"/>
                <w:szCs w:val="24"/>
                <w:highlight w:val="none"/>
                <w:lang w:val="en-US" w:eastAsia="zh-CN" w:bidi="ar-SA"/>
              </w:rPr>
              <w:t>大气污染物无组织排放限值要求</w:t>
            </w:r>
            <w:r>
              <w:rPr>
                <w:rFonts w:hint="eastAsia" w:cs="Times New Roman"/>
                <w:b w:val="0"/>
                <w:color w:val="auto"/>
                <w:kern w:val="2"/>
                <w:sz w:val="24"/>
                <w:szCs w:val="24"/>
                <w:highlight w:val="none"/>
                <w:lang w:val="en-US" w:eastAsia="zh-CN" w:bidi="ar-SA"/>
              </w:rPr>
              <w:t>”，具体标准值见下表3-4</w:t>
            </w:r>
            <w:r>
              <w:rPr>
                <w:rFonts w:hint="eastAsia" w:ascii="Times New Roman" w:hAnsi="Times New Roman" w:eastAsia="宋体" w:cs="Times New Roman"/>
                <w:b w:val="0"/>
                <w:color w:val="auto"/>
                <w:kern w:val="2"/>
                <w:sz w:val="24"/>
                <w:szCs w:val="24"/>
                <w:highlight w:val="none"/>
                <w:lang w:val="en-US" w:eastAsia="zh-CN" w:bidi="ar-SA"/>
              </w:rPr>
              <w:t>。</w:t>
            </w:r>
          </w:p>
          <w:p w14:paraId="28F74D84">
            <w:pPr>
              <w:pStyle w:val="31"/>
              <w:rPr>
                <w:rFonts w:cs="Times New Roman"/>
                <w:color w:val="auto"/>
                <w:highlight w:val="none"/>
              </w:rPr>
            </w:pPr>
            <w:r>
              <w:rPr>
                <w:rFonts w:cs="Times New Roman"/>
                <w:color w:val="auto"/>
                <w:highlight w:val="none"/>
              </w:rPr>
              <w:t>表</w:t>
            </w:r>
            <w:r>
              <w:rPr>
                <w:rFonts w:cs="Times New Roman"/>
                <w:color w:val="auto"/>
                <w:highlight w:val="none"/>
                <w:lang w:val="en-US"/>
              </w:rPr>
              <w:t>3</w:t>
            </w:r>
            <w:r>
              <w:rPr>
                <w:rFonts w:hint="eastAsia" w:cs="Times New Roman"/>
                <w:color w:val="auto"/>
                <w:highlight w:val="none"/>
                <w:lang w:val="en-US" w:eastAsia="zh-CN"/>
              </w:rPr>
              <w:t>-4</w:t>
            </w:r>
            <w:r>
              <w:rPr>
                <w:rFonts w:cs="Times New Roman"/>
                <w:color w:val="auto"/>
                <w:highlight w:val="none"/>
              </w:rPr>
              <w:t xml:space="preserve"> 本项目大气污染物排放标准一览表</w:t>
            </w:r>
          </w:p>
          <w:tbl>
            <w:tblPr>
              <w:tblStyle w:val="24"/>
              <w:tblW w:w="501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624"/>
              <w:gridCol w:w="913"/>
              <w:gridCol w:w="914"/>
              <w:gridCol w:w="2728"/>
              <w:gridCol w:w="1224"/>
            </w:tblGrid>
            <w:tr w14:paraId="7649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905" w:type="pct"/>
                  <w:gridSpan w:val="2"/>
                  <w:vMerge w:val="restart"/>
                  <w:tcBorders>
                    <w:tl2br w:val="nil"/>
                    <w:tr2bl w:val="nil"/>
                  </w:tcBorders>
                  <w:noWrap w:val="0"/>
                  <w:vAlign w:val="center"/>
                </w:tcPr>
                <w:p w14:paraId="4355EFFC">
                  <w:pPr>
                    <w:adjustRightInd w:val="0"/>
                    <w:snapToGrid w:val="0"/>
                    <w:spacing w:line="240" w:lineRule="auto"/>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执行标准</w:t>
                  </w:r>
                </w:p>
              </w:tc>
              <w:tc>
                <w:tcPr>
                  <w:tcW w:w="488" w:type="pct"/>
                  <w:vMerge w:val="restart"/>
                  <w:tcBorders>
                    <w:tl2br w:val="nil"/>
                    <w:tr2bl w:val="nil"/>
                  </w:tcBorders>
                  <w:noWrap w:val="0"/>
                  <w:vAlign w:val="center"/>
                </w:tcPr>
                <w:p w14:paraId="463AAE58">
                  <w:pPr>
                    <w:adjustRightInd w:val="0"/>
                    <w:snapToGrid w:val="0"/>
                    <w:spacing w:line="240" w:lineRule="auto"/>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污染物</w:t>
                  </w:r>
                </w:p>
              </w:tc>
              <w:tc>
                <w:tcPr>
                  <w:tcW w:w="2605" w:type="pct"/>
                  <w:gridSpan w:val="3"/>
                  <w:tcBorders>
                    <w:tl2br w:val="nil"/>
                    <w:tr2bl w:val="nil"/>
                  </w:tcBorders>
                  <w:noWrap w:val="0"/>
                  <w:vAlign w:val="center"/>
                </w:tcPr>
                <w:p w14:paraId="1AC4EB89">
                  <w:pPr>
                    <w:adjustRightInd w:val="0"/>
                    <w:snapToGrid w:val="0"/>
                    <w:spacing w:line="240" w:lineRule="auto"/>
                    <w:jc w:val="center"/>
                    <w:rPr>
                      <w:rFonts w:hint="default" w:ascii="Times New Roman" w:hAnsi="Times New Roman" w:cs="Times New Roman"/>
                      <w:b/>
                      <w:bCs/>
                      <w:color w:val="auto"/>
                      <w:kern w:val="21"/>
                      <w:sz w:val="21"/>
                      <w:szCs w:val="21"/>
                      <w:highlight w:val="none"/>
                      <w:lang w:val="en-US" w:eastAsia="zh-CN"/>
                    </w:rPr>
                  </w:pPr>
                  <w:r>
                    <w:rPr>
                      <w:rFonts w:hint="eastAsia" w:ascii="Times New Roman" w:hAnsi="Times New Roman" w:cs="Times New Roman"/>
                      <w:b/>
                      <w:bCs/>
                      <w:color w:val="auto"/>
                      <w:kern w:val="21"/>
                      <w:sz w:val="21"/>
                      <w:szCs w:val="21"/>
                      <w:highlight w:val="none"/>
                      <w:lang w:val="en-US" w:eastAsia="zh-CN"/>
                    </w:rPr>
                    <w:t>标准值</w:t>
                  </w:r>
                </w:p>
              </w:tc>
            </w:tr>
            <w:tr w14:paraId="1D9C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905" w:type="pct"/>
                  <w:gridSpan w:val="2"/>
                  <w:vMerge w:val="continue"/>
                  <w:tcBorders>
                    <w:tl2br w:val="nil"/>
                    <w:tr2bl w:val="nil"/>
                  </w:tcBorders>
                  <w:noWrap w:val="0"/>
                  <w:vAlign w:val="center"/>
                </w:tcPr>
                <w:p w14:paraId="6A29DC3F">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c>
                <w:tcPr>
                  <w:tcW w:w="488" w:type="pct"/>
                  <w:vMerge w:val="continue"/>
                  <w:tcBorders>
                    <w:tl2br w:val="nil"/>
                    <w:tr2bl w:val="nil"/>
                  </w:tcBorders>
                  <w:noWrap w:val="0"/>
                  <w:vAlign w:val="center"/>
                </w:tcPr>
                <w:p w14:paraId="679109AE">
                  <w:pPr>
                    <w:adjustRightInd w:val="0"/>
                    <w:snapToGrid w:val="0"/>
                    <w:spacing w:line="240" w:lineRule="auto"/>
                    <w:jc w:val="center"/>
                    <w:rPr>
                      <w:rFonts w:hint="default" w:ascii="Times New Roman" w:hAnsi="Times New Roman" w:cs="Times New Roman"/>
                      <w:b/>
                      <w:bCs/>
                      <w:color w:val="auto"/>
                      <w:kern w:val="21"/>
                      <w:sz w:val="21"/>
                      <w:szCs w:val="21"/>
                      <w:highlight w:val="none"/>
                    </w:rPr>
                  </w:pPr>
                </w:p>
              </w:tc>
              <w:tc>
                <w:tcPr>
                  <w:tcW w:w="1950" w:type="pct"/>
                  <w:gridSpan w:val="2"/>
                  <w:tcBorders>
                    <w:tl2br w:val="nil"/>
                    <w:tr2bl w:val="nil"/>
                  </w:tcBorders>
                  <w:noWrap w:val="0"/>
                  <w:vAlign w:val="center"/>
                </w:tcPr>
                <w:p w14:paraId="58C8A08B">
                  <w:pPr>
                    <w:adjustRightInd w:val="0"/>
                    <w:snapToGrid w:val="0"/>
                    <w:spacing w:line="240" w:lineRule="auto"/>
                    <w:jc w:val="center"/>
                    <w:rPr>
                      <w:rFonts w:hint="eastAsia" w:ascii="Times New Roman" w:hAnsi="Times New Roman" w:cs="Times New Roman"/>
                      <w:b/>
                      <w:bCs/>
                      <w:color w:val="auto"/>
                      <w:kern w:val="21"/>
                      <w:sz w:val="21"/>
                      <w:szCs w:val="21"/>
                      <w:highlight w:val="none"/>
                      <w:lang w:eastAsia="zh-CN"/>
                    </w:rPr>
                  </w:pPr>
                  <w:r>
                    <w:rPr>
                      <w:rFonts w:hint="eastAsia" w:ascii="Times New Roman" w:hAnsi="Times New Roman" w:cs="Times New Roman"/>
                      <w:b/>
                      <w:bCs/>
                      <w:color w:val="auto"/>
                      <w:kern w:val="21"/>
                      <w:sz w:val="21"/>
                      <w:szCs w:val="21"/>
                      <w:highlight w:val="none"/>
                      <w:lang w:eastAsia="zh-CN"/>
                    </w:rPr>
                    <w:t>监控点</w:t>
                  </w:r>
                </w:p>
              </w:tc>
              <w:tc>
                <w:tcPr>
                  <w:tcW w:w="655" w:type="pct"/>
                  <w:tcBorders>
                    <w:tl2br w:val="nil"/>
                    <w:tr2bl w:val="nil"/>
                  </w:tcBorders>
                  <w:noWrap w:val="0"/>
                  <w:vAlign w:val="center"/>
                </w:tcPr>
                <w:p w14:paraId="701AFE4D">
                  <w:pPr>
                    <w:adjustRightInd w:val="0"/>
                    <w:snapToGrid w:val="0"/>
                    <w:spacing w:line="240" w:lineRule="auto"/>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浓度</w:t>
                  </w:r>
                </w:p>
              </w:tc>
            </w:tr>
            <w:tr w14:paraId="1AC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500" w:type="pct"/>
                  <w:tcBorders>
                    <w:tl2br w:val="nil"/>
                    <w:tr2bl w:val="nil"/>
                  </w:tcBorders>
                  <w:noWrap w:val="0"/>
                  <w:vAlign w:val="center"/>
                </w:tcPr>
                <w:p w14:paraId="5E7EC201">
                  <w:pPr>
                    <w:adjustRightInd w:val="0"/>
                    <w:snapToGrid w:val="0"/>
                    <w:spacing w:line="240" w:lineRule="auto"/>
                    <w:jc w:val="center"/>
                    <w:rPr>
                      <w:rFonts w:hint="default" w:ascii="Times New Roman" w:hAnsi="Times New Roman" w:cs="Times New Roman"/>
                      <w:color w:val="auto"/>
                      <w:kern w:val="21"/>
                      <w:sz w:val="21"/>
                      <w:szCs w:val="21"/>
                      <w:highlight w:val="none"/>
                      <w:lang w:val="en-US" w:eastAsia="zh-CN"/>
                    </w:rPr>
                  </w:pPr>
                  <w:r>
                    <w:rPr>
                      <w:rFonts w:hint="eastAsia" w:ascii="Times New Roman" w:hAnsi="Times New Roman" w:cs="Times New Roman"/>
                      <w:color w:val="auto"/>
                      <w:kern w:val="21"/>
                      <w:sz w:val="21"/>
                      <w:szCs w:val="21"/>
                      <w:highlight w:val="none"/>
                      <w:lang w:eastAsia="zh-CN"/>
                    </w:rPr>
                    <w:t>施工期</w:t>
                  </w:r>
                </w:p>
              </w:tc>
              <w:tc>
                <w:tcPr>
                  <w:tcW w:w="1404" w:type="pct"/>
                  <w:tcBorders>
                    <w:tl2br w:val="nil"/>
                    <w:tr2bl w:val="nil"/>
                  </w:tcBorders>
                  <w:noWrap w:val="0"/>
                  <w:vAlign w:val="center"/>
                </w:tcPr>
                <w:p w14:paraId="5009209F">
                  <w:pPr>
                    <w:adjustRightInd w:val="0"/>
                    <w:snapToGrid w:val="0"/>
                    <w:spacing w:line="240" w:lineRule="auto"/>
                    <w:jc w:val="center"/>
                    <w:rPr>
                      <w:rFonts w:hint="default" w:ascii="Times New Roman" w:hAnsi="Times New Roman" w:cs="Times New Roman"/>
                      <w:color w:val="auto"/>
                      <w:kern w:val="21"/>
                      <w:sz w:val="21"/>
                      <w:szCs w:val="21"/>
                      <w:highlight w:val="none"/>
                      <w:lang w:val="en-US" w:eastAsia="zh-CN"/>
                    </w:rPr>
                  </w:pPr>
                  <w:r>
                    <w:rPr>
                      <w:rFonts w:hint="eastAsia" w:ascii="Times New Roman" w:hAnsi="Times New Roman" w:cs="Times New Roman"/>
                      <w:color w:val="auto"/>
                      <w:kern w:val="21"/>
                      <w:sz w:val="21"/>
                      <w:szCs w:val="21"/>
                      <w:highlight w:val="none"/>
                      <w:lang w:val="en-US" w:eastAsia="zh-CN"/>
                    </w:rPr>
                    <w:t>《施工场界扬尘排放限值》（</w:t>
                  </w:r>
                  <w:r>
                    <w:rPr>
                      <w:rFonts w:hint="default" w:ascii="Times New Roman" w:hAnsi="Times New Roman" w:cs="Times New Roman"/>
                      <w:color w:val="auto"/>
                      <w:kern w:val="21"/>
                      <w:sz w:val="21"/>
                      <w:szCs w:val="21"/>
                      <w:highlight w:val="none"/>
                      <w:lang w:val="en-US" w:eastAsia="zh-CN"/>
                    </w:rPr>
                    <w:t>DB61/1078-2017</w:t>
                  </w:r>
                  <w:r>
                    <w:rPr>
                      <w:rFonts w:hint="eastAsia" w:ascii="Times New Roman" w:hAnsi="Times New Roman" w:cs="Times New Roman"/>
                      <w:color w:val="auto"/>
                      <w:kern w:val="21"/>
                      <w:sz w:val="21"/>
                      <w:szCs w:val="21"/>
                      <w:highlight w:val="none"/>
                      <w:lang w:val="en-US" w:eastAsia="zh-CN"/>
                    </w:rPr>
                    <w:t>）</w:t>
                  </w:r>
                </w:p>
              </w:tc>
              <w:tc>
                <w:tcPr>
                  <w:tcW w:w="488" w:type="pct"/>
                  <w:tcBorders>
                    <w:tl2br w:val="nil"/>
                    <w:tr2bl w:val="nil"/>
                  </w:tcBorders>
                  <w:noWrap w:val="0"/>
                  <w:vAlign w:val="center"/>
                </w:tcPr>
                <w:p w14:paraId="49FB081E">
                  <w:pPr>
                    <w:adjustRightInd w:val="0"/>
                    <w:snapToGrid w:val="0"/>
                    <w:spacing w:line="240" w:lineRule="auto"/>
                    <w:jc w:val="center"/>
                    <w:rPr>
                      <w:rFonts w:hint="default" w:ascii="Times New Roman" w:hAnsi="Times New Roman" w:cs="Times New Roman"/>
                      <w:color w:val="auto"/>
                      <w:kern w:val="21"/>
                      <w:sz w:val="21"/>
                      <w:szCs w:val="21"/>
                      <w:highlight w:val="none"/>
                      <w:lang w:val="en-US" w:eastAsia="zh-CN"/>
                    </w:rPr>
                  </w:pPr>
                  <w:r>
                    <w:rPr>
                      <w:rFonts w:hint="eastAsia" w:ascii="Times New Roman" w:hAnsi="Times New Roman" w:cs="Times New Roman"/>
                      <w:color w:val="auto"/>
                      <w:kern w:val="21"/>
                      <w:sz w:val="21"/>
                      <w:szCs w:val="21"/>
                      <w:highlight w:val="none"/>
                      <w:lang w:val="en-US" w:eastAsia="zh-CN"/>
                    </w:rPr>
                    <w:t>TSP</w:t>
                  </w:r>
                </w:p>
              </w:tc>
              <w:tc>
                <w:tcPr>
                  <w:tcW w:w="489" w:type="pct"/>
                  <w:tcBorders>
                    <w:tl2br w:val="nil"/>
                    <w:tr2bl w:val="nil"/>
                  </w:tcBorders>
                  <w:noWrap w:val="0"/>
                  <w:vAlign w:val="center"/>
                </w:tcPr>
                <w:p w14:paraId="1BFF31E4">
                  <w:pPr>
                    <w:adjustRightInd w:val="0"/>
                    <w:snapToGrid w:val="0"/>
                    <w:spacing w:line="240" w:lineRule="auto"/>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lang w:eastAsia="zh-CN"/>
                    </w:rPr>
                    <w:t>无组织</w:t>
                  </w:r>
                </w:p>
              </w:tc>
              <w:tc>
                <w:tcPr>
                  <w:tcW w:w="1460" w:type="pct"/>
                  <w:tcBorders>
                    <w:tl2br w:val="nil"/>
                    <w:tr2bl w:val="nil"/>
                  </w:tcBorders>
                  <w:noWrap w:val="0"/>
                  <w:vAlign w:val="center"/>
                </w:tcPr>
                <w:p w14:paraId="7C2704A4">
                  <w:pPr>
                    <w:adjustRightInd w:val="0"/>
                    <w:snapToGrid w:val="0"/>
                    <w:spacing w:line="240" w:lineRule="auto"/>
                    <w:jc w:val="center"/>
                    <w:rPr>
                      <w:rFonts w:hint="default" w:ascii="Times New Roman" w:hAnsi="Times New Roman" w:cs="Times New Roman"/>
                      <w:color w:val="auto"/>
                      <w:kern w:val="21"/>
                      <w:sz w:val="21"/>
                      <w:szCs w:val="21"/>
                      <w:highlight w:val="none"/>
                      <w:lang w:val="en-US" w:eastAsia="zh-CN"/>
                    </w:rPr>
                  </w:pPr>
                  <w:r>
                    <w:rPr>
                      <w:rFonts w:hint="eastAsia" w:cs="Times New Roman"/>
                      <w:color w:val="auto"/>
                      <w:kern w:val="21"/>
                      <w:sz w:val="21"/>
                      <w:szCs w:val="21"/>
                      <w:highlight w:val="none"/>
                      <w:lang w:val="en-US" w:eastAsia="zh-CN"/>
                    </w:rPr>
                    <w:t>安装、</w:t>
                  </w:r>
                  <w:r>
                    <w:rPr>
                      <w:rFonts w:hint="default" w:ascii="Times New Roman" w:hAnsi="Times New Roman" w:cs="Times New Roman"/>
                      <w:color w:val="auto"/>
                      <w:kern w:val="21"/>
                      <w:sz w:val="21"/>
                      <w:szCs w:val="21"/>
                      <w:highlight w:val="none"/>
                      <w:lang w:val="en-US" w:eastAsia="zh-CN"/>
                    </w:rPr>
                    <w:t>装饰工程</w:t>
                  </w:r>
                </w:p>
              </w:tc>
              <w:tc>
                <w:tcPr>
                  <w:tcW w:w="655" w:type="pct"/>
                  <w:tcBorders>
                    <w:tl2br w:val="nil"/>
                    <w:tr2bl w:val="nil"/>
                  </w:tcBorders>
                  <w:noWrap w:val="0"/>
                  <w:vAlign w:val="center"/>
                </w:tcPr>
                <w:p w14:paraId="20AF04D2">
                  <w:pPr>
                    <w:adjustRightInd w:val="0"/>
                    <w:snapToGrid w:val="0"/>
                    <w:spacing w:line="240" w:lineRule="auto"/>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lang w:val="en-US" w:eastAsia="zh-CN"/>
                    </w:rPr>
                    <w:t>≤0.7mg/m</w:t>
                  </w:r>
                  <w:r>
                    <w:rPr>
                      <w:rFonts w:hint="default" w:ascii="Times New Roman" w:hAnsi="Times New Roman" w:cs="Times New Roman"/>
                      <w:color w:val="auto"/>
                      <w:kern w:val="21"/>
                      <w:sz w:val="21"/>
                      <w:szCs w:val="21"/>
                      <w:highlight w:val="none"/>
                      <w:vertAlign w:val="superscript"/>
                      <w:lang w:val="en-US" w:eastAsia="zh-CN"/>
                    </w:rPr>
                    <w:t>3</w:t>
                  </w:r>
                </w:p>
              </w:tc>
            </w:tr>
            <w:tr w14:paraId="7008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500" w:type="pct"/>
                  <w:tcBorders>
                    <w:tl2br w:val="nil"/>
                    <w:tr2bl w:val="nil"/>
                  </w:tcBorders>
                  <w:noWrap w:val="0"/>
                  <w:vAlign w:val="center"/>
                </w:tcPr>
                <w:p w14:paraId="393CB163">
                  <w:pPr>
                    <w:adjustRightInd w:val="0"/>
                    <w:snapToGrid w:val="0"/>
                    <w:spacing w:line="240" w:lineRule="auto"/>
                    <w:jc w:val="center"/>
                    <w:rPr>
                      <w:rFonts w:hint="eastAsia" w:ascii="Times New Roman" w:hAnsi="Times New Roman" w:cs="Times New Roman"/>
                      <w:color w:val="auto"/>
                      <w:kern w:val="21"/>
                      <w:sz w:val="21"/>
                      <w:szCs w:val="21"/>
                      <w:highlight w:val="none"/>
                      <w:lang w:eastAsia="zh-CN"/>
                    </w:rPr>
                  </w:pPr>
                  <w:r>
                    <w:rPr>
                      <w:rFonts w:hint="eastAsia" w:cs="Times New Roman"/>
                      <w:color w:val="auto"/>
                      <w:kern w:val="21"/>
                      <w:sz w:val="21"/>
                      <w:szCs w:val="21"/>
                      <w:highlight w:val="none"/>
                      <w:lang w:eastAsia="zh-CN"/>
                    </w:rPr>
                    <w:t>运营期</w:t>
                  </w:r>
                </w:p>
              </w:tc>
              <w:tc>
                <w:tcPr>
                  <w:tcW w:w="1404" w:type="pct"/>
                  <w:tcBorders>
                    <w:tl2br w:val="nil"/>
                    <w:tr2bl w:val="nil"/>
                  </w:tcBorders>
                  <w:shd w:val="clear" w:color="auto" w:fill="auto"/>
                  <w:noWrap w:val="0"/>
                  <w:vAlign w:val="center"/>
                </w:tcPr>
                <w:p w14:paraId="193EDAD6">
                  <w:pPr>
                    <w:adjustRightInd w:val="0"/>
                    <w:snapToGrid w:val="0"/>
                    <w:spacing w:line="240" w:lineRule="auto"/>
                    <w:jc w:val="center"/>
                    <w:rPr>
                      <w:rFonts w:hint="eastAsia" w:ascii="Times New Roman" w:hAnsi="Times New Roman" w:cs="Times New Roman" w:eastAsiaTheme="minorEastAsia"/>
                      <w:color w:val="auto"/>
                      <w:kern w:val="21"/>
                      <w:sz w:val="21"/>
                      <w:szCs w:val="21"/>
                      <w:highlight w:val="none"/>
                      <w:lang w:val="en-US" w:eastAsia="zh-CN" w:bidi="ar-SA"/>
                    </w:rPr>
                  </w:pPr>
                  <w:r>
                    <w:rPr>
                      <w:rFonts w:hint="eastAsia" w:ascii="Times New Roman" w:hAnsi="Times New Roman" w:cs="Times New Roman"/>
                      <w:color w:val="auto"/>
                      <w:kern w:val="21"/>
                      <w:sz w:val="21"/>
                      <w:szCs w:val="21"/>
                      <w:highlight w:val="none"/>
                    </w:rPr>
                    <w:t>《水泥工业大气污染物排放标准》（GB4915-2013）</w:t>
                  </w:r>
                </w:p>
              </w:tc>
              <w:tc>
                <w:tcPr>
                  <w:tcW w:w="488" w:type="pct"/>
                  <w:tcBorders>
                    <w:tl2br w:val="nil"/>
                    <w:tr2bl w:val="nil"/>
                  </w:tcBorders>
                  <w:shd w:val="clear" w:color="auto" w:fill="auto"/>
                  <w:noWrap w:val="0"/>
                  <w:vAlign w:val="center"/>
                </w:tcPr>
                <w:p w14:paraId="680B159D">
                  <w:pPr>
                    <w:adjustRightInd w:val="0"/>
                    <w:snapToGrid w:val="0"/>
                    <w:spacing w:line="240" w:lineRule="auto"/>
                    <w:jc w:val="center"/>
                    <w:rPr>
                      <w:rFonts w:hint="eastAsia" w:ascii="Times New Roman" w:hAnsi="Times New Roman" w:cs="Times New Roman" w:eastAsiaTheme="minorEastAsia"/>
                      <w:color w:val="auto"/>
                      <w:kern w:val="21"/>
                      <w:sz w:val="21"/>
                      <w:szCs w:val="21"/>
                      <w:highlight w:val="none"/>
                      <w:lang w:val="en-US" w:eastAsia="zh-CN" w:bidi="ar-SA"/>
                    </w:rPr>
                  </w:pPr>
                  <w:r>
                    <w:rPr>
                      <w:rFonts w:hint="default" w:ascii="Times New Roman" w:hAnsi="Times New Roman" w:cs="Times New Roman"/>
                      <w:color w:val="auto"/>
                      <w:kern w:val="21"/>
                      <w:sz w:val="21"/>
                      <w:szCs w:val="21"/>
                      <w:highlight w:val="none"/>
                    </w:rPr>
                    <w:t>颗粒物</w:t>
                  </w:r>
                </w:p>
              </w:tc>
              <w:tc>
                <w:tcPr>
                  <w:tcW w:w="489" w:type="pct"/>
                  <w:tcBorders>
                    <w:tl2br w:val="nil"/>
                    <w:tr2bl w:val="nil"/>
                  </w:tcBorders>
                  <w:shd w:val="clear" w:color="auto" w:fill="auto"/>
                  <w:noWrap w:val="0"/>
                  <w:vAlign w:val="center"/>
                </w:tcPr>
                <w:p w14:paraId="446F701D">
                  <w:pPr>
                    <w:adjustRightInd w:val="0"/>
                    <w:snapToGrid w:val="0"/>
                    <w:spacing w:line="240" w:lineRule="auto"/>
                    <w:jc w:val="center"/>
                    <w:rPr>
                      <w:rFonts w:hint="default" w:ascii="Times New Roman" w:hAnsi="Times New Roman" w:cs="Times New Roman" w:eastAsiaTheme="minorEastAsia"/>
                      <w:color w:val="auto"/>
                      <w:kern w:val="21"/>
                      <w:sz w:val="21"/>
                      <w:szCs w:val="21"/>
                      <w:highlight w:val="none"/>
                      <w:lang w:val="en-US" w:eastAsia="zh-CN" w:bidi="ar-SA"/>
                    </w:rPr>
                  </w:pPr>
                  <w:r>
                    <w:rPr>
                      <w:rFonts w:hint="eastAsia" w:ascii="Times New Roman" w:hAnsi="Times New Roman" w:cs="Times New Roman"/>
                      <w:color w:val="auto"/>
                      <w:kern w:val="21"/>
                      <w:sz w:val="21"/>
                      <w:szCs w:val="21"/>
                      <w:highlight w:val="none"/>
                      <w:lang w:eastAsia="zh-CN"/>
                    </w:rPr>
                    <w:t>无组织</w:t>
                  </w:r>
                </w:p>
              </w:tc>
              <w:tc>
                <w:tcPr>
                  <w:tcW w:w="1460" w:type="pct"/>
                  <w:tcBorders>
                    <w:tl2br w:val="nil"/>
                    <w:tr2bl w:val="nil"/>
                  </w:tcBorders>
                  <w:shd w:val="clear" w:color="auto" w:fill="auto"/>
                  <w:noWrap w:val="0"/>
                  <w:vAlign w:val="center"/>
                </w:tcPr>
                <w:p w14:paraId="47F823AC">
                  <w:pPr>
                    <w:adjustRightInd w:val="0"/>
                    <w:snapToGrid w:val="0"/>
                    <w:spacing w:line="240" w:lineRule="auto"/>
                    <w:jc w:val="center"/>
                    <w:rPr>
                      <w:rFonts w:hint="eastAsia" w:ascii="Times New Roman" w:hAnsi="Times New Roman" w:cs="Times New Roman" w:eastAsiaTheme="minorEastAsia"/>
                      <w:color w:val="auto"/>
                      <w:kern w:val="21"/>
                      <w:sz w:val="21"/>
                      <w:szCs w:val="21"/>
                      <w:highlight w:val="none"/>
                      <w:lang w:val="en-US" w:eastAsia="zh-CN" w:bidi="ar-SA"/>
                    </w:rPr>
                  </w:pPr>
                  <w:r>
                    <w:rPr>
                      <w:rFonts w:hint="eastAsia" w:ascii="Times New Roman" w:hAnsi="Times New Roman" w:cs="Times New Roman"/>
                      <w:color w:val="auto"/>
                      <w:kern w:val="21"/>
                      <w:sz w:val="21"/>
                      <w:szCs w:val="21"/>
                      <w:highlight w:val="none"/>
                      <w:lang w:val="en-US" w:eastAsia="zh-CN"/>
                    </w:rPr>
                    <w:t>厂界外20m处上风向设参照点，下风向设监控点</w:t>
                  </w:r>
                </w:p>
              </w:tc>
              <w:tc>
                <w:tcPr>
                  <w:tcW w:w="655" w:type="pct"/>
                  <w:tcBorders>
                    <w:tl2br w:val="nil"/>
                    <w:tr2bl w:val="nil"/>
                  </w:tcBorders>
                  <w:shd w:val="clear" w:color="auto" w:fill="auto"/>
                  <w:noWrap w:val="0"/>
                  <w:vAlign w:val="center"/>
                </w:tcPr>
                <w:p w14:paraId="13B46C39">
                  <w:pPr>
                    <w:adjustRightInd w:val="0"/>
                    <w:snapToGrid w:val="0"/>
                    <w:spacing w:line="240" w:lineRule="auto"/>
                    <w:jc w:val="center"/>
                    <w:rPr>
                      <w:rFonts w:hint="default" w:ascii="Times New Roman" w:hAnsi="Times New Roman" w:cs="Times New Roman" w:eastAsiaTheme="minorEastAsia"/>
                      <w:color w:val="auto"/>
                      <w:kern w:val="21"/>
                      <w:sz w:val="21"/>
                      <w:szCs w:val="21"/>
                      <w:highlight w:val="none"/>
                      <w:lang w:val="en-US" w:eastAsia="zh-CN" w:bidi="ar-SA"/>
                    </w:rPr>
                  </w:pPr>
                  <w:r>
                    <w:rPr>
                      <w:rFonts w:hint="eastAsia" w:ascii="Times New Roman" w:hAnsi="Times New Roman" w:cs="Times New Roman"/>
                      <w:color w:val="auto"/>
                      <w:kern w:val="21"/>
                      <w:sz w:val="21"/>
                      <w:szCs w:val="21"/>
                      <w:highlight w:val="none"/>
                    </w:rPr>
                    <w:t>0.5</w:t>
                  </w:r>
                  <w:r>
                    <w:rPr>
                      <w:rFonts w:hint="default" w:ascii="Times New Roman" w:hAnsi="Times New Roman" w:cs="Times New Roman"/>
                      <w:color w:val="auto"/>
                      <w:kern w:val="21"/>
                      <w:sz w:val="21"/>
                      <w:szCs w:val="21"/>
                      <w:highlight w:val="none"/>
                    </w:rPr>
                    <w:t>mg/m</w:t>
                  </w:r>
                  <w:r>
                    <w:rPr>
                      <w:rFonts w:hint="default" w:ascii="Times New Roman" w:hAnsi="Times New Roman" w:cs="Times New Roman"/>
                      <w:color w:val="auto"/>
                      <w:kern w:val="21"/>
                      <w:sz w:val="21"/>
                      <w:szCs w:val="21"/>
                      <w:highlight w:val="none"/>
                      <w:vertAlign w:val="superscript"/>
                    </w:rPr>
                    <w:t>3</w:t>
                  </w:r>
                </w:p>
              </w:tc>
            </w:tr>
          </w:tbl>
          <w:p w14:paraId="6B88002D">
            <w:pPr>
              <w:adjustRightInd w:val="0"/>
              <w:snapToGrid w:val="0"/>
              <w:spacing w:before="120" w:beforeLines="50"/>
              <w:ind w:firstLine="482" w:firstLineChars="200"/>
              <w:rPr>
                <w:rFonts w:cs="Times New Roman"/>
                <w:b/>
                <w:color w:val="auto"/>
                <w:highlight w:val="none"/>
              </w:rPr>
            </w:pPr>
            <w:r>
              <w:rPr>
                <w:rFonts w:hint="eastAsia" w:cs="Times New Roman"/>
                <w:b/>
                <w:color w:val="auto"/>
                <w:highlight w:val="none"/>
              </w:rPr>
              <w:t>2、</w:t>
            </w:r>
            <w:r>
              <w:rPr>
                <w:rFonts w:cs="Times New Roman"/>
                <w:b/>
                <w:color w:val="auto"/>
                <w:highlight w:val="none"/>
              </w:rPr>
              <w:t>水污染物排放标准</w:t>
            </w:r>
          </w:p>
          <w:p w14:paraId="0DC61F5A">
            <w:pPr>
              <w:adjustRightInd w:val="0"/>
              <w:snapToGrid w:val="0"/>
              <w:ind w:firstLine="480" w:firstLineChars="200"/>
              <w:rPr>
                <w:rFonts w:hint="eastAsia" w:cs="Times New Roman"/>
                <w:color w:val="auto"/>
                <w:highlight w:val="none"/>
                <w:lang w:eastAsia="zh-CN"/>
              </w:rPr>
            </w:pPr>
            <w:r>
              <w:rPr>
                <w:rFonts w:hint="eastAsia" w:cs="Times New Roman"/>
                <w:color w:val="auto"/>
                <w:highlight w:val="none"/>
                <w:lang w:val="en-US" w:eastAsia="zh-CN"/>
              </w:rPr>
              <w:t>员工</w:t>
            </w:r>
            <w:r>
              <w:rPr>
                <w:rFonts w:hint="eastAsia" w:cs="Times New Roman"/>
                <w:color w:val="auto"/>
                <w:highlight w:val="none"/>
              </w:rPr>
              <w:t>生活污水排入化粪池后定期</w:t>
            </w:r>
            <w:r>
              <w:rPr>
                <w:rFonts w:hint="eastAsia" w:cs="Times New Roman"/>
                <w:color w:val="auto"/>
                <w:highlight w:val="none"/>
                <w:lang w:eastAsia="zh-CN"/>
              </w:rPr>
              <w:t>清掏用作肥田，不外排。</w:t>
            </w:r>
          </w:p>
          <w:p w14:paraId="7CB9D519">
            <w:pPr>
              <w:adjustRightInd w:val="0"/>
              <w:snapToGrid w:val="0"/>
              <w:ind w:firstLine="480" w:firstLineChars="200"/>
              <w:rPr>
                <w:rFonts w:cs="Times New Roman"/>
                <w:color w:val="auto"/>
                <w:highlight w:val="none"/>
              </w:rPr>
            </w:pPr>
            <w:r>
              <w:rPr>
                <w:rFonts w:hint="eastAsia"/>
                <w:color w:val="auto"/>
                <w:sz w:val="24"/>
                <w:szCs w:val="24"/>
                <w:highlight w:val="none"/>
                <w:lang w:eastAsia="zh-CN"/>
              </w:rPr>
              <w:t>喷</w:t>
            </w:r>
            <w:r>
              <w:rPr>
                <w:rFonts w:hint="eastAsia"/>
                <w:color w:val="auto"/>
                <w:sz w:val="24"/>
                <w:szCs w:val="24"/>
                <w:highlight w:val="none"/>
                <w:lang w:val="en-US" w:eastAsia="zh-CN"/>
              </w:rPr>
              <w:t>雾</w:t>
            </w:r>
            <w:r>
              <w:rPr>
                <w:rFonts w:hint="eastAsia"/>
                <w:color w:val="auto"/>
                <w:sz w:val="24"/>
                <w:szCs w:val="24"/>
                <w:highlight w:val="none"/>
                <w:lang w:eastAsia="zh-CN"/>
              </w:rPr>
              <w:t>抑尘用水、生产搅拌用水、养护用水、</w:t>
            </w:r>
            <w:r>
              <w:rPr>
                <w:rFonts w:hint="eastAsia"/>
                <w:color w:val="auto"/>
                <w:sz w:val="24"/>
                <w:szCs w:val="24"/>
                <w:highlight w:val="none"/>
                <w:lang w:val="en-US" w:eastAsia="zh-CN"/>
              </w:rPr>
              <w:t>道路洒水</w:t>
            </w:r>
            <w:r>
              <w:rPr>
                <w:rFonts w:hint="eastAsia"/>
                <w:color w:val="auto"/>
                <w:sz w:val="24"/>
                <w:szCs w:val="24"/>
                <w:highlight w:val="none"/>
                <w:lang w:eastAsia="zh-CN"/>
              </w:rPr>
              <w:t>等均在生产活动中使用、损耗，</w:t>
            </w:r>
            <w:r>
              <w:rPr>
                <w:rFonts w:cs="Times New Roman"/>
                <w:color w:val="auto"/>
                <w:highlight w:val="none"/>
              </w:rPr>
              <w:t>生产过程不产生废水。</w:t>
            </w:r>
          </w:p>
          <w:p w14:paraId="7824F480">
            <w:pPr>
              <w:adjustRightInd w:val="0"/>
              <w:snapToGrid w:val="0"/>
              <w:ind w:firstLine="480" w:firstLineChars="200"/>
              <w:rPr>
                <w:rFonts w:cs="Times New Roman"/>
                <w:color w:val="auto"/>
                <w:szCs w:val="24"/>
                <w:highlight w:val="none"/>
              </w:rPr>
            </w:pPr>
            <w:r>
              <w:rPr>
                <w:rFonts w:cs="Times New Roman"/>
                <w:color w:val="auto"/>
                <w:highlight w:val="none"/>
              </w:rPr>
              <w:t>车辆冲洗废水排入沉淀池</w:t>
            </w:r>
            <w:r>
              <w:rPr>
                <w:rFonts w:hint="eastAsia" w:cs="Times New Roman"/>
                <w:color w:val="auto"/>
                <w:highlight w:val="none"/>
                <w:lang w:eastAsia="zh-CN"/>
              </w:rPr>
              <w:t>，</w:t>
            </w:r>
            <w:r>
              <w:rPr>
                <w:color w:val="auto"/>
                <w:sz w:val="24"/>
                <w:highlight w:val="none"/>
              </w:rPr>
              <w:t>全部回用于车辆冲洗，不外排</w:t>
            </w:r>
            <w:r>
              <w:rPr>
                <w:rFonts w:cs="Times New Roman"/>
                <w:color w:val="auto"/>
                <w:highlight w:val="none"/>
              </w:rPr>
              <w:t>。</w:t>
            </w:r>
          </w:p>
          <w:p w14:paraId="39D611CB">
            <w:pPr>
              <w:adjustRightInd w:val="0"/>
              <w:snapToGrid w:val="0"/>
              <w:ind w:firstLine="482" w:firstLineChars="200"/>
              <w:rPr>
                <w:rFonts w:cs="Times New Roman"/>
                <w:b/>
                <w:color w:val="auto"/>
                <w:highlight w:val="none"/>
              </w:rPr>
            </w:pPr>
            <w:r>
              <w:rPr>
                <w:rFonts w:hint="eastAsia" w:cs="Times New Roman"/>
                <w:b/>
                <w:color w:val="auto"/>
                <w:highlight w:val="none"/>
              </w:rPr>
              <w:t>3、</w:t>
            </w:r>
            <w:r>
              <w:rPr>
                <w:rFonts w:cs="Times New Roman"/>
                <w:b/>
                <w:color w:val="auto"/>
                <w:highlight w:val="none"/>
              </w:rPr>
              <w:t>噪声排放标准</w:t>
            </w:r>
          </w:p>
          <w:p w14:paraId="25DEF631">
            <w:pPr>
              <w:adjustRightInd w:val="0"/>
              <w:snapToGrid w:val="0"/>
              <w:ind w:firstLine="480" w:firstLineChars="200"/>
              <w:rPr>
                <w:rFonts w:hint="eastAsia" w:cs="Times New Roman"/>
                <w:b/>
                <w:bCs/>
                <w:color w:val="auto"/>
                <w:sz w:val="21"/>
                <w:szCs w:val="21"/>
                <w:highlight w:val="none"/>
                <w:lang w:val="en-US" w:eastAsia="zh-CN"/>
              </w:rPr>
            </w:pPr>
            <w:r>
              <w:rPr>
                <w:rFonts w:hint="eastAsia" w:cs="Times New Roman"/>
                <w:color w:val="auto"/>
                <w:highlight w:val="none"/>
                <w:lang w:val="en-US" w:eastAsia="zh-CN"/>
              </w:rPr>
              <w:t>根据《</w:t>
            </w:r>
            <w:r>
              <w:rPr>
                <w:rFonts w:hint="eastAsia" w:cs="Times New Roman"/>
                <w:color w:val="auto"/>
                <w:highlight w:val="none"/>
              </w:rPr>
              <w:t>西安市人民政府办公厅关于印发声环境功能区划方案的通知</w:t>
            </w:r>
            <w:r>
              <w:rPr>
                <w:rFonts w:hint="eastAsia" w:cs="Times New Roman"/>
                <w:color w:val="auto"/>
                <w:highlight w:val="none"/>
                <w:lang w:val="en-US" w:eastAsia="zh-CN"/>
              </w:rPr>
              <w:t>》（市政办函〔2019〕107号），</w:t>
            </w:r>
            <w:r>
              <w:rPr>
                <w:rFonts w:cs="Times New Roman"/>
                <w:color w:val="auto"/>
                <w:highlight w:val="none"/>
              </w:rPr>
              <w:t>施工期噪声执行《建筑施工场界环境噪声排放标准》（GB</w:t>
            </w:r>
            <w:r>
              <w:rPr>
                <w:rFonts w:hint="eastAsia" w:cs="Times New Roman"/>
                <w:color w:val="auto"/>
                <w:highlight w:val="none"/>
                <w:lang w:val="en-US" w:eastAsia="zh-CN"/>
              </w:rPr>
              <w:t xml:space="preserve"> </w:t>
            </w:r>
            <w:r>
              <w:rPr>
                <w:rFonts w:cs="Times New Roman"/>
                <w:color w:val="auto"/>
                <w:highlight w:val="none"/>
              </w:rPr>
              <w:t>12523-2011）中的有关要求；运营期噪声排放执行《工业企业厂界环境噪声排放标准》（GB</w:t>
            </w:r>
            <w:r>
              <w:rPr>
                <w:rFonts w:hint="eastAsia" w:cs="Times New Roman"/>
                <w:color w:val="auto"/>
                <w:highlight w:val="none"/>
                <w:lang w:val="en-US" w:eastAsia="zh-CN"/>
              </w:rPr>
              <w:t xml:space="preserve"> </w:t>
            </w:r>
            <w:r>
              <w:rPr>
                <w:rFonts w:cs="Times New Roman"/>
                <w:color w:val="auto"/>
                <w:highlight w:val="none"/>
              </w:rPr>
              <w:t>12348-2008）中的标准</w:t>
            </w:r>
            <w:r>
              <w:rPr>
                <w:rFonts w:hint="eastAsia" w:cs="Times New Roman"/>
                <w:color w:val="auto"/>
                <w:highlight w:val="none"/>
                <w:lang w:val="en-US" w:eastAsia="zh-CN"/>
              </w:rPr>
              <w:t>限值，</w:t>
            </w:r>
            <w:r>
              <w:rPr>
                <w:rFonts w:cs="Times New Roman"/>
                <w:color w:val="auto"/>
                <w:highlight w:val="none"/>
              </w:rPr>
              <w:t>具体标准值见下表3-</w:t>
            </w:r>
            <w:r>
              <w:rPr>
                <w:rFonts w:hint="eastAsia" w:cs="Times New Roman"/>
                <w:color w:val="auto"/>
                <w:highlight w:val="none"/>
                <w:lang w:val="en-US" w:eastAsia="zh-CN"/>
              </w:rPr>
              <w:t>5</w:t>
            </w:r>
            <w:r>
              <w:rPr>
                <w:rFonts w:cs="Times New Roman"/>
                <w:color w:val="auto"/>
                <w:highlight w:val="none"/>
              </w:rPr>
              <w:t>。</w:t>
            </w:r>
          </w:p>
          <w:p w14:paraId="3AF0A537">
            <w:pPr>
              <w:adjustRightInd w:val="0"/>
              <w:snapToGrid w:val="0"/>
              <w:spacing w:line="240" w:lineRule="auto"/>
              <w:jc w:val="center"/>
              <w:rPr>
                <w:rFonts w:hint="eastAsia"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 xml:space="preserve">      </w:t>
            </w:r>
          </w:p>
          <w:p w14:paraId="5A3323DF">
            <w:pPr>
              <w:adjustRightInd w:val="0"/>
              <w:snapToGrid w:val="0"/>
              <w:spacing w:line="240" w:lineRule="auto"/>
              <w:jc w:val="center"/>
              <w:rPr>
                <w:rFonts w:cs="Times New Roman"/>
                <w:b/>
                <w:bCs/>
                <w:color w:val="auto"/>
                <w:sz w:val="21"/>
                <w:szCs w:val="21"/>
                <w:highlight w:val="none"/>
              </w:rPr>
            </w:pPr>
            <w:r>
              <w:rPr>
                <w:rFonts w:hint="eastAsia" w:cs="Times New Roman"/>
                <w:b/>
                <w:bCs/>
                <w:color w:val="auto"/>
                <w:sz w:val="21"/>
                <w:szCs w:val="21"/>
                <w:highlight w:val="none"/>
                <w:lang w:val="en-US" w:eastAsia="zh-CN"/>
              </w:rPr>
              <w:t xml:space="preserve">  </w:t>
            </w:r>
            <w:r>
              <w:rPr>
                <w:rFonts w:cs="Times New Roman"/>
                <w:b/>
                <w:bCs/>
                <w:color w:val="auto"/>
                <w:sz w:val="21"/>
                <w:szCs w:val="21"/>
                <w:highlight w:val="none"/>
              </w:rPr>
              <w:t>表3-</w:t>
            </w:r>
            <w:r>
              <w:rPr>
                <w:rFonts w:hint="eastAsia" w:cs="Times New Roman"/>
                <w:b/>
                <w:bCs/>
                <w:color w:val="auto"/>
                <w:sz w:val="21"/>
                <w:szCs w:val="21"/>
                <w:highlight w:val="none"/>
                <w:lang w:val="en-US" w:eastAsia="zh-CN"/>
              </w:rPr>
              <w:t>5</w:t>
            </w:r>
            <w:r>
              <w:rPr>
                <w:rFonts w:cs="Times New Roman"/>
                <w:b/>
                <w:bCs/>
                <w:color w:val="auto"/>
                <w:sz w:val="21"/>
                <w:szCs w:val="21"/>
                <w:highlight w:val="none"/>
              </w:rPr>
              <w:t xml:space="preserve"> 噪声污染物排放标准</w:t>
            </w:r>
            <w:r>
              <w:rPr>
                <w:rFonts w:hint="eastAsia" w:cs="Times New Roman"/>
                <w:b/>
                <w:bCs/>
                <w:color w:val="auto"/>
                <w:sz w:val="21"/>
                <w:szCs w:val="21"/>
                <w:highlight w:val="none"/>
                <w:lang w:val="en-US" w:eastAsia="zh-CN"/>
              </w:rPr>
              <w:t xml:space="preserve">     单位：</w:t>
            </w:r>
            <w:r>
              <w:rPr>
                <w:rFonts w:cs="Times New Roman"/>
                <w:b/>
                <w:bCs/>
                <w:color w:val="auto"/>
                <w:sz w:val="21"/>
                <w:szCs w:val="21"/>
                <w:highlight w:val="none"/>
              </w:rPr>
              <w:t>dB（A）</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84"/>
              <w:gridCol w:w="726"/>
              <w:gridCol w:w="651"/>
              <w:gridCol w:w="708"/>
              <w:gridCol w:w="5098"/>
            </w:tblGrid>
            <w:tr w14:paraId="57EC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7" w:type="pct"/>
                  <w:vMerge w:val="restart"/>
                  <w:tcBorders>
                    <w:tl2br w:val="nil"/>
                    <w:tr2bl w:val="nil"/>
                  </w:tcBorders>
                  <w:tcMar>
                    <w:left w:w="0" w:type="dxa"/>
                    <w:right w:w="0" w:type="dxa"/>
                  </w:tcMar>
                  <w:vAlign w:val="center"/>
                </w:tcPr>
                <w:p w14:paraId="42DA4D1D">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污染物名称</w:t>
                  </w:r>
                </w:p>
              </w:tc>
              <w:tc>
                <w:tcPr>
                  <w:tcW w:w="690" w:type="pct"/>
                  <w:vMerge w:val="restart"/>
                  <w:tcBorders>
                    <w:tl2br w:val="nil"/>
                    <w:tr2bl w:val="nil"/>
                  </w:tcBorders>
                  <w:tcMar>
                    <w:left w:w="0" w:type="dxa"/>
                    <w:right w:w="0" w:type="dxa"/>
                  </w:tcMar>
                  <w:vAlign w:val="center"/>
                </w:tcPr>
                <w:p w14:paraId="07384054">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监控点</w:t>
                  </w:r>
                </w:p>
              </w:tc>
              <w:tc>
                <w:tcPr>
                  <w:tcW w:w="390" w:type="pct"/>
                  <w:vMerge w:val="restart"/>
                  <w:tcBorders>
                    <w:tl2br w:val="nil"/>
                    <w:tr2bl w:val="nil"/>
                  </w:tcBorders>
                  <w:tcMar>
                    <w:left w:w="0" w:type="dxa"/>
                    <w:right w:w="0" w:type="dxa"/>
                  </w:tcMar>
                  <w:vAlign w:val="center"/>
                </w:tcPr>
                <w:p w14:paraId="78D0BBCD">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级别</w:t>
                  </w:r>
                </w:p>
              </w:tc>
              <w:tc>
                <w:tcPr>
                  <w:tcW w:w="730" w:type="pct"/>
                  <w:gridSpan w:val="2"/>
                  <w:tcBorders>
                    <w:tl2br w:val="nil"/>
                    <w:tr2bl w:val="nil"/>
                  </w:tcBorders>
                  <w:tcMar>
                    <w:left w:w="0" w:type="dxa"/>
                    <w:right w:w="0" w:type="dxa"/>
                  </w:tcMar>
                  <w:vAlign w:val="center"/>
                </w:tcPr>
                <w:p w14:paraId="6A4976F9">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标准值</w:t>
                  </w:r>
                </w:p>
              </w:tc>
              <w:tc>
                <w:tcPr>
                  <w:tcW w:w="2740" w:type="pct"/>
                  <w:vMerge w:val="restart"/>
                  <w:tcBorders>
                    <w:tl2br w:val="nil"/>
                    <w:tr2bl w:val="nil"/>
                  </w:tcBorders>
                  <w:tcMar>
                    <w:left w:w="0" w:type="dxa"/>
                    <w:right w:w="0" w:type="dxa"/>
                  </w:tcMar>
                  <w:vAlign w:val="center"/>
                </w:tcPr>
                <w:p w14:paraId="0E25AEBE">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标准来源</w:t>
                  </w:r>
                </w:p>
              </w:tc>
            </w:tr>
            <w:tr w14:paraId="5FA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7" w:type="pct"/>
                  <w:vMerge w:val="continue"/>
                  <w:tcBorders>
                    <w:tl2br w:val="nil"/>
                    <w:tr2bl w:val="nil"/>
                  </w:tcBorders>
                  <w:tcMar>
                    <w:left w:w="0" w:type="dxa"/>
                    <w:right w:w="0" w:type="dxa"/>
                  </w:tcMar>
                  <w:vAlign w:val="center"/>
                </w:tcPr>
                <w:p w14:paraId="3B969EB5">
                  <w:pPr>
                    <w:adjustRightInd w:val="0"/>
                    <w:snapToGrid w:val="0"/>
                    <w:spacing w:line="240" w:lineRule="auto"/>
                    <w:jc w:val="center"/>
                    <w:rPr>
                      <w:rFonts w:cs="Times New Roman"/>
                      <w:color w:val="auto"/>
                      <w:kern w:val="21"/>
                      <w:sz w:val="21"/>
                      <w:szCs w:val="21"/>
                      <w:highlight w:val="none"/>
                    </w:rPr>
                  </w:pPr>
                </w:p>
              </w:tc>
              <w:tc>
                <w:tcPr>
                  <w:tcW w:w="690" w:type="pct"/>
                  <w:vMerge w:val="continue"/>
                  <w:tcBorders>
                    <w:tl2br w:val="nil"/>
                    <w:tr2bl w:val="nil"/>
                  </w:tcBorders>
                  <w:tcMar>
                    <w:left w:w="0" w:type="dxa"/>
                    <w:right w:w="0" w:type="dxa"/>
                  </w:tcMar>
                  <w:vAlign w:val="center"/>
                </w:tcPr>
                <w:p w14:paraId="2466343D">
                  <w:pPr>
                    <w:adjustRightInd w:val="0"/>
                    <w:snapToGrid w:val="0"/>
                    <w:spacing w:line="240" w:lineRule="auto"/>
                    <w:jc w:val="center"/>
                    <w:rPr>
                      <w:rFonts w:cs="Times New Roman"/>
                      <w:color w:val="auto"/>
                      <w:kern w:val="21"/>
                      <w:sz w:val="21"/>
                      <w:szCs w:val="21"/>
                      <w:highlight w:val="none"/>
                    </w:rPr>
                  </w:pPr>
                </w:p>
              </w:tc>
              <w:tc>
                <w:tcPr>
                  <w:tcW w:w="390" w:type="pct"/>
                  <w:vMerge w:val="continue"/>
                  <w:tcBorders>
                    <w:tl2br w:val="nil"/>
                    <w:tr2bl w:val="nil"/>
                  </w:tcBorders>
                  <w:tcMar>
                    <w:left w:w="0" w:type="dxa"/>
                    <w:right w:w="0" w:type="dxa"/>
                  </w:tcMar>
                  <w:vAlign w:val="center"/>
                </w:tcPr>
                <w:p w14:paraId="2EFC39DD">
                  <w:pPr>
                    <w:adjustRightInd w:val="0"/>
                    <w:snapToGrid w:val="0"/>
                    <w:spacing w:line="240" w:lineRule="auto"/>
                    <w:jc w:val="center"/>
                    <w:rPr>
                      <w:rFonts w:cs="Times New Roman"/>
                      <w:color w:val="auto"/>
                      <w:kern w:val="21"/>
                      <w:sz w:val="21"/>
                      <w:szCs w:val="21"/>
                      <w:highlight w:val="none"/>
                    </w:rPr>
                  </w:pPr>
                </w:p>
              </w:tc>
              <w:tc>
                <w:tcPr>
                  <w:tcW w:w="350" w:type="pct"/>
                  <w:tcBorders>
                    <w:tl2br w:val="nil"/>
                    <w:tr2bl w:val="nil"/>
                  </w:tcBorders>
                  <w:tcMar>
                    <w:left w:w="0" w:type="dxa"/>
                    <w:right w:w="0" w:type="dxa"/>
                  </w:tcMar>
                  <w:vAlign w:val="center"/>
                </w:tcPr>
                <w:p w14:paraId="7DF8EEE8">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昼间</w:t>
                  </w:r>
                </w:p>
              </w:tc>
              <w:tc>
                <w:tcPr>
                  <w:tcW w:w="380" w:type="pct"/>
                  <w:tcBorders>
                    <w:tl2br w:val="nil"/>
                    <w:tr2bl w:val="nil"/>
                  </w:tcBorders>
                  <w:tcMar>
                    <w:left w:w="0" w:type="dxa"/>
                    <w:right w:w="0" w:type="dxa"/>
                  </w:tcMar>
                  <w:vAlign w:val="center"/>
                </w:tcPr>
                <w:p w14:paraId="38765B99">
                  <w:pPr>
                    <w:adjustRightInd w:val="0"/>
                    <w:snapToGrid w:val="0"/>
                    <w:spacing w:line="240" w:lineRule="auto"/>
                    <w:jc w:val="center"/>
                    <w:rPr>
                      <w:rFonts w:cs="Times New Roman"/>
                      <w:b/>
                      <w:bCs/>
                      <w:color w:val="auto"/>
                      <w:kern w:val="21"/>
                      <w:sz w:val="21"/>
                      <w:szCs w:val="21"/>
                      <w:highlight w:val="none"/>
                    </w:rPr>
                  </w:pPr>
                  <w:r>
                    <w:rPr>
                      <w:rFonts w:cs="Times New Roman"/>
                      <w:b/>
                      <w:bCs/>
                      <w:color w:val="auto"/>
                      <w:kern w:val="21"/>
                      <w:sz w:val="21"/>
                      <w:szCs w:val="21"/>
                      <w:highlight w:val="none"/>
                    </w:rPr>
                    <w:t>夜间</w:t>
                  </w:r>
                </w:p>
              </w:tc>
              <w:tc>
                <w:tcPr>
                  <w:tcW w:w="2740" w:type="pct"/>
                  <w:vMerge w:val="continue"/>
                  <w:tcBorders>
                    <w:tl2br w:val="nil"/>
                    <w:tr2bl w:val="nil"/>
                  </w:tcBorders>
                  <w:tcMar>
                    <w:left w:w="0" w:type="dxa"/>
                    <w:right w:w="0" w:type="dxa"/>
                  </w:tcMar>
                  <w:vAlign w:val="center"/>
                </w:tcPr>
                <w:p w14:paraId="16D998CA">
                  <w:pPr>
                    <w:adjustRightInd w:val="0"/>
                    <w:snapToGrid w:val="0"/>
                    <w:spacing w:line="240" w:lineRule="auto"/>
                    <w:jc w:val="center"/>
                    <w:rPr>
                      <w:rFonts w:cs="Times New Roman"/>
                      <w:color w:val="auto"/>
                      <w:kern w:val="21"/>
                      <w:sz w:val="21"/>
                      <w:szCs w:val="21"/>
                      <w:highlight w:val="none"/>
                    </w:rPr>
                  </w:pPr>
                </w:p>
              </w:tc>
            </w:tr>
            <w:tr w14:paraId="344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7" w:type="pct"/>
                  <w:tcBorders>
                    <w:tl2br w:val="nil"/>
                    <w:tr2bl w:val="nil"/>
                  </w:tcBorders>
                  <w:tcMar>
                    <w:left w:w="0" w:type="dxa"/>
                    <w:right w:w="0" w:type="dxa"/>
                  </w:tcMar>
                  <w:vAlign w:val="center"/>
                </w:tcPr>
                <w:p w14:paraId="6FDC771E">
                  <w:pPr>
                    <w:adjustRightInd w:val="0"/>
                    <w:snapToGrid w:val="0"/>
                    <w:spacing w:line="240" w:lineRule="auto"/>
                    <w:jc w:val="center"/>
                    <w:rPr>
                      <w:rFonts w:hint="default" w:cs="Times New Roman" w:eastAsiaTheme="minorEastAsia"/>
                      <w:color w:val="auto"/>
                      <w:kern w:val="21"/>
                      <w:sz w:val="21"/>
                      <w:szCs w:val="21"/>
                      <w:highlight w:val="none"/>
                      <w:lang w:val="en-US" w:eastAsia="zh-CN"/>
                    </w:rPr>
                  </w:pPr>
                  <w:r>
                    <w:rPr>
                      <w:rFonts w:cs="Times New Roman"/>
                      <w:color w:val="auto"/>
                      <w:kern w:val="21"/>
                      <w:sz w:val="21"/>
                      <w:szCs w:val="21"/>
                      <w:highlight w:val="none"/>
                    </w:rPr>
                    <w:t>施工期</w:t>
                  </w:r>
                </w:p>
              </w:tc>
              <w:tc>
                <w:tcPr>
                  <w:tcW w:w="690" w:type="pct"/>
                  <w:tcBorders>
                    <w:tl2br w:val="nil"/>
                    <w:tr2bl w:val="nil"/>
                  </w:tcBorders>
                  <w:tcMar>
                    <w:left w:w="0" w:type="dxa"/>
                    <w:right w:w="0" w:type="dxa"/>
                  </w:tcMar>
                  <w:vAlign w:val="center"/>
                </w:tcPr>
                <w:p w14:paraId="69747B5E">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厂界</w:t>
                  </w:r>
                </w:p>
              </w:tc>
              <w:tc>
                <w:tcPr>
                  <w:tcW w:w="390" w:type="pct"/>
                  <w:tcBorders>
                    <w:tl2br w:val="nil"/>
                    <w:tr2bl w:val="nil"/>
                  </w:tcBorders>
                  <w:tcMar>
                    <w:left w:w="0" w:type="dxa"/>
                    <w:right w:w="0" w:type="dxa"/>
                  </w:tcMar>
                  <w:vAlign w:val="center"/>
                </w:tcPr>
                <w:p w14:paraId="0ADDD026">
                  <w:pPr>
                    <w:adjustRightInd w:val="0"/>
                    <w:snapToGrid w:val="0"/>
                    <w:spacing w:line="240" w:lineRule="auto"/>
                    <w:jc w:val="center"/>
                    <w:rPr>
                      <w:rFonts w:hint="eastAsia" w:cs="Times New Roman" w:eastAsiaTheme="minorEastAsia"/>
                      <w:color w:val="auto"/>
                      <w:kern w:val="21"/>
                      <w:sz w:val="21"/>
                      <w:szCs w:val="21"/>
                      <w:highlight w:val="none"/>
                      <w:lang w:eastAsia="zh-CN"/>
                    </w:rPr>
                  </w:pPr>
                  <w:r>
                    <w:rPr>
                      <w:rFonts w:hint="eastAsia" w:cs="Times New Roman"/>
                      <w:color w:val="auto"/>
                      <w:kern w:val="21"/>
                      <w:sz w:val="21"/>
                      <w:szCs w:val="21"/>
                      <w:highlight w:val="none"/>
                      <w:lang w:eastAsia="zh-CN"/>
                    </w:rPr>
                    <w:t>—</w:t>
                  </w:r>
                </w:p>
              </w:tc>
              <w:tc>
                <w:tcPr>
                  <w:tcW w:w="350" w:type="pct"/>
                  <w:tcBorders>
                    <w:tl2br w:val="nil"/>
                    <w:tr2bl w:val="nil"/>
                  </w:tcBorders>
                  <w:tcMar>
                    <w:left w:w="0" w:type="dxa"/>
                    <w:right w:w="0" w:type="dxa"/>
                  </w:tcMar>
                  <w:vAlign w:val="center"/>
                </w:tcPr>
                <w:p w14:paraId="0B706F45">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70</w:t>
                  </w:r>
                </w:p>
              </w:tc>
              <w:tc>
                <w:tcPr>
                  <w:tcW w:w="380" w:type="pct"/>
                  <w:tcBorders>
                    <w:tl2br w:val="nil"/>
                    <w:tr2bl w:val="nil"/>
                  </w:tcBorders>
                  <w:tcMar>
                    <w:left w:w="0" w:type="dxa"/>
                    <w:right w:w="0" w:type="dxa"/>
                  </w:tcMar>
                  <w:vAlign w:val="center"/>
                </w:tcPr>
                <w:p w14:paraId="60E9E9A1">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55</w:t>
                  </w:r>
                </w:p>
              </w:tc>
              <w:tc>
                <w:tcPr>
                  <w:tcW w:w="2740" w:type="pct"/>
                  <w:tcBorders>
                    <w:tl2br w:val="nil"/>
                    <w:tr2bl w:val="nil"/>
                  </w:tcBorders>
                  <w:tcMar>
                    <w:left w:w="0" w:type="dxa"/>
                    <w:right w:w="0" w:type="dxa"/>
                  </w:tcMar>
                  <w:vAlign w:val="center"/>
                </w:tcPr>
                <w:p w14:paraId="667B56A1">
                  <w:pPr>
                    <w:adjustRightInd w:val="0"/>
                    <w:snapToGrid w:val="0"/>
                    <w:spacing w:line="240" w:lineRule="auto"/>
                    <w:jc w:val="center"/>
                    <w:rPr>
                      <w:rFonts w:eastAsia="宋体" w:cs="Times New Roman"/>
                      <w:color w:val="auto"/>
                      <w:kern w:val="21"/>
                      <w:sz w:val="21"/>
                      <w:szCs w:val="21"/>
                      <w:highlight w:val="none"/>
                    </w:rPr>
                  </w:pPr>
                  <w:r>
                    <w:rPr>
                      <w:rFonts w:cs="Times New Roman"/>
                      <w:color w:val="auto"/>
                      <w:kern w:val="21"/>
                      <w:sz w:val="21"/>
                      <w:szCs w:val="21"/>
                      <w:highlight w:val="none"/>
                    </w:rPr>
                    <w:t>《</w:t>
                  </w:r>
                  <w:r>
                    <w:rPr>
                      <w:rFonts w:hint="eastAsia" w:cs="Times New Roman"/>
                      <w:color w:val="auto"/>
                      <w:kern w:val="21"/>
                      <w:sz w:val="21"/>
                      <w:szCs w:val="21"/>
                      <w:highlight w:val="none"/>
                      <w:lang w:eastAsia="zh-CN"/>
                    </w:rPr>
                    <w:t>建筑施工场界环境噪声排放标准</w:t>
                  </w:r>
                  <w:r>
                    <w:rPr>
                      <w:rFonts w:cs="Times New Roman"/>
                      <w:color w:val="auto"/>
                      <w:kern w:val="21"/>
                      <w:sz w:val="21"/>
                      <w:szCs w:val="21"/>
                      <w:highlight w:val="none"/>
                    </w:rPr>
                    <w:t>》（GB</w:t>
                  </w:r>
                  <w:r>
                    <w:rPr>
                      <w:rFonts w:hint="eastAsia" w:cs="Times New Roman"/>
                      <w:color w:val="auto"/>
                      <w:kern w:val="21"/>
                      <w:sz w:val="21"/>
                      <w:szCs w:val="21"/>
                      <w:highlight w:val="none"/>
                      <w:lang w:val="en-US" w:eastAsia="zh-CN"/>
                    </w:rPr>
                    <w:t xml:space="preserve"> </w:t>
                  </w:r>
                  <w:r>
                    <w:rPr>
                      <w:rFonts w:cs="Times New Roman"/>
                      <w:color w:val="auto"/>
                      <w:kern w:val="21"/>
                      <w:sz w:val="21"/>
                      <w:szCs w:val="21"/>
                      <w:highlight w:val="none"/>
                    </w:rPr>
                    <w:t>12523-2011）</w:t>
                  </w:r>
                </w:p>
              </w:tc>
            </w:tr>
            <w:tr w14:paraId="7F96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7" w:type="pct"/>
                  <w:tcBorders>
                    <w:tl2br w:val="nil"/>
                    <w:tr2bl w:val="nil"/>
                  </w:tcBorders>
                  <w:tcMar>
                    <w:left w:w="0" w:type="dxa"/>
                    <w:right w:w="0" w:type="dxa"/>
                  </w:tcMar>
                  <w:vAlign w:val="center"/>
                </w:tcPr>
                <w:p w14:paraId="78936F59">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运营期</w:t>
                  </w:r>
                </w:p>
              </w:tc>
              <w:tc>
                <w:tcPr>
                  <w:tcW w:w="690" w:type="pct"/>
                  <w:tcBorders>
                    <w:tl2br w:val="nil"/>
                    <w:tr2bl w:val="nil"/>
                  </w:tcBorders>
                  <w:tcMar>
                    <w:left w:w="0" w:type="dxa"/>
                    <w:right w:w="0" w:type="dxa"/>
                  </w:tcMar>
                  <w:vAlign w:val="center"/>
                </w:tcPr>
                <w:p w14:paraId="6784AE31">
                  <w:pPr>
                    <w:adjustRightInd w:val="0"/>
                    <w:snapToGrid w:val="0"/>
                    <w:spacing w:line="240" w:lineRule="auto"/>
                    <w:jc w:val="center"/>
                    <w:rPr>
                      <w:rFonts w:hint="default" w:cs="Times New Roman" w:eastAsiaTheme="minorEastAsia"/>
                      <w:color w:val="auto"/>
                      <w:kern w:val="21"/>
                      <w:sz w:val="21"/>
                      <w:szCs w:val="21"/>
                      <w:highlight w:val="none"/>
                      <w:lang w:val="en-US" w:eastAsia="zh-CN"/>
                    </w:rPr>
                  </w:pPr>
                  <w:r>
                    <w:rPr>
                      <w:rFonts w:cs="Times New Roman"/>
                      <w:color w:val="auto"/>
                      <w:kern w:val="21"/>
                      <w:sz w:val="21"/>
                      <w:szCs w:val="21"/>
                      <w:highlight w:val="none"/>
                    </w:rPr>
                    <w:t>厂界</w:t>
                  </w:r>
                  <w:r>
                    <w:rPr>
                      <w:rFonts w:hint="eastAsia" w:cs="Times New Roman"/>
                      <w:color w:val="auto"/>
                      <w:kern w:val="21"/>
                      <w:sz w:val="21"/>
                      <w:szCs w:val="21"/>
                      <w:highlight w:val="none"/>
                      <w:lang w:val="en-US" w:eastAsia="zh-CN"/>
                    </w:rPr>
                    <w:t>四周</w:t>
                  </w:r>
                </w:p>
              </w:tc>
              <w:tc>
                <w:tcPr>
                  <w:tcW w:w="390" w:type="pct"/>
                  <w:tcBorders>
                    <w:tl2br w:val="nil"/>
                    <w:tr2bl w:val="nil"/>
                  </w:tcBorders>
                  <w:tcMar>
                    <w:left w:w="0" w:type="dxa"/>
                    <w:right w:w="0" w:type="dxa"/>
                  </w:tcMar>
                  <w:vAlign w:val="center"/>
                </w:tcPr>
                <w:p w14:paraId="3FBCF3BF">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2类</w:t>
                  </w:r>
                </w:p>
              </w:tc>
              <w:tc>
                <w:tcPr>
                  <w:tcW w:w="350" w:type="pct"/>
                  <w:tcBorders>
                    <w:tl2br w:val="nil"/>
                    <w:tr2bl w:val="nil"/>
                  </w:tcBorders>
                  <w:tcMar>
                    <w:left w:w="0" w:type="dxa"/>
                    <w:right w:w="0" w:type="dxa"/>
                  </w:tcMar>
                  <w:vAlign w:val="center"/>
                </w:tcPr>
                <w:p w14:paraId="598F950B">
                  <w:pPr>
                    <w:adjustRightInd w:val="0"/>
                    <w:snapToGrid w:val="0"/>
                    <w:spacing w:line="240" w:lineRule="auto"/>
                    <w:jc w:val="center"/>
                    <w:rPr>
                      <w:rFonts w:eastAsia="宋体" w:cs="Times New Roman"/>
                      <w:color w:val="auto"/>
                      <w:kern w:val="21"/>
                      <w:sz w:val="21"/>
                      <w:szCs w:val="21"/>
                      <w:highlight w:val="none"/>
                    </w:rPr>
                  </w:pPr>
                  <w:r>
                    <w:rPr>
                      <w:rFonts w:cs="Times New Roman"/>
                      <w:color w:val="auto"/>
                      <w:kern w:val="21"/>
                      <w:sz w:val="21"/>
                      <w:szCs w:val="21"/>
                      <w:highlight w:val="none"/>
                    </w:rPr>
                    <w:t>60</w:t>
                  </w:r>
                </w:p>
              </w:tc>
              <w:tc>
                <w:tcPr>
                  <w:tcW w:w="380" w:type="pct"/>
                  <w:tcBorders>
                    <w:tl2br w:val="nil"/>
                    <w:tr2bl w:val="nil"/>
                  </w:tcBorders>
                  <w:tcMar>
                    <w:left w:w="0" w:type="dxa"/>
                    <w:right w:w="0" w:type="dxa"/>
                  </w:tcMar>
                  <w:vAlign w:val="center"/>
                </w:tcPr>
                <w:p w14:paraId="60E4EBAA">
                  <w:pPr>
                    <w:adjustRightInd w:val="0"/>
                    <w:snapToGrid w:val="0"/>
                    <w:spacing w:line="240" w:lineRule="auto"/>
                    <w:jc w:val="center"/>
                    <w:rPr>
                      <w:rFonts w:eastAsia="宋体" w:cs="Times New Roman"/>
                      <w:color w:val="auto"/>
                      <w:kern w:val="21"/>
                      <w:sz w:val="21"/>
                      <w:szCs w:val="21"/>
                      <w:highlight w:val="none"/>
                    </w:rPr>
                  </w:pPr>
                  <w:r>
                    <w:rPr>
                      <w:rFonts w:cs="Times New Roman"/>
                      <w:color w:val="auto"/>
                      <w:kern w:val="21"/>
                      <w:sz w:val="21"/>
                      <w:szCs w:val="21"/>
                      <w:highlight w:val="none"/>
                    </w:rPr>
                    <w:t>50</w:t>
                  </w:r>
                </w:p>
              </w:tc>
              <w:tc>
                <w:tcPr>
                  <w:tcW w:w="2740" w:type="pct"/>
                  <w:tcBorders>
                    <w:tl2br w:val="nil"/>
                    <w:tr2bl w:val="nil"/>
                  </w:tcBorders>
                  <w:tcMar>
                    <w:left w:w="0" w:type="dxa"/>
                    <w:right w:w="0" w:type="dxa"/>
                  </w:tcMar>
                  <w:vAlign w:val="center"/>
                </w:tcPr>
                <w:p w14:paraId="365AD2D9">
                  <w:pPr>
                    <w:adjustRightInd w:val="0"/>
                    <w:snapToGrid w:val="0"/>
                    <w:spacing w:line="240" w:lineRule="auto"/>
                    <w:jc w:val="center"/>
                    <w:rPr>
                      <w:rFonts w:cs="Times New Roman"/>
                      <w:color w:val="auto"/>
                      <w:kern w:val="21"/>
                      <w:sz w:val="21"/>
                      <w:szCs w:val="21"/>
                      <w:highlight w:val="none"/>
                    </w:rPr>
                  </w:pPr>
                  <w:r>
                    <w:rPr>
                      <w:rFonts w:cs="Times New Roman"/>
                      <w:color w:val="auto"/>
                      <w:kern w:val="21"/>
                      <w:sz w:val="21"/>
                      <w:szCs w:val="21"/>
                      <w:highlight w:val="none"/>
                    </w:rPr>
                    <w:t>《工业企业厂界环境噪声排放标准》（GB</w:t>
                  </w:r>
                  <w:r>
                    <w:rPr>
                      <w:rFonts w:hint="eastAsia" w:cs="Times New Roman"/>
                      <w:color w:val="auto"/>
                      <w:kern w:val="21"/>
                      <w:sz w:val="21"/>
                      <w:szCs w:val="21"/>
                      <w:highlight w:val="none"/>
                      <w:lang w:val="en-US" w:eastAsia="zh-CN"/>
                    </w:rPr>
                    <w:t xml:space="preserve"> </w:t>
                  </w:r>
                  <w:r>
                    <w:rPr>
                      <w:rFonts w:cs="Times New Roman"/>
                      <w:color w:val="auto"/>
                      <w:kern w:val="21"/>
                      <w:sz w:val="21"/>
                      <w:szCs w:val="21"/>
                      <w:highlight w:val="none"/>
                    </w:rPr>
                    <w:t>12348</w:t>
                  </w:r>
                  <w:r>
                    <w:rPr>
                      <w:rFonts w:hint="eastAsia" w:cs="Times New Roman"/>
                      <w:color w:val="auto"/>
                      <w:kern w:val="21"/>
                      <w:sz w:val="21"/>
                      <w:szCs w:val="21"/>
                      <w:highlight w:val="none"/>
                      <w:lang w:val="en-US" w:eastAsia="zh-CN"/>
                    </w:rPr>
                    <w:t>-</w:t>
                  </w:r>
                  <w:r>
                    <w:rPr>
                      <w:rFonts w:cs="Times New Roman"/>
                      <w:color w:val="auto"/>
                      <w:kern w:val="21"/>
                      <w:sz w:val="21"/>
                      <w:szCs w:val="21"/>
                      <w:highlight w:val="none"/>
                    </w:rPr>
                    <w:t>2008）</w:t>
                  </w:r>
                </w:p>
              </w:tc>
            </w:tr>
          </w:tbl>
          <w:p w14:paraId="69B65790">
            <w:pPr>
              <w:adjustRightInd w:val="0"/>
              <w:snapToGrid w:val="0"/>
              <w:spacing w:before="120" w:beforeLines="50"/>
              <w:ind w:firstLine="482" w:firstLineChars="200"/>
              <w:rPr>
                <w:rFonts w:cs="Times New Roman"/>
                <w:b/>
                <w:color w:val="auto"/>
                <w:highlight w:val="none"/>
              </w:rPr>
            </w:pPr>
            <w:r>
              <w:rPr>
                <w:rFonts w:hint="eastAsia" w:cs="Times New Roman"/>
                <w:b/>
                <w:color w:val="auto"/>
                <w:highlight w:val="none"/>
              </w:rPr>
              <w:t>4、</w:t>
            </w:r>
            <w:r>
              <w:rPr>
                <w:rFonts w:cs="Times New Roman"/>
                <w:b/>
                <w:color w:val="auto"/>
                <w:highlight w:val="none"/>
              </w:rPr>
              <w:t>固体废物污染控制标准</w:t>
            </w:r>
          </w:p>
          <w:p w14:paraId="15AC180D">
            <w:pPr>
              <w:adjustRightInd w:val="0"/>
              <w:snapToGrid w:val="0"/>
              <w:ind w:firstLine="480" w:firstLineChars="200"/>
              <w:rPr>
                <w:color w:val="auto"/>
                <w:highlight w:val="none"/>
              </w:rPr>
            </w:pPr>
            <w:r>
              <w:rPr>
                <w:rFonts w:cs="Times New Roman"/>
                <w:color w:val="auto"/>
                <w:highlight w:val="none"/>
              </w:rPr>
              <w:t>危险废物的贮存执行《危险废物贮存污染控制标准》（GB18597-2023）中有关规定。</w:t>
            </w:r>
          </w:p>
          <w:p w14:paraId="163DBCA2">
            <w:pPr>
              <w:rPr>
                <w:color w:val="auto"/>
                <w:highlight w:val="none"/>
              </w:rPr>
            </w:pPr>
          </w:p>
        </w:tc>
      </w:tr>
      <w:tr w14:paraId="483DC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215" w:type="pct"/>
            <w:vAlign w:val="center"/>
          </w:tcPr>
          <w:p w14:paraId="3E245AB5">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总量</w:t>
            </w:r>
          </w:p>
          <w:p w14:paraId="135782AF">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控制</w:t>
            </w:r>
          </w:p>
          <w:p w14:paraId="208F67DE">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指标</w:t>
            </w:r>
          </w:p>
        </w:tc>
        <w:tc>
          <w:tcPr>
            <w:tcW w:w="4784" w:type="pct"/>
            <w:vAlign w:val="center"/>
          </w:tcPr>
          <w:p w14:paraId="4317641B">
            <w:pPr>
              <w:ind w:firstLine="499" w:firstLineChars="208"/>
              <w:jc w:val="both"/>
              <w:rPr>
                <w:rFonts w:eastAsia="宋体" w:cs="Times New Roman"/>
                <w:color w:val="auto"/>
                <w:szCs w:val="24"/>
                <w:highlight w:val="none"/>
              </w:rPr>
            </w:pPr>
            <w:r>
              <w:rPr>
                <w:rFonts w:eastAsia="宋体" w:cs="Times New Roman"/>
                <w:color w:val="auto"/>
                <w:szCs w:val="24"/>
                <w:highlight w:val="none"/>
              </w:rPr>
              <w:t>根据国务院关于印发《“十四五”节能减排综合工作方案的通知》，我国“十四五”期间对化学需氧量、氨氮、氮氧化物和挥发性有机物排放总量实行排放总量控制。</w:t>
            </w:r>
          </w:p>
          <w:p w14:paraId="707464AD">
            <w:pPr>
              <w:ind w:firstLine="499" w:firstLineChars="208"/>
              <w:jc w:val="both"/>
              <w:rPr>
                <w:color w:val="auto"/>
                <w:highlight w:val="none"/>
              </w:rPr>
            </w:pPr>
            <w:r>
              <w:rPr>
                <w:rFonts w:eastAsia="宋体" w:cs="Times New Roman"/>
                <w:color w:val="auto"/>
                <w:szCs w:val="24"/>
                <w:highlight w:val="none"/>
              </w:rPr>
              <w:t>根据国家对污染物排放总量控制的要求及本项目污染物排放特点，本项目无需申请总量控制指标。</w:t>
            </w:r>
          </w:p>
        </w:tc>
      </w:tr>
    </w:tbl>
    <w:p w14:paraId="059EDEE9">
      <w:pPr>
        <w:rPr>
          <w:rFonts w:cs="Times New Roman"/>
          <w:b/>
          <w:bCs/>
          <w:color w:val="auto"/>
          <w:sz w:val="28"/>
          <w:szCs w:val="24"/>
          <w:highlight w:val="none"/>
        </w:rPr>
      </w:pPr>
      <w:r>
        <w:rPr>
          <w:rFonts w:cs="Times New Roman"/>
          <w:b/>
          <w:bCs/>
          <w:color w:val="auto"/>
          <w:sz w:val="28"/>
          <w:szCs w:val="24"/>
          <w:highlight w:val="none"/>
        </w:rPr>
        <w:br w:type="page"/>
      </w:r>
    </w:p>
    <w:p w14:paraId="4FD9AD68">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bCs/>
          <w:color w:val="auto"/>
          <w:sz w:val="28"/>
          <w:szCs w:val="24"/>
          <w:highlight w:val="none"/>
        </w:rPr>
      </w:pPr>
      <w:r>
        <w:rPr>
          <w:rFonts w:cs="Times New Roman"/>
          <w:b/>
          <w:bCs/>
          <w:color w:val="auto"/>
          <w:sz w:val="28"/>
          <w:szCs w:val="24"/>
          <w:highlight w:val="none"/>
        </w:rPr>
        <w:t>四、主要环境影响和保护措施</w:t>
      </w:r>
    </w:p>
    <w:tbl>
      <w:tblPr>
        <w:tblStyle w:val="24"/>
        <w:tblW w:w="52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
        <w:gridCol w:w="435"/>
        <w:gridCol w:w="6"/>
        <w:gridCol w:w="9773"/>
        <w:gridCol w:w="111"/>
      </w:tblGrid>
      <w:tr w14:paraId="42EC2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40" w:type="pct"/>
          <w:wAfter w:w="52" w:type="pct"/>
          <w:trHeight w:val="3288" w:hRule="atLeast"/>
          <w:jc w:val="center"/>
        </w:trPr>
        <w:tc>
          <w:tcPr>
            <w:tcW w:w="209" w:type="pct"/>
            <w:tcMar>
              <w:left w:w="28" w:type="dxa"/>
              <w:right w:w="28" w:type="dxa"/>
            </w:tcMar>
            <w:vAlign w:val="center"/>
          </w:tcPr>
          <w:p w14:paraId="2157D065">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施工</w:t>
            </w:r>
          </w:p>
          <w:p w14:paraId="4B465859">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期环</w:t>
            </w:r>
          </w:p>
          <w:p w14:paraId="7D9C00B9">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境保</w:t>
            </w:r>
          </w:p>
          <w:p w14:paraId="07969AC9">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护措</w:t>
            </w:r>
          </w:p>
          <w:p w14:paraId="0D52C820">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施</w:t>
            </w:r>
          </w:p>
        </w:tc>
        <w:tc>
          <w:tcPr>
            <w:tcW w:w="4697" w:type="pct"/>
            <w:gridSpan w:val="2"/>
            <w:vAlign w:val="center"/>
          </w:tcPr>
          <w:p w14:paraId="7E9879EB">
            <w:pPr>
              <w:adjustRightInd w:val="0"/>
              <w:snapToGrid w:val="0"/>
              <w:ind w:firstLine="482" w:firstLineChars="200"/>
              <w:rPr>
                <w:rFonts w:cs="Times New Roman"/>
                <w:b/>
                <w:color w:val="auto"/>
                <w:highlight w:val="none"/>
              </w:rPr>
            </w:pPr>
            <w:r>
              <w:rPr>
                <w:rFonts w:hint="eastAsia" w:cs="Times New Roman"/>
                <w:b/>
                <w:color w:val="auto"/>
                <w:highlight w:val="none"/>
                <w:lang w:val="en-US" w:eastAsia="zh-CN"/>
              </w:rPr>
              <w:t>（一）施工</w:t>
            </w:r>
            <w:r>
              <w:rPr>
                <w:rFonts w:cs="Times New Roman"/>
                <w:b/>
                <w:color w:val="auto"/>
                <w:highlight w:val="none"/>
              </w:rPr>
              <w:t>废气</w:t>
            </w:r>
            <w:r>
              <w:rPr>
                <w:rFonts w:cs="Times New Roman"/>
                <w:b/>
                <w:bCs/>
                <w:color w:val="auto"/>
                <w:highlight w:val="none"/>
              </w:rPr>
              <w:t>影响保护措施</w:t>
            </w:r>
          </w:p>
          <w:p w14:paraId="04BCD25B">
            <w:pPr>
              <w:adjustRightInd w:val="0"/>
              <w:snapToGrid w:val="0"/>
              <w:ind w:firstLine="480" w:firstLineChars="200"/>
              <w:rPr>
                <w:rFonts w:cs="Times New Roman"/>
                <w:color w:val="auto"/>
                <w:highlight w:val="none"/>
              </w:rPr>
            </w:pPr>
            <w:r>
              <w:rPr>
                <w:rFonts w:cs="Times New Roman"/>
                <w:color w:val="auto"/>
                <w:highlight w:val="none"/>
              </w:rPr>
              <w:t>施工期废气污染主要是施工扬尘，为使施工过程中产生的扬尘对周围环境空气的影响降低</w:t>
            </w:r>
            <w:r>
              <w:rPr>
                <w:rFonts w:hint="eastAsia" w:cs="Times New Roman"/>
                <w:color w:val="auto"/>
                <w:highlight w:val="none"/>
                <w:lang w:eastAsia="zh-CN"/>
              </w:rPr>
              <w:t>到最低程度</w:t>
            </w:r>
            <w:r>
              <w:rPr>
                <w:rFonts w:cs="Times New Roman"/>
                <w:color w:val="auto"/>
                <w:highlight w:val="none"/>
              </w:rPr>
              <w:t>，根据</w:t>
            </w:r>
            <w:r>
              <w:rPr>
                <w:rFonts w:hint="eastAsia" w:cs="Times New Roman"/>
                <w:color w:val="auto"/>
                <w:highlight w:val="none"/>
                <w:lang w:eastAsia="zh-CN"/>
              </w:rPr>
              <w:t>《</w:t>
            </w:r>
            <w:r>
              <w:rPr>
                <w:rFonts w:cs="Times New Roman"/>
                <w:color w:val="auto"/>
                <w:highlight w:val="none"/>
              </w:rPr>
              <w:t>西安市大气污染治理专项行动方案（2023</w:t>
            </w:r>
            <w:r>
              <w:rPr>
                <w:rFonts w:hint="eastAsia" w:cs="Times New Roman"/>
                <w:color w:val="auto"/>
                <w:highlight w:val="none"/>
                <w:lang w:eastAsia="zh-CN"/>
              </w:rPr>
              <w:t>—</w:t>
            </w:r>
            <w:r>
              <w:rPr>
                <w:rFonts w:cs="Times New Roman"/>
                <w:color w:val="auto"/>
                <w:highlight w:val="none"/>
              </w:rPr>
              <w:t>2027年）</w:t>
            </w:r>
            <w:r>
              <w:rPr>
                <w:rFonts w:hint="eastAsia" w:cs="Times New Roman"/>
                <w:color w:val="auto"/>
                <w:highlight w:val="none"/>
                <w:lang w:eastAsia="zh-CN"/>
              </w:rPr>
              <w:t>》、《西安市人民政府办公厅关于印发推进实现“十四五”空气质量目标暨大气污染治理专项行动2025工作方案的通知》（市政办函〔2025〕12号、《</w:t>
            </w:r>
            <w:r>
              <w:rPr>
                <w:rFonts w:cs="Times New Roman"/>
                <w:color w:val="auto"/>
                <w:highlight w:val="none"/>
              </w:rPr>
              <w:t>西安市扬尘污染防治条例》（2020年11月26日第二次修正）等文件规定要求，评价提出以下措施和要求：</w:t>
            </w:r>
          </w:p>
          <w:p w14:paraId="6B98B5A5">
            <w:pPr>
              <w:numPr>
                <w:ilvl w:val="0"/>
                <w:numId w:val="4"/>
              </w:numPr>
              <w:adjustRightInd w:val="0"/>
              <w:snapToGrid w:val="0"/>
              <w:ind w:firstLine="480" w:firstLineChars="200"/>
              <w:rPr>
                <w:rFonts w:cs="Times New Roman"/>
                <w:color w:val="auto"/>
                <w:highlight w:val="none"/>
              </w:rPr>
            </w:pPr>
            <w:r>
              <w:rPr>
                <w:rFonts w:cs="Times New Roman"/>
                <w:color w:val="auto"/>
                <w:highlight w:val="none"/>
              </w:rPr>
              <w:t>建设单位应当在施工前向工程主管部门、环境保护行政主管部门提交工地扬尘污染防治方案，将扬尘污染防治纳入工程监理范围，所需费用列入工程预算，并在工程承包合同中明确施工单位防治扬尘污染的责任。</w:t>
            </w:r>
          </w:p>
          <w:p w14:paraId="2E029416">
            <w:pPr>
              <w:numPr>
                <w:ilvl w:val="0"/>
                <w:numId w:val="4"/>
              </w:numPr>
              <w:adjustRightInd w:val="0"/>
              <w:snapToGrid w:val="0"/>
              <w:ind w:firstLine="480" w:firstLineChars="200"/>
              <w:rPr>
                <w:rFonts w:cs="Times New Roman"/>
                <w:color w:val="auto"/>
                <w:highlight w:val="none"/>
              </w:rPr>
            </w:pPr>
            <w:r>
              <w:rPr>
                <w:rFonts w:cs="Times New Roman"/>
                <w:color w:val="auto"/>
                <w:highlight w:val="none"/>
              </w:rPr>
              <w:t>施工单位应当按照工地扬尘污染防治方案的要求施工，在建设工地必须设置环境保护牌，标明扬尘治理措施、责任人及监督电话、扬尘监管行政主管部门等有关信息，接受社会监督。</w:t>
            </w:r>
          </w:p>
          <w:p w14:paraId="764BCB87">
            <w:pPr>
              <w:numPr>
                <w:ilvl w:val="0"/>
                <w:numId w:val="4"/>
              </w:numPr>
              <w:adjustRightInd w:val="0"/>
              <w:snapToGrid w:val="0"/>
              <w:ind w:firstLine="480" w:firstLineChars="200"/>
              <w:rPr>
                <w:rFonts w:cs="Times New Roman"/>
                <w:color w:val="auto"/>
                <w:highlight w:val="none"/>
              </w:rPr>
            </w:pPr>
            <w:r>
              <w:rPr>
                <w:rFonts w:cs="Times New Roman"/>
                <w:color w:val="auto"/>
                <w:highlight w:val="none"/>
              </w:rPr>
              <w:t>施工场地内易产生扬尘的物料堆置必须采取封闭式、遮盖、洒水等抑尘措施，减少露天装卸作业。</w:t>
            </w:r>
          </w:p>
          <w:p w14:paraId="2BD6C4DF">
            <w:pPr>
              <w:numPr>
                <w:ilvl w:val="0"/>
                <w:numId w:val="4"/>
              </w:numPr>
              <w:adjustRightInd w:val="0"/>
              <w:snapToGrid w:val="0"/>
              <w:ind w:firstLine="480" w:firstLineChars="200"/>
              <w:rPr>
                <w:rFonts w:cs="Times New Roman"/>
                <w:color w:val="auto"/>
                <w:highlight w:val="none"/>
              </w:rPr>
            </w:pPr>
            <w:r>
              <w:rPr>
                <w:rFonts w:cs="Times New Roman"/>
                <w:color w:val="auto"/>
                <w:highlight w:val="none"/>
              </w:rPr>
              <w:t>加强施工车辆运输监管，杜绝超速、超高装载、带泥上路、抛洒泄漏等现象。</w:t>
            </w:r>
          </w:p>
          <w:p w14:paraId="21293251">
            <w:pPr>
              <w:numPr>
                <w:ilvl w:val="0"/>
                <w:numId w:val="4"/>
              </w:numPr>
              <w:adjustRightInd w:val="0"/>
              <w:snapToGrid w:val="0"/>
              <w:ind w:firstLine="480" w:firstLineChars="200"/>
              <w:rPr>
                <w:rFonts w:cs="Times New Roman"/>
                <w:color w:val="auto"/>
                <w:highlight w:val="none"/>
              </w:rPr>
            </w:pPr>
            <w:r>
              <w:rPr>
                <w:rFonts w:cs="Times New Roman"/>
                <w:color w:val="auto"/>
                <w:highlight w:val="none"/>
              </w:rPr>
              <w:t>运输车辆加蓬盖、装卸场地在装卸前先冲洗干净，减少车轮、底盘等携带泥土散落路面。</w:t>
            </w:r>
          </w:p>
          <w:p w14:paraId="5091AFA4">
            <w:pPr>
              <w:numPr>
                <w:ilvl w:val="0"/>
                <w:numId w:val="4"/>
              </w:numPr>
              <w:adjustRightInd w:val="0"/>
              <w:snapToGrid w:val="0"/>
              <w:ind w:firstLine="480" w:firstLineChars="200"/>
              <w:rPr>
                <w:rFonts w:cs="Times New Roman"/>
                <w:color w:val="auto"/>
                <w:highlight w:val="none"/>
              </w:rPr>
            </w:pPr>
            <w:r>
              <w:rPr>
                <w:rFonts w:cs="Times New Roman"/>
                <w:color w:val="auto"/>
                <w:highlight w:val="none"/>
              </w:rPr>
              <w:t>定期利用处理后的施工废水对裸露的运输道路和施工场所洒水。</w:t>
            </w:r>
          </w:p>
          <w:p w14:paraId="1AAE8108">
            <w:pPr>
              <w:numPr>
                <w:ilvl w:val="0"/>
                <w:numId w:val="4"/>
              </w:numPr>
              <w:adjustRightInd w:val="0"/>
              <w:snapToGrid w:val="0"/>
              <w:ind w:firstLine="480" w:firstLineChars="200"/>
              <w:rPr>
                <w:rFonts w:cs="Times New Roman"/>
                <w:color w:val="auto"/>
                <w:highlight w:val="none"/>
              </w:rPr>
            </w:pPr>
            <w:r>
              <w:rPr>
                <w:rFonts w:cs="Times New Roman"/>
                <w:color w:val="auto"/>
                <w:highlight w:val="none"/>
              </w:rPr>
              <w:t>施工单位必须选用符合国家卫生防护标准的施工机械和运输工具，确保其废气排放符合国家有关标准。加强对机械设备的养护，减少不必要的空转时间，以控制尾气排放；严禁使用冒黑烟的柴油打桩机。</w:t>
            </w:r>
          </w:p>
          <w:p w14:paraId="54B25EF2">
            <w:pPr>
              <w:numPr>
                <w:ilvl w:val="0"/>
                <w:numId w:val="4"/>
              </w:numPr>
              <w:adjustRightInd w:val="0"/>
              <w:snapToGrid w:val="0"/>
              <w:ind w:firstLine="480" w:firstLineChars="200"/>
              <w:rPr>
                <w:rFonts w:cs="Times New Roman"/>
                <w:color w:val="auto"/>
                <w:highlight w:val="none"/>
              </w:rPr>
            </w:pPr>
            <w:r>
              <w:rPr>
                <w:rFonts w:cs="Times New Roman"/>
                <w:color w:val="auto"/>
                <w:highlight w:val="none"/>
              </w:rPr>
              <w:t>施工工地内的车行道路采取硬化，并辅以洒水、喷洒抑尘剂等措施。</w:t>
            </w:r>
          </w:p>
          <w:p w14:paraId="3FD7047F">
            <w:pPr>
              <w:numPr>
                <w:ilvl w:val="0"/>
                <w:numId w:val="4"/>
              </w:numPr>
              <w:adjustRightInd w:val="0"/>
              <w:snapToGrid w:val="0"/>
              <w:ind w:firstLine="480" w:firstLineChars="200"/>
              <w:rPr>
                <w:rFonts w:cs="Times New Roman"/>
                <w:color w:val="auto"/>
                <w:highlight w:val="none"/>
              </w:rPr>
            </w:pPr>
            <w:r>
              <w:rPr>
                <w:rFonts w:cs="Times New Roman"/>
                <w:color w:val="auto"/>
                <w:highlight w:val="none"/>
              </w:rPr>
              <w:t>施工工地出入口内侧安装车辆冲洗设备，车辆冲洗干净后方可驶出。</w:t>
            </w:r>
          </w:p>
          <w:p w14:paraId="66583A27">
            <w:pPr>
              <w:numPr>
                <w:ilvl w:val="0"/>
                <w:numId w:val="4"/>
              </w:numPr>
              <w:adjustRightInd w:val="0"/>
              <w:snapToGrid w:val="0"/>
              <w:ind w:firstLine="480" w:firstLineChars="200"/>
              <w:rPr>
                <w:rFonts w:cs="Times New Roman"/>
                <w:color w:val="auto"/>
                <w:highlight w:val="none"/>
              </w:rPr>
            </w:pPr>
            <w:r>
              <w:rPr>
                <w:rFonts w:cs="Times New Roman"/>
                <w:color w:val="auto"/>
                <w:highlight w:val="none"/>
              </w:rPr>
              <w:t>保持施工工地出入口通道及其周边道路的清洁。</w:t>
            </w:r>
          </w:p>
          <w:p w14:paraId="46BFA495">
            <w:pPr>
              <w:numPr>
                <w:ilvl w:val="0"/>
                <w:numId w:val="4"/>
              </w:numPr>
              <w:adjustRightInd w:val="0"/>
              <w:snapToGrid w:val="0"/>
              <w:ind w:firstLine="480" w:firstLineChars="200"/>
              <w:rPr>
                <w:rFonts w:cs="Times New Roman"/>
                <w:color w:val="auto"/>
                <w:highlight w:val="none"/>
              </w:rPr>
            </w:pPr>
            <w:r>
              <w:rPr>
                <w:rFonts w:cs="Times New Roman"/>
                <w:color w:val="auto"/>
                <w:highlight w:val="none"/>
              </w:rPr>
              <w:t>建筑垃圾不能及时清运的，完全覆盖防尘布或者防尘网。</w:t>
            </w:r>
          </w:p>
          <w:p w14:paraId="6C0C9062">
            <w:pPr>
              <w:numPr>
                <w:ilvl w:val="0"/>
                <w:numId w:val="4"/>
              </w:numPr>
              <w:adjustRightInd w:val="0"/>
              <w:snapToGrid w:val="0"/>
              <w:ind w:firstLine="480" w:firstLineChars="200"/>
              <w:rPr>
                <w:rFonts w:cs="Times New Roman"/>
                <w:color w:val="auto"/>
                <w:highlight w:val="none"/>
              </w:rPr>
            </w:pPr>
            <w:r>
              <w:rPr>
                <w:rFonts w:cs="Times New Roman"/>
                <w:color w:val="auto"/>
                <w:highlight w:val="none"/>
              </w:rPr>
              <w:t>建设单位施工过程必须达到“六个百分之百”标准要求，即施工工地周边100%围挡、物料堆放100%苫盖、出入车辆100%冲洗、施工现场地面100%覆盖、出入口100%硬化、渣土车辆100%封闭式运输，确保施工场界扬尘满足《施工场界扬尘排放限值》（DB61/1078-2017）排放限值要求，减缓施工扬尘对周围环境的影响。</w:t>
            </w:r>
          </w:p>
          <w:p w14:paraId="7D6CE4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highlight w:val="none"/>
                <w:lang w:eastAsia="zh-CN"/>
              </w:rPr>
            </w:pPr>
            <w:r>
              <w:rPr>
                <w:rFonts w:cs="Times New Roman"/>
                <w:color w:val="auto"/>
                <w:highlight w:val="none"/>
              </w:rPr>
              <w:t>采取以上废气污染防治措施，施工期扬尘对周围环境的影响很小，措施可行</w:t>
            </w:r>
            <w:r>
              <w:rPr>
                <w:rFonts w:hint="eastAsia" w:cs="Times New Roman"/>
                <w:color w:val="auto"/>
                <w:highlight w:val="none"/>
                <w:lang w:eastAsia="zh-CN"/>
              </w:rPr>
              <w:t>。</w:t>
            </w:r>
          </w:p>
          <w:p w14:paraId="4CFC2D35">
            <w:pPr>
              <w:adjustRightInd w:val="0"/>
              <w:snapToGrid w:val="0"/>
              <w:ind w:firstLine="482" w:firstLineChars="200"/>
              <w:rPr>
                <w:rFonts w:cs="Times New Roman"/>
                <w:b/>
                <w:color w:val="auto"/>
                <w:highlight w:val="none"/>
              </w:rPr>
            </w:pPr>
            <w:r>
              <w:rPr>
                <w:rFonts w:hint="eastAsia" w:cs="Times New Roman"/>
                <w:b/>
                <w:color w:val="auto"/>
                <w:highlight w:val="none"/>
                <w:lang w:val="en-US" w:eastAsia="zh-CN"/>
              </w:rPr>
              <w:t>（二）施工废水</w:t>
            </w:r>
            <w:r>
              <w:rPr>
                <w:rFonts w:cs="Times New Roman"/>
                <w:b/>
                <w:bCs/>
                <w:color w:val="auto"/>
                <w:highlight w:val="none"/>
              </w:rPr>
              <w:t>影响保护措施</w:t>
            </w:r>
          </w:p>
          <w:p w14:paraId="7C2D6B55">
            <w:pPr>
              <w:numPr>
                <w:ilvl w:val="0"/>
                <w:numId w:val="0"/>
              </w:numPr>
              <w:adjustRightInd w:val="0"/>
              <w:snapToGrid w:val="0"/>
              <w:ind w:firstLine="480" w:firstLineChars="200"/>
              <w:rPr>
                <w:rFonts w:cs="Times New Roman"/>
                <w:b w:val="0"/>
                <w:bCs w:val="0"/>
                <w:color w:val="auto"/>
                <w:highlight w:val="none"/>
              </w:rPr>
            </w:pPr>
            <w:r>
              <w:rPr>
                <w:rFonts w:ascii="Times New Roman" w:hAnsi="Times New Roman" w:cs="Times New Roman" w:eastAsiaTheme="minorEastAsia"/>
                <w:b w:val="0"/>
                <w:bCs w:val="0"/>
                <w:color w:val="auto"/>
                <w:kern w:val="2"/>
                <w:sz w:val="24"/>
                <w:szCs w:val="22"/>
                <w:highlight w:val="none"/>
                <w:lang w:val="en-US" w:eastAsia="zh-CN" w:bidi="ar-SA"/>
              </w:rPr>
              <w:t>（1）</w:t>
            </w:r>
            <w:r>
              <w:rPr>
                <w:rFonts w:cs="Times New Roman"/>
                <w:b w:val="0"/>
                <w:bCs w:val="0"/>
                <w:color w:val="auto"/>
                <w:highlight w:val="none"/>
              </w:rPr>
              <w:t>施工废水</w:t>
            </w:r>
          </w:p>
          <w:p w14:paraId="3B052675">
            <w:pPr>
              <w:adjustRightInd w:val="0"/>
              <w:snapToGrid w:val="0"/>
              <w:ind w:firstLine="480" w:firstLineChars="200"/>
              <w:rPr>
                <w:rFonts w:cs="Times New Roman"/>
                <w:b w:val="0"/>
                <w:bCs w:val="0"/>
                <w:color w:val="auto"/>
                <w:highlight w:val="none"/>
              </w:rPr>
            </w:pPr>
            <w:r>
              <w:rPr>
                <w:rFonts w:cs="Times New Roman"/>
                <w:b w:val="0"/>
                <w:bCs w:val="0"/>
                <w:color w:val="auto"/>
                <w:highlight w:val="none"/>
              </w:rPr>
              <w:t>施工废水主要污染物为泥沙，厂内</w:t>
            </w:r>
            <w:r>
              <w:rPr>
                <w:rFonts w:hint="eastAsia" w:cs="Times New Roman"/>
                <w:b w:val="0"/>
                <w:bCs w:val="0"/>
                <w:color w:val="auto"/>
                <w:highlight w:val="none"/>
                <w:lang w:eastAsia="zh-CN"/>
              </w:rPr>
              <w:t>有</w:t>
            </w:r>
            <w:r>
              <w:rPr>
                <w:rFonts w:cs="Times New Roman"/>
                <w:b w:val="0"/>
                <w:bCs w:val="0"/>
                <w:color w:val="auto"/>
                <w:highlight w:val="none"/>
              </w:rPr>
              <w:t>沉淀池，施工废水经沉淀后回用于车辆冲洗、工地洒水降尘等，不外排，基本不会对水环境造成明显不利影响，措施可行。</w:t>
            </w:r>
          </w:p>
          <w:p w14:paraId="22FE4B8F">
            <w:pPr>
              <w:numPr>
                <w:ilvl w:val="0"/>
                <w:numId w:val="0"/>
              </w:numPr>
              <w:adjustRightInd w:val="0"/>
              <w:snapToGrid w:val="0"/>
              <w:ind w:firstLine="480" w:firstLineChars="200"/>
              <w:rPr>
                <w:rFonts w:cs="Times New Roman"/>
                <w:b w:val="0"/>
                <w:bCs w:val="0"/>
                <w:color w:val="auto"/>
                <w:highlight w:val="none"/>
              </w:rPr>
            </w:pPr>
            <w:r>
              <w:rPr>
                <w:rFonts w:ascii="Times New Roman" w:hAnsi="Times New Roman" w:cs="Times New Roman" w:eastAsiaTheme="minorEastAsia"/>
                <w:b w:val="0"/>
                <w:bCs w:val="0"/>
                <w:color w:val="auto"/>
                <w:kern w:val="2"/>
                <w:sz w:val="24"/>
                <w:szCs w:val="22"/>
                <w:highlight w:val="none"/>
                <w:lang w:val="en-US" w:eastAsia="zh-CN" w:bidi="ar-SA"/>
              </w:rPr>
              <w:t>（2）</w:t>
            </w:r>
            <w:r>
              <w:rPr>
                <w:rFonts w:cs="Times New Roman"/>
                <w:b w:val="0"/>
                <w:bCs w:val="0"/>
                <w:color w:val="auto"/>
                <w:highlight w:val="none"/>
              </w:rPr>
              <w:t>施工人员生活污水</w:t>
            </w:r>
          </w:p>
          <w:p w14:paraId="75C30259">
            <w:pPr>
              <w:numPr>
                <w:ilvl w:val="0"/>
                <w:numId w:val="0"/>
              </w:numPr>
              <w:adjustRightInd w:val="0"/>
              <w:snapToGrid w:val="0"/>
              <w:ind w:firstLine="480" w:firstLineChars="200"/>
              <w:rPr>
                <w:rFonts w:cs="Times New Roman"/>
                <w:color w:val="auto"/>
                <w:highlight w:val="none"/>
              </w:rPr>
            </w:pPr>
            <w:r>
              <w:rPr>
                <w:rFonts w:hint="eastAsia" w:cs="Times New Roman"/>
                <w:color w:val="auto"/>
                <w:highlight w:val="none"/>
                <w:lang w:val="en-US" w:eastAsia="zh-CN"/>
              </w:rPr>
              <w:t>本项目</w:t>
            </w:r>
            <w:r>
              <w:rPr>
                <w:rFonts w:cs="Times New Roman"/>
                <w:color w:val="auto"/>
                <w:highlight w:val="none"/>
              </w:rPr>
              <w:t>施工期施工人员约</w:t>
            </w:r>
            <w:r>
              <w:rPr>
                <w:rFonts w:hint="eastAsia" w:cs="Times New Roman"/>
                <w:color w:val="auto"/>
                <w:highlight w:val="none"/>
                <w:lang w:val="en-US" w:eastAsia="zh-CN"/>
              </w:rPr>
              <w:t>10</w:t>
            </w:r>
            <w:r>
              <w:rPr>
                <w:rFonts w:cs="Times New Roman"/>
                <w:color w:val="auto"/>
                <w:highlight w:val="none"/>
              </w:rPr>
              <w:t>人，不在</w:t>
            </w:r>
            <w:r>
              <w:rPr>
                <w:rFonts w:hint="eastAsia" w:cs="Times New Roman"/>
                <w:color w:val="auto"/>
                <w:highlight w:val="none"/>
                <w:lang w:val="en-US" w:eastAsia="zh-CN"/>
              </w:rPr>
              <w:t>施工区</w:t>
            </w:r>
            <w:r>
              <w:rPr>
                <w:rFonts w:cs="Times New Roman"/>
                <w:color w:val="auto"/>
                <w:highlight w:val="none"/>
              </w:rPr>
              <w:t>内食宿，根据《建筑施工计算手册》临时设施施工，以每人每天用水量0.06m</w:t>
            </w:r>
            <w:r>
              <w:rPr>
                <w:rFonts w:cs="Times New Roman"/>
                <w:color w:val="auto"/>
                <w:highlight w:val="none"/>
                <w:vertAlign w:val="superscript"/>
              </w:rPr>
              <w:t>3</w:t>
            </w:r>
            <w:r>
              <w:rPr>
                <w:rFonts w:cs="Times New Roman"/>
                <w:color w:val="auto"/>
                <w:highlight w:val="none"/>
              </w:rPr>
              <w:t>计，则施工期施工人员用水量为</w:t>
            </w:r>
            <w:r>
              <w:rPr>
                <w:rFonts w:hint="eastAsia" w:cs="Times New Roman"/>
                <w:color w:val="auto"/>
                <w:highlight w:val="none"/>
                <w:lang w:val="en-US" w:eastAsia="zh-CN"/>
              </w:rPr>
              <w:t>0.6</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/d，废水产生系数取0.8，施工过程中废水产生量为0.</w:t>
            </w:r>
            <w:r>
              <w:rPr>
                <w:rFonts w:hint="eastAsia" w:cs="Times New Roman"/>
                <w:color w:val="auto"/>
                <w:highlight w:val="none"/>
                <w:lang w:val="en-US" w:eastAsia="zh-CN"/>
              </w:rPr>
              <w:t>48</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/d，施工人员来自附近村落，</w:t>
            </w:r>
            <w:r>
              <w:rPr>
                <w:rFonts w:hint="eastAsia"/>
                <w:color w:val="auto"/>
                <w:highlight w:val="none"/>
                <w:lang w:val="en-GB" w:eastAsia="zh-CN"/>
              </w:rPr>
              <w:t>生活污水排入化粪池</w:t>
            </w:r>
            <w:r>
              <w:rPr>
                <w:rFonts w:cs="Times New Roman"/>
                <w:color w:val="auto"/>
                <w:highlight w:val="none"/>
              </w:rPr>
              <w:t>，定期清掏用作农肥</w:t>
            </w:r>
            <w:r>
              <w:rPr>
                <w:rFonts w:hint="eastAsia" w:cs="Times New Roman"/>
                <w:color w:val="auto"/>
                <w:highlight w:val="none"/>
                <w:lang w:eastAsia="zh-CN"/>
              </w:rPr>
              <w:t>，不外排</w:t>
            </w:r>
            <w:r>
              <w:rPr>
                <w:rFonts w:cs="Times New Roman"/>
                <w:color w:val="auto"/>
                <w:highlight w:val="none"/>
              </w:rPr>
              <w:t>。少量生活盥洗水收集后作施工场地、道路和绿化洒水，不会对周围地表水环境产生明显不利影响。</w:t>
            </w:r>
          </w:p>
          <w:p w14:paraId="45D0A8CB">
            <w:pPr>
              <w:adjustRightInd w:val="0"/>
              <w:snapToGrid w:val="0"/>
              <w:ind w:firstLine="482" w:firstLineChars="200"/>
              <w:rPr>
                <w:rFonts w:cs="Times New Roman"/>
                <w:b/>
                <w:color w:val="auto"/>
                <w:highlight w:val="none"/>
              </w:rPr>
            </w:pPr>
            <w:r>
              <w:rPr>
                <w:rFonts w:hint="eastAsia" w:cs="Times New Roman"/>
                <w:b/>
                <w:color w:val="auto"/>
                <w:highlight w:val="none"/>
                <w:lang w:val="en-US" w:eastAsia="zh-CN"/>
              </w:rPr>
              <w:t>（三）噪声</w:t>
            </w:r>
            <w:r>
              <w:rPr>
                <w:rFonts w:cs="Times New Roman"/>
                <w:b/>
                <w:bCs/>
                <w:color w:val="auto"/>
                <w:highlight w:val="none"/>
              </w:rPr>
              <w:t>影响保护措施</w:t>
            </w:r>
          </w:p>
          <w:p w14:paraId="722E6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cs="Times New Roman"/>
                <w:color w:val="auto"/>
                <w:highlight w:val="none"/>
              </w:rPr>
              <w:t>根据类比调查及本项目提供的</w:t>
            </w:r>
            <w:r>
              <w:rPr>
                <w:rFonts w:hint="eastAsia" w:cs="Times New Roman"/>
                <w:color w:val="auto"/>
                <w:highlight w:val="none"/>
                <w:lang w:val="en-US" w:eastAsia="zh-CN"/>
              </w:rPr>
              <w:t>施工期</w:t>
            </w:r>
            <w:r>
              <w:rPr>
                <w:rFonts w:cs="Times New Roman"/>
                <w:color w:val="auto"/>
                <w:highlight w:val="none"/>
              </w:rPr>
              <w:t>主要设备等有关资料分析，设备高达90dB</w:t>
            </w:r>
            <w:r>
              <w:rPr>
                <w:rFonts w:hint="eastAsia" w:cs="Times New Roman"/>
                <w:color w:val="auto"/>
                <w:highlight w:val="none"/>
                <w:lang w:eastAsia="zh-CN"/>
              </w:rPr>
              <w:t>（</w:t>
            </w:r>
            <w:r>
              <w:rPr>
                <w:rFonts w:cs="Times New Roman"/>
                <w:color w:val="auto"/>
                <w:highlight w:val="none"/>
              </w:rPr>
              <w:t>A</w:t>
            </w:r>
            <w:r>
              <w:rPr>
                <w:rFonts w:hint="eastAsia" w:cs="Times New Roman"/>
                <w:color w:val="auto"/>
                <w:highlight w:val="none"/>
                <w:lang w:eastAsia="zh-CN"/>
              </w:rPr>
              <w:t>）</w:t>
            </w:r>
            <w:r>
              <w:rPr>
                <w:rFonts w:cs="Times New Roman"/>
                <w:color w:val="auto"/>
                <w:highlight w:val="none"/>
              </w:rPr>
              <w:t>以上的噪声源施工机械主要有挖掘机、振均机、电钻等。</w:t>
            </w:r>
            <w:r>
              <w:rPr>
                <w:rFonts w:hint="eastAsia" w:cs="Times New Roman"/>
                <w:color w:val="auto"/>
                <w:highlight w:val="none"/>
                <w:lang w:val="en-US" w:eastAsia="zh-CN"/>
              </w:rPr>
              <w:t>距离本项目最近的敏感点为项目所在地东南侧47m处的新民庄村东庄，</w:t>
            </w:r>
            <w:r>
              <w:rPr>
                <w:rFonts w:hint="default" w:ascii="Times New Roman" w:hAnsi="Times New Roman" w:eastAsia="宋体" w:cs="Times New Roman"/>
                <w:bCs/>
                <w:color w:val="auto"/>
                <w:spacing w:val="0"/>
                <w:kern w:val="21"/>
                <w:sz w:val="24"/>
                <w:szCs w:val="24"/>
                <w:highlight w:val="none"/>
              </w:rPr>
              <w:t>为减少施工噪声对环境的影响，要求建设单位在工程施工期采取以下噪声控制措施：</w:t>
            </w:r>
          </w:p>
          <w:p w14:paraId="44672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hint="default" w:ascii="Times New Roman" w:hAnsi="Times New Roman" w:eastAsia="宋体" w:cs="Times New Roman"/>
                <w:bCs/>
                <w:color w:val="auto"/>
                <w:spacing w:val="0"/>
                <w:kern w:val="21"/>
                <w:sz w:val="24"/>
                <w:szCs w:val="24"/>
                <w:highlight w:val="none"/>
              </w:rPr>
              <w:t>（1）合理安排施工方式，控制噪声环境污染；</w:t>
            </w:r>
          </w:p>
          <w:p w14:paraId="112CEA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hint="default" w:ascii="Times New Roman" w:hAnsi="Times New Roman" w:eastAsia="宋体" w:cs="Times New Roman"/>
                <w:bCs/>
                <w:color w:val="auto"/>
                <w:spacing w:val="0"/>
                <w:kern w:val="21"/>
                <w:sz w:val="24"/>
                <w:szCs w:val="24"/>
                <w:highlight w:val="none"/>
              </w:rPr>
              <w:t>（2）严格操作规程，加强施工机械管理，</w:t>
            </w:r>
            <w:r>
              <w:rPr>
                <w:rFonts w:hint="eastAsia" w:cs="Times New Roman"/>
                <w:color w:val="auto"/>
                <w:highlight w:val="none"/>
                <w:lang w:val="en-US" w:eastAsia="zh-CN"/>
              </w:rPr>
              <w:t>施工过程保持轻拿轻放，避免突发噪声，</w:t>
            </w:r>
            <w:r>
              <w:rPr>
                <w:rFonts w:hint="default" w:ascii="Times New Roman" w:hAnsi="Times New Roman" w:eastAsia="宋体" w:cs="Times New Roman"/>
                <w:bCs/>
                <w:color w:val="auto"/>
                <w:spacing w:val="0"/>
                <w:kern w:val="21"/>
                <w:sz w:val="24"/>
                <w:szCs w:val="24"/>
                <w:highlight w:val="none"/>
              </w:rPr>
              <w:t>降低人为噪声影响；</w:t>
            </w:r>
          </w:p>
          <w:p w14:paraId="7B892D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hint="default" w:ascii="Times New Roman" w:hAnsi="Times New Roman" w:eastAsia="宋体" w:cs="Times New Roman"/>
                <w:bCs/>
                <w:color w:val="auto"/>
                <w:spacing w:val="0"/>
                <w:kern w:val="21"/>
                <w:sz w:val="24"/>
                <w:szCs w:val="24"/>
                <w:highlight w:val="none"/>
              </w:rPr>
              <w:t>（3）施工尽量采用噪声较低的施工设备，并加强维修保养。采取有效的隔声、减振、消声措施，降低噪声级；</w:t>
            </w:r>
          </w:p>
          <w:p w14:paraId="555C1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hint="default" w:ascii="Times New Roman" w:hAnsi="Times New Roman" w:eastAsia="宋体" w:cs="Times New Roman"/>
                <w:bCs/>
                <w:color w:val="auto"/>
                <w:spacing w:val="0"/>
                <w:kern w:val="21"/>
                <w:sz w:val="24"/>
                <w:szCs w:val="24"/>
                <w:highlight w:val="none"/>
              </w:rPr>
              <w:t>（4）严格控制时间，夜间（22:00~06:00）禁止施工，防止影响周边居民的正常生活。</w:t>
            </w:r>
          </w:p>
          <w:p w14:paraId="5C342AC3">
            <w:pPr>
              <w:pStyle w:val="3"/>
              <w:keepNext/>
              <w:keepLines/>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color w:val="auto"/>
                <w:spacing w:val="0"/>
                <w:kern w:val="21"/>
                <w:sz w:val="24"/>
                <w:szCs w:val="24"/>
                <w:highlight w:val="none"/>
                <w:lang w:val="en-US" w:eastAsia="zh-CN" w:bidi="ar-SA"/>
              </w:rPr>
            </w:pPr>
            <w:r>
              <w:rPr>
                <w:rFonts w:hint="default" w:ascii="Times New Roman" w:hAnsi="Times New Roman" w:eastAsia="宋体" w:cs="Times New Roman"/>
                <w:b w:val="0"/>
                <w:bCs/>
                <w:color w:val="auto"/>
                <w:spacing w:val="0"/>
                <w:kern w:val="21"/>
                <w:sz w:val="24"/>
                <w:szCs w:val="24"/>
                <w:highlight w:val="none"/>
                <w:lang w:val="en-US" w:eastAsia="zh-CN" w:bidi="ar-SA"/>
              </w:rPr>
              <w:t>采取上述措施后，项目施工噪声可得到有效控制，对周围声环境的影响较小。</w:t>
            </w:r>
          </w:p>
          <w:p w14:paraId="3E51A95B">
            <w:pPr>
              <w:adjustRightInd w:val="0"/>
              <w:snapToGrid w:val="0"/>
              <w:ind w:firstLine="482" w:firstLineChars="200"/>
              <w:rPr>
                <w:rFonts w:cs="Times New Roman"/>
                <w:b/>
                <w:color w:val="auto"/>
                <w:highlight w:val="none"/>
              </w:rPr>
            </w:pPr>
            <w:r>
              <w:rPr>
                <w:rFonts w:hint="eastAsia" w:cs="Times New Roman"/>
                <w:b/>
                <w:color w:val="auto"/>
                <w:highlight w:val="none"/>
                <w:lang w:val="en-US" w:eastAsia="zh-CN"/>
              </w:rPr>
              <w:t>（四）</w:t>
            </w:r>
            <w:r>
              <w:rPr>
                <w:rFonts w:hint="default" w:ascii="Times New Roman" w:hAnsi="Times New Roman" w:eastAsia="宋体" w:cs="Times New Roman"/>
                <w:b/>
                <w:bCs w:val="0"/>
                <w:color w:val="auto"/>
                <w:spacing w:val="0"/>
                <w:kern w:val="21"/>
                <w:sz w:val="24"/>
                <w:szCs w:val="24"/>
                <w:highlight w:val="none"/>
              </w:rPr>
              <w:t>固体废物</w:t>
            </w:r>
            <w:r>
              <w:rPr>
                <w:rFonts w:cs="Times New Roman"/>
                <w:b/>
                <w:bCs/>
                <w:color w:val="auto"/>
                <w:highlight w:val="none"/>
              </w:rPr>
              <w:t>影响保护措施</w:t>
            </w:r>
          </w:p>
          <w:p w14:paraId="4F3D63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pacing w:val="0"/>
                <w:kern w:val="21"/>
                <w:sz w:val="24"/>
                <w:szCs w:val="24"/>
                <w:highlight w:val="none"/>
              </w:rPr>
            </w:pPr>
            <w:r>
              <w:rPr>
                <w:rFonts w:hint="default" w:ascii="Times New Roman" w:hAnsi="Times New Roman" w:eastAsia="宋体" w:cs="Times New Roman"/>
                <w:bCs/>
                <w:color w:val="auto"/>
                <w:spacing w:val="0"/>
                <w:kern w:val="21"/>
                <w:sz w:val="24"/>
                <w:szCs w:val="24"/>
                <w:highlight w:val="none"/>
              </w:rPr>
              <w:t>本项目</w:t>
            </w:r>
            <w:r>
              <w:rPr>
                <w:rFonts w:hint="eastAsia" w:eastAsia="宋体" w:cs="Times New Roman"/>
                <w:bCs/>
                <w:color w:val="auto"/>
                <w:spacing w:val="0"/>
                <w:kern w:val="21"/>
                <w:sz w:val="24"/>
                <w:szCs w:val="24"/>
                <w:highlight w:val="none"/>
                <w:lang w:val="en-US" w:eastAsia="zh-CN"/>
              </w:rPr>
              <w:t>依托现有厂房，不涉及土建施工，</w:t>
            </w:r>
            <w:r>
              <w:rPr>
                <w:rFonts w:hint="default" w:ascii="Times New Roman" w:hAnsi="Times New Roman" w:eastAsia="宋体" w:cs="Times New Roman"/>
                <w:bCs/>
                <w:color w:val="auto"/>
                <w:spacing w:val="0"/>
                <w:kern w:val="21"/>
                <w:sz w:val="24"/>
                <w:szCs w:val="24"/>
                <w:highlight w:val="none"/>
              </w:rPr>
              <w:t>施工期固体废物主要为</w:t>
            </w:r>
            <w:r>
              <w:rPr>
                <w:rFonts w:cs="Times New Roman"/>
                <w:color w:val="auto"/>
                <w:highlight w:val="none"/>
              </w:rPr>
              <w:t>施工产生的</w:t>
            </w:r>
            <w:r>
              <w:rPr>
                <w:rFonts w:hint="default" w:ascii="Times New Roman" w:hAnsi="Times New Roman" w:eastAsia="宋体" w:cs="Times New Roman"/>
                <w:bCs/>
                <w:color w:val="auto"/>
                <w:spacing w:val="0"/>
                <w:kern w:val="21"/>
                <w:sz w:val="24"/>
                <w:szCs w:val="24"/>
                <w:highlight w:val="none"/>
              </w:rPr>
              <w:t>包装</w:t>
            </w:r>
            <w:r>
              <w:rPr>
                <w:rFonts w:hint="eastAsia" w:ascii="Times New Roman" w:hAnsi="Times New Roman" w:eastAsia="宋体" w:cs="Times New Roman"/>
                <w:bCs/>
                <w:color w:val="auto"/>
                <w:spacing w:val="0"/>
                <w:kern w:val="21"/>
                <w:sz w:val="24"/>
                <w:szCs w:val="24"/>
                <w:highlight w:val="none"/>
                <w:lang w:val="en-US" w:eastAsia="zh-CN"/>
              </w:rPr>
              <w:t>材料</w:t>
            </w:r>
            <w:r>
              <w:rPr>
                <w:rFonts w:hint="default" w:ascii="Times New Roman" w:hAnsi="Times New Roman" w:eastAsia="宋体" w:cs="Times New Roman"/>
                <w:bCs/>
                <w:color w:val="auto"/>
                <w:spacing w:val="0"/>
                <w:kern w:val="21"/>
                <w:sz w:val="24"/>
                <w:szCs w:val="24"/>
                <w:highlight w:val="none"/>
              </w:rPr>
              <w:t>、施工人员的生活垃圾</w:t>
            </w:r>
            <w:r>
              <w:rPr>
                <w:rFonts w:hint="eastAsia" w:ascii="Times New Roman" w:hAnsi="Times New Roman" w:eastAsia="宋体" w:cs="Times New Roman"/>
                <w:bCs/>
                <w:color w:val="auto"/>
                <w:spacing w:val="0"/>
                <w:kern w:val="21"/>
                <w:sz w:val="24"/>
                <w:szCs w:val="24"/>
                <w:highlight w:val="none"/>
                <w:lang w:val="en-US" w:eastAsia="zh-CN"/>
              </w:rPr>
              <w:t>等</w:t>
            </w:r>
            <w:r>
              <w:rPr>
                <w:rFonts w:hint="default" w:ascii="Times New Roman" w:hAnsi="Times New Roman" w:eastAsia="宋体" w:cs="Times New Roman"/>
                <w:bCs/>
                <w:color w:val="auto"/>
                <w:spacing w:val="0"/>
                <w:kern w:val="21"/>
                <w:sz w:val="24"/>
                <w:szCs w:val="24"/>
                <w:highlight w:val="none"/>
              </w:rPr>
              <w:t>。</w:t>
            </w:r>
            <w:r>
              <w:rPr>
                <w:rFonts w:hint="eastAsia" w:cs="Times New Roman"/>
                <w:color w:val="auto"/>
                <w:highlight w:val="none"/>
                <w:lang w:val="en-US" w:eastAsia="zh-CN"/>
              </w:rPr>
              <w:t>施工过程产生的</w:t>
            </w:r>
            <w:r>
              <w:rPr>
                <w:rStyle w:val="65"/>
                <w:rFonts w:hint="eastAsia" w:ascii="宋体" w:hAnsi="宋体" w:eastAsia="宋体" w:cs="宋体"/>
                <w:color w:val="auto"/>
                <w:highlight w:val="none"/>
                <w:lang w:eastAsia="zh-CN"/>
              </w:rPr>
              <w:t>各种包装材料</w:t>
            </w:r>
            <w:r>
              <w:rPr>
                <w:rFonts w:cs="Times New Roman"/>
                <w:color w:val="auto"/>
                <w:highlight w:val="none"/>
              </w:rPr>
              <w:t>应</w:t>
            </w:r>
            <w:r>
              <w:rPr>
                <w:rFonts w:hint="eastAsia" w:cs="Times New Roman"/>
                <w:color w:val="auto"/>
                <w:highlight w:val="none"/>
                <w:lang w:val="en-US" w:eastAsia="zh-CN"/>
              </w:rPr>
              <w:t>收集</w:t>
            </w:r>
            <w:r>
              <w:rPr>
                <w:rFonts w:hint="default" w:ascii="Times New Roman" w:hAnsi="Times New Roman" w:eastAsia="宋体" w:cs="Times New Roman"/>
                <w:bCs/>
                <w:color w:val="auto"/>
                <w:spacing w:val="0"/>
                <w:kern w:val="21"/>
                <w:sz w:val="24"/>
                <w:szCs w:val="24"/>
                <w:highlight w:val="none"/>
              </w:rPr>
              <w:t>，</w:t>
            </w:r>
            <w:r>
              <w:rPr>
                <w:rFonts w:hint="eastAsia" w:ascii="Times New Roman" w:hAnsi="Times New Roman" w:eastAsia="宋体" w:cs="Times New Roman"/>
                <w:bCs/>
                <w:color w:val="auto"/>
                <w:spacing w:val="0"/>
                <w:kern w:val="21"/>
                <w:sz w:val="24"/>
                <w:szCs w:val="24"/>
                <w:highlight w:val="none"/>
                <w:lang w:val="en-US" w:eastAsia="zh-CN"/>
              </w:rPr>
              <w:t>定期外售综合利用</w:t>
            </w:r>
            <w:r>
              <w:rPr>
                <w:rFonts w:hint="eastAsia" w:eastAsia="宋体" w:cs="Times New Roman"/>
                <w:color w:val="auto"/>
                <w:kern w:val="0"/>
                <w:highlight w:val="none"/>
                <w:lang w:eastAsia="zh-CN"/>
              </w:rPr>
              <w:t>；</w:t>
            </w:r>
            <w:r>
              <w:rPr>
                <w:rFonts w:cs="Times New Roman"/>
                <w:color w:val="auto"/>
                <w:highlight w:val="none"/>
              </w:rPr>
              <w:t>施工人员不在项目区住宿，生活垃圾分类收集后交环卫部门统一</w:t>
            </w:r>
            <w:r>
              <w:rPr>
                <w:rFonts w:hint="default" w:ascii="Times New Roman" w:hAnsi="Times New Roman" w:eastAsia="宋体" w:cs="Times New Roman"/>
                <w:bCs/>
                <w:color w:val="auto"/>
                <w:spacing w:val="0"/>
                <w:kern w:val="21"/>
                <w:sz w:val="24"/>
                <w:szCs w:val="24"/>
                <w:highlight w:val="none"/>
              </w:rPr>
              <w:t>清运</w:t>
            </w:r>
            <w:r>
              <w:rPr>
                <w:rFonts w:cs="Times New Roman"/>
                <w:color w:val="auto"/>
                <w:highlight w:val="none"/>
              </w:rPr>
              <w:t>。</w:t>
            </w:r>
          </w:p>
          <w:p w14:paraId="3CB5F669">
            <w:pPr>
              <w:numPr>
                <w:ilvl w:val="0"/>
                <w:numId w:val="0"/>
              </w:numPr>
              <w:adjustRightInd w:val="0"/>
              <w:snapToGrid w:val="0"/>
              <w:ind w:firstLine="480" w:firstLineChars="200"/>
              <w:rPr>
                <w:color w:val="auto"/>
                <w:highlight w:val="none"/>
              </w:rPr>
            </w:pPr>
            <w:r>
              <w:rPr>
                <w:rFonts w:hint="default" w:ascii="Times New Roman" w:hAnsi="Times New Roman" w:eastAsia="宋体" w:cs="Times New Roman"/>
                <w:bCs/>
                <w:color w:val="auto"/>
                <w:spacing w:val="0"/>
                <w:kern w:val="21"/>
                <w:sz w:val="24"/>
                <w:szCs w:val="24"/>
                <w:highlight w:val="none"/>
              </w:rPr>
              <w:t>采取上述措施后，项目施工期产生的污染去向明确，不产生二次污染，对环境影响较小。</w:t>
            </w:r>
          </w:p>
        </w:tc>
      </w:tr>
      <w:tr w14:paraId="77E82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40" w:type="pct"/>
          <w:wAfter w:w="52" w:type="pct"/>
          <w:jc w:val="center"/>
        </w:trPr>
        <w:tc>
          <w:tcPr>
            <w:tcW w:w="209" w:type="pct"/>
            <w:tcMar>
              <w:left w:w="28" w:type="dxa"/>
              <w:right w:w="28" w:type="dxa"/>
            </w:tcMar>
            <w:vAlign w:val="center"/>
          </w:tcPr>
          <w:p w14:paraId="05B8EB75">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运营</w:t>
            </w:r>
          </w:p>
          <w:p w14:paraId="75D21BDC">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期环</w:t>
            </w:r>
          </w:p>
          <w:p w14:paraId="2C3589FE">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境影</w:t>
            </w:r>
          </w:p>
          <w:p w14:paraId="652FDF8A">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响和</w:t>
            </w:r>
          </w:p>
          <w:p w14:paraId="182F06E8">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保护</w:t>
            </w:r>
          </w:p>
          <w:p w14:paraId="5400EB45">
            <w:pPr>
              <w:adjustRightInd w:val="0"/>
              <w:snapToGrid w:val="0"/>
              <w:spacing w:line="240" w:lineRule="auto"/>
              <w:jc w:val="center"/>
              <w:rPr>
                <w:rFonts w:cs="Times New Roman"/>
                <w:color w:val="auto"/>
                <w:kern w:val="21"/>
                <w:szCs w:val="24"/>
                <w:highlight w:val="none"/>
              </w:rPr>
            </w:pPr>
            <w:r>
              <w:rPr>
                <w:rFonts w:cs="Times New Roman"/>
                <w:color w:val="auto"/>
                <w:kern w:val="21"/>
                <w:szCs w:val="24"/>
                <w:highlight w:val="none"/>
              </w:rPr>
              <w:t>措施</w:t>
            </w:r>
          </w:p>
        </w:tc>
        <w:tc>
          <w:tcPr>
            <w:tcW w:w="4697" w:type="pct"/>
            <w:gridSpan w:val="2"/>
          </w:tcPr>
          <w:p w14:paraId="1D2A564C">
            <w:pPr>
              <w:adjustRightInd w:val="0"/>
              <w:snapToGrid w:val="0"/>
              <w:spacing w:before="120" w:beforeLines="50"/>
              <w:ind w:firstLine="482" w:firstLineChars="200"/>
              <w:rPr>
                <w:rFonts w:cs="Times New Roman"/>
                <w:b/>
                <w:color w:val="auto"/>
                <w:highlight w:val="none"/>
              </w:rPr>
            </w:pPr>
            <w:r>
              <w:rPr>
                <w:rFonts w:hint="eastAsia" w:cs="Times New Roman"/>
                <w:b/>
                <w:color w:val="auto"/>
                <w:highlight w:val="none"/>
                <w:lang w:val="en-US" w:eastAsia="zh-CN"/>
              </w:rPr>
              <w:t>（一）</w:t>
            </w:r>
            <w:r>
              <w:rPr>
                <w:rFonts w:cs="Times New Roman"/>
                <w:b/>
                <w:color w:val="auto"/>
                <w:highlight w:val="none"/>
              </w:rPr>
              <w:t>大气环境影响分析</w:t>
            </w:r>
          </w:p>
          <w:p w14:paraId="3EE43135">
            <w:pPr>
              <w:adjustRightInd w:val="0"/>
              <w:snapToGrid w:val="0"/>
              <w:ind w:firstLine="482" w:firstLineChars="200"/>
              <w:rPr>
                <w:rFonts w:cs="Times New Roman"/>
                <w:b/>
                <w:bCs/>
                <w:color w:val="auto"/>
                <w:highlight w:val="none"/>
              </w:rPr>
            </w:pPr>
            <w:bookmarkStart w:id="1" w:name="_Hlk155190539"/>
            <w:r>
              <w:rPr>
                <w:rFonts w:hint="eastAsia" w:cs="Times New Roman"/>
                <w:b/>
                <w:bCs/>
                <w:color w:val="auto"/>
                <w:highlight w:val="none"/>
                <w:lang w:val="en-US" w:eastAsia="zh-CN"/>
              </w:rPr>
              <w:t>1、</w:t>
            </w:r>
            <w:r>
              <w:rPr>
                <w:rFonts w:cs="Times New Roman"/>
                <w:b/>
                <w:bCs/>
                <w:color w:val="auto"/>
                <w:highlight w:val="none"/>
              </w:rPr>
              <w:t>废气</w:t>
            </w:r>
            <w:r>
              <w:rPr>
                <w:rFonts w:hint="eastAsia" w:cs="Times New Roman"/>
                <w:b/>
                <w:bCs/>
                <w:color w:val="auto"/>
                <w:highlight w:val="none"/>
                <w:lang w:eastAsia="zh-CN"/>
              </w:rPr>
              <w:t>污染物源强</w:t>
            </w:r>
            <w:r>
              <w:rPr>
                <w:rFonts w:hint="eastAsia" w:cs="Times New Roman"/>
                <w:b/>
                <w:bCs/>
                <w:color w:val="auto"/>
                <w:highlight w:val="none"/>
              </w:rPr>
              <w:t>核算</w:t>
            </w:r>
          </w:p>
          <w:p w14:paraId="33A4F8CE">
            <w:pPr>
              <w:adjustRightInd w:val="0"/>
              <w:snapToGrid w:val="0"/>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项目运营期大气污染物主要为物料堆存和装卸、物料输送、破碎和筛分、配料搅拌、水泥筒仓呼吸孔、车辆运输等过程产生的粉尘。本项目物料的</w:t>
            </w:r>
            <w:r>
              <w:rPr>
                <w:rFonts w:hint="eastAsia"/>
                <w:color w:val="auto"/>
                <w:highlight w:val="none"/>
              </w:rPr>
              <w:t>堆</w:t>
            </w:r>
            <w:r>
              <w:rPr>
                <w:rFonts w:hint="eastAsia"/>
                <w:color w:val="auto"/>
                <w:highlight w:val="none"/>
                <w:lang w:val="en-US" w:eastAsia="zh-CN"/>
              </w:rPr>
              <w:t>存装卸</w:t>
            </w:r>
            <w:r>
              <w:rPr>
                <w:rFonts w:hint="eastAsia"/>
                <w:color w:val="auto"/>
                <w:highlight w:val="none"/>
              </w:rPr>
              <w:t>、</w:t>
            </w:r>
            <w:r>
              <w:rPr>
                <w:rFonts w:hint="eastAsia"/>
                <w:color w:val="auto"/>
                <w:highlight w:val="none"/>
                <w:lang w:val="en-US" w:eastAsia="zh-CN"/>
              </w:rPr>
              <w:t>输送和各生产工序等</w:t>
            </w:r>
            <w:r>
              <w:rPr>
                <w:rFonts w:hint="eastAsia" w:cs="Times New Roman"/>
                <w:color w:val="auto"/>
                <w:highlight w:val="none"/>
                <w:lang w:val="en-US" w:eastAsia="zh-CN"/>
              </w:rPr>
              <w:t>均在封闭式厂房内进行，</w:t>
            </w:r>
            <w:r>
              <w:rPr>
                <w:rFonts w:hint="default" w:ascii="Times New Roman" w:hAnsi="Times New Roman" w:eastAsia="宋体" w:cs="Times New Roman"/>
                <w:color w:val="auto"/>
                <w:sz w:val="24"/>
                <w:szCs w:val="24"/>
                <w:highlight w:val="none"/>
                <w:lang w:val="en-US" w:eastAsia="zh-CN"/>
              </w:rPr>
              <w:t>厂房内装配</w:t>
            </w:r>
            <w:r>
              <w:rPr>
                <w:rFonts w:hint="eastAsia" w:eastAsia="宋体" w:cs="Times New Roman"/>
                <w:color w:val="auto"/>
                <w:sz w:val="24"/>
                <w:szCs w:val="24"/>
                <w:highlight w:val="none"/>
                <w:lang w:val="en-US" w:eastAsia="zh-CN"/>
              </w:rPr>
              <w:t>雾化喷淋装置，喷雾降尘</w:t>
            </w:r>
            <w:r>
              <w:rPr>
                <w:rFonts w:hint="eastAsia" w:cs="Times New Roman"/>
                <w:color w:val="auto"/>
                <w:highlight w:val="none"/>
                <w:lang w:val="en-US" w:eastAsia="zh-CN"/>
              </w:rPr>
              <w:t>。粉尘均以无组织形式排放。</w:t>
            </w:r>
          </w:p>
          <w:p w14:paraId="7BF7E2C1">
            <w:pPr>
              <w:adjustRightInd w:val="0"/>
              <w:snapToGrid w:val="0"/>
              <w:ind w:firstLine="480" w:firstLineChars="200"/>
              <w:rPr>
                <w:rFonts w:hint="eastAsia" w:cs="Times New Roman"/>
                <w:color w:val="auto"/>
                <w:highlight w:val="none"/>
                <w:lang w:val="en-US" w:eastAsia="zh-CN"/>
              </w:rPr>
            </w:pPr>
            <w:r>
              <w:rPr>
                <w:rFonts w:hint="eastAsia" w:cs="Times New Roman"/>
                <w:color w:val="auto"/>
                <w:highlight w:val="none"/>
                <w:lang w:val="en-US" w:eastAsia="zh-CN"/>
              </w:rPr>
              <w:t>本项目废气治理与排放情况见表4-1。</w:t>
            </w:r>
          </w:p>
          <w:p w14:paraId="769018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bCs/>
                <w:color w:val="auto"/>
                <w:sz w:val="21"/>
                <w:szCs w:val="21"/>
                <w:highlight w:val="none"/>
              </w:rPr>
            </w:pPr>
            <w:r>
              <w:rPr>
                <w:rFonts w:hint="eastAsia" w:cs="Times New Roman"/>
                <w:b/>
                <w:bCs/>
                <w:color w:val="auto"/>
                <w:sz w:val="21"/>
                <w:szCs w:val="21"/>
                <w:highlight w:val="none"/>
              </w:rPr>
              <w:t>表4-</w:t>
            </w:r>
            <w:r>
              <w:rPr>
                <w:rFonts w:hint="eastAsia" w:cs="Times New Roman"/>
                <w:b/>
                <w:bCs/>
                <w:color w:val="auto"/>
                <w:sz w:val="21"/>
                <w:szCs w:val="21"/>
                <w:highlight w:val="none"/>
                <w:lang w:val="en-US" w:eastAsia="zh-CN"/>
              </w:rPr>
              <w:t xml:space="preserve">1 </w:t>
            </w:r>
            <w:r>
              <w:rPr>
                <w:rFonts w:hint="eastAsia" w:cs="Times New Roman"/>
                <w:b/>
                <w:bCs/>
                <w:color w:val="auto"/>
                <w:sz w:val="21"/>
                <w:szCs w:val="21"/>
                <w:highlight w:val="none"/>
              </w:rPr>
              <w:t>项目废气产生与排放情况</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52"/>
              <w:gridCol w:w="602"/>
              <w:gridCol w:w="915"/>
              <w:gridCol w:w="885"/>
              <w:gridCol w:w="1328"/>
              <w:gridCol w:w="1383"/>
              <w:gridCol w:w="859"/>
              <w:gridCol w:w="1423"/>
              <w:gridCol w:w="734"/>
            </w:tblGrid>
            <w:tr w14:paraId="4CB5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6DA653B0">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bookmarkStart w:id="2" w:name="_Hlk68886948"/>
                  <w:r>
                    <w:rPr>
                      <w:rFonts w:hint="default" w:ascii="Times New Roman" w:hAnsi="Times New Roman" w:cs="Times New Roman"/>
                      <w:b/>
                      <w:bCs/>
                      <w:color w:val="auto"/>
                      <w:sz w:val="21"/>
                      <w:szCs w:val="21"/>
                      <w:highlight w:val="none"/>
                      <w:lang w:eastAsia="zh-CN"/>
                    </w:rPr>
                    <w:t>序号</w:t>
                  </w:r>
                </w:p>
              </w:tc>
              <w:tc>
                <w:tcPr>
                  <w:tcW w:w="498" w:type="pct"/>
                  <w:tcBorders>
                    <w:tl2br w:val="nil"/>
                    <w:tr2bl w:val="nil"/>
                  </w:tcBorders>
                  <w:noWrap w:val="0"/>
                  <w:vAlign w:val="center"/>
                </w:tcPr>
                <w:p w14:paraId="10D087B3">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产污</w:t>
                  </w:r>
                </w:p>
                <w:p w14:paraId="53EB3A70">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环节</w:t>
                  </w:r>
                </w:p>
              </w:tc>
              <w:tc>
                <w:tcPr>
                  <w:tcW w:w="315" w:type="pct"/>
                  <w:tcBorders>
                    <w:tl2br w:val="nil"/>
                    <w:tr2bl w:val="nil"/>
                  </w:tcBorders>
                  <w:noWrap w:val="0"/>
                  <w:vAlign w:val="center"/>
                </w:tcPr>
                <w:p w14:paraId="6FAF000D">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w:t>
                  </w:r>
                </w:p>
                <w:p w14:paraId="789D59CF">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因子</w:t>
                  </w:r>
                </w:p>
              </w:tc>
              <w:tc>
                <w:tcPr>
                  <w:tcW w:w="479" w:type="pct"/>
                  <w:tcBorders>
                    <w:tl2br w:val="nil"/>
                    <w:tr2bl w:val="nil"/>
                  </w:tcBorders>
                  <w:noWrap w:val="0"/>
                  <w:vAlign w:val="center"/>
                </w:tcPr>
                <w:p w14:paraId="2116D2B6">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年产</w:t>
                  </w:r>
                </w:p>
                <w:p w14:paraId="297317D7">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生量</w:t>
                  </w:r>
                  <w:r>
                    <w:rPr>
                      <w:rFonts w:hint="default" w:ascii="Times New Roman" w:hAnsi="Times New Roman" w:eastAsia="宋体" w:cs="Times New Roman"/>
                      <w:b/>
                      <w:bCs/>
                      <w:color w:val="auto"/>
                      <w:sz w:val="21"/>
                      <w:szCs w:val="21"/>
                      <w:highlight w:val="none"/>
                    </w:rPr>
                    <w:t>t/a</w:t>
                  </w:r>
                </w:p>
              </w:tc>
              <w:tc>
                <w:tcPr>
                  <w:tcW w:w="463" w:type="pct"/>
                  <w:tcBorders>
                    <w:tl2br w:val="nil"/>
                    <w:tr2bl w:val="nil"/>
                  </w:tcBorders>
                  <w:noWrap w:val="0"/>
                  <w:vAlign w:val="center"/>
                </w:tcPr>
                <w:p w14:paraId="7C332A40">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排放形式</w:t>
                  </w:r>
                </w:p>
              </w:tc>
              <w:tc>
                <w:tcPr>
                  <w:tcW w:w="695" w:type="pct"/>
                  <w:tcBorders>
                    <w:tl2br w:val="nil"/>
                    <w:tr2bl w:val="nil"/>
                  </w:tcBorders>
                  <w:noWrap w:val="0"/>
                  <w:vAlign w:val="center"/>
                </w:tcPr>
                <w:p w14:paraId="3AAA06B6">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治理</w:t>
                  </w:r>
                </w:p>
                <w:p w14:paraId="06B82086">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工艺</w:t>
                  </w:r>
                </w:p>
              </w:tc>
              <w:tc>
                <w:tcPr>
                  <w:tcW w:w="724" w:type="pct"/>
                  <w:tcBorders>
                    <w:tl2br w:val="nil"/>
                    <w:tr2bl w:val="nil"/>
                  </w:tcBorders>
                  <w:noWrap w:val="0"/>
                  <w:vAlign w:val="center"/>
                </w:tcPr>
                <w:p w14:paraId="78E46353">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治理</w:t>
                  </w:r>
                </w:p>
                <w:p w14:paraId="0D52C8E8">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措施</w:t>
                  </w:r>
                </w:p>
              </w:tc>
              <w:tc>
                <w:tcPr>
                  <w:tcW w:w="449" w:type="pct"/>
                  <w:tcBorders>
                    <w:tl2br w:val="nil"/>
                    <w:tr2bl w:val="nil"/>
                  </w:tcBorders>
                  <w:noWrap w:val="0"/>
                  <w:vAlign w:val="center"/>
                </w:tcPr>
                <w:p w14:paraId="35D6DE05">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收集效率</w:t>
                  </w:r>
                </w:p>
              </w:tc>
              <w:tc>
                <w:tcPr>
                  <w:tcW w:w="745" w:type="pct"/>
                  <w:tcBorders>
                    <w:tl2br w:val="nil"/>
                    <w:tr2bl w:val="nil"/>
                  </w:tcBorders>
                  <w:noWrap w:val="0"/>
                  <w:vAlign w:val="center"/>
                </w:tcPr>
                <w:p w14:paraId="6D7F98C1">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w:t>
                  </w:r>
                </w:p>
                <w:p w14:paraId="0057148F">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效率</w:t>
                  </w:r>
                </w:p>
              </w:tc>
              <w:tc>
                <w:tcPr>
                  <w:tcW w:w="384" w:type="pct"/>
                  <w:tcBorders>
                    <w:tl2br w:val="nil"/>
                    <w:tr2bl w:val="nil"/>
                  </w:tcBorders>
                  <w:noWrap w:val="0"/>
                  <w:vAlign w:val="center"/>
                </w:tcPr>
                <w:p w14:paraId="35D96215">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年排放量t/a</w:t>
                  </w:r>
                </w:p>
              </w:tc>
            </w:tr>
            <w:tr w14:paraId="433B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0A897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cs="Times New Roman"/>
                      <w:b w:val="0"/>
                      <w:color w:val="auto"/>
                      <w:kern w:val="2"/>
                      <w:sz w:val="21"/>
                      <w:szCs w:val="21"/>
                      <w:highlight w:val="none"/>
                      <w:vertAlign w:val="baseline"/>
                      <w:lang w:val="en-US" w:eastAsia="zh-CN" w:bidi="ar-SA"/>
                    </w:rPr>
                    <w:t>1</w:t>
                  </w:r>
                </w:p>
              </w:tc>
              <w:tc>
                <w:tcPr>
                  <w:tcW w:w="498" w:type="pct"/>
                  <w:tcBorders>
                    <w:tl2br w:val="nil"/>
                    <w:tr2bl w:val="nil"/>
                  </w:tcBorders>
                  <w:noWrap w:val="0"/>
                  <w:vAlign w:val="center"/>
                </w:tcPr>
                <w:p w14:paraId="4294C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堆存</w:t>
                  </w:r>
                  <w:r>
                    <w:rPr>
                      <w:rFonts w:hint="eastAsia" w:eastAsia="宋体" w:cs="Times New Roman"/>
                      <w:b w:val="0"/>
                      <w:color w:val="auto"/>
                      <w:kern w:val="2"/>
                      <w:sz w:val="21"/>
                      <w:szCs w:val="21"/>
                      <w:highlight w:val="none"/>
                      <w:vertAlign w:val="baseline"/>
                      <w:lang w:val="en-US" w:eastAsia="zh-CN" w:bidi="ar-SA"/>
                    </w:rPr>
                    <w:t>、</w:t>
                  </w:r>
                  <w:r>
                    <w:rPr>
                      <w:rFonts w:hint="default" w:ascii="Times New Roman" w:hAnsi="Times New Roman" w:eastAsia="宋体" w:cs="Times New Roman"/>
                      <w:b w:val="0"/>
                      <w:color w:val="auto"/>
                      <w:kern w:val="2"/>
                      <w:sz w:val="21"/>
                      <w:szCs w:val="21"/>
                      <w:highlight w:val="none"/>
                      <w:vertAlign w:val="baseline"/>
                      <w:lang w:val="en-US" w:eastAsia="zh-CN" w:bidi="ar-SA"/>
                    </w:rPr>
                    <w:t>装卸粉尘</w:t>
                  </w:r>
                </w:p>
              </w:tc>
              <w:tc>
                <w:tcPr>
                  <w:tcW w:w="315" w:type="pct"/>
                  <w:tcBorders>
                    <w:tl2br w:val="nil"/>
                    <w:tr2bl w:val="nil"/>
                  </w:tcBorders>
                  <w:noWrap w:val="0"/>
                  <w:vAlign w:val="center"/>
                </w:tcPr>
                <w:p w14:paraId="227B04A2">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颗粒物</w:t>
                  </w:r>
                </w:p>
              </w:tc>
              <w:tc>
                <w:tcPr>
                  <w:tcW w:w="479" w:type="pct"/>
                  <w:tcBorders>
                    <w:tl2br w:val="nil"/>
                    <w:tr2bl w:val="nil"/>
                  </w:tcBorders>
                  <w:noWrap w:val="0"/>
                  <w:vAlign w:val="center"/>
                </w:tcPr>
                <w:p w14:paraId="5986C9F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462.12</w:t>
                  </w:r>
                </w:p>
              </w:tc>
              <w:tc>
                <w:tcPr>
                  <w:tcW w:w="463" w:type="pct"/>
                  <w:tcBorders>
                    <w:tl2br w:val="nil"/>
                    <w:tr2bl w:val="nil"/>
                  </w:tcBorders>
                  <w:noWrap w:val="0"/>
                  <w:vAlign w:val="center"/>
                </w:tcPr>
                <w:p w14:paraId="09CB5FD2">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695" w:type="pct"/>
                  <w:tcBorders>
                    <w:tl2br w:val="nil"/>
                    <w:tr2bl w:val="nil"/>
                  </w:tcBorders>
                  <w:noWrap w:val="0"/>
                  <w:vAlign w:val="center"/>
                </w:tcPr>
                <w:p w14:paraId="744CCB56">
                  <w:pPr>
                    <w:pStyle w:val="30"/>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喷雾抑尘+厂房隔挡</w:t>
                  </w:r>
                </w:p>
              </w:tc>
              <w:tc>
                <w:tcPr>
                  <w:tcW w:w="724" w:type="pct"/>
                  <w:tcBorders>
                    <w:tl2br w:val="nil"/>
                    <w:tr2bl w:val="nil"/>
                  </w:tcBorders>
                  <w:noWrap w:val="0"/>
                  <w:vAlign w:val="center"/>
                </w:tcPr>
                <w:p w14:paraId="0DEE8585">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雾化喷淋装置+封闭式厂房</w:t>
                  </w:r>
                </w:p>
              </w:tc>
              <w:tc>
                <w:tcPr>
                  <w:tcW w:w="449" w:type="pct"/>
                  <w:tcBorders>
                    <w:tl2br w:val="nil"/>
                    <w:tr2bl w:val="nil"/>
                  </w:tcBorders>
                  <w:noWrap w:val="0"/>
                  <w:vAlign w:val="center"/>
                </w:tcPr>
                <w:p w14:paraId="7C5A74C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745" w:type="pct"/>
                  <w:tcBorders>
                    <w:tl2br w:val="nil"/>
                    <w:tr2bl w:val="nil"/>
                  </w:tcBorders>
                  <w:noWrap w:val="0"/>
                  <w:vAlign w:val="center"/>
                </w:tcPr>
                <w:p w14:paraId="0492C7EB">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1"/>
                      <w:szCs w:val="21"/>
                      <w:highlight w:val="none"/>
                    </w:rPr>
                  </w:pPr>
                  <w:r>
                    <w:rPr>
                      <w:rFonts w:hint="eastAsia"/>
                      <w:color w:val="auto"/>
                      <w:highlight w:val="none"/>
                      <w:lang w:val="en-US" w:eastAsia="zh-CN"/>
                    </w:rPr>
                    <w:t>喷雾抑尘</w:t>
                  </w:r>
                  <w:r>
                    <w:rPr>
                      <w:color w:val="auto"/>
                      <w:highlight w:val="none"/>
                    </w:rPr>
                    <w:t>74%</w:t>
                  </w:r>
                  <w:r>
                    <w:rPr>
                      <w:rFonts w:hint="eastAsia"/>
                      <w:color w:val="auto"/>
                      <w:highlight w:val="none"/>
                      <w:lang w:eastAsia="zh-CN"/>
                    </w:rPr>
                    <w:t>，</w:t>
                  </w:r>
                  <w:r>
                    <w:rPr>
                      <w:rFonts w:hint="eastAsia"/>
                      <w:color w:val="auto"/>
                      <w:highlight w:val="none"/>
                      <w:lang w:val="en-US" w:eastAsia="zh-CN"/>
                    </w:rPr>
                    <w:t>厂房</w:t>
                  </w:r>
                  <w:r>
                    <w:rPr>
                      <w:rFonts w:hint="eastAsia" w:ascii="Times New Roman" w:hAnsi="Times New Roman" w:eastAsia="宋体" w:cs="Times New Roman"/>
                      <w:b w:val="0"/>
                      <w:bCs w:val="0"/>
                      <w:color w:val="auto"/>
                      <w:sz w:val="21"/>
                      <w:szCs w:val="21"/>
                      <w:highlight w:val="none"/>
                      <w:lang w:val="en-US" w:eastAsia="zh-CN"/>
                    </w:rPr>
                    <w:t>隔挡</w:t>
                  </w:r>
                  <w:r>
                    <w:rPr>
                      <w:color w:val="auto"/>
                      <w:highlight w:val="none"/>
                    </w:rPr>
                    <w:t>9</w:t>
                  </w:r>
                  <w:r>
                    <w:rPr>
                      <w:rFonts w:hint="eastAsia"/>
                      <w:color w:val="auto"/>
                      <w:highlight w:val="none"/>
                      <w:lang w:val="en-US" w:eastAsia="zh-CN"/>
                    </w:rPr>
                    <w:t>0</w:t>
                  </w:r>
                  <w:r>
                    <w:rPr>
                      <w:color w:val="auto"/>
                      <w:highlight w:val="none"/>
                    </w:rPr>
                    <w:t>%</w:t>
                  </w:r>
                </w:p>
              </w:tc>
              <w:tc>
                <w:tcPr>
                  <w:tcW w:w="384" w:type="pct"/>
                  <w:tcBorders>
                    <w:tl2br w:val="nil"/>
                    <w:tr2bl w:val="nil"/>
                  </w:tcBorders>
                  <w:noWrap w:val="0"/>
                  <w:vAlign w:val="center"/>
                </w:tcPr>
                <w:p w14:paraId="5B8EDB65">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02</w:t>
                  </w:r>
                </w:p>
              </w:tc>
            </w:tr>
            <w:tr w14:paraId="6B6B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244" w:type="pct"/>
                  <w:tcBorders>
                    <w:tl2br w:val="nil"/>
                    <w:tr2bl w:val="nil"/>
                  </w:tcBorders>
                  <w:noWrap w:val="0"/>
                  <w:vAlign w:val="center"/>
                </w:tcPr>
                <w:p w14:paraId="5A4BD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color w:val="auto"/>
                      <w:kern w:val="2"/>
                      <w:sz w:val="21"/>
                      <w:szCs w:val="21"/>
                      <w:highlight w:val="none"/>
                      <w:vertAlign w:val="baseline"/>
                      <w:lang w:val="en-US" w:eastAsia="zh-CN" w:bidi="ar-SA"/>
                    </w:rPr>
                  </w:pPr>
                  <w:r>
                    <w:rPr>
                      <w:rFonts w:hint="eastAsia" w:cs="Times New Roman"/>
                      <w:b w:val="0"/>
                      <w:color w:val="auto"/>
                      <w:kern w:val="2"/>
                      <w:sz w:val="21"/>
                      <w:szCs w:val="21"/>
                      <w:highlight w:val="none"/>
                      <w:vertAlign w:val="baseline"/>
                      <w:lang w:val="en-US" w:eastAsia="zh-CN" w:bidi="ar-SA"/>
                    </w:rPr>
                    <w:t>2</w:t>
                  </w:r>
                </w:p>
              </w:tc>
              <w:tc>
                <w:tcPr>
                  <w:tcW w:w="498" w:type="pct"/>
                  <w:tcBorders>
                    <w:tl2br w:val="nil"/>
                    <w:tr2bl w:val="nil"/>
                  </w:tcBorders>
                  <w:noWrap w:val="0"/>
                  <w:vAlign w:val="center"/>
                </w:tcPr>
                <w:p w14:paraId="4792C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eastAsia" w:eastAsia="宋体" w:cs="Times New Roman"/>
                      <w:b w:val="0"/>
                      <w:color w:val="auto"/>
                      <w:kern w:val="2"/>
                      <w:sz w:val="21"/>
                      <w:szCs w:val="21"/>
                      <w:highlight w:val="none"/>
                      <w:vertAlign w:val="baseline"/>
                      <w:lang w:val="en-US" w:eastAsia="zh-CN" w:bidi="ar-SA"/>
                    </w:rPr>
                    <w:t>破碎、筛分粉尘</w:t>
                  </w:r>
                </w:p>
              </w:tc>
              <w:tc>
                <w:tcPr>
                  <w:tcW w:w="315" w:type="pct"/>
                  <w:tcBorders>
                    <w:tl2br w:val="nil"/>
                    <w:tr2bl w:val="nil"/>
                  </w:tcBorders>
                  <w:noWrap w:val="0"/>
                  <w:vAlign w:val="center"/>
                </w:tcPr>
                <w:p w14:paraId="35660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color w:val="auto"/>
                      <w:sz w:val="21"/>
                      <w:szCs w:val="21"/>
                      <w:highlight w:val="none"/>
                      <w:lang w:eastAsia="zh-CN"/>
                    </w:rPr>
                    <w:t>颗粒物</w:t>
                  </w:r>
                </w:p>
              </w:tc>
              <w:tc>
                <w:tcPr>
                  <w:tcW w:w="479" w:type="pct"/>
                  <w:tcBorders>
                    <w:tl2br w:val="nil"/>
                    <w:tr2bl w:val="nil"/>
                  </w:tcBorders>
                  <w:noWrap w:val="0"/>
                  <w:vAlign w:val="center"/>
                </w:tcPr>
                <w:p w14:paraId="3460E07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i w:val="0"/>
                      <w:iCs w:val="0"/>
                      <w:color w:val="auto"/>
                      <w:kern w:val="0"/>
                      <w:sz w:val="21"/>
                      <w:szCs w:val="21"/>
                      <w:highlight w:val="none"/>
                      <w:u w:val="none"/>
                      <w:lang w:val="en-US" w:eastAsia="zh-CN" w:bidi="ar"/>
                    </w:rPr>
                    <w:t>370</w:t>
                  </w:r>
                </w:p>
              </w:tc>
              <w:tc>
                <w:tcPr>
                  <w:tcW w:w="463" w:type="pct"/>
                  <w:tcBorders>
                    <w:tl2br w:val="nil"/>
                    <w:tr2bl w:val="nil"/>
                  </w:tcBorders>
                  <w:shd w:val="clear" w:color="auto" w:fill="auto"/>
                  <w:noWrap w:val="0"/>
                  <w:vAlign w:val="center"/>
                </w:tcPr>
                <w:p w14:paraId="2AFC3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i w:val="0"/>
                      <w:iCs w:val="0"/>
                      <w:color w:val="auto"/>
                      <w:kern w:val="0"/>
                      <w:sz w:val="21"/>
                      <w:szCs w:val="21"/>
                      <w:highlight w:val="none"/>
                      <w:u w:val="none"/>
                      <w:lang w:val="en-US" w:eastAsia="zh-CN" w:bidi="ar"/>
                    </w:rPr>
                    <w:t>无组织</w:t>
                  </w:r>
                </w:p>
              </w:tc>
              <w:tc>
                <w:tcPr>
                  <w:tcW w:w="695" w:type="pct"/>
                  <w:tcBorders>
                    <w:tl2br w:val="nil"/>
                    <w:tr2bl w:val="nil"/>
                  </w:tcBorders>
                  <w:shd w:val="clear" w:color="auto" w:fill="auto"/>
                  <w:noWrap w:val="0"/>
                  <w:vAlign w:val="center"/>
                </w:tcPr>
                <w:p w14:paraId="61E01FF0">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rPr>
                    <w:t>袋式除尘+</w:t>
                  </w:r>
                  <w:r>
                    <w:rPr>
                      <w:rFonts w:hint="eastAsia"/>
                      <w:color w:val="auto"/>
                      <w:highlight w:val="none"/>
                      <w:lang w:val="en-US" w:eastAsia="zh-CN"/>
                    </w:rPr>
                    <w:t>喷雾抑尘+厂房隔挡</w:t>
                  </w:r>
                </w:p>
              </w:tc>
              <w:tc>
                <w:tcPr>
                  <w:tcW w:w="724" w:type="pct"/>
                  <w:tcBorders>
                    <w:tl2br w:val="nil"/>
                    <w:tr2bl w:val="nil"/>
                  </w:tcBorders>
                  <w:shd w:val="clear" w:color="auto" w:fill="auto"/>
                  <w:noWrap w:val="0"/>
                  <w:vAlign w:val="center"/>
                </w:tcPr>
                <w:p w14:paraId="5931C850">
                  <w:pPr>
                    <w:pStyle w:val="30"/>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1"/>
                      <w:szCs w:val="21"/>
                      <w:highlight w:val="none"/>
                      <w:lang w:val="en-GB" w:eastAsia="zh-CN" w:bidi="ar-SA"/>
                    </w:rPr>
                  </w:pPr>
                  <w:r>
                    <w:rPr>
                      <w:color w:val="auto"/>
                      <w:highlight w:val="none"/>
                      <w:lang w:val="en-GB"/>
                    </w:rPr>
                    <w:t>袋式除尘器</w:t>
                  </w:r>
                  <w:r>
                    <w:rPr>
                      <w:rFonts w:hint="eastAsia"/>
                      <w:color w:val="auto"/>
                      <w:highlight w:val="none"/>
                    </w:rPr>
                    <w:t>+</w:t>
                  </w:r>
                  <w:r>
                    <w:rPr>
                      <w:rFonts w:hint="eastAsia"/>
                      <w:color w:val="auto"/>
                      <w:highlight w:val="none"/>
                      <w:lang w:val="en-US" w:eastAsia="zh-CN"/>
                    </w:rPr>
                    <w:t>雾化喷淋装置+</w:t>
                  </w:r>
                  <w:r>
                    <w:rPr>
                      <w:rFonts w:hint="default" w:ascii="Times New Roman" w:hAnsi="Times New Roman" w:eastAsia="宋体" w:cs="Times New Roman"/>
                      <w:b w:val="0"/>
                      <w:bCs w:val="0"/>
                      <w:color w:val="auto"/>
                      <w:sz w:val="21"/>
                      <w:szCs w:val="21"/>
                      <w:highlight w:val="none"/>
                      <w:lang w:val="en-US" w:eastAsia="zh-CN"/>
                    </w:rPr>
                    <w:t>封闭式</w:t>
                  </w:r>
                  <w:r>
                    <w:rPr>
                      <w:rFonts w:hint="eastAsia"/>
                      <w:color w:val="auto"/>
                      <w:highlight w:val="none"/>
                      <w:lang w:val="en-GB"/>
                    </w:rPr>
                    <w:t>厂房</w:t>
                  </w:r>
                </w:p>
              </w:tc>
              <w:tc>
                <w:tcPr>
                  <w:tcW w:w="449" w:type="pct"/>
                  <w:tcBorders>
                    <w:tl2br w:val="nil"/>
                    <w:tr2bl w:val="nil"/>
                  </w:tcBorders>
                  <w:shd w:val="clear" w:color="auto" w:fill="auto"/>
                  <w:noWrap w:val="0"/>
                  <w:vAlign w:val="center"/>
                </w:tcPr>
                <w:p w14:paraId="25A39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eastAsia="宋体" w:cs="Times New Roman"/>
                      <w:color w:val="auto"/>
                      <w:kern w:val="2"/>
                      <w:sz w:val="21"/>
                      <w:szCs w:val="21"/>
                      <w:highlight w:val="none"/>
                      <w:lang w:val="en-US" w:eastAsia="zh-CN" w:bidi="ar-SA"/>
                    </w:rPr>
                    <w:t>吹吸罩≥90%</w:t>
                  </w:r>
                </w:p>
              </w:tc>
              <w:tc>
                <w:tcPr>
                  <w:tcW w:w="745" w:type="pct"/>
                  <w:tcBorders>
                    <w:tl2br w:val="nil"/>
                    <w:tr2bl w:val="nil"/>
                  </w:tcBorders>
                  <w:shd w:val="clear" w:color="auto" w:fill="auto"/>
                  <w:noWrap w:val="0"/>
                  <w:vAlign w:val="center"/>
                </w:tcPr>
                <w:p w14:paraId="4B06A59E">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除尘器99.7%</w:t>
                  </w:r>
                  <w:r>
                    <w:rPr>
                      <w:rFonts w:hint="eastAsia"/>
                      <w:color w:val="auto"/>
                      <w:highlight w:val="none"/>
                      <w:lang w:eastAsia="zh-CN"/>
                    </w:rPr>
                    <w:t>，</w:t>
                  </w:r>
                  <w:r>
                    <w:rPr>
                      <w:rFonts w:hint="eastAsia"/>
                      <w:color w:val="auto"/>
                      <w:highlight w:val="none"/>
                      <w:lang w:val="en-US" w:eastAsia="zh-CN"/>
                    </w:rPr>
                    <w:t>厂房隔挡90%</w:t>
                  </w:r>
                </w:p>
              </w:tc>
              <w:tc>
                <w:tcPr>
                  <w:tcW w:w="384" w:type="pct"/>
                  <w:tcBorders>
                    <w:tl2br w:val="nil"/>
                    <w:tr2bl w:val="nil"/>
                  </w:tcBorders>
                  <w:shd w:val="clear" w:color="auto" w:fill="auto"/>
                  <w:noWrap w:val="0"/>
                  <w:vAlign w:val="center"/>
                </w:tcPr>
                <w:p w14:paraId="749C41B6">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3.800</w:t>
                  </w:r>
                </w:p>
              </w:tc>
            </w:tr>
            <w:tr w14:paraId="088E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1433C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eastAsia" w:eastAsia="宋体" w:cs="Times New Roman"/>
                      <w:b w:val="0"/>
                      <w:color w:val="auto"/>
                      <w:kern w:val="2"/>
                      <w:sz w:val="21"/>
                      <w:szCs w:val="21"/>
                      <w:highlight w:val="none"/>
                      <w:vertAlign w:val="baseline"/>
                      <w:lang w:val="en-US" w:eastAsia="zh-CN" w:bidi="ar-SA"/>
                    </w:rPr>
                    <w:t>3</w:t>
                  </w:r>
                </w:p>
              </w:tc>
              <w:tc>
                <w:tcPr>
                  <w:tcW w:w="498" w:type="pct"/>
                  <w:tcBorders>
                    <w:tl2br w:val="nil"/>
                    <w:tr2bl w:val="nil"/>
                  </w:tcBorders>
                  <w:noWrap w:val="0"/>
                  <w:vAlign w:val="center"/>
                </w:tcPr>
                <w:p w14:paraId="4BC92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物料输送粉尘</w:t>
                  </w:r>
                </w:p>
              </w:tc>
              <w:tc>
                <w:tcPr>
                  <w:tcW w:w="315" w:type="pct"/>
                  <w:tcBorders>
                    <w:tl2br w:val="nil"/>
                    <w:tr2bl w:val="nil"/>
                  </w:tcBorders>
                  <w:noWrap w:val="0"/>
                  <w:vAlign w:val="center"/>
                </w:tcPr>
                <w:p w14:paraId="524E95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颗粒物</w:t>
                  </w:r>
                </w:p>
              </w:tc>
              <w:tc>
                <w:tcPr>
                  <w:tcW w:w="479" w:type="pct"/>
                  <w:tcBorders>
                    <w:tl2br w:val="nil"/>
                    <w:tr2bl w:val="nil"/>
                  </w:tcBorders>
                  <w:noWrap w:val="0"/>
                  <w:vAlign w:val="center"/>
                </w:tcPr>
                <w:p w14:paraId="1A8BF44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84.74</w:t>
                  </w:r>
                </w:p>
              </w:tc>
              <w:tc>
                <w:tcPr>
                  <w:tcW w:w="463" w:type="pct"/>
                  <w:tcBorders>
                    <w:tl2br w:val="nil"/>
                    <w:tr2bl w:val="nil"/>
                  </w:tcBorders>
                  <w:noWrap w:val="0"/>
                  <w:vAlign w:val="center"/>
                </w:tcPr>
                <w:p w14:paraId="7C32D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无组织</w:t>
                  </w:r>
                </w:p>
              </w:tc>
              <w:tc>
                <w:tcPr>
                  <w:tcW w:w="695" w:type="pct"/>
                  <w:tcBorders>
                    <w:tl2br w:val="nil"/>
                    <w:tr2bl w:val="nil"/>
                  </w:tcBorders>
                  <w:noWrap w:val="0"/>
                  <w:vAlign w:val="center"/>
                </w:tcPr>
                <w:p w14:paraId="0F8F8545">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sz w:val="21"/>
                      <w:szCs w:val="21"/>
                      <w:highlight w:val="none"/>
                      <w:lang w:val="en-US" w:eastAsia="zh-CN"/>
                    </w:rPr>
                    <w:t>喷雾抑尘+厂房隔挡</w:t>
                  </w:r>
                </w:p>
              </w:tc>
              <w:tc>
                <w:tcPr>
                  <w:tcW w:w="724" w:type="pct"/>
                  <w:tcBorders>
                    <w:tl2br w:val="nil"/>
                    <w:tr2bl w:val="nil"/>
                  </w:tcBorders>
                  <w:noWrap w:val="0"/>
                  <w:vAlign w:val="center"/>
                </w:tcPr>
                <w:p w14:paraId="2CE71E60">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雾化喷淋装置+封闭式厂房</w:t>
                  </w:r>
                </w:p>
              </w:tc>
              <w:tc>
                <w:tcPr>
                  <w:tcW w:w="449" w:type="pct"/>
                  <w:tcBorders>
                    <w:tl2br w:val="nil"/>
                    <w:tr2bl w:val="nil"/>
                  </w:tcBorders>
                  <w:noWrap w:val="0"/>
                  <w:vAlign w:val="center"/>
                </w:tcPr>
                <w:p w14:paraId="3E5C4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5" w:type="pct"/>
                  <w:tcBorders>
                    <w:tl2br w:val="nil"/>
                    <w:tr2bl w:val="nil"/>
                  </w:tcBorders>
                  <w:noWrap w:val="0"/>
                  <w:vAlign w:val="center"/>
                </w:tcPr>
                <w:p w14:paraId="7AD113C3">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olor w:val="auto"/>
                      <w:highlight w:val="none"/>
                      <w:lang w:val="en-US" w:eastAsia="zh-CN"/>
                    </w:rPr>
                    <w:t>喷雾抑尘</w:t>
                  </w:r>
                  <w:r>
                    <w:rPr>
                      <w:color w:val="auto"/>
                      <w:highlight w:val="none"/>
                    </w:rPr>
                    <w:t>74%</w:t>
                  </w:r>
                  <w:r>
                    <w:rPr>
                      <w:rFonts w:hint="eastAsia"/>
                      <w:color w:val="auto"/>
                      <w:highlight w:val="none"/>
                      <w:lang w:eastAsia="zh-CN"/>
                    </w:rPr>
                    <w:t>，</w:t>
                  </w:r>
                  <w:r>
                    <w:rPr>
                      <w:rFonts w:hint="eastAsia"/>
                      <w:color w:val="auto"/>
                      <w:highlight w:val="none"/>
                      <w:lang w:val="en-US" w:eastAsia="zh-CN"/>
                    </w:rPr>
                    <w:t>厂房隔挡90%</w:t>
                  </w:r>
                </w:p>
              </w:tc>
              <w:tc>
                <w:tcPr>
                  <w:tcW w:w="384" w:type="pct"/>
                  <w:tcBorders>
                    <w:tl2br w:val="nil"/>
                    <w:tr2bl w:val="nil"/>
                  </w:tcBorders>
                  <w:noWrap w:val="0"/>
                  <w:vAlign w:val="center"/>
                </w:tcPr>
                <w:p w14:paraId="760AF691">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20</w:t>
                  </w:r>
                  <w:r>
                    <w:rPr>
                      <w:rFonts w:hint="eastAsia" w:cs="Times New Roman"/>
                      <w:color w:val="auto"/>
                      <w:highlight w:val="none"/>
                      <w:lang w:val="en-US" w:eastAsia="zh-CN"/>
                    </w:rPr>
                    <w:t>3</w:t>
                  </w:r>
                </w:p>
              </w:tc>
            </w:tr>
            <w:tr w14:paraId="637D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1BB9D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eastAsia" w:eastAsia="宋体" w:cs="Times New Roman"/>
                      <w:b w:val="0"/>
                      <w:color w:val="auto"/>
                      <w:kern w:val="2"/>
                      <w:sz w:val="21"/>
                      <w:szCs w:val="21"/>
                      <w:highlight w:val="none"/>
                      <w:vertAlign w:val="baseline"/>
                      <w:lang w:val="en-US" w:eastAsia="zh-CN" w:bidi="ar-SA"/>
                    </w:rPr>
                    <w:t>4</w:t>
                  </w:r>
                </w:p>
              </w:tc>
              <w:tc>
                <w:tcPr>
                  <w:tcW w:w="498" w:type="pct"/>
                  <w:tcBorders>
                    <w:tl2br w:val="nil"/>
                    <w:tr2bl w:val="nil"/>
                  </w:tcBorders>
                  <w:noWrap w:val="0"/>
                  <w:vAlign w:val="center"/>
                </w:tcPr>
                <w:p w14:paraId="4B6A3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水泥筒仓呼吸粉尘</w:t>
                  </w:r>
                </w:p>
              </w:tc>
              <w:tc>
                <w:tcPr>
                  <w:tcW w:w="315" w:type="pct"/>
                  <w:tcBorders>
                    <w:tl2br w:val="nil"/>
                    <w:tr2bl w:val="nil"/>
                  </w:tcBorders>
                  <w:noWrap w:val="0"/>
                  <w:vAlign w:val="center"/>
                </w:tcPr>
                <w:p w14:paraId="467A2BE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479" w:type="pct"/>
                  <w:tcBorders>
                    <w:tl2br w:val="nil"/>
                    <w:tr2bl w:val="nil"/>
                  </w:tcBorders>
                  <w:noWrap w:val="0"/>
                  <w:vAlign w:val="center"/>
                </w:tcPr>
                <w:p w14:paraId="5CEFF4C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1.44</w:t>
                  </w:r>
                </w:p>
              </w:tc>
              <w:tc>
                <w:tcPr>
                  <w:tcW w:w="463" w:type="pct"/>
                  <w:tcBorders>
                    <w:tl2br w:val="nil"/>
                    <w:tr2bl w:val="nil"/>
                  </w:tcBorders>
                  <w:noWrap w:val="0"/>
                  <w:vAlign w:val="center"/>
                </w:tcPr>
                <w:p w14:paraId="434CAA37">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695" w:type="pct"/>
                  <w:tcBorders>
                    <w:tl2br w:val="nil"/>
                    <w:tr2bl w:val="nil"/>
                  </w:tcBorders>
                  <w:noWrap w:val="0"/>
                  <w:vAlign w:val="center"/>
                </w:tcPr>
                <w:p w14:paraId="53761EEC">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olor w:val="auto"/>
                      <w:highlight w:val="none"/>
                    </w:rPr>
                    <w:t>袋式除尘</w:t>
                  </w:r>
                  <w:r>
                    <w:rPr>
                      <w:rFonts w:hint="eastAsia"/>
                      <w:color w:val="auto"/>
                      <w:highlight w:val="none"/>
                      <w:lang w:val="en-US" w:eastAsia="zh-CN"/>
                    </w:rPr>
                    <w:t>+厂房隔挡</w:t>
                  </w:r>
                </w:p>
              </w:tc>
              <w:tc>
                <w:tcPr>
                  <w:tcW w:w="724" w:type="pct"/>
                  <w:tcBorders>
                    <w:tl2br w:val="nil"/>
                    <w:tr2bl w:val="nil"/>
                  </w:tcBorders>
                  <w:noWrap w:val="0"/>
                  <w:vAlign w:val="center"/>
                </w:tcPr>
                <w:p w14:paraId="7B7E598E">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kern w:val="2"/>
                      <w:sz w:val="21"/>
                      <w:szCs w:val="21"/>
                      <w:highlight w:val="none"/>
                      <w:lang w:val="en-GB" w:eastAsia="zh-CN" w:bidi="ar-SA"/>
                    </w:rPr>
                  </w:pPr>
                  <w:r>
                    <w:rPr>
                      <w:color w:val="auto"/>
                      <w:highlight w:val="none"/>
                      <w:lang w:val="en-GB"/>
                    </w:rPr>
                    <w:t>袋式除尘器</w:t>
                  </w:r>
                  <w:r>
                    <w:rPr>
                      <w:color w:val="auto"/>
                      <w:highlight w:val="none"/>
                    </w:rPr>
                    <w:t>+</w:t>
                  </w:r>
                  <w:r>
                    <w:rPr>
                      <w:rFonts w:hint="default" w:ascii="Times New Roman" w:hAnsi="Times New Roman" w:eastAsia="宋体" w:cs="Times New Roman"/>
                      <w:b w:val="0"/>
                      <w:bCs w:val="0"/>
                      <w:color w:val="auto"/>
                      <w:sz w:val="21"/>
                      <w:szCs w:val="21"/>
                      <w:highlight w:val="none"/>
                      <w:lang w:val="en-US" w:eastAsia="zh-CN"/>
                    </w:rPr>
                    <w:t>封闭式</w:t>
                  </w:r>
                  <w:r>
                    <w:rPr>
                      <w:rFonts w:hint="eastAsia"/>
                      <w:color w:val="auto"/>
                      <w:highlight w:val="none"/>
                      <w:lang w:val="en-GB"/>
                    </w:rPr>
                    <w:t>厂房</w:t>
                  </w:r>
                </w:p>
              </w:tc>
              <w:tc>
                <w:tcPr>
                  <w:tcW w:w="449" w:type="pct"/>
                  <w:tcBorders>
                    <w:tl2br w:val="nil"/>
                    <w:tr2bl w:val="nil"/>
                  </w:tcBorders>
                  <w:noWrap w:val="0"/>
                  <w:vAlign w:val="center"/>
                </w:tcPr>
                <w:p w14:paraId="37B2E4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封闭</w:t>
                  </w:r>
                  <w:r>
                    <w:rPr>
                      <w:rFonts w:hint="default" w:ascii="Times New Roman" w:hAnsi="Times New Roman" w:eastAsia="宋体" w:cs="Times New Roman"/>
                      <w:color w:val="auto"/>
                      <w:kern w:val="2"/>
                      <w:sz w:val="21"/>
                      <w:szCs w:val="21"/>
                      <w:highlight w:val="none"/>
                      <w:lang w:val="en-US" w:eastAsia="zh-CN" w:bidi="ar-SA"/>
                    </w:rPr>
                    <w:t>筒</w:t>
                  </w:r>
                  <w:r>
                    <w:rPr>
                      <w:rFonts w:hint="eastAsia" w:eastAsia="宋体" w:cs="Times New Roman"/>
                      <w:color w:val="auto"/>
                      <w:kern w:val="2"/>
                      <w:sz w:val="21"/>
                      <w:szCs w:val="21"/>
                      <w:highlight w:val="none"/>
                      <w:lang w:val="en-US" w:eastAsia="zh-CN" w:bidi="ar-SA"/>
                    </w:rPr>
                    <w:t>仓</w:t>
                  </w:r>
                  <w:r>
                    <w:rPr>
                      <w:rFonts w:hint="default" w:ascii="Times New Roman" w:hAnsi="Times New Roman" w:eastAsia="宋体" w:cs="Times New Roman"/>
                      <w:color w:val="auto"/>
                      <w:kern w:val="2"/>
                      <w:sz w:val="21"/>
                      <w:szCs w:val="21"/>
                      <w:highlight w:val="none"/>
                      <w:lang w:val="en-US" w:eastAsia="zh-CN" w:bidi="ar-SA"/>
                    </w:rPr>
                    <w:t>自带除尘器100%</w:t>
                  </w:r>
                </w:p>
              </w:tc>
              <w:tc>
                <w:tcPr>
                  <w:tcW w:w="745" w:type="pct"/>
                  <w:tcBorders>
                    <w:tl2br w:val="nil"/>
                    <w:tr2bl w:val="nil"/>
                  </w:tcBorders>
                  <w:noWrap w:val="0"/>
                  <w:vAlign w:val="center"/>
                </w:tcPr>
                <w:p w14:paraId="2E9DE109">
                  <w:pPr>
                    <w:pStyle w:val="30"/>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除尘器99%</w:t>
                  </w:r>
                </w:p>
              </w:tc>
              <w:tc>
                <w:tcPr>
                  <w:tcW w:w="384" w:type="pct"/>
                  <w:tcBorders>
                    <w:tl2br w:val="nil"/>
                    <w:tr2bl w:val="nil"/>
                  </w:tcBorders>
                  <w:noWrap w:val="0"/>
                  <w:vAlign w:val="center"/>
                </w:tcPr>
                <w:p w14:paraId="584C8834">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0.014</w:t>
                  </w:r>
                </w:p>
              </w:tc>
            </w:tr>
            <w:tr w14:paraId="0BE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4F986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eastAsia" w:eastAsia="宋体" w:cs="Times New Roman"/>
                      <w:b w:val="0"/>
                      <w:color w:val="auto"/>
                      <w:kern w:val="2"/>
                      <w:sz w:val="21"/>
                      <w:szCs w:val="21"/>
                      <w:highlight w:val="none"/>
                      <w:vertAlign w:val="baseline"/>
                      <w:lang w:val="en-US" w:eastAsia="zh-CN" w:bidi="ar-SA"/>
                    </w:rPr>
                    <w:t>5</w:t>
                  </w:r>
                </w:p>
              </w:tc>
              <w:tc>
                <w:tcPr>
                  <w:tcW w:w="498" w:type="pct"/>
                  <w:tcBorders>
                    <w:tl2br w:val="nil"/>
                    <w:tr2bl w:val="nil"/>
                  </w:tcBorders>
                  <w:noWrap w:val="0"/>
                  <w:vAlign w:val="center"/>
                </w:tcPr>
                <w:p w14:paraId="22672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搅拌粉尘</w:t>
                  </w:r>
                </w:p>
              </w:tc>
              <w:tc>
                <w:tcPr>
                  <w:tcW w:w="315" w:type="pct"/>
                  <w:tcBorders>
                    <w:tl2br w:val="nil"/>
                    <w:tr2bl w:val="nil"/>
                  </w:tcBorders>
                  <w:noWrap w:val="0"/>
                  <w:vAlign w:val="center"/>
                </w:tcPr>
                <w:p w14:paraId="2E6E989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479" w:type="pct"/>
                  <w:tcBorders>
                    <w:tl2br w:val="nil"/>
                    <w:tr2bl w:val="nil"/>
                  </w:tcBorders>
                  <w:noWrap w:val="0"/>
                  <w:vAlign w:val="center"/>
                </w:tcPr>
                <w:p w14:paraId="2B29F0D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156.9</w:t>
                  </w:r>
                </w:p>
              </w:tc>
              <w:tc>
                <w:tcPr>
                  <w:tcW w:w="463" w:type="pct"/>
                  <w:tcBorders>
                    <w:tl2br w:val="nil"/>
                    <w:tr2bl w:val="nil"/>
                  </w:tcBorders>
                  <w:noWrap w:val="0"/>
                  <w:vAlign w:val="center"/>
                </w:tcPr>
                <w:p w14:paraId="3CADCAA2">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695" w:type="pct"/>
                  <w:tcBorders>
                    <w:tl2br w:val="nil"/>
                    <w:tr2bl w:val="nil"/>
                  </w:tcBorders>
                  <w:noWrap w:val="0"/>
                  <w:vAlign w:val="center"/>
                </w:tcPr>
                <w:p w14:paraId="6F9F9DE0">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olor w:val="auto"/>
                      <w:highlight w:val="none"/>
                    </w:rPr>
                    <w:t>袋式除尘+</w:t>
                  </w:r>
                  <w:r>
                    <w:rPr>
                      <w:rFonts w:hint="eastAsia"/>
                      <w:color w:val="auto"/>
                      <w:highlight w:val="none"/>
                      <w:lang w:val="en-US" w:eastAsia="zh-CN"/>
                    </w:rPr>
                    <w:t>喷雾抑尘+厂房隔挡</w:t>
                  </w:r>
                </w:p>
              </w:tc>
              <w:tc>
                <w:tcPr>
                  <w:tcW w:w="724" w:type="pct"/>
                  <w:tcBorders>
                    <w:tl2br w:val="nil"/>
                    <w:tr2bl w:val="nil"/>
                  </w:tcBorders>
                  <w:noWrap w:val="0"/>
                  <w:vAlign w:val="center"/>
                </w:tcPr>
                <w:p w14:paraId="396D81EF">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1"/>
                      <w:szCs w:val="21"/>
                      <w:highlight w:val="none"/>
                      <w:lang w:val="en-GB" w:eastAsia="zh-CN" w:bidi="ar-SA"/>
                    </w:rPr>
                  </w:pPr>
                  <w:r>
                    <w:rPr>
                      <w:color w:val="auto"/>
                      <w:highlight w:val="none"/>
                      <w:lang w:val="en-GB"/>
                    </w:rPr>
                    <w:t>袋式除尘器</w:t>
                  </w:r>
                  <w:r>
                    <w:rPr>
                      <w:rFonts w:hint="eastAsia"/>
                      <w:color w:val="auto"/>
                      <w:highlight w:val="none"/>
                    </w:rPr>
                    <w:t>+</w:t>
                  </w:r>
                  <w:r>
                    <w:rPr>
                      <w:rFonts w:hint="eastAsia"/>
                      <w:color w:val="auto"/>
                      <w:highlight w:val="none"/>
                      <w:lang w:val="en-US" w:eastAsia="zh-CN"/>
                    </w:rPr>
                    <w:t>雾化喷淋装置+</w:t>
                  </w:r>
                  <w:r>
                    <w:rPr>
                      <w:rFonts w:hint="default" w:ascii="Times New Roman" w:hAnsi="Times New Roman" w:eastAsia="宋体" w:cs="Times New Roman"/>
                      <w:b w:val="0"/>
                      <w:bCs w:val="0"/>
                      <w:color w:val="auto"/>
                      <w:sz w:val="21"/>
                      <w:szCs w:val="21"/>
                      <w:highlight w:val="none"/>
                      <w:lang w:val="en-US" w:eastAsia="zh-CN"/>
                    </w:rPr>
                    <w:t>封闭式</w:t>
                  </w:r>
                  <w:r>
                    <w:rPr>
                      <w:rFonts w:hint="eastAsia"/>
                      <w:color w:val="auto"/>
                      <w:highlight w:val="none"/>
                      <w:lang w:val="en-GB"/>
                    </w:rPr>
                    <w:t>厂房</w:t>
                  </w:r>
                </w:p>
              </w:tc>
              <w:tc>
                <w:tcPr>
                  <w:tcW w:w="449" w:type="pct"/>
                  <w:tcBorders>
                    <w:tl2br w:val="nil"/>
                    <w:tr2bl w:val="nil"/>
                  </w:tcBorders>
                  <w:noWrap w:val="0"/>
                  <w:vAlign w:val="center"/>
                </w:tcPr>
                <w:p w14:paraId="44CA9E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吹吸罩90%</w:t>
                  </w:r>
                </w:p>
              </w:tc>
              <w:tc>
                <w:tcPr>
                  <w:tcW w:w="745" w:type="pct"/>
                  <w:tcBorders>
                    <w:tl2br w:val="nil"/>
                    <w:tr2bl w:val="nil"/>
                  </w:tcBorders>
                  <w:noWrap w:val="0"/>
                  <w:vAlign w:val="center"/>
                </w:tcPr>
                <w:p w14:paraId="68721C40">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除尘器99.7%，喷雾抑尘</w:t>
                  </w:r>
                  <w:r>
                    <w:rPr>
                      <w:color w:val="auto"/>
                      <w:highlight w:val="none"/>
                    </w:rPr>
                    <w:t>74%</w:t>
                  </w:r>
                  <w:r>
                    <w:rPr>
                      <w:rFonts w:hint="eastAsia"/>
                      <w:color w:val="auto"/>
                      <w:highlight w:val="none"/>
                      <w:lang w:eastAsia="zh-CN"/>
                    </w:rPr>
                    <w:t>，</w:t>
                  </w:r>
                  <w:r>
                    <w:rPr>
                      <w:rFonts w:hint="eastAsia"/>
                      <w:color w:val="auto"/>
                      <w:highlight w:val="none"/>
                      <w:lang w:val="en-US" w:eastAsia="zh-CN"/>
                    </w:rPr>
                    <w:t>厂房隔挡90%</w:t>
                  </w:r>
                </w:p>
              </w:tc>
              <w:tc>
                <w:tcPr>
                  <w:tcW w:w="384" w:type="pct"/>
                  <w:tcBorders>
                    <w:tl2br w:val="nil"/>
                    <w:tr2bl w:val="nil"/>
                  </w:tcBorders>
                  <w:noWrap w:val="0"/>
                  <w:vAlign w:val="center"/>
                </w:tcPr>
                <w:p w14:paraId="04CF5694">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0.419</w:t>
                  </w:r>
                </w:p>
              </w:tc>
            </w:tr>
            <w:tr w14:paraId="4FC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vAlign w:val="center"/>
                </w:tcPr>
                <w:p w14:paraId="71846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eastAsia" w:eastAsia="宋体" w:cs="Times New Roman"/>
                      <w:b w:val="0"/>
                      <w:color w:val="auto"/>
                      <w:kern w:val="2"/>
                      <w:sz w:val="21"/>
                      <w:szCs w:val="21"/>
                      <w:highlight w:val="none"/>
                      <w:vertAlign w:val="baseline"/>
                      <w:lang w:val="en-US" w:eastAsia="zh-CN" w:bidi="ar-SA"/>
                    </w:rPr>
                    <w:t>6</w:t>
                  </w:r>
                </w:p>
              </w:tc>
              <w:tc>
                <w:tcPr>
                  <w:tcW w:w="498" w:type="pct"/>
                  <w:tcBorders>
                    <w:tl2br w:val="nil"/>
                    <w:tr2bl w:val="nil"/>
                  </w:tcBorders>
                  <w:noWrap w:val="0"/>
                  <w:vAlign w:val="center"/>
                </w:tcPr>
                <w:p w14:paraId="5A045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vertAlign w:val="baseline"/>
                      <w:lang w:val="en-US" w:eastAsia="zh-CN" w:bidi="ar-SA"/>
                    </w:rPr>
                    <w:t>车辆运输扬尘</w:t>
                  </w:r>
                </w:p>
              </w:tc>
              <w:tc>
                <w:tcPr>
                  <w:tcW w:w="315" w:type="pct"/>
                  <w:tcBorders>
                    <w:tl2br w:val="nil"/>
                    <w:tr2bl w:val="nil"/>
                  </w:tcBorders>
                  <w:noWrap w:val="0"/>
                  <w:vAlign w:val="center"/>
                </w:tcPr>
                <w:p w14:paraId="31D9A3D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颗粒物</w:t>
                  </w:r>
                </w:p>
              </w:tc>
              <w:tc>
                <w:tcPr>
                  <w:tcW w:w="479" w:type="pct"/>
                  <w:tcBorders>
                    <w:tl2br w:val="nil"/>
                    <w:tr2bl w:val="nil"/>
                  </w:tcBorders>
                  <w:noWrap w:val="0"/>
                  <w:vAlign w:val="center"/>
                </w:tcPr>
                <w:p w14:paraId="475C3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0.560</w:t>
                  </w:r>
                </w:p>
              </w:tc>
              <w:tc>
                <w:tcPr>
                  <w:tcW w:w="463" w:type="pct"/>
                  <w:tcBorders>
                    <w:tl2br w:val="nil"/>
                    <w:tr2bl w:val="nil"/>
                  </w:tcBorders>
                  <w:noWrap w:val="0"/>
                  <w:vAlign w:val="center"/>
                </w:tcPr>
                <w:p w14:paraId="13AC75D3">
                  <w:pPr>
                    <w:pStyle w:val="4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无组织</w:t>
                  </w:r>
                </w:p>
              </w:tc>
              <w:tc>
                <w:tcPr>
                  <w:tcW w:w="695" w:type="pct"/>
                  <w:tcBorders>
                    <w:tl2br w:val="nil"/>
                    <w:tr2bl w:val="nil"/>
                  </w:tcBorders>
                  <w:noWrap w:val="0"/>
                  <w:vAlign w:val="center"/>
                </w:tcPr>
                <w:p w14:paraId="55418331">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color w:val="auto"/>
                      <w:highlight w:val="none"/>
                      <w:lang w:val="en-US" w:eastAsia="zh-CN"/>
                    </w:rPr>
                    <w:t>车辆冲洗</w:t>
                  </w:r>
                  <w:r>
                    <w:rPr>
                      <w:rFonts w:hint="eastAsia"/>
                      <w:color w:val="auto"/>
                      <w:highlight w:val="none"/>
                    </w:rPr>
                    <w:t>+</w:t>
                  </w:r>
                  <w:r>
                    <w:rPr>
                      <w:rFonts w:hint="eastAsia"/>
                      <w:color w:val="auto"/>
                      <w:highlight w:val="none"/>
                      <w:lang w:val="en-US" w:eastAsia="zh-CN"/>
                    </w:rPr>
                    <w:t>覆盖+道路</w:t>
                  </w:r>
                  <w:r>
                    <w:rPr>
                      <w:color w:val="auto"/>
                      <w:highlight w:val="none"/>
                    </w:rPr>
                    <w:t>洒水降尘</w:t>
                  </w:r>
                </w:p>
              </w:tc>
              <w:tc>
                <w:tcPr>
                  <w:tcW w:w="724" w:type="pct"/>
                  <w:tcBorders>
                    <w:tl2br w:val="nil"/>
                    <w:tr2bl w:val="nil"/>
                  </w:tcBorders>
                  <w:noWrap w:val="0"/>
                  <w:vAlign w:val="center"/>
                </w:tcPr>
                <w:p w14:paraId="3CA6CB1A">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kern w:val="2"/>
                      <w:sz w:val="21"/>
                      <w:szCs w:val="21"/>
                      <w:highlight w:val="none"/>
                      <w:lang w:val="en-US" w:eastAsia="zh-CN" w:bidi="ar-SA"/>
                    </w:rPr>
                  </w:pPr>
                  <w:r>
                    <w:rPr>
                      <w:color w:val="auto"/>
                      <w:highlight w:val="none"/>
                      <w:lang w:val="en-GB"/>
                    </w:rPr>
                    <w:t>清洗车辆、</w:t>
                  </w:r>
                  <w:r>
                    <w:rPr>
                      <w:rFonts w:hint="eastAsia"/>
                      <w:color w:val="auto"/>
                      <w:highlight w:val="none"/>
                      <w:lang w:val="en-US" w:eastAsia="zh-CN"/>
                    </w:rPr>
                    <w:t>车辆覆盖、</w:t>
                  </w:r>
                  <w:r>
                    <w:rPr>
                      <w:color w:val="auto"/>
                      <w:highlight w:val="none"/>
                      <w:lang w:val="en-GB"/>
                    </w:rPr>
                    <w:t>路面定期洒水</w:t>
                  </w:r>
                </w:p>
              </w:tc>
              <w:tc>
                <w:tcPr>
                  <w:tcW w:w="449" w:type="pct"/>
                  <w:tcBorders>
                    <w:tl2br w:val="nil"/>
                    <w:tr2bl w:val="nil"/>
                  </w:tcBorders>
                  <w:noWrap w:val="0"/>
                  <w:vAlign w:val="center"/>
                </w:tcPr>
                <w:p w14:paraId="6110D6F5">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745" w:type="pct"/>
                  <w:tcBorders>
                    <w:tl2br w:val="nil"/>
                    <w:tr2bl w:val="nil"/>
                  </w:tcBorders>
                  <w:noWrap w:val="0"/>
                  <w:vAlign w:val="center"/>
                </w:tcPr>
                <w:p w14:paraId="555C52B3">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GB"/>
                    </w:rPr>
                    <w:t>90</w:t>
                  </w:r>
                  <w:r>
                    <w:rPr>
                      <w:rFonts w:ascii="Times New Roman" w:hAnsi="Times New Roman" w:eastAsia="宋体" w:cs="Times New Roman"/>
                      <w:color w:val="auto"/>
                      <w:highlight w:val="none"/>
                      <w:lang w:val="en-GB"/>
                    </w:rPr>
                    <w:t>%</w:t>
                  </w:r>
                </w:p>
              </w:tc>
              <w:tc>
                <w:tcPr>
                  <w:tcW w:w="384" w:type="pct"/>
                  <w:tcBorders>
                    <w:tl2br w:val="nil"/>
                    <w:tr2bl w:val="nil"/>
                  </w:tcBorders>
                  <w:noWrap w:val="0"/>
                  <w:vAlign w:val="center"/>
                </w:tcPr>
                <w:p w14:paraId="6962C949">
                  <w:pPr>
                    <w:pStyle w:val="30"/>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w:t>
                  </w:r>
                  <w:r>
                    <w:rPr>
                      <w:rFonts w:hint="eastAsia" w:cs="Times New Roman"/>
                      <w:color w:val="auto"/>
                      <w:highlight w:val="none"/>
                      <w:lang w:val="en-US" w:eastAsia="zh-CN"/>
                    </w:rPr>
                    <w:t>056</w:t>
                  </w:r>
                </w:p>
              </w:tc>
            </w:tr>
            <w:bookmarkEnd w:id="2"/>
          </w:tbl>
          <w:p w14:paraId="20060EF3">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highlight w:val="none"/>
                <w:lang w:val="zh-CN" w:eastAsia="zh-CN"/>
              </w:rPr>
            </w:pPr>
            <w:r>
              <w:rPr>
                <w:rFonts w:hint="default" w:ascii="Times New Roman" w:hAnsi="Times New Roman" w:eastAsia="宋体" w:cs="Times New Roman"/>
                <w:b/>
                <w:bCs/>
                <w:color w:val="auto"/>
                <w:highlight w:val="none"/>
                <w:lang w:val="en-US" w:eastAsia="zh-CN"/>
              </w:rPr>
              <w:t>（1）</w:t>
            </w:r>
            <w:r>
              <w:rPr>
                <w:rFonts w:hint="default" w:ascii="Times New Roman" w:hAnsi="Times New Roman" w:eastAsia="宋体" w:cs="Times New Roman"/>
                <w:b/>
                <w:bCs/>
                <w:color w:val="auto"/>
                <w:highlight w:val="none"/>
                <w:lang w:val="zh-CN" w:eastAsia="zh-CN"/>
              </w:rPr>
              <w:t>堆存、装卸粉尘</w:t>
            </w:r>
          </w:p>
          <w:p w14:paraId="753010B6">
            <w:pPr>
              <w:ind w:firstLine="480" w:firstLineChars="200"/>
              <w:rPr>
                <w:rFonts w:cs="Times New Roman"/>
                <w:b w:val="0"/>
                <w:bCs w:val="0"/>
                <w:color w:val="auto"/>
                <w:highlight w:val="none"/>
              </w:rPr>
            </w:pPr>
            <w:r>
              <w:rPr>
                <w:rFonts w:hint="eastAsia" w:cs="Times New Roman"/>
                <w:b w:val="0"/>
                <w:bCs w:val="0"/>
                <w:color w:val="auto"/>
                <w:highlight w:val="none"/>
              </w:rPr>
              <w:t>本项目拟设置</w:t>
            </w:r>
            <w:r>
              <w:rPr>
                <w:rFonts w:hint="eastAsia" w:cs="Times New Roman"/>
                <w:b w:val="0"/>
                <w:bCs w:val="0"/>
                <w:color w:val="auto"/>
                <w:highlight w:val="none"/>
                <w:lang w:val="en-US" w:eastAsia="zh-CN"/>
              </w:rPr>
              <w:t>堆场有破碎生产线的原料堆场和破碎生产线成品（骨料颗粒）</w:t>
            </w:r>
            <w:r>
              <w:rPr>
                <w:rFonts w:hint="eastAsia" w:cs="Times New Roman"/>
                <w:b w:val="0"/>
                <w:bCs w:val="0"/>
                <w:color w:val="auto"/>
                <w:highlight w:val="none"/>
              </w:rPr>
              <w:t>堆场</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均在封闭厂房内堆存</w:t>
            </w:r>
            <w:r>
              <w:rPr>
                <w:b w:val="0"/>
                <w:bCs w:val="0"/>
                <w:color w:val="auto"/>
                <w:highlight w:val="none"/>
                <w:lang w:val="zh-CN"/>
              </w:rPr>
              <w:t>。</w:t>
            </w:r>
            <w:r>
              <w:rPr>
                <w:rFonts w:cs="Times New Roman"/>
                <w:b w:val="0"/>
                <w:bCs w:val="0"/>
                <w:color w:val="auto"/>
                <w:highlight w:val="none"/>
                <w:lang w:val="zh-CN"/>
              </w:rPr>
              <w:t>本项目堆存、装卸粉尘</w:t>
            </w:r>
            <w:r>
              <w:rPr>
                <w:rFonts w:cs="Times New Roman"/>
                <w:b w:val="0"/>
                <w:bCs w:val="0"/>
                <w:color w:val="auto"/>
                <w:highlight w:val="none"/>
              </w:rPr>
              <w:t>参照“关于发布《排放源统计调查产排污核算方法和系数手册》的公告（公告2021年 第24号）”中“附表2 《固体物料堆存颗粒物产排污核算系数手册》”进行计算。</w:t>
            </w:r>
          </w:p>
          <w:p w14:paraId="3ED3D1E3">
            <w:pPr>
              <w:adjustRightInd w:val="0"/>
              <w:snapToGrid w:val="0"/>
              <w:ind w:firstLine="480" w:firstLineChars="200"/>
              <w:rPr>
                <w:rFonts w:hint="eastAsia" w:cs="Times New Roman" w:eastAsiaTheme="minorEastAsia"/>
                <w:b w:val="0"/>
                <w:bCs w:val="0"/>
                <w:color w:val="auto"/>
                <w:highlight w:val="none"/>
                <w:lang w:val="en-US" w:eastAsia="zh-CN"/>
              </w:rPr>
            </w:pPr>
            <w:r>
              <w:rPr>
                <w:rFonts w:hint="eastAsia" w:cs="Times New Roman"/>
                <w:b w:val="0"/>
                <w:bCs w:val="0"/>
                <w:color w:val="auto"/>
                <w:highlight w:val="none"/>
              </w:rPr>
              <w:t>①</w:t>
            </w:r>
            <w:r>
              <w:rPr>
                <w:rFonts w:hint="eastAsia" w:cs="Times New Roman"/>
                <w:b w:val="0"/>
                <w:bCs w:val="0"/>
                <w:color w:val="auto"/>
                <w:highlight w:val="none"/>
                <w:lang w:val="en-US" w:eastAsia="zh-CN"/>
              </w:rPr>
              <w:t>颗粒物</w:t>
            </w:r>
            <w:r>
              <w:rPr>
                <w:rFonts w:hint="eastAsia" w:cs="Times New Roman"/>
                <w:b w:val="0"/>
                <w:bCs w:val="0"/>
                <w:color w:val="auto"/>
                <w:highlight w:val="none"/>
              </w:rPr>
              <w:t>产生量</w:t>
            </w:r>
            <w:r>
              <w:rPr>
                <w:rFonts w:hint="eastAsia" w:cs="Times New Roman"/>
                <w:b w:val="0"/>
                <w:bCs w:val="0"/>
                <w:color w:val="auto"/>
                <w:highlight w:val="none"/>
                <w:lang w:val="en-US" w:eastAsia="zh-CN"/>
              </w:rPr>
              <w:t>核算</w:t>
            </w:r>
          </w:p>
          <w:p w14:paraId="79CA038B">
            <w:pPr>
              <w:adjustRightInd w:val="0"/>
              <w:snapToGrid w:val="0"/>
              <w:ind w:firstLine="480" w:firstLineChars="200"/>
              <w:rPr>
                <w:rFonts w:cs="Times New Roman"/>
                <w:b w:val="0"/>
                <w:bCs w:val="0"/>
                <w:color w:val="auto"/>
                <w:highlight w:val="none"/>
              </w:rPr>
            </w:pPr>
            <w:r>
              <w:rPr>
                <w:rFonts w:cs="Times New Roman"/>
                <w:b w:val="0"/>
                <w:bCs w:val="0"/>
                <w:color w:val="auto"/>
                <w:highlight w:val="none"/>
                <w:lang w:val="zh-CN"/>
              </w:rPr>
              <w:t>工业企业固体物料堆存颗粒物包括装卸扬尘和风蚀扬尘，颗粒物产生量核算公式</w:t>
            </w:r>
            <w:r>
              <w:rPr>
                <w:rFonts w:hint="eastAsia" w:cs="Times New Roman"/>
                <w:b w:val="0"/>
                <w:bCs w:val="0"/>
                <w:color w:val="auto"/>
                <w:highlight w:val="none"/>
                <w:lang w:val="zh-CN"/>
              </w:rPr>
              <w:t>为</w:t>
            </w:r>
            <w:r>
              <w:rPr>
                <w:rFonts w:cs="Times New Roman"/>
                <w:b w:val="0"/>
                <w:bCs w:val="0"/>
                <w:color w:val="auto"/>
                <w:highlight w:val="none"/>
                <w:lang w:val="zh-CN"/>
              </w:rPr>
              <w:t>：</w:t>
            </w:r>
          </w:p>
          <w:p w14:paraId="6DA93852">
            <w:pPr>
              <w:adjustRightInd w:val="0"/>
              <w:snapToGrid w:val="0"/>
              <w:ind w:firstLine="0" w:firstLineChars="0"/>
              <w:jc w:val="center"/>
              <w:rPr>
                <w:rFonts w:hint="default" w:cs="Times New Roman" w:eastAsiaTheme="minorEastAsia"/>
                <w:b w:val="0"/>
                <w:bCs w:val="0"/>
                <w:color w:val="auto"/>
                <w:highlight w:val="none"/>
                <w:lang w:val="en-US" w:eastAsia="zh-CN"/>
              </w:rPr>
            </w:pPr>
            <w:r>
              <w:rPr>
                <w:rFonts w:hint="eastAsia" w:cs="Times New Roman"/>
                <w:b w:val="0"/>
                <w:bCs w:val="0"/>
                <w:color w:val="auto"/>
                <w:highlight w:val="none"/>
                <w:lang w:val="en-US" w:eastAsia="zh-CN"/>
              </w:rPr>
              <w:t xml:space="preserve">              </w:t>
            </w:r>
            <w:r>
              <w:rPr>
                <w:rFonts w:cs="Times New Roman"/>
                <w:b w:val="0"/>
                <w:bCs w:val="0"/>
                <w:color w:val="auto"/>
                <w:highlight w:val="none"/>
              </w:rPr>
              <w:object>
                <v:shape id="_x0000_i1025" o:spt="75" type="#_x0000_t75" style="height:20.1pt;width:245.3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cs="Times New Roman"/>
                <w:b w:val="0"/>
                <w:bCs w:val="0"/>
                <w:color w:val="auto"/>
                <w:highlight w:val="none"/>
                <w:lang w:val="en-US" w:eastAsia="zh-CN"/>
              </w:rPr>
              <w:t xml:space="preserve">         式（4.1）</w:t>
            </w:r>
          </w:p>
          <w:p w14:paraId="5FFFDCDC">
            <w:pPr>
              <w:adjustRightInd w:val="0"/>
              <w:snapToGrid w:val="0"/>
              <w:ind w:firstLine="480" w:firstLineChars="200"/>
              <w:rPr>
                <w:rFonts w:cs="Times New Roman"/>
                <w:b w:val="0"/>
                <w:bCs w:val="0"/>
                <w:color w:val="auto"/>
                <w:highlight w:val="none"/>
              </w:rPr>
            </w:pPr>
            <w:r>
              <w:rPr>
                <w:rFonts w:cs="Times New Roman"/>
                <w:b w:val="0"/>
                <w:bCs w:val="0"/>
                <w:color w:val="auto"/>
                <w:highlight w:val="none"/>
              </w:rPr>
              <w:t>式中：P</w:t>
            </w:r>
            <w:r>
              <w:rPr>
                <w:rFonts w:hint="eastAsia" w:cs="Times New Roman"/>
                <w:b w:val="0"/>
                <w:bCs w:val="0"/>
                <w:color w:val="auto"/>
                <w:highlight w:val="none"/>
                <w:lang w:val="en-US" w:eastAsia="zh-CN"/>
              </w:rPr>
              <w:t xml:space="preserve"> 指</w:t>
            </w:r>
            <w:r>
              <w:rPr>
                <w:rFonts w:cs="Times New Roman"/>
                <w:b w:val="0"/>
                <w:bCs w:val="0"/>
                <w:color w:val="auto"/>
                <w:highlight w:val="none"/>
              </w:rPr>
              <w:t>颗粒物产生量（单位：t）；</w:t>
            </w:r>
          </w:p>
          <w:p w14:paraId="12149BC7">
            <w:pPr>
              <w:adjustRightInd w:val="0"/>
              <w:snapToGrid w:val="0"/>
              <w:ind w:firstLine="1200" w:firstLineChars="500"/>
              <w:rPr>
                <w:rFonts w:cs="Times New Roman"/>
                <w:b w:val="0"/>
                <w:bCs w:val="0"/>
                <w:color w:val="auto"/>
                <w:highlight w:val="none"/>
                <w:lang w:val="en-US"/>
              </w:rPr>
            </w:pPr>
            <w:r>
              <w:rPr>
                <w:rFonts w:cs="Times New Roman"/>
                <w:b w:val="0"/>
                <w:bCs w:val="0"/>
                <w:color w:val="auto"/>
                <w:highlight w:val="none"/>
                <w:lang w:val="en-US"/>
              </w:rPr>
              <w:t>ZC</w:t>
            </w:r>
            <w:r>
              <w:rPr>
                <w:rFonts w:cs="Times New Roman"/>
                <w:b w:val="0"/>
                <w:bCs w:val="0"/>
                <w:color w:val="auto"/>
                <w:highlight w:val="none"/>
                <w:vertAlign w:val="subscript"/>
                <w:lang w:val="en-US"/>
              </w:rPr>
              <w:t>y</w:t>
            </w:r>
            <w:r>
              <w:rPr>
                <w:rFonts w:hint="eastAsia" w:cs="Times New Roman"/>
                <w:b w:val="0"/>
                <w:bCs w:val="0"/>
                <w:color w:val="auto"/>
                <w:highlight w:val="none"/>
                <w:lang w:val="en-US" w:eastAsia="zh-CN"/>
              </w:rPr>
              <w:t xml:space="preserve"> 指</w:t>
            </w:r>
            <w:r>
              <w:rPr>
                <w:rFonts w:cs="Times New Roman"/>
                <w:b w:val="0"/>
                <w:bCs w:val="0"/>
                <w:color w:val="auto"/>
                <w:highlight w:val="none"/>
                <w:lang w:val="en-US"/>
              </w:rPr>
              <w:t>装卸扬尘产生量（单位：t）；</w:t>
            </w:r>
          </w:p>
          <w:p w14:paraId="47ECBF20">
            <w:pPr>
              <w:adjustRightInd w:val="0"/>
              <w:snapToGrid w:val="0"/>
              <w:ind w:firstLine="1200" w:firstLineChars="500"/>
              <w:rPr>
                <w:rFonts w:cs="Times New Roman"/>
                <w:b w:val="0"/>
                <w:bCs w:val="0"/>
                <w:color w:val="auto"/>
                <w:highlight w:val="none"/>
                <w:lang w:val="en-US"/>
              </w:rPr>
            </w:pPr>
            <w:r>
              <w:rPr>
                <w:rFonts w:cs="Times New Roman"/>
                <w:b w:val="0"/>
                <w:bCs w:val="0"/>
                <w:color w:val="auto"/>
                <w:highlight w:val="none"/>
                <w:lang w:val="en-US"/>
              </w:rPr>
              <w:t>FC</w:t>
            </w:r>
            <w:r>
              <w:rPr>
                <w:rFonts w:cs="Times New Roman"/>
                <w:b w:val="0"/>
                <w:bCs w:val="0"/>
                <w:color w:val="auto"/>
                <w:highlight w:val="none"/>
                <w:vertAlign w:val="subscript"/>
                <w:lang w:val="en-US"/>
              </w:rPr>
              <w:t>y</w:t>
            </w:r>
            <w:r>
              <w:rPr>
                <w:rFonts w:hint="eastAsia" w:cs="Times New Roman"/>
                <w:b w:val="0"/>
                <w:bCs w:val="0"/>
                <w:color w:val="auto"/>
                <w:highlight w:val="none"/>
                <w:lang w:val="en-US" w:eastAsia="zh-CN"/>
              </w:rPr>
              <w:t xml:space="preserve"> 指</w:t>
            </w:r>
            <w:r>
              <w:rPr>
                <w:rFonts w:cs="Times New Roman"/>
                <w:b w:val="0"/>
                <w:bCs w:val="0"/>
                <w:color w:val="auto"/>
                <w:highlight w:val="none"/>
                <w:lang w:val="en-US"/>
              </w:rPr>
              <w:t>风蚀扬尘产生量（单位：t）；</w:t>
            </w:r>
          </w:p>
          <w:p w14:paraId="31D1F711">
            <w:pPr>
              <w:adjustRightInd w:val="0"/>
              <w:snapToGrid w:val="0"/>
              <w:ind w:firstLine="1200" w:firstLineChars="500"/>
              <w:rPr>
                <w:rFonts w:cs="Times New Roman"/>
                <w:b w:val="0"/>
                <w:bCs w:val="0"/>
                <w:color w:val="auto"/>
                <w:highlight w:val="none"/>
              </w:rPr>
            </w:pPr>
            <w:r>
              <w:rPr>
                <w:rFonts w:cs="Times New Roman"/>
                <w:b w:val="0"/>
                <w:bCs w:val="0"/>
                <w:color w:val="auto"/>
                <w:highlight w:val="none"/>
              </w:rPr>
              <w:t>N</w:t>
            </w:r>
            <w:r>
              <w:rPr>
                <w:rFonts w:cs="Times New Roman"/>
                <w:b w:val="0"/>
                <w:bCs w:val="0"/>
                <w:color w:val="auto"/>
                <w:highlight w:val="none"/>
                <w:vertAlign w:val="subscript"/>
              </w:rPr>
              <w:t>c</w:t>
            </w:r>
            <w:r>
              <w:rPr>
                <w:rFonts w:hint="eastAsia" w:cs="Times New Roman"/>
                <w:b w:val="0"/>
                <w:bCs w:val="0"/>
                <w:color w:val="auto"/>
                <w:highlight w:val="none"/>
                <w:lang w:val="en-US" w:eastAsia="zh-CN"/>
              </w:rPr>
              <w:t xml:space="preserve"> 指</w:t>
            </w:r>
            <w:r>
              <w:rPr>
                <w:rFonts w:cs="Times New Roman"/>
                <w:b w:val="0"/>
                <w:bCs w:val="0"/>
                <w:color w:val="auto"/>
                <w:highlight w:val="none"/>
              </w:rPr>
              <w:t>年物料运载车次（单位：车）</w:t>
            </w:r>
            <w:r>
              <w:rPr>
                <w:rFonts w:hint="eastAsia" w:cs="Times New Roman"/>
                <w:b w:val="0"/>
                <w:bCs w:val="0"/>
                <w:color w:val="auto"/>
                <w:highlight w:val="none"/>
                <w:lang w:eastAsia="zh-CN"/>
              </w:rPr>
              <w:t>，</w:t>
            </w:r>
            <w:r>
              <w:rPr>
                <w:rFonts w:ascii="宋体" w:hAnsi="宋体"/>
                <w:color w:val="auto"/>
                <w:highlight w:val="none"/>
              </w:rPr>
              <w:t>取</w:t>
            </w:r>
            <w:r>
              <w:rPr>
                <w:rFonts w:hint="eastAsia"/>
                <w:color w:val="auto"/>
                <w:highlight w:val="none"/>
                <w:lang w:val="en-US" w:eastAsia="zh-CN"/>
              </w:rPr>
              <w:t>19640</w:t>
            </w:r>
            <w:r>
              <w:rPr>
                <w:rFonts w:cs="Times New Roman"/>
                <w:b w:val="0"/>
                <w:bCs w:val="0"/>
                <w:color w:val="auto"/>
                <w:highlight w:val="none"/>
              </w:rPr>
              <w:t>；</w:t>
            </w:r>
          </w:p>
          <w:p w14:paraId="6F8A5C03">
            <w:pPr>
              <w:adjustRightInd w:val="0"/>
              <w:snapToGrid w:val="0"/>
              <w:ind w:firstLine="1200" w:firstLineChars="500"/>
              <w:rPr>
                <w:rFonts w:cs="Times New Roman"/>
                <w:b w:val="0"/>
                <w:bCs w:val="0"/>
                <w:color w:val="auto"/>
                <w:highlight w:val="none"/>
              </w:rPr>
            </w:pPr>
            <w:r>
              <w:rPr>
                <w:rFonts w:cs="Times New Roman"/>
                <w:b w:val="0"/>
                <w:bCs w:val="0"/>
                <w:color w:val="auto"/>
                <w:highlight w:val="none"/>
              </w:rPr>
              <w:t>D</w:t>
            </w:r>
            <w:r>
              <w:rPr>
                <w:rFonts w:hint="eastAsia" w:cs="Times New Roman"/>
                <w:b w:val="0"/>
                <w:bCs w:val="0"/>
                <w:color w:val="auto"/>
                <w:highlight w:val="none"/>
                <w:lang w:val="en-US" w:eastAsia="zh-CN"/>
              </w:rPr>
              <w:t xml:space="preserve"> 指</w:t>
            </w:r>
            <w:r>
              <w:rPr>
                <w:rFonts w:cs="Times New Roman"/>
                <w:b w:val="0"/>
                <w:bCs w:val="0"/>
                <w:color w:val="auto"/>
                <w:highlight w:val="none"/>
              </w:rPr>
              <w:t>单车平均运载量（单位：t/车）</w:t>
            </w:r>
            <w:r>
              <w:rPr>
                <w:rFonts w:hint="eastAsia" w:cs="Times New Roman"/>
                <w:b w:val="0"/>
                <w:bCs w:val="0"/>
                <w:color w:val="auto"/>
                <w:highlight w:val="none"/>
                <w:lang w:eastAsia="zh-CN"/>
              </w:rPr>
              <w:t>，</w:t>
            </w:r>
            <w:r>
              <w:rPr>
                <w:rFonts w:ascii="宋体" w:hAnsi="宋体"/>
                <w:color w:val="auto"/>
                <w:highlight w:val="none"/>
              </w:rPr>
              <w:t>取</w:t>
            </w:r>
            <w:r>
              <w:rPr>
                <w:rFonts w:hint="eastAsia"/>
                <w:color w:val="auto"/>
                <w:highlight w:val="none"/>
                <w:lang w:val="en-US" w:eastAsia="zh-CN"/>
              </w:rPr>
              <w:t>50</w:t>
            </w:r>
            <w:r>
              <w:rPr>
                <w:rFonts w:cs="Times New Roman"/>
                <w:b w:val="0"/>
                <w:bCs w:val="0"/>
                <w:color w:val="auto"/>
                <w:highlight w:val="none"/>
              </w:rPr>
              <w:t>；</w:t>
            </w:r>
          </w:p>
          <w:p w14:paraId="4CDAAE01">
            <w:pPr>
              <w:adjustRightInd w:val="0"/>
              <w:snapToGrid w:val="0"/>
              <w:ind w:firstLine="960" w:firstLineChars="400"/>
              <w:rPr>
                <w:rFonts w:cs="Times New Roman"/>
                <w:b w:val="0"/>
                <w:bCs w:val="0"/>
                <w:color w:val="auto"/>
                <w:highlight w:val="none"/>
              </w:rPr>
            </w:pP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position w:val="-6"/>
                <w:highlight w:val="none"/>
                <w:lang w:eastAsia="zh-CN"/>
              </w:rPr>
              <w:object>
                <v:shape id="_x0000_i1026" o:spt="75" type="#_x0000_t75" style="height:13.95pt;width:23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r>
              <w:rPr>
                <w:rFonts w:hint="eastAsia" w:ascii="Times New Roman" w:hAnsi="Times New Roman" w:cs="Times New Roman"/>
                <w:b w:val="0"/>
                <w:bCs w:val="0"/>
                <w:color w:val="auto"/>
                <w:highlight w:val="none"/>
                <w:lang w:eastAsia="zh-CN"/>
              </w:rPr>
              <w:t>）</w:t>
            </w:r>
            <w:r>
              <w:rPr>
                <w:rFonts w:hint="eastAsia" w:cs="Times New Roman"/>
                <w:b w:val="0"/>
                <w:bCs w:val="0"/>
                <w:color w:val="auto"/>
                <w:highlight w:val="none"/>
                <w:lang w:val="en-US" w:eastAsia="zh-CN"/>
              </w:rPr>
              <w:t xml:space="preserve"> 指</w:t>
            </w:r>
            <w:r>
              <w:rPr>
                <w:rFonts w:ascii="Times New Roman" w:hAnsi="Times New Roman" w:cs="Times New Roman"/>
                <w:b w:val="0"/>
                <w:bCs w:val="0"/>
                <w:color w:val="auto"/>
                <w:highlight w:val="none"/>
              </w:rPr>
              <w:t>扬</w:t>
            </w:r>
            <w:r>
              <w:rPr>
                <w:rFonts w:cs="Times New Roman"/>
                <w:b w:val="0"/>
                <w:bCs w:val="0"/>
                <w:color w:val="auto"/>
                <w:highlight w:val="none"/>
              </w:rPr>
              <w:t>尘概化系数（单位：kg/t），</w:t>
            </w:r>
            <w:r>
              <w:rPr>
                <w:rFonts w:hint="eastAsia" w:cs="Times New Roman"/>
                <w:b w:val="0"/>
                <w:bCs w:val="0"/>
                <w:color w:val="auto"/>
                <w:highlight w:val="none"/>
                <w:lang w:val="en-US" w:eastAsia="zh-CN"/>
              </w:rPr>
              <w:t>a</w:t>
            </w:r>
            <w:r>
              <w:rPr>
                <w:rFonts w:cs="Times New Roman"/>
                <w:b w:val="0"/>
                <w:bCs w:val="0"/>
                <w:color w:val="auto"/>
                <w:highlight w:val="none"/>
              </w:rPr>
              <w:t>指各省风速概化系数（陕西省为</w:t>
            </w:r>
          </w:p>
          <w:p w14:paraId="01362630">
            <w:pPr>
              <w:adjustRightInd w:val="0"/>
              <w:snapToGrid w:val="0"/>
              <w:ind w:firstLine="480" w:firstLineChars="200"/>
              <w:rPr>
                <w:rFonts w:cs="Times New Roman"/>
                <w:b w:val="0"/>
                <w:bCs w:val="0"/>
                <w:color w:val="auto"/>
                <w:highlight w:val="none"/>
              </w:rPr>
            </w:pPr>
            <w:r>
              <w:rPr>
                <w:rFonts w:cs="Times New Roman"/>
                <w:b w:val="0"/>
                <w:bCs w:val="0"/>
                <w:color w:val="auto"/>
                <w:highlight w:val="none"/>
              </w:rPr>
              <w:t>0.0008），b指物料含水率概化系数（本项目为0.00</w:t>
            </w:r>
            <w:r>
              <w:rPr>
                <w:rFonts w:hint="eastAsia" w:cs="Times New Roman"/>
                <w:b w:val="0"/>
                <w:bCs w:val="0"/>
                <w:color w:val="auto"/>
                <w:highlight w:val="none"/>
                <w:lang w:val="en-US" w:eastAsia="zh-CN"/>
              </w:rPr>
              <w:t>17</w:t>
            </w:r>
            <w:r>
              <w:rPr>
                <w:rFonts w:cs="Times New Roman"/>
                <w:b w:val="0"/>
                <w:bCs w:val="0"/>
                <w:color w:val="auto"/>
                <w:highlight w:val="none"/>
              </w:rPr>
              <w:t>）；</w:t>
            </w:r>
          </w:p>
          <w:p w14:paraId="1E1F6E7E">
            <w:pPr>
              <w:adjustRightInd w:val="0"/>
              <w:snapToGrid w:val="0"/>
              <w:ind w:firstLine="1200" w:firstLineChars="500"/>
              <w:rPr>
                <w:rFonts w:cs="Times New Roman"/>
                <w:b w:val="0"/>
                <w:bCs w:val="0"/>
                <w:color w:val="auto"/>
                <w:highlight w:val="none"/>
                <w:lang w:val="en-US"/>
              </w:rPr>
            </w:pPr>
            <w:r>
              <w:rPr>
                <w:rFonts w:cs="Times New Roman"/>
                <w:b w:val="0"/>
                <w:bCs w:val="0"/>
                <w:color w:val="auto"/>
                <w:highlight w:val="none"/>
                <w:lang w:val="en-US"/>
              </w:rPr>
              <w:t>E</w:t>
            </w:r>
            <w:r>
              <w:rPr>
                <w:rFonts w:cs="Times New Roman"/>
                <w:b w:val="0"/>
                <w:bCs w:val="0"/>
                <w:color w:val="auto"/>
                <w:highlight w:val="none"/>
                <w:vertAlign w:val="subscript"/>
                <w:lang w:val="en-US"/>
              </w:rPr>
              <w:t>f</w:t>
            </w:r>
            <w:r>
              <w:rPr>
                <w:rFonts w:hint="eastAsia" w:cs="Times New Roman"/>
                <w:b w:val="0"/>
                <w:bCs w:val="0"/>
                <w:color w:val="auto"/>
                <w:highlight w:val="none"/>
                <w:lang w:val="en-US" w:eastAsia="zh-CN"/>
              </w:rPr>
              <w:t xml:space="preserve"> 指</w:t>
            </w:r>
            <w:r>
              <w:rPr>
                <w:rFonts w:cs="Times New Roman"/>
                <w:b w:val="0"/>
                <w:bCs w:val="0"/>
                <w:color w:val="auto"/>
                <w:highlight w:val="none"/>
                <w:lang w:val="en-US"/>
              </w:rPr>
              <w:t>堆场风蚀扬尘概化系数（单位：kg/m</w:t>
            </w:r>
            <w:r>
              <w:rPr>
                <w:rFonts w:cs="Times New Roman"/>
                <w:b w:val="0"/>
                <w:bCs w:val="0"/>
                <w:color w:val="auto"/>
                <w:highlight w:val="none"/>
                <w:vertAlign w:val="superscript"/>
                <w:lang w:val="en-US"/>
              </w:rPr>
              <w:t>2</w:t>
            </w:r>
            <w:r>
              <w:rPr>
                <w:rFonts w:cs="Times New Roman"/>
                <w:b w:val="0"/>
                <w:bCs w:val="0"/>
                <w:color w:val="auto"/>
                <w:highlight w:val="none"/>
                <w:lang w:val="en-US"/>
              </w:rPr>
              <w:t>）（</w:t>
            </w:r>
            <w:r>
              <w:rPr>
                <w:rFonts w:hint="eastAsia" w:cs="Times New Roman"/>
                <w:b w:val="0"/>
                <w:bCs w:val="0"/>
                <w:color w:val="auto"/>
                <w:highlight w:val="none"/>
                <w:lang w:val="en-US" w:eastAsia="zh-CN"/>
              </w:rPr>
              <w:t>本项目堆料场在封闭的厂房内，取值3.6062</w:t>
            </w:r>
            <w:r>
              <w:rPr>
                <w:rFonts w:cs="Times New Roman"/>
                <w:b w:val="0"/>
                <w:bCs w:val="0"/>
                <w:color w:val="auto"/>
                <w:highlight w:val="none"/>
                <w:lang w:val="en-US"/>
              </w:rPr>
              <w:t>）；</w:t>
            </w:r>
          </w:p>
          <w:p w14:paraId="69BBA13B">
            <w:pPr>
              <w:adjustRightInd w:val="0"/>
              <w:snapToGrid w:val="0"/>
              <w:ind w:firstLine="1200" w:firstLineChars="500"/>
              <w:rPr>
                <w:rFonts w:hint="default" w:cs="Times New Roman" w:eastAsiaTheme="minorEastAsia"/>
                <w:b w:val="0"/>
                <w:bCs w:val="0"/>
                <w:color w:val="auto"/>
                <w:highlight w:val="none"/>
                <w:lang w:val="en-US" w:eastAsia="zh-CN"/>
              </w:rPr>
            </w:pPr>
            <w:r>
              <w:rPr>
                <w:rFonts w:cs="Times New Roman"/>
                <w:b w:val="0"/>
                <w:bCs w:val="0"/>
                <w:color w:val="auto"/>
                <w:highlight w:val="none"/>
              </w:rPr>
              <w:t>S</w:t>
            </w:r>
            <w:r>
              <w:rPr>
                <w:rFonts w:hint="eastAsia" w:cs="Times New Roman"/>
                <w:b w:val="0"/>
                <w:bCs w:val="0"/>
                <w:color w:val="auto"/>
                <w:highlight w:val="none"/>
                <w:lang w:val="en-US" w:eastAsia="zh-CN"/>
              </w:rPr>
              <w:t xml:space="preserve"> 指</w:t>
            </w:r>
            <w:r>
              <w:rPr>
                <w:rFonts w:cs="Times New Roman"/>
                <w:b w:val="0"/>
                <w:bCs w:val="0"/>
                <w:color w:val="auto"/>
                <w:highlight w:val="none"/>
              </w:rPr>
              <w:t>堆场占地面积（单位：m</w:t>
            </w:r>
            <w:r>
              <w:rPr>
                <w:rFonts w:cs="Times New Roman"/>
                <w:b w:val="0"/>
                <w:bCs w:val="0"/>
                <w:color w:val="auto"/>
                <w:highlight w:val="none"/>
                <w:vertAlign w:val="superscript"/>
              </w:rPr>
              <w:t>2</w:t>
            </w:r>
            <w:r>
              <w:rPr>
                <w:rFonts w:cs="Times New Roman"/>
                <w:b w:val="0"/>
                <w:bCs w:val="0"/>
                <w:color w:val="auto"/>
                <w:highlight w:val="none"/>
              </w:rPr>
              <w:t>）</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本项目建筑垃圾料仓、骨料仓等均位于厂房西侧，总计约10000</w:t>
            </w:r>
            <w:r>
              <w:rPr>
                <w:rFonts w:cs="Times New Roman"/>
                <w:b w:val="0"/>
                <w:bCs w:val="0"/>
                <w:color w:val="auto"/>
                <w:highlight w:val="none"/>
              </w:rPr>
              <w:t>m</w:t>
            </w:r>
            <w:r>
              <w:rPr>
                <w:rFonts w:cs="Times New Roman"/>
                <w:b w:val="0"/>
                <w:bCs w:val="0"/>
                <w:color w:val="auto"/>
                <w:highlight w:val="none"/>
                <w:vertAlign w:val="superscript"/>
              </w:rPr>
              <w:t>2</w:t>
            </w:r>
          </w:p>
          <w:p w14:paraId="274D9582">
            <w:pPr>
              <w:adjustRightInd w:val="0"/>
              <w:snapToGrid w:val="0"/>
              <w:ind w:firstLine="480" w:firstLineChars="200"/>
              <w:rPr>
                <w:rFonts w:hint="default" w:cs="Times New Roman" w:eastAsiaTheme="minorEastAsia"/>
                <w:b w:val="0"/>
                <w:bCs w:val="0"/>
                <w:color w:val="auto"/>
                <w:highlight w:val="none"/>
                <w:lang w:val="en-US" w:eastAsia="zh-CN"/>
              </w:rPr>
            </w:pPr>
            <w:r>
              <w:rPr>
                <w:rFonts w:hint="eastAsia" w:cs="Times New Roman"/>
                <w:b w:val="0"/>
                <w:bCs w:val="0"/>
                <w:color w:val="auto"/>
                <w:highlight w:val="none"/>
                <w:lang w:val="en-US" w:eastAsia="zh-CN"/>
              </w:rPr>
              <w:t>本项目设封闭式原料库和成品骨料库，由上述公式计算的堆场扬尘及装卸扬尘颗粒物产生量为543.24t/a。</w:t>
            </w:r>
          </w:p>
          <w:p w14:paraId="38487EB8">
            <w:pPr>
              <w:adjustRightInd w:val="0"/>
              <w:snapToGrid w:val="0"/>
              <w:ind w:firstLine="480" w:firstLineChars="200"/>
              <w:rPr>
                <w:rFonts w:hint="eastAsia" w:cs="Times New Roman" w:eastAsiaTheme="minorEastAsia"/>
                <w:b w:val="0"/>
                <w:bCs w:val="0"/>
                <w:color w:val="auto"/>
                <w:highlight w:val="none"/>
                <w:lang w:val="en-US" w:eastAsia="zh-CN"/>
              </w:rPr>
            </w:pPr>
            <w:r>
              <w:rPr>
                <w:rFonts w:hint="eastAsia" w:cs="Times New Roman"/>
                <w:b w:val="0"/>
                <w:bCs w:val="0"/>
                <w:color w:val="auto"/>
                <w:highlight w:val="none"/>
                <w:lang w:val="en-US"/>
              </w:rPr>
              <w:t>②</w:t>
            </w:r>
            <w:r>
              <w:rPr>
                <w:rFonts w:hint="eastAsia" w:cs="Times New Roman"/>
                <w:b w:val="0"/>
                <w:bCs w:val="0"/>
                <w:color w:val="auto"/>
                <w:highlight w:val="none"/>
                <w:lang w:val="en-US" w:eastAsia="zh-CN"/>
              </w:rPr>
              <w:t>颗粒物</w:t>
            </w:r>
            <w:r>
              <w:rPr>
                <w:rFonts w:cs="Times New Roman"/>
                <w:b w:val="0"/>
                <w:bCs w:val="0"/>
                <w:color w:val="auto"/>
                <w:highlight w:val="none"/>
                <w:lang w:val="en-US"/>
              </w:rPr>
              <w:t>排放量</w:t>
            </w:r>
            <w:r>
              <w:rPr>
                <w:rFonts w:hint="eastAsia" w:cs="Times New Roman"/>
                <w:b w:val="0"/>
                <w:bCs w:val="0"/>
                <w:color w:val="auto"/>
                <w:highlight w:val="none"/>
                <w:lang w:val="en-US" w:eastAsia="zh-CN"/>
              </w:rPr>
              <w:t>核算</w:t>
            </w:r>
          </w:p>
          <w:p w14:paraId="642DCF06">
            <w:pPr>
              <w:adjustRightInd w:val="0"/>
              <w:snapToGrid w:val="0"/>
              <w:ind w:firstLine="480" w:firstLineChars="200"/>
              <w:rPr>
                <w:rFonts w:cs="Times New Roman"/>
                <w:b w:val="0"/>
                <w:bCs w:val="0"/>
                <w:color w:val="auto"/>
                <w:highlight w:val="none"/>
                <w:lang w:val="en-US"/>
              </w:rPr>
            </w:pPr>
            <w:r>
              <w:rPr>
                <w:rFonts w:cs="Times New Roman"/>
                <w:b w:val="0"/>
                <w:bCs w:val="0"/>
                <w:color w:val="auto"/>
                <w:highlight w:val="none"/>
                <w:lang w:val="en-US"/>
              </w:rPr>
              <w:t>工业企业固体物料堆场颗粒物排放量核算公式如下：</w:t>
            </w:r>
          </w:p>
          <w:p w14:paraId="0F067870">
            <w:pPr>
              <w:adjustRightInd w:val="0"/>
              <w:snapToGrid w:val="0"/>
              <w:ind w:firstLine="0" w:firstLineChars="0"/>
              <w:jc w:val="center"/>
              <w:rPr>
                <w:rFonts w:hint="default" w:cs="Times New Roman" w:eastAsiaTheme="minorEastAsia"/>
                <w:b w:val="0"/>
                <w:bCs w:val="0"/>
                <w:color w:val="auto"/>
                <w:highlight w:val="none"/>
                <w:lang w:val="en-US" w:eastAsia="zh-CN"/>
              </w:rPr>
            </w:pPr>
            <w:r>
              <w:rPr>
                <w:rFonts w:hint="eastAsia" w:cs="Times New Roman"/>
                <w:b w:val="0"/>
                <w:bCs w:val="0"/>
                <w:color w:val="auto"/>
                <w:highlight w:val="none"/>
                <w:lang w:val="en-US" w:eastAsia="zh-CN"/>
              </w:rPr>
              <w:t xml:space="preserve">                     </w:t>
            </w:r>
            <w:r>
              <w:rPr>
                <w:rFonts w:cs="Times New Roman"/>
                <w:b w:val="0"/>
                <w:bCs w:val="0"/>
                <w:color w:val="auto"/>
                <w:highlight w:val="none"/>
              </w:rPr>
              <w:object>
                <v:shape id="_x0000_i1027" o:spt="75" type="#_x0000_t75" style="height:18.4pt;width:129.7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cs="Times New Roman"/>
                <w:b w:val="0"/>
                <w:bCs w:val="0"/>
                <w:color w:val="auto"/>
                <w:highlight w:val="none"/>
                <w:lang w:val="en-US" w:eastAsia="zh-CN"/>
              </w:rPr>
              <w:t xml:space="preserve">                   式（4.2）</w:t>
            </w:r>
          </w:p>
          <w:p w14:paraId="48991F06">
            <w:pPr>
              <w:adjustRightInd w:val="0"/>
              <w:snapToGrid w:val="0"/>
              <w:ind w:firstLine="480" w:firstLineChars="200"/>
              <w:rPr>
                <w:rFonts w:cs="Times New Roman"/>
                <w:b w:val="0"/>
                <w:bCs w:val="0"/>
                <w:color w:val="auto"/>
                <w:highlight w:val="none"/>
                <w:lang w:val="en-US"/>
              </w:rPr>
            </w:pPr>
            <w:r>
              <w:rPr>
                <w:rFonts w:cs="Times New Roman"/>
                <w:b w:val="0"/>
                <w:bCs w:val="0"/>
                <w:color w:val="auto"/>
                <w:highlight w:val="none"/>
                <w:lang w:val="en-US"/>
              </w:rPr>
              <w:t>式中：P</w:t>
            </w:r>
            <w:r>
              <w:rPr>
                <w:rFonts w:hint="eastAsia" w:cs="Times New Roman"/>
                <w:b w:val="0"/>
                <w:bCs w:val="0"/>
                <w:color w:val="auto"/>
                <w:highlight w:val="none"/>
                <w:lang w:val="en-US" w:eastAsia="zh-CN"/>
              </w:rPr>
              <w:t xml:space="preserve"> 指</w:t>
            </w:r>
            <w:r>
              <w:rPr>
                <w:rFonts w:cs="Times New Roman"/>
                <w:b w:val="0"/>
                <w:bCs w:val="0"/>
                <w:color w:val="auto"/>
                <w:highlight w:val="none"/>
                <w:lang w:val="en-US"/>
              </w:rPr>
              <w:t>颗粒物产生量（单位：t）；</w:t>
            </w:r>
          </w:p>
          <w:p w14:paraId="61356F99">
            <w:pPr>
              <w:adjustRightInd w:val="0"/>
              <w:snapToGrid w:val="0"/>
              <w:ind w:firstLine="1200" w:firstLineChars="500"/>
              <w:rPr>
                <w:rFonts w:cs="Times New Roman"/>
                <w:b w:val="0"/>
                <w:bCs w:val="0"/>
                <w:color w:val="auto"/>
                <w:highlight w:val="none"/>
                <w:lang w:val="en-US"/>
              </w:rPr>
            </w:pPr>
            <w:r>
              <w:rPr>
                <w:rFonts w:cs="Times New Roman"/>
                <w:b w:val="0"/>
                <w:bCs w:val="0"/>
                <w:color w:val="auto"/>
                <w:highlight w:val="none"/>
                <w:lang w:val="en-US"/>
              </w:rPr>
              <w:t>U</w:t>
            </w:r>
            <w:r>
              <w:rPr>
                <w:rFonts w:cs="Times New Roman"/>
                <w:b w:val="0"/>
                <w:bCs w:val="0"/>
                <w:color w:val="auto"/>
                <w:highlight w:val="none"/>
                <w:vertAlign w:val="subscript"/>
                <w:lang w:val="en-US"/>
              </w:rPr>
              <w:t>c</w:t>
            </w:r>
            <w:r>
              <w:rPr>
                <w:rFonts w:hint="eastAsia" w:cs="Times New Roman"/>
                <w:b w:val="0"/>
                <w:bCs w:val="0"/>
                <w:color w:val="auto"/>
                <w:highlight w:val="none"/>
                <w:lang w:val="en-US" w:eastAsia="zh-CN"/>
              </w:rPr>
              <w:t xml:space="preserve"> 指</w:t>
            </w:r>
            <w:r>
              <w:rPr>
                <w:rFonts w:cs="Times New Roman"/>
                <w:b w:val="0"/>
                <w:bCs w:val="0"/>
                <w:color w:val="auto"/>
                <w:highlight w:val="none"/>
                <w:lang w:val="en-US"/>
              </w:rPr>
              <w:t>颗粒物排放量（单位：t）；</w:t>
            </w:r>
          </w:p>
          <w:p w14:paraId="0F12C598">
            <w:pPr>
              <w:keepNext w:val="0"/>
              <w:keepLines w:val="0"/>
              <w:pageBreakBefore w:val="0"/>
              <w:widowControl w:val="0"/>
              <w:kinsoku/>
              <w:wordWrap/>
              <w:overflowPunct/>
              <w:topLinePunct w:val="0"/>
              <w:autoSpaceDE/>
              <w:autoSpaceDN/>
              <w:bidi w:val="0"/>
              <w:adjustRightInd w:val="0"/>
              <w:snapToGrid w:val="0"/>
              <w:ind w:left="480" w:leftChars="200" w:firstLine="720" w:firstLineChars="300"/>
              <w:textAlignment w:val="auto"/>
              <w:rPr>
                <w:rFonts w:cs="Times New Roman"/>
                <w:b w:val="0"/>
                <w:bCs w:val="0"/>
                <w:color w:val="auto"/>
                <w:highlight w:val="none"/>
              </w:rPr>
            </w:pPr>
            <w:r>
              <w:rPr>
                <w:rFonts w:cs="Times New Roman"/>
                <w:b w:val="0"/>
                <w:bCs w:val="0"/>
                <w:color w:val="auto"/>
                <w:highlight w:val="none"/>
              </w:rPr>
              <w:t>C</w:t>
            </w:r>
            <w:r>
              <w:rPr>
                <w:rFonts w:cs="Times New Roman"/>
                <w:b w:val="0"/>
                <w:bCs w:val="0"/>
                <w:color w:val="auto"/>
                <w:highlight w:val="none"/>
                <w:vertAlign w:val="subscript"/>
              </w:rPr>
              <w:t>m</w:t>
            </w:r>
            <w:r>
              <w:rPr>
                <w:rFonts w:hint="eastAsia" w:cs="Times New Roman"/>
                <w:b w:val="0"/>
                <w:bCs w:val="0"/>
                <w:color w:val="auto"/>
                <w:highlight w:val="none"/>
                <w:lang w:val="en-US" w:eastAsia="zh-CN"/>
              </w:rPr>
              <w:t xml:space="preserve"> 指</w:t>
            </w:r>
            <w:r>
              <w:rPr>
                <w:rFonts w:cs="Times New Roman"/>
                <w:b w:val="0"/>
                <w:bCs w:val="0"/>
                <w:color w:val="auto"/>
                <w:highlight w:val="none"/>
              </w:rPr>
              <w:t>颗粒物控制措施控制效率（单位：%）（封闭式厂房内设有喷</w:t>
            </w:r>
            <w:r>
              <w:rPr>
                <w:rFonts w:hint="eastAsia" w:cs="Times New Roman"/>
                <w:b w:val="0"/>
                <w:bCs w:val="0"/>
                <w:color w:val="auto"/>
                <w:highlight w:val="none"/>
                <w:lang w:val="en-US" w:eastAsia="zh-CN"/>
              </w:rPr>
              <w:t>雾</w:t>
            </w:r>
            <w:r>
              <w:rPr>
                <w:rFonts w:cs="Times New Roman"/>
                <w:b w:val="0"/>
                <w:bCs w:val="0"/>
                <w:color w:val="auto"/>
                <w:highlight w:val="none"/>
              </w:rPr>
              <w:t>设施，控制效率取74%）；</w:t>
            </w:r>
          </w:p>
          <w:p w14:paraId="6E44D2DA">
            <w:pPr>
              <w:adjustRightInd w:val="0"/>
              <w:snapToGrid w:val="0"/>
              <w:ind w:left="480" w:leftChars="200" w:firstLine="720" w:firstLineChars="300"/>
              <w:rPr>
                <w:rFonts w:cs="Times New Roman"/>
                <w:b w:val="0"/>
                <w:bCs w:val="0"/>
                <w:color w:val="auto"/>
                <w:highlight w:val="none"/>
                <w:lang w:val="en-US"/>
              </w:rPr>
            </w:pPr>
            <w:r>
              <w:rPr>
                <w:rFonts w:cs="Times New Roman"/>
                <w:b w:val="0"/>
                <w:bCs w:val="0"/>
                <w:color w:val="auto"/>
                <w:highlight w:val="none"/>
                <w:lang w:val="en-US"/>
              </w:rPr>
              <w:t>T</w:t>
            </w:r>
            <w:r>
              <w:rPr>
                <w:rFonts w:cs="Times New Roman"/>
                <w:b w:val="0"/>
                <w:bCs w:val="0"/>
                <w:color w:val="auto"/>
                <w:highlight w:val="none"/>
                <w:vertAlign w:val="subscript"/>
                <w:lang w:val="en-US"/>
              </w:rPr>
              <w:t>m</w:t>
            </w:r>
            <w:r>
              <w:rPr>
                <w:rFonts w:hint="eastAsia" w:cs="Times New Roman"/>
                <w:b w:val="0"/>
                <w:bCs w:val="0"/>
                <w:color w:val="auto"/>
                <w:highlight w:val="none"/>
                <w:lang w:val="en-US" w:eastAsia="zh-CN"/>
              </w:rPr>
              <w:t xml:space="preserve"> </w:t>
            </w:r>
            <w:r>
              <w:rPr>
                <w:rFonts w:cs="Times New Roman"/>
                <w:b w:val="0"/>
                <w:bCs w:val="0"/>
                <w:color w:val="auto"/>
                <w:highlight w:val="none"/>
                <w:lang w:val="en-US"/>
              </w:rPr>
              <w:t>指堆场类型控制效率（单位：%）（本项目</w:t>
            </w:r>
            <w:r>
              <w:rPr>
                <w:rFonts w:hint="eastAsia" w:cs="Times New Roman"/>
                <w:b w:val="0"/>
                <w:bCs w:val="0"/>
                <w:color w:val="auto"/>
                <w:highlight w:val="none"/>
                <w:lang w:val="en-US" w:eastAsia="zh-CN"/>
              </w:rPr>
              <w:t>堆场位于</w:t>
            </w:r>
            <w:r>
              <w:rPr>
                <w:rFonts w:cs="Times New Roman"/>
                <w:b w:val="0"/>
                <w:bCs w:val="0"/>
                <w:color w:val="auto"/>
                <w:highlight w:val="none"/>
              </w:rPr>
              <w:t>封闭式厂房内</w:t>
            </w:r>
            <w:r>
              <w:rPr>
                <w:rFonts w:hint="eastAsia" w:cs="Times New Roman"/>
                <w:b w:val="0"/>
                <w:bCs w:val="0"/>
                <w:color w:val="auto"/>
                <w:highlight w:val="none"/>
                <w:lang w:val="en-US" w:eastAsia="zh-CN"/>
              </w:rPr>
              <w:t>且</w:t>
            </w:r>
            <w:r>
              <w:rPr>
                <w:rFonts w:cs="Times New Roman"/>
                <w:b w:val="0"/>
                <w:bCs w:val="0"/>
                <w:color w:val="auto"/>
                <w:highlight w:val="none"/>
              </w:rPr>
              <w:t>设有</w:t>
            </w:r>
            <w:r>
              <w:rPr>
                <w:rFonts w:hint="eastAsia" w:cs="Times New Roman"/>
                <w:b w:val="0"/>
                <w:bCs w:val="0"/>
                <w:color w:val="auto"/>
                <w:highlight w:val="none"/>
                <w:lang w:val="en-US" w:eastAsia="zh-CN"/>
              </w:rPr>
              <w:t>喷雾</w:t>
            </w:r>
            <w:r>
              <w:rPr>
                <w:rFonts w:cs="Times New Roman"/>
                <w:b w:val="0"/>
                <w:bCs w:val="0"/>
                <w:color w:val="auto"/>
                <w:highlight w:val="none"/>
              </w:rPr>
              <w:t>设施，</w:t>
            </w:r>
            <w:r>
              <w:rPr>
                <w:rFonts w:hint="eastAsia" w:cs="Times New Roman"/>
                <w:b w:val="0"/>
                <w:bCs w:val="0"/>
                <w:color w:val="auto"/>
                <w:highlight w:val="none"/>
                <w:lang w:val="en-US" w:eastAsia="zh-CN"/>
              </w:rPr>
              <w:t>参考</w:t>
            </w:r>
            <w:r>
              <w:rPr>
                <w:rFonts w:hint="eastAsia" w:cs="Times New Roman"/>
                <w:b w:val="0"/>
                <w:bCs w:val="0"/>
                <w:color w:val="auto"/>
                <w:highlight w:val="none"/>
                <w:lang w:eastAsia="zh-CN"/>
              </w:rPr>
              <w:t>《</w:t>
            </w:r>
            <w:r>
              <w:rPr>
                <w:rFonts w:cs="Times New Roman"/>
                <w:b w:val="0"/>
                <w:bCs w:val="0"/>
                <w:color w:val="auto"/>
                <w:highlight w:val="none"/>
              </w:rPr>
              <w:t>逸散性工业粉尘控制技术</w:t>
            </w:r>
            <w:r>
              <w:rPr>
                <w:rFonts w:hint="eastAsia" w:cs="Times New Roman"/>
                <w:b w:val="0"/>
                <w:bCs w:val="0"/>
                <w:color w:val="auto"/>
                <w:highlight w:val="none"/>
                <w:lang w:eastAsia="zh-CN"/>
              </w:rPr>
              <w:t>》，</w:t>
            </w:r>
            <w:r>
              <w:rPr>
                <w:rFonts w:cs="Times New Roman"/>
                <w:b w:val="0"/>
                <w:bCs w:val="0"/>
                <w:color w:val="auto"/>
                <w:highlight w:val="none"/>
              </w:rPr>
              <w:t>控制效率取</w:t>
            </w:r>
            <w:r>
              <w:rPr>
                <w:rFonts w:hint="eastAsia" w:cs="Times New Roman"/>
                <w:b w:val="0"/>
                <w:bCs w:val="0"/>
                <w:color w:val="auto"/>
                <w:highlight w:val="none"/>
                <w:lang w:val="en-US" w:eastAsia="zh-CN"/>
              </w:rPr>
              <w:t>90</w:t>
            </w:r>
            <w:r>
              <w:rPr>
                <w:rFonts w:cs="Times New Roman"/>
                <w:b w:val="0"/>
                <w:bCs w:val="0"/>
                <w:color w:val="auto"/>
                <w:highlight w:val="none"/>
              </w:rPr>
              <w:t>%</w:t>
            </w:r>
            <w:r>
              <w:rPr>
                <w:rFonts w:cs="Times New Roman"/>
                <w:b w:val="0"/>
                <w:bCs w:val="0"/>
                <w:color w:val="auto"/>
                <w:highlight w:val="none"/>
                <w:lang w:val="en-US"/>
              </w:rPr>
              <w:t>）</w:t>
            </w:r>
          </w:p>
          <w:p w14:paraId="10262CE6">
            <w:pPr>
              <w:adjustRightInd w:val="0"/>
              <w:snapToGrid w:val="0"/>
              <w:ind w:firstLine="480" w:firstLineChars="200"/>
              <w:rPr>
                <w:rFonts w:hint="eastAsia" w:cs="Times New Roman" w:eastAsiaTheme="minorEastAsia"/>
                <w:b w:val="0"/>
                <w:bCs w:val="0"/>
                <w:color w:val="auto"/>
                <w:highlight w:val="none"/>
                <w:lang w:val="zh-CN" w:eastAsia="zh-CN"/>
              </w:rPr>
            </w:pPr>
            <w:r>
              <w:rPr>
                <w:rFonts w:cs="Times New Roman"/>
                <w:b w:val="0"/>
                <w:bCs w:val="0"/>
                <w:color w:val="auto"/>
                <w:highlight w:val="none"/>
              </w:rPr>
              <w:t>经计算，</w:t>
            </w:r>
            <w:r>
              <w:rPr>
                <w:rFonts w:hint="eastAsia" w:cs="Times New Roman"/>
                <w:b w:val="0"/>
                <w:bCs w:val="0"/>
                <w:color w:val="auto"/>
                <w:highlight w:val="none"/>
                <w:lang w:val="en-US" w:eastAsia="zh-CN"/>
              </w:rPr>
              <w:t>项目在</w:t>
            </w:r>
            <w:r>
              <w:rPr>
                <w:rFonts w:cs="Times New Roman"/>
                <w:b w:val="0"/>
                <w:bCs w:val="0"/>
                <w:color w:val="auto"/>
                <w:highlight w:val="none"/>
              </w:rPr>
              <w:t>采取了封闭式厂房</w:t>
            </w:r>
            <w:r>
              <w:rPr>
                <w:rFonts w:hint="eastAsia" w:cs="Times New Roman"/>
                <w:b w:val="0"/>
                <w:bCs w:val="0"/>
                <w:color w:val="auto"/>
                <w:highlight w:val="none"/>
                <w:lang w:val="en-US" w:eastAsia="zh-CN"/>
              </w:rPr>
              <w:t>阻隔及</w:t>
            </w:r>
            <w:r>
              <w:rPr>
                <w:rFonts w:cs="Times New Roman"/>
                <w:b w:val="0"/>
                <w:bCs w:val="0"/>
                <w:color w:val="auto"/>
                <w:highlight w:val="none"/>
              </w:rPr>
              <w:t>喷淋</w:t>
            </w:r>
            <w:r>
              <w:rPr>
                <w:rFonts w:hint="eastAsia" w:cs="Times New Roman"/>
                <w:b w:val="0"/>
                <w:bCs w:val="0"/>
                <w:color w:val="auto"/>
                <w:highlight w:val="none"/>
                <w:lang w:val="en-US" w:eastAsia="zh-CN"/>
              </w:rPr>
              <w:t>抑尘</w:t>
            </w:r>
            <w:r>
              <w:rPr>
                <w:rFonts w:cs="Times New Roman"/>
                <w:b w:val="0"/>
                <w:bCs w:val="0"/>
                <w:color w:val="auto"/>
                <w:highlight w:val="none"/>
              </w:rPr>
              <w:t>等措施后，</w:t>
            </w:r>
            <w:r>
              <w:rPr>
                <w:rFonts w:hint="eastAsia" w:cs="Times New Roman"/>
                <w:b w:val="0"/>
                <w:bCs w:val="0"/>
                <w:color w:val="auto"/>
                <w:highlight w:val="none"/>
                <w:lang w:val="en-US" w:eastAsia="zh-CN"/>
              </w:rPr>
              <w:t>全厂内</w:t>
            </w:r>
            <w:r>
              <w:rPr>
                <w:rFonts w:cs="Times New Roman"/>
                <w:b w:val="0"/>
                <w:bCs w:val="0"/>
                <w:color w:val="auto"/>
                <w:highlight w:val="none"/>
              </w:rPr>
              <w:t>堆存、装卸粉尘无组织排放量为</w:t>
            </w:r>
            <w:r>
              <w:rPr>
                <w:rFonts w:hint="eastAsia" w:cs="Times New Roman"/>
                <w:b w:val="0"/>
                <w:bCs w:val="0"/>
                <w:color w:val="auto"/>
                <w:highlight w:val="none"/>
                <w:lang w:val="en-US" w:eastAsia="zh-CN"/>
              </w:rPr>
              <w:t>13.89</w:t>
            </w:r>
            <w:r>
              <w:rPr>
                <w:rFonts w:cs="Times New Roman"/>
                <w:b w:val="0"/>
                <w:bCs w:val="0"/>
                <w:color w:val="auto"/>
                <w:highlight w:val="none"/>
              </w:rPr>
              <w:t>t/a</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年堆场存放时间为</w:t>
            </w:r>
            <w:r>
              <w:rPr>
                <w:rFonts w:hint="eastAsia"/>
                <w:b w:val="0"/>
                <w:bCs w:val="0"/>
                <w:color w:val="auto"/>
                <w:highlight w:val="none"/>
                <w:lang w:val="en-US" w:eastAsia="zh-CN"/>
              </w:rPr>
              <w:t>8760</w:t>
            </w:r>
            <w:r>
              <w:rPr>
                <w:b w:val="0"/>
                <w:bCs w:val="0"/>
                <w:color w:val="auto"/>
                <w:highlight w:val="none"/>
              </w:rPr>
              <w:t>h</w:t>
            </w:r>
            <w:r>
              <w:rPr>
                <w:rFonts w:hint="eastAsia"/>
                <w:b w:val="0"/>
                <w:bCs w:val="0"/>
                <w:color w:val="auto"/>
                <w:highlight w:val="none"/>
              </w:rPr>
              <w:t>（</w:t>
            </w:r>
            <w:r>
              <w:rPr>
                <w:rFonts w:hint="eastAsia"/>
                <w:b w:val="0"/>
                <w:bCs w:val="0"/>
                <w:color w:val="auto"/>
                <w:highlight w:val="none"/>
                <w:lang w:val="en-US" w:eastAsia="zh-CN"/>
              </w:rPr>
              <w:t>365</w:t>
            </w:r>
            <w:r>
              <w:rPr>
                <w:rFonts w:hint="eastAsia"/>
                <w:b w:val="0"/>
                <w:bCs w:val="0"/>
                <w:color w:val="auto"/>
                <w:highlight w:val="none"/>
              </w:rPr>
              <w:t>d，</w:t>
            </w:r>
            <w:r>
              <w:rPr>
                <w:rFonts w:hint="eastAsia"/>
                <w:b w:val="0"/>
                <w:bCs w:val="0"/>
                <w:color w:val="auto"/>
                <w:highlight w:val="none"/>
                <w:lang w:val="en-US" w:eastAsia="zh-CN"/>
              </w:rPr>
              <w:t>24</w:t>
            </w:r>
            <w:r>
              <w:rPr>
                <w:rFonts w:hint="eastAsia"/>
                <w:b w:val="0"/>
                <w:bCs w:val="0"/>
                <w:color w:val="auto"/>
                <w:highlight w:val="none"/>
              </w:rPr>
              <w:t>h）</w:t>
            </w:r>
            <w:r>
              <w:rPr>
                <w:rFonts w:hint="eastAsia" w:cs="Times New Roman"/>
                <w:b w:val="0"/>
                <w:bCs w:val="0"/>
                <w:color w:val="auto"/>
                <w:highlight w:val="none"/>
                <w:lang w:val="en-US" w:eastAsia="zh-CN"/>
              </w:rPr>
              <w:t>。</w:t>
            </w:r>
          </w:p>
          <w:p w14:paraId="43EBBF68">
            <w:pPr>
              <w:numPr>
                <w:ilvl w:val="0"/>
                <w:numId w:val="5"/>
              </w:numPr>
              <w:adjustRightInd w:val="0"/>
              <w:snapToGrid w:val="0"/>
              <w:ind w:leftChars="200"/>
              <w:rPr>
                <w:rFonts w:hint="eastAsia" w:cs="Times New Roman"/>
                <w:b/>
                <w:bCs/>
                <w:color w:val="auto"/>
                <w:highlight w:val="none"/>
                <w:lang w:val="en-US" w:eastAsia="zh-CN"/>
              </w:rPr>
            </w:pPr>
            <w:r>
              <w:rPr>
                <w:rFonts w:hint="eastAsia" w:cs="Times New Roman"/>
                <w:b/>
                <w:bCs/>
                <w:color w:val="auto"/>
                <w:highlight w:val="none"/>
                <w:lang w:val="en-US" w:eastAsia="zh-CN"/>
              </w:rPr>
              <w:t>破碎、筛分粉尘</w:t>
            </w:r>
          </w:p>
          <w:p w14:paraId="6880F06E">
            <w:pPr>
              <w:adjustRightInd w:val="0"/>
              <w:snapToGrid w:val="0"/>
              <w:ind w:firstLine="480" w:firstLineChars="200"/>
              <w:rPr>
                <w:rFonts w:hint="eastAsia" w:cs="Times New Roman" w:eastAsiaTheme="minorEastAsia"/>
                <w:b w:val="0"/>
                <w:bCs w:val="0"/>
                <w:color w:val="auto"/>
                <w:highlight w:val="none"/>
                <w:lang w:val="en-US" w:eastAsia="zh-CN"/>
              </w:rPr>
            </w:pPr>
            <w:r>
              <w:rPr>
                <w:rFonts w:hint="eastAsia" w:cs="Times New Roman"/>
                <w:b w:val="0"/>
                <w:bCs w:val="0"/>
                <w:color w:val="auto"/>
                <w:highlight w:val="none"/>
              </w:rPr>
              <w:t>①</w:t>
            </w:r>
            <w:r>
              <w:rPr>
                <w:rFonts w:hint="eastAsia" w:cs="Times New Roman"/>
                <w:b w:val="0"/>
                <w:bCs w:val="0"/>
                <w:color w:val="auto"/>
                <w:highlight w:val="none"/>
                <w:lang w:val="en-US" w:eastAsia="zh-CN"/>
              </w:rPr>
              <w:t>颗粒物</w:t>
            </w:r>
            <w:r>
              <w:rPr>
                <w:rFonts w:hint="eastAsia" w:cs="Times New Roman"/>
                <w:b w:val="0"/>
                <w:bCs w:val="0"/>
                <w:color w:val="auto"/>
                <w:highlight w:val="none"/>
              </w:rPr>
              <w:t>产生量</w:t>
            </w:r>
            <w:r>
              <w:rPr>
                <w:rFonts w:hint="eastAsia" w:cs="Times New Roman"/>
                <w:b w:val="0"/>
                <w:bCs w:val="0"/>
                <w:color w:val="auto"/>
                <w:highlight w:val="none"/>
                <w:lang w:val="en-US" w:eastAsia="zh-CN"/>
              </w:rPr>
              <w:t>核算</w:t>
            </w:r>
          </w:p>
          <w:p w14:paraId="50C7DDA3">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color w:val="auto"/>
                <w:kern w:val="0"/>
                <w:sz w:val="24"/>
                <w:highlight w:val="none"/>
              </w:rPr>
            </w:pPr>
            <w:r>
              <w:rPr>
                <w:rFonts w:hint="eastAsia"/>
                <w:color w:val="auto"/>
                <w:kern w:val="0"/>
                <w:sz w:val="24"/>
                <w:highlight w:val="none"/>
                <w:lang w:val="en-US" w:eastAsia="zh-CN"/>
              </w:rPr>
              <w:t>本项目建设机制骨料生产线1条，年处理建筑废弃物约40万吨，</w:t>
            </w:r>
            <w:r>
              <w:rPr>
                <w:rFonts w:hint="eastAsia"/>
                <w:color w:val="auto"/>
                <w:kern w:val="0"/>
                <w:sz w:val="24"/>
                <w:highlight w:val="none"/>
              </w:rPr>
              <w:t>原料进入给料机，</w:t>
            </w:r>
            <w:r>
              <w:rPr>
                <w:rFonts w:hint="eastAsia"/>
                <w:color w:val="auto"/>
                <w:kern w:val="0"/>
                <w:sz w:val="24"/>
                <w:highlight w:val="none"/>
                <w:lang w:val="en-US" w:eastAsia="zh-CN"/>
              </w:rPr>
              <w:t>输送至</w:t>
            </w:r>
            <w:r>
              <w:rPr>
                <w:rFonts w:hint="eastAsia"/>
                <w:color w:val="auto"/>
                <w:kern w:val="0"/>
                <w:sz w:val="24"/>
                <w:highlight w:val="none"/>
              </w:rPr>
              <w:t>颚式破碎机进行一次破碎，然后</w:t>
            </w:r>
            <w:r>
              <w:rPr>
                <w:rFonts w:hint="eastAsia"/>
                <w:color w:val="auto"/>
                <w:kern w:val="0"/>
                <w:sz w:val="24"/>
                <w:highlight w:val="none"/>
                <w:lang w:val="en-US" w:eastAsia="zh-CN"/>
              </w:rPr>
              <w:t>进行筛分，分选出的细颗粒（0~5mm，</w:t>
            </w:r>
            <w:r>
              <w:rPr>
                <w:rFonts w:hint="eastAsia" w:cs="Times New Roman"/>
                <w:color w:val="auto"/>
                <w:sz w:val="24"/>
                <w:szCs w:val="24"/>
                <w:highlight w:val="none"/>
                <w:lang w:val="en-US" w:eastAsia="zh-CN"/>
              </w:rPr>
              <w:t>约10%</w:t>
            </w:r>
            <w:r>
              <w:rPr>
                <w:rFonts w:hint="eastAsia"/>
                <w:color w:val="auto"/>
                <w:kern w:val="0"/>
                <w:sz w:val="24"/>
                <w:highlight w:val="none"/>
                <w:lang w:val="en-US" w:eastAsia="zh-CN"/>
              </w:rPr>
              <w:t>）为合格成品，粗颗粒（5~30mm）进入圆锥破碎机进行二次破碎，由传送带送至</w:t>
            </w:r>
            <w:r>
              <w:rPr>
                <w:rFonts w:hint="eastAsia"/>
                <w:color w:val="auto"/>
                <w:kern w:val="0"/>
                <w:sz w:val="24"/>
                <w:highlight w:val="none"/>
              </w:rPr>
              <w:t>振动筛</w:t>
            </w:r>
            <w:r>
              <w:rPr>
                <w:rFonts w:hint="eastAsia"/>
                <w:color w:val="auto"/>
                <w:kern w:val="0"/>
                <w:sz w:val="24"/>
                <w:highlight w:val="none"/>
                <w:lang w:eastAsia="zh-CN"/>
              </w:rPr>
              <w:t>，</w:t>
            </w:r>
            <w:r>
              <w:rPr>
                <w:rFonts w:hint="eastAsia"/>
                <w:color w:val="auto"/>
                <w:kern w:val="0"/>
                <w:sz w:val="24"/>
                <w:highlight w:val="none"/>
              </w:rPr>
              <w:t>筛分后得到成品</w:t>
            </w:r>
            <w:r>
              <w:rPr>
                <w:rFonts w:hint="eastAsia"/>
                <w:color w:val="auto"/>
                <w:kern w:val="0"/>
                <w:sz w:val="24"/>
                <w:highlight w:val="none"/>
                <w:lang w:eastAsia="zh-CN"/>
              </w:rPr>
              <w:t>（</w:t>
            </w:r>
            <w:r>
              <w:rPr>
                <w:rFonts w:hint="eastAsia"/>
                <w:color w:val="auto"/>
                <w:kern w:val="0"/>
                <w:sz w:val="24"/>
                <w:highlight w:val="none"/>
                <w:lang w:val="en-US" w:eastAsia="zh-CN"/>
              </w:rPr>
              <w:t>细骨料0~5mm、粗骨料5~20mm</w:t>
            </w:r>
            <w:r>
              <w:rPr>
                <w:rFonts w:hint="eastAsia"/>
                <w:color w:val="auto"/>
                <w:kern w:val="0"/>
                <w:sz w:val="24"/>
                <w:highlight w:val="none"/>
                <w:lang w:eastAsia="zh-CN"/>
              </w:rPr>
              <w:t>）</w:t>
            </w:r>
            <w:r>
              <w:rPr>
                <w:rFonts w:hint="eastAsia"/>
                <w:color w:val="auto"/>
                <w:kern w:val="0"/>
                <w:sz w:val="24"/>
                <w:highlight w:val="none"/>
              </w:rPr>
              <w:t>。参考《逸散尘工业粉尘控制技术》（中国环境科学出版社）中粒料加工厂产排污系数，一级破碎和筛选排放因子取0.25kg/t（破碎料），二级破碎和筛选的排放因子取0.75kg/t（破碎料）。</w:t>
            </w:r>
          </w:p>
          <w:p w14:paraId="7B3500B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color w:val="auto"/>
                <w:kern w:val="0"/>
                <w:sz w:val="24"/>
                <w:highlight w:val="none"/>
                <w:lang w:eastAsia="zh-CN"/>
              </w:rPr>
            </w:pPr>
            <w:r>
              <w:rPr>
                <w:rFonts w:hint="eastAsia"/>
                <w:color w:val="auto"/>
                <w:kern w:val="0"/>
                <w:sz w:val="24"/>
                <w:highlight w:val="none"/>
              </w:rPr>
              <w:t>项目</w:t>
            </w:r>
            <w:r>
              <w:rPr>
                <w:rFonts w:hint="eastAsia"/>
                <w:color w:val="auto"/>
                <w:kern w:val="0"/>
                <w:sz w:val="24"/>
                <w:highlight w:val="none"/>
                <w:lang w:val="en-US" w:eastAsia="zh-CN"/>
              </w:rPr>
              <w:t>进入一级</w:t>
            </w:r>
            <w:r>
              <w:rPr>
                <w:rFonts w:hint="eastAsia"/>
                <w:color w:val="auto"/>
                <w:kern w:val="0"/>
                <w:sz w:val="24"/>
                <w:highlight w:val="none"/>
              </w:rPr>
              <w:t>破碎筛</w:t>
            </w:r>
            <w:r>
              <w:rPr>
                <w:rFonts w:hint="eastAsia"/>
                <w:color w:val="auto"/>
                <w:kern w:val="0"/>
                <w:sz w:val="24"/>
                <w:highlight w:val="none"/>
                <w:lang w:val="en-US" w:eastAsia="zh-CN"/>
              </w:rPr>
              <w:t>分的物料量约40</w:t>
            </w:r>
            <w:r>
              <w:rPr>
                <w:rFonts w:hint="eastAsia"/>
                <w:color w:val="auto"/>
                <w:kern w:val="0"/>
                <w:sz w:val="24"/>
                <w:highlight w:val="none"/>
              </w:rPr>
              <w:t>万t/a，则一级破碎和筛选产生的粉尘量为</w:t>
            </w:r>
            <w:r>
              <w:rPr>
                <w:rFonts w:hint="eastAsia"/>
                <w:color w:val="auto"/>
                <w:kern w:val="0"/>
                <w:sz w:val="24"/>
                <w:highlight w:val="none"/>
                <w:lang w:val="en-US" w:eastAsia="zh-CN"/>
              </w:rPr>
              <w:t>100</w:t>
            </w:r>
            <w:r>
              <w:rPr>
                <w:rFonts w:hint="eastAsia"/>
                <w:color w:val="auto"/>
                <w:kern w:val="0"/>
                <w:sz w:val="24"/>
                <w:highlight w:val="none"/>
              </w:rPr>
              <w:t>t/a</w:t>
            </w:r>
            <w:r>
              <w:rPr>
                <w:rFonts w:hint="eastAsia"/>
                <w:color w:val="auto"/>
                <w:kern w:val="0"/>
                <w:sz w:val="24"/>
                <w:highlight w:val="none"/>
                <w:lang w:eastAsia="zh-CN"/>
              </w:rPr>
              <w:t>。</w:t>
            </w:r>
            <w:r>
              <w:rPr>
                <w:rFonts w:hint="eastAsia"/>
                <w:color w:val="auto"/>
                <w:kern w:val="0"/>
                <w:sz w:val="24"/>
                <w:highlight w:val="none"/>
                <w:lang w:val="en-US" w:eastAsia="zh-CN"/>
              </w:rPr>
              <w:t>进入</w:t>
            </w:r>
            <w:r>
              <w:rPr>
                <w:rFonts w:hint="eastAsia"/>
                <w:color w:val="auto"/>
                <w:kern w:val="0"/>
                <w:sz w:val="24"/>
                <w:highlight w:val="none"/>
              </w:rPr>
              <w:t>二级破碎和筛</w:t>
            </w:r>
            <w:r>
              <w:rPr>
                <w:rFonts w:hint="eastAsia"/>
                <w:color w:val="auto"/>
                <w:kern w:val="0"/>
                <w:sz w:val="24"/>
                <w:highlight w:val="none"/>
                <w:lang w:val="en-US" w:eastAsia="zh-CN"/>
              </w:rPr>
              <w:t>分的物料约36万t</w:t>
            </w:r>
            <w:r>
              <w:rPr>
                <w:rFonts w:hint="eastAsia"/>
                <w:color w:val="auto"/>
                <w:kern w:val="0"/>
                <w:sz w:val="24"/>
                <w:highlight w:val="none"/>
              </w:rPr>
              <w:t>/a</w:t>
            </w:r>
            <w:r>
              <w:rPr>
                <w:rFonts w:hint="eastAsia"/>
                <w:color w:val="auto"/>
                <w:kern w:val="0"/>
                <w:sz w:val="24"/>
                <w:highlight w:val="none"/>
                <w:lang w:eastAsia="zh-CN"/>
              </w:rPr>
              <w:t>，</w:t>
            </w:r>
            <w:r>
              <w:rPr>
                <w:rFonts w:hint="eastAsia"/>
                <w:color w:val="auto"/>
                <w:kern w:val="0"/>
                <w:sz w:val="24"/>
                <w:highlight w:val="none"/>
              </w:rPr>
              <w:t>产生的粉尘量为</w:t>
            </w:r>
            <w:r>
              <w:rPr>
                <w:rFonts w:hint="eastAsia"/>
                <w:color w:val="auto"/>
                <w:kern w:val="0"/>
                <w:sz w:val="24"/>
                <w:highlight w:val="none"/>
                <w:lang w:val="en-US" w:eastAsia="zh-CN"/>
              </w:rPr>
              <w:t>270t</w:t>
            </w:r>
            <w:r>
              <w:rPr>
                <w:rFonts w:hint="eastAsia"/>
                <w:color w:val="auto"/>
                <w:kern w:val="0"/>
                <w:sz w:val="24"/>
                <w:highlight w:val="none"/>
              </w:rPr>
              <w:t>/a</w:t>
            </w:r>
            <w:r>
              <w:rPr>
                <w:rFonts w:hint="eastAsia"/>
                <w:color w:val="auto"/>
                <w:kern w:val="0"/>
                <w:sz w:val="24"/>
                <w:highlight w:val="none"/>
                <w:lang w:eastAsia="zh-CN"/>
              </w:rPr>
              <w:t>。</w:t>
            </w:r>
          </w:p>
          <w:p w14:paraId="65B35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highlight w:val="none"/>
                <w:lang w:eastAsia="zh-CN"/>
              </w:rPr>
            </w:pPr>
            <w:r>
              <w:rPr>
                <w:rFonts w:hint="eastAsia"/>
                <w:color w:val="auto"/>
                <w:kern w:val="0"/>
                <w:sz w:val="24"/>
                <w:highlight w:val="none"/>
                <w:lang w:val="en-US" w:eastAsia="zh-CN"/>
              </w:rPr>
              <w:t>本项目破碎、筛分工序粉尘产生量为370</w:t>
            </w:r>
            <w:r>
              <w:rPr>
                <w:rFonts w:hint="eastAsia"/>
                <w:color w:val="auto"/>
                <w:kern w:val="0"/>
                <w:sz w:val="24"/>
                <w:highlight w:val="none"/>
              </w:rPr>
              <w:t>t/a</w:t>
            </w:r>
            <w:r>
              <w:rPr>
                <w:rFonts w:hint="default" w:ascii="Times New Roman" w:hAnsi="Times New Roman" w:eastAsia="宋体" w:cs="Times New Roman"/>
                <w:color w:val="auto"/>
                <w:sz w:val="24"/>
                <w:szCs w:val="24"/>
                <w:highlight w:val="none"/>
                <w:lang w:eastAsia="zh-CN"/>
              </w:rPr>
              <w:t>。</w:t>
            </w:r>
          </w:p>
          <w:p w14:paraId="62DC0EC6">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cs="Times New Roman"/>
                <w:b w:val="0"/>
                <w:bCs w:val="0"/>
                <w:color w:val="auto"/>
                <w:highlight w:val="none"/>
                <w:lang w:val="en-US" w:eastAsia="zh-CN"/>
              </w:rPr>
            </w:pPr>
            <w:r>
              <w:rPr>
                <w:rFonts w:hint="eastAsia" w:cs="Times New Roman"/>
                <w:b w:val="0"/>
                <w:bCs w:val="0"/>
                <w:color w:val="auto"/>
                <w:highlight w:val="none"/>
                <w:lang w:val="en-US"/>
              </w:rPr>
              <w:t>②</w:t>
            </w:r>
            <w:r>
              <w:rPr>
                <w:rFonts w:hint="eastAsia" w:cs="Times New Roman"/>
                <w:b w:val="0"/>
                <w:bCs w:val="0"/>
                <w:color w:val="auto"/>
                <w:highlight w:val="none"/>
                <w:lang w:val="en-US" w:eastAsia="zh-CN"/>
              </w:rPr>
              <w:t>颗粒物</w:t>
            </w:r>
            <w:r>
              <w:rPr>
                <w:rFonts w:cs="Times New Roman"/>
                <w:b w:val="0"/>
                <w:bCs w:val="0"/>
                <w:color w:val="auto"/>
                <w:highlight w:val="none"/>
                <w:lang w:val="en-US"/>
              </w:rPr>
              <w:t>排放量</w:t>
            </w:r>
            <w:r>
              <w:rPr>
                <w:rFonts w:hint="eastAsia" w:cs="Times New Roman"/>
                <w:b w:val="0"/>
                <w:bCs w:val="0"/>
                <w:color w:val="auto"/>
                <w:highlight w:val="none"/>
                <w:lang w:val="en-US" w:eastAsia="zh-CN"/>
              </w:rPr>
              <w:t>核算</w:t>
            </w:r>
          </w:p>
          <w:p w14:paraId="6475213C">
            <w:pPr>
              <w:widowControl/>
              <w:spacing w:line="360" w:lineRule="auto"/>
              <w:ind w:firstLine="480" w:firstLineChars="200"/>
              <w:jc w:val="left"/>
              <w:rPr>
                <w:rFonts w:hint="eastAsia"/>
                <w:color w:val="auto"/>
                <w:kern w:val="0"/>
                <w:sz w:val="24"/>
                <w:highlight w:val="none"/>
              </w:rPr>
            </w:pPr>
            <w:r>
              <w:rPr>
                <w:rFonts w:hint="eastAsia"/>
                <w:color w:val="auto"/>
                <w:kern w:val="0"/>
                <w:sz w:val="24"/>
                <w:highlight w:val="none"/>
                <w:lang w:val="en-US" w:eastAsia="zh-CN"/>
              </w:rPr>
              <w:t>本</w:t>
            </w:r>
            <w:r>
              <w:rPr>
                <w:rFonts w:hint="eastAsia"/>
                <w:color w:val="auto"/>
                <w:kern w:val="0"/>
                <w:sz w:val="24"/>
                <w:highlight w:val="none"/>
              </w:rPr>
              <w:t>项目破碎和筛分</w:t>
            </w:r>
            <w:r>
              <w:rPr>
                <w:rFonts w:hint="eastAsia"/>
                <w:color w:val="auto"/>
                <w:kern w:val="0"/>
                <w:sz w:val="24"/>
                <w:highlight w:val="none"/>
                <w:lang w:val="en-US" w:eastAsia="zh-CN"/>
              </w:rPr>
              <w:t>过程中会有粉尘产生，生产工序</w:t>
            </w:r>
            <w:r>
              <w:rPr>
                <w:rFonts w:hint="eastAsia"/>
                <w:color w:val="auto"/>
                <w:kern w:val="0"/>
                <w:sz w:val="24"/>
                <w:highlight w:val="none"/>
              </w:rPr>
              <w:t>均在封闭</w:t>
            </w:r>
            <w:r>
              <w:rPr>
                <w:rFonts w:hint="eastAsia"/>
                <w:color w:val="auto"/>
                <w:kern w:val="0"/>
                <w:sz w:val="24"/>
                <w:highlight w:val="none"/>
                <w:lang w:val="en-US" w:eastAsia="zh-CN"/>
              </w:rPr>
              <w:t>厂房</w:t>
            </w:r>
            <w:r>
              <w:rPr>
                <w:rFonts w:hint="eastAsia"/>
                <w:color w:val="auto"/>
                <w:kern w:val="0"/>
                <w:sz w:val="24"/>
                <w:highlight w:val="none"/>
              </w:rPr>
              <w:t>中进行</w:t>
            </w:r>
            <w:r>
              <w:rPr>
                <w:rFonts w:hint="eastAsia"/>
                <w:color w:val="auto"/>
                <w:kern w:val="0"/>
                <w:sz w:val="24"/>
                <w:highlight w:val="none"/>
                <w:lang w:eastAsia="zh-CN"/>
              </w:rPr>
              <w:t>。</w:t>
            </w:r>
            <w:r>
              <w:rPr>
                <w:rFonts w:hint="eastAsia"/>
                <w:color w:val="auto"/>
                <w:kern w:val="0"/>
                <w:sz w:val="24"/>
                <w:highlight w:val="none"/>
                <w:lang w:val="en-US" w:eastAsia="zh-CN"/>
              </w:rPr>
              <w:t>根据</w:t>
            </w:r>
            <w:r>
              <w:rPr>
                <w:rFonts w:hint="eastAsia"/>
                <w:color w:val="auto"/>
                <w:kern w:val="0"/>
                <w:sz w:val="24"/>
                <w:highlight w:val="none"/>
                <w:lang w:eastAsia="zh-CN"/>
              </w:rPr>
              <w:t>《袋式除尘工程通用技术规范》(HJ2020-2012)中“6.2.8 集气罩应能实现对烟气(尘)的捕集效果，捕集率不低于:①密闭罩 100%;②半密闭罩 95%;③吹吸罩90%，</w:t>
            </w:r>
            <w:r>
              <w:rPr>
                <w:rFonts w:hint="eastAsia"/>
                <w:color w:val="auto"/>
                <w:kern w:val="0"/>
                <w:sz w:val="24"/>
                <w:highlight w:val="none"/>
                <w:lang w:val="en-US" w:eastAsia="zh-CN"/>
              </w:rPr>
              <w:t>本项目破碎筛分过程产生的粉尘经各设备上方的集气罩（属于</w:t>
            </w:r>
            <w:r>
              <w:rPr>
                <w:rFonts w:hint="eastAsia"/>
                <w:color w:val="auto"/>
                <w:kern w:val="0"/>
                <w:sz w:val="24"/>
                <w:highlight w:val="none"/>
                <w:lang w:eastAsia="zh-CN"/>
              </w:rPr>
              <w:t>吹吸罩，</w:t>
            </w:r>
            <w:r>
              <w:rPr>
                <w:rFonts w:hint="eastAsia"/>
                <w:color w:val="auto"/>
                <w:kern w:val="0"/>
                <w:sz w:val="24"/>
                <w:highlight w:val="none"/>
                <w:lang w:val="en-US" w:eastAsia="zh-CN"/>
              </w:rPr>
              <w:t>收集效率90%</w:t>
            </w:r>
            <w:r>
              <w:rPr>
                <w:rFonts w:hint="eastAsia"/>
                <w:color w:val="auto"/>
                <w:kern w:val="0"/>
                <w:sz w:val="24"/>
                <w:highlight w:val="none"/>
              </w:rPr>
              <w:t>）收集，引至袋式除尘器（环评要求除尘效率为不低于99</w:t>
            </w:r>
            <w:r>
              <w:rPr>
                <w:rFonts w:hint="eastAsia"/>
                <w:color w:val="auto"/>
                <w:kern w:val="0"/>
                <w:sz w:val="24"/>
                <w:highlight w:val="none"/>
                <w:lang w:val="en-US" w:eastAsia="zh-CN"/>
              </w:rPr>
              <w:t>.7</w:t>
            </w:r>
            <w:r>
              <w:rPr>
                <w:rFonts w:hint="eastAsia"/>
                <w:color w:val="auto"/>
                <w:kern w:val="0"/>
                <w:sz w:val="24"/>
                <w:highlight w:val="none"/>
              </w:rPr>
              <w:t>%）处理</w:t>
            </w:r>
            <w:r>
              <w:rPr>
                <w:rFonts w:hint="eastAsia"/>
                <w:color w:val="auto"/>
                <w:kern w:val="0"/>
                <w:sz w:val="24"/>
                <w:highlight w:val="none"/>
                <w:lang w:eastAsia="zh-CN"/>
              </w:rPr>
              <w:t>，工序排放口位于全封闭厂房内，有少量粉尘会逸散到室</w:t>
            </w:r>
            <w:r>
              <w:rPr>
                <w:rFonts w:hint="eastAsia"/>
                <w:color w:val="auto"/>
                <w:kern w:val="0"/>
                <w:sz w:val="24"/>
                <w:highlight w:val="none"/>
                <w:lang w:val="en-US" w:eastAsia="zh-CN"/>
              </w:rPr>
              <w:t>内</w:t>
            </w:r>
            <w:r>
              <w:rPr>
                <w:rFonts w:hint="eastAsia"/>
                <w:color w:val="auto"/>
                <w:kern w:val="0"/>
                <w:sz w:val="24"/>
                <w:highlight w:val="none"/>
                <w:lang w:eastAsia="zh-CN"/>
              </w:rPr>
              <w:t>，故视为无组织排放。</w:t>
            </w:r>
            <w:r>
              <w:rPr>
                <w:rFonts w:hint="eastAsia"/>
                <w:color w:val="auto"/>
                <w:kern w:val="0"/>
                <w:sz w:val="24"/>
                <w:highlight w:val="none"/>
                <w:lang w:val="en-US" w:eastAsia="zh-CN"/>
              </w:rPr>
              <w:t>除尘器收集并处理的粉尘量为</w:t>
            </w:r>
            <w:r>
              <w:rPr>
                <w:rFonts w:hint="eastAsia"/>
                <w:b w:val="0"/>
                <w:bCs w:val="0"/>
                <w:color w:val="auto"/>
                <w:highlight w:val="none"/>
                <w:lang w:val="en-US" w:eastAsia="zh-CN"/>
              </w:rPr>
              <w:t>332.001</w:t>
            </w:r>
            <w:r>
              <w:rPr>
                <w:rFonts w:hint="eastAsia"/>
                <w:color w:val="auto"/>
                <w:kern w:val="0"/>
                <w:sz w:val="24"/>
                <w:highlight w:val="none"/>
              </w:rPr>
              <w:t>t/a。</w:t>
            </w:r>
          </w:p>
          <w:p w14:paraId="621B4895">
            <w:pPr>
              <w:pStyle w:val="7"/>
              <w:rPr>
                <w:rFonts w:hint="eastAsia" w:eastAsiaTheme="minorEastAsia"/>
                <w:color w:val="auto"/>
                <w:highlight w:val="none"/>
                <w:lang w:eastAsia="zh-CN"/>
              </w:rPr>
            </w:pPr>
            <w:r>
              <w:rPr>
                <w:rFonts w:hint="eastAsia" w:ascii="Times New Roman" w:hAnsi="Times New Roman"/>
                <w:color w:val="auto"/>
                <w:kern w:val="0"/>
                <w:sz w:val="24"/>
                <w:highlight w:val="none"/>
                <w:lang w:val="en-US" w:eastAsia="zh-CN"/>
              </w:rPr>
              <w:t>根据</w:t>
            </w:r>
            <w:r>
              <w:rPr>
                <w:rFonts w:hint="eastAsia"/>
                <w:color w:val="auto"/>
                <w:highlight w:val="none"/>
                <w:lang w:eastAsia="zh-CN"/>
              </w:rPr>
              <w:t>《</w:t>
            </w:r>
            <w:r>
              <w:rPr>
                <w:rFonts w:cs="Times New Roman"/>
                <w:b w:val="0"/>
                <w:bCs w:val="0"/>
                <w:color w:val="auto"/>
                <w:highlight w:val="none"/>
              </w:rPr>
              <w:t>逸散性工业粉尘控制技术</w:t>
            </w:r>
            <w:r>
              <w:rPr>
                <w:rFonts w:hint="eastAsia"/>
                <w:color w:val="auto"/>
                <w:highlight w:val="none"/>
                <w:lang w:eastAsia="zh-CN"/>
              </w:rPr>
              <w:t>》</w:t>
            </w:r>
            <w:r>
              <w:rPr>
                <w:rFonts w:hint="eastAsia" w:ascii="Times New Roman" w:hAnsi="Times New Roman"/>
                <w:color w:val="auto"/>
                <w:kern w:val="0"/>
                <w:sz w:val="24"/>
                <w:highlight w:val="none"/>
                <w:lang w:val="en-US" w:eastAsia="zh-CN"/>
              </w:rPr>
              <w:t>，</w:t>
            </w:r>
            <w:r>
              <w:rPr>
                <w:rFonts w:hint="eastAsia"/>
                <w:color w:val="auto"/>
                <w:kern w:val="0"/>
                <w:sz w:val="24"/>
                <w:highlight w:val="none"/>
                <w:lang w:val="en-US" w:eastAsia="zh-CN"/>
              </w:rPr>
              <w:t>破碎筛分</w:t>
            </w:r>
            <w:r>
              <w:rPr>
                <w:rFonts w:hint="eastAsia" w:ascii="Times New Roman" w:hAnsi="Times New Roman"/>
                <w:color w:val="auto"/>
                <w:kern w:val="0"/>
                <w:sz w:val="24"/>
                <w:highlight w:val="none"/>
                <w:lang w:val="en-US" w:eastAsia="zh-CN"/>
              </w:rPr>
              <w:t>生产工序均在封闭厂房内，经封闭厂房隔挡，</w:t>
            </w:r>
          </w:p>
          <w:p w14:paraId="0F4714E8">
            <w:pPr>
              <w:widowControl/>
              <w:spacing w:line="360" w:lineRule="auto"/>
              <w:jc w:val="left"/>
              <w:rPr>
                <w:rFonts w:hint="eastAsia" w:ascii="Times New Roman" w:hAnsi="Times New Roman"/>
                <w:color w:val="auto"/>
                <w:kern w:val="0"/>
                <w:sz w:val="24"/>
                <w:highlight w:val="none"/>
                <w:lang w:val="en-US" w:eastAsia="zh-CN"/>
              </w:rPr>
            </w:pPr>
            <w:r>
              <w:rPr>
                <w:rFonts w:hint="eastAsia" w:ascii="Times New Roman" w:hAnsi="Times New Roman"/>
                <w:color w:val="auto"/>
                <w:kern w:val="0"/>
                <w:sz w:val="24"/>
                <w:highlight w:val="none"/>
                <w:lang w:val="en-US" w:eastAsia="zh-CN"/>
              </w:rPr>
              <w:t>可使</w:t>
            </w:r>
            <w:r>
              <w:rPr>
                <w:rFonts w:hint="eastAsia"/>
                <w:color w:val="auto"/>
                <w:kern w:val="0"/>
                <w:sz w:val="24"/>
                <w:highlight w:val="none"/>
                <w:lang w:val="en-US" w:eastAsia="zh-CN"/>
              </w:rPr>
              <w:t>90</w:t>
            </w:r>
            <w:r>
              <w:rPr>
                <w:rFonts w:hint="eastAsia" w:ascii="Times New Roman" w:hAnsi="Times New Roman"/>
                <w:color w:val="auto"/>
                <w:kern w:val="0"/>
                <w:sz w:val="24"/>
                <w:highlight w:val="none"/>
                <w:lang w:val="en-US" w:eastAsia="zh-CN"/>
              </w:rPr>
              <w:t>%粉尘在厂房内沉降，项目产生的无组织粉尘仅有少部分粉尘逸散出厂房。</w:t>
            </w:r>
          </w:p>
          <w:p w14:paraId="2470E6FB">
            <w:pPr>
              <w:widowControl/>
              <w:spacing w:line="360" w:lineRule="auto"/>
              <w:ind w:firstLine="480" w:firstLineChars="200"/>
              <w:jc w:val="left"/>
              <w:rPr>
                <w:rFonts w:hint="eastAsia"/>
                <w:color w:val="auto"/>
                <w:kern w:val="0"/>
                <w:sz w:val="24"/>
                <w:highlight w:val="none"/>
                <w:lang w:val="zh-CN" w:eastAsia="zh-CN"/>
              </w:rPr>
            </w:pPr>
            <w:r>
              <w:rPr>
                <w:rFonts w:hint="eastAsia" w:ascii="Times New Roman" w:hAnsi="Times New Roman"/>
                <w:color w:val="auto"/>
                <w:kern w:val="0"/>
                <w:sz w:val="24"/>
                <w:highlight w:val="none"/>
                <w:lang w:val="en-US" w:eastAsia="zh-CN"/>
              </w:rPr>
              <w:t>本项目破碎、筛分工序集气设备未捕集</w:t>
            </w:r>
            <w:r>
              <w:rPr>
                <w:rFonts w:hint="eastAsia"/>
                <w:color w:val="auto"/>
                <w:kern w:val="0"/>
                <w:sz w:val="24"/>
                <w:highlight w:val="none"/>
                <w:lang w:val="en-US" w:eastAsia="zh-CN"/>
              </w:rPr>
              <w:t>和处理</w:t>
            </w:r>
            <w:r>
              <w:rPr>
                <w:rFonts w:hint="eastAsia" w:ascii="Times New Roman" w:hAnsi="Times New Roman"/>
                <w:color w:val="auto"/>
                <w:kern w:val="0"/>
                <w:sz w:val="24"/>
                <w:highlight w:val="none"/>
                <w:lang w:val="en-US" w:eastAsia="zh-CN"/>
              </w:rPr>
              <w:t>的粉尘量为</w:t>
            </w:r>
            <w:r>
              <w:rPr>
                <w:rFonts w:hint="eastAsia"/>
                <w:color w:val="auto"/>
                <w:kern w:val="0"/>
                <w:sz w:val="24"/>
                <w:highlight w:val="none"/>
                <w:lang w:val="en-US" w:eastAsia="zh-CN"/>
              </w:rPr>
              <w:t>37.999</w:t>
            </w:r>
            <w:r>
              <w:rPr>
                <w:rFonts w:hint="eastAsia" w:ascii="Times New Roman" w:hAnsi="Times New Roman"/>
                <w:color w:val="auto"/>
                <w:kern w:val="0"/>
                <w:sz w:val="24"/>
                <w:highlight w:val="none"/>
                <w:lang w:val="en-US" w:eastAsia="zh-CN"/>
              </w:rPr>
              <w:t>t/a，则无组织粉尘排放量为</w:t>
            </w:r>
            <w:r>
              <w:rPr>
                <w:rFonts w:hint="eastAsia"/>
                <w:color w:val="auto"/>
                <w:kern w:val="0"/>
                <w:sz w:val="24"/>
                <w:highlight w:val="none"/>
                <w:lang w:val="en-US" w:eastAsia="zh-CN"/>
              </w:rPr>
              <w:t>3.800</w:t>
            </w:r>
            <w:r>
              <w:rPr>
                <w:rFonts w:hint="eastAsia" w:ascii="Times New Roman" w:hAnsi="Times New Roman"/>
                <w:color w:val="auto"/>
                <w:kern w:val="0"/>
                <w:sz w:val="24"/>
                <w:highlight w:val="none"/>
                <w:lang w:val="en-US" w:eastAsia="zh-CN"/>
              </w:rPr>
              <w:t>t/a</w:t>
            </w:r>
            <w:r>
              <w:rPr>
                <w:rFonts w:hint="eastAsia"/>
                <w:color w:val="auto"/>
                <w:kern w:val="0"/>
                <w:sz w:val="24"/>
                <w:highlight w:val="none"/>
                <w:lang w:val="zh-CN" w:eastAsia="zh-CN"/>
              </w:rPr>
              <w:t>。</w:t>
            </w:r>
          </w:p>
          <w:p w14:paraId="3EAA096D">
            <w:pPr>
              <w:numPr>
                <w:ilvl w:val="0"/>
                <w:numId w:val="5"/>
              </w:numPr>
              <w:adjustRightInd w:val="0"/>
              <w:snapToGrid w:val="0"/>
              <w:ind w:leftChars="200"/>
              <w:rPr>
                <w:rFonts w:hint="eastAsia" w:cs="Times New Roman"/>
                <w:b/>
                <w:bCs/>
                <w:color w:val="auto"/>
                <w:highlight w:val="none"/>
                <w:lang w:val="en-US" w:eastAsia="zh-CN"/>
              </w:rPr>
            </w:pPr>
            <w:r>
              <w:rPr>
                <w:rFonts w:hint="eastAsia" w:cs="Times New Roman"/>
                <w:b/>
                <w:bCs/>
                <w:color w:val="auto"/>
                <w:highlight w:val="none"/>
                <w:lang w:val="en-US" w:eastAsia="zh-CN"/>
              </w:rPr>
              <w:t>物料上料输送粉尘</w:t>
            </w:r>
          </w:p>
          <w:p w14:paraId="6064CEE5">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cs="Times New Roman"/>
                <w:b w:val="0"/>
                <w:bCs w:val="0"/>
                <w:color w:val="auto"/>
                <w:highlight w:val="none"/>
              </w:rPr>
            </w:pPr>
            <w:r>
              <w:rPr>
                <w:rFonts w:hint="eastAsia" w:cs="Times New Roman"/>
                <w:b w:val="0"/>
                <w:bCs w:val="0"/>
                <w:color w:val="auto"/>
                <w:highlight w:val="none"/>
                <w:lang w:val="en-US" w:eastAsia="zh-CN"/>
              </w:rPr>
              <w:t>本项目</w:t>
            </w:r>
            <w:r>
              <w:rPr>
                <w:rFonts w:hint="eastAsia"/>
                <w:bCs/>
                <w:color w:val="auto"/>
                <w:sz w:val="24"/>
                <w:highlight w:val="none"/>
                <w:lang w:val="en-US" w:eastAsia="zh-CN"/>
              </w:rPr>
              <w:t>用铲车将运输入场的建筑废弃物原料送到料斗，输送至破碎机、筛分机进行加工生产骨料颗粒。利用</w:t>
            </w:r>
            <w:r>
              <w:rPr>
                <w:rFonts w:hint="eastAsia" w:cs="Times New Roman"/>
                <w:b w:val="0"/>
                <w:bCs w:val="0"/>
                <w:color w:val="auto"/>
                <w:highlight w:val="none"/>
                <w:lang w:val="en-US" w:eastAsia="zh-CN"/>
              </w:rPr>
              <w:t>外购</w:t>
            </w:r>
            <w:r>
              <w:rPr>
                <w:rFonts w:hint="eastAsia" w:cs="Times New Roman"/>
                <w:b w:val="0"/>
                <w:bCs w:val="0"/>
                <w:color w:val="auto"/>
                <w:highlight w:val="none"/>
                <w:lang w:eastAsia="zh-CN"/>
              </w:rPr>
              <w:t>骨料</w:t>
            </w:r>
            <w:r>
              <w:rPr>
                <w:rFonts w:hint="eastAsia" w:cs="Times New Roman"/>
                <w:b w:val="0"/>
                <w:bCs w:val="0"/>
                <w:color w:val="auto"/>
                <w:highlight w:val="none"/>
                <w:lang w:val="en-US" w:eastAsia="zh-CN"/>
              </w:rPr>
              <w:t>和水泥，</w:t>
            </w:r>
            <w:r>
              <w:rPr>
                <w:rFonts w:hint="eastAsia" w:cs="Times New Roman"/>
                <w:b w:val="0"/>
                <w:bCs w:val="0"/>
                <w:color w:val="auto"/>
                <w:highlight w:val="none"/>
              </w:rPr>
              <w:t>由装载机运输至配料机上料口上料，上料后通过配料机进行配料、计量后由料斗通过</w:t>
            </w:r>
            <w:r>
              <w:rPr>
                <w:rFonts w:hint="eastAsia" w:cs="Times New Roman"/>
                <w:b w:val="0"/>
                <w:bCs w:val="0"/>
                <w:color w:val="auto"/>
                <w:highlight w:val="none"/>
                <w:lang w:val="en-US" w:eastAsia="zh-CN"/>
              </w:rPr>
              <w:t>密闭传送带由</w:t>
            </w:r>
            <w:r>
              <w:rPr>
                <w:rFonts w:hint="eastAsia" w:cs="Times New Roman"/>
                <w:b w:val="0"/>
                <w:bCs w:val="0"/>
                <w:color w:val="auto"/>
                <w:highlight w:val="none"/>
              </w:rPr>
              <w:t>提升机提升至搅拌机上方后，料斗从底部打开，物料进入搅拌机内；水泥从水泥仓经螺旋输送机封闭式输送至搅拌机；在向搅拌机里投加原料的同时利用水泵加水。</w:t>
            </w:r>
            <w:r>
              <w:rPr>
                <w:rFonts w:hint="eastAsia" w:cs="Times New Roman"/>
                <w:b w:val="0"/>
                <w:bCs w:val="0"/>
                <w:color w:val="auto"/>
                <w:highlight w:val="none"/>
                <w:lang w:val="en-US" w:eastAsia="zh-CN"/>
              </w:rPr>
              <w:t>本项目生产工序均在封闭式厂房内，生产车间内各工序之间物料输送采用封闭式皮带，故在物料输送过程中仅在</w:t>
            </w:r>
            <w:r>
              <w:rPr>
                <w:rFonts w:hint="eastAsia"/>
                <w:bCs/>
                <w:color w:val="auto"/>
                <w:sz w:val="24"/>
                <w:highlight w:val="none"/>
                <w:lang w:val="en-US" w:eastAsia="zh-CN"/>
              </w:rPr>
              <w:t>建筑废弃物上料、</w:t>
            </w:r>
            <w:r>
              <w:rPr>
                <w:rFonts w:hint="eastAsia" w:cs="Times New Roman"/>
                <w:b w:val="0"/>
                <w:bCs w:val="0"/>
                <w:color w:val="auto"/>
                <w:highlight w:val="none"/>
                <w:lang w:val="en-US" w:eastAsia="zh-CN"/>
              </w:rPr>
              <w:t>骨料颗粒出料及</w:t>
            </w:r>
            <w:r>
              <w:rPr>
                <w:rFonts w:hint="eastAsia" w:cs="Times New Roman"/>
                <w:b w:val="0"/>
                <w:bCs w:val="0"/>
                <w:color w:val="auto"/>
                <w:highlight w:val="none"/>
              </w:rPr>
              <w:t>上料过程会产生少量的粉尘。</w:t>
            </w:r>
          </w:p>
          <w:p w14:paraId="427CD84C">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cs="Times New Roman" w:eastAsiaTheme="minorEastAsia"/>
                <w:b w:val="0"/>
                <w:bCs w:val="0"/>
                <w:color w:val="auto"/>
                <w:highlight w:val="none"/>
                <w:lang w:val="en-US" w:eastAsia="zh-CN"/>
              </w:rPr>
            </w:pPr>
            <w:r>
              <w:rPr>
                <w:rFonts w:hint="eastAsia" w:cs="Times New Roman"/>
                <w:b w:val="0"/>
                <w:bCs w:val="0"/>
                <w:color w:val="auto"/>
                <w:highlight w:val="none"/>
                <w:lang w:val="en-US" w:eastAsia="zh-CN"/>
              </w:rPr>
              <w:t>项目</w:t>
            </w:r>
            <w:r>
              <w:rPr>
                <w:rFonts w:hint="eastAsia"/>
                <w:bCs/>
                <w:color w:val="auto"/>
                <w:sz w:val="24"/>
                <w:highlight w:val="none"/>
                <w:lang w:val="en-US" w:eastAsia="zh-CN"/>
              </w:rPr>
              <w:t>年处理建筑废弃物40万吨，用铲车将原料送到料斗，此过程</w:t>
            </w:r>
            <w:r>
              <w:rPr>
                <w:rFonts w:hint="eastAsia" w:cs="Times New Roman"/>
                <w:b w:val="0"/>
                <w:bCs w:val="0"/>
                <w:color w:val="auto"/>
                <w:highlight w:val="none"/>
                <w:lang w:val="en-US" w:eastAsia="zh-CN"/>
              </w:rPr>
              <w:t>粉尘产生量参照《逸散性工业粉尘控制技术》“表18-1 粒料加工厂逸散尘的排放因子中碎石送料上堆粉尘排放因子0.0007kg/t（进料）”核算，则建筑废弃物上料粉尘产生量为0.28</w:t>
            </w:r>
            <w:r>
              <w:rPr>
                <w:rFonts w:hint="eastAsia" w:cs="Times New Roman"/>
                <w:b w:val="0"/>
                <w:bCs w:val="0"/>
                <w:color w:val="auto"/>
                <w:highlight w:val="none"/>
              </w:rPr>
              <w:t>t/a</w:t>
            </w:r>
            <w:r>
              <w:rPr>
                <w:rFonts w:hint="eastAsia" w:cs="Times New Roman"/>
                <w:b w:val="0"/>
                <w:bCs w:val="0"/>
                <w:color w:val="auto"/>
                <w:highlight w:val="none"/>
                <w:lang w:val="en-US" w:eastAsia="zh-CN"/>
              </w:rPr>
              <w:t>。建筑废弃物破碎生产的骨料约40</w:t>
            </w:r>
            <w:r>
              <w:rPr>
                <w:rFonts w:hint="eastAsia" w:cs="Times New Roman"/>
                <w:b w:val="0"/>
                <w:bCs w:val="0"/>
                <w:color w:val="auto"/>
                <w:highlight w:val="none"/>
              </w:rPr>
              <w:t>万t/a，</w:t>
            </w:r>
            <w:r>
              <w:rPr>
                <w:rFonts w:hint="eastAsia" w:cs="Times New Roman"/>
                <w:b w:val="0"/>
                <w:bCs w:val="0"/>
                <w:color w:val="auto"/>
                <w:highlight w:val="none"/>
                <w:lang w:val="en-US" w:eastAsia="zh-CN"/>
              </w:rPr>
              <w:t>破碎后的骨料出料过程产生的粉尘量参照《逸散性工业粉尘控制技术》“表 18-1 粒料加工厂逸散尘的排放因子”中“砂和砾石出料粉尘排放因子0.00115kg/t”核算，</w:t>
            </w:r>
            <w:r>
              <w:rPr>
                <w:rFonts w:hint="eastAsia"/>
                <w:b w:val="0"/>
                <w:bCs w:val="0"/>
                <w:color w:val="auto"/>
                <w:highlight w:val="none"/>
                <w:lang w:val="en-US" w:eastAsia="zh-CN"/>
              </w:rPr>
              <w:t>则其出料粉尘产生量为0.46t/a。本项目水稳生产线骨料的上料量共30</w:t>
            </w:r>
            <w:r>
              <w:rPr>
                <w:rFonts w:hint="eastAsia" w:cs="Times New Roman"/>
                <w:b w:val="0"/>
                <w:bCs w:val="0"/>
                <w:color w:val="auto"/>
                <w:highlight w:val="none"/>
              </w:rPr>
              <w:t>万t/a</w:t>
            </w:r>
            <w:r>
              <w:rPr>
                <w:rFonts w:hint="eastAsia" w:cs="Times New Roman"/>
                <w:b w:val="0"/>
                <w:bCs w:val="0"/>
                <w:color w:val="auto"/>
                <w:highlight w:val="none"/>
                <w:lang w:eastAsia="zh-CN"/>
              </w:rPr>
              <w:t>，根据《排放源统计调查产排污核算方法和系数手册》分册《3021 水泥制品制造(3029 其他水泥类似制品制造)行业系数手册》中“3021 水泥制品制造(3029 其他水泥类似制品制造)行业系数表中混凝土制品中物料输送储存颗粒物产污系数0.12</w:t>
            </w:r>
            <w:r>
              <w:rPr>
                <w:rFonts w:hint="eastAsia"/>
                <w:b w:val="0"/>
                <w:bCs w:val="0"/>
                <w:color w:val="auto"/>
                <w:highlight w:val="none"/>
                <w:lang w:val="en-US" w:eastAsia="zh-CN"/>
              </w:rPr>
              <w:t>kg/t</w:t>
            </w:r>
            <w:r>
              <w:rPr>
                <w:rFonts w:hint="eastAsia" w:cs="Times New Roman"/>
                <w:b w:val="0"/>
                <w:bCs w:val="0"/>
                <w:color w:val="auto"/>
                <w:highlight w:val="none"/>
                <w:lang w:eastAsia="zh-CN"/>
              </w:rPr>
              <w:t>-产品</w:t>
            </w:r>
            <w:r>
              <w:rPr>
                <w:rFonts w:hint="eastAsia"/>
                <w:b w:val="0"/>
                <w:bCs w:val="0"/>
                <w:color w:val="auto"/>
                <w:highlight w:val="none"/>
                <w:lang w:val="en-US" w:eastAsia="zh-CN"/>
              </w:rPr>
              <w:t>”，骨料颗粒上料产生的粉尘量为84</w:t>
            </w:r>
            <w:r>
              <w:rPr>
                <w:rFonts w:hint="eastAsia" w:cs="Times New Roman"/>
                <w:b w:val="0"/>
                <w:bCs w:val="0"/>
                <w:color w:val="auto"/>
                <w:highlight w:val="none"/>
              </w:rPr>
              <w:t>t/a</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故全厂物料运输产生的粉尘量为84.74</w:t>
            </w:r>
            <w:r>
              <w:rPr>
                <w:rFonts w:hint="eastAsia" w:cs="Times New Roman"/>
                <w:b w:val="0"/>
                <w:bCs w:val="0"/>
                <w:color w:val="auto"/>
                <w:highlight w:val="none"/>
              </w:rPr>
              <w:t>t/a</w:t>
            </w:r>
            <w:r>
              <w:rPr>
                <w:rFonts w:hint="eastAsia" w:cs="Times New Roman"/>
                <w:b w:val="0"/>
                <w:bCs w:val="0"/>
                <w:color w:val="auto"/>
                <w:highlight w:val="none"/>
                <w:lang w:eastAsia="zh-CN"/>
              </w:rPr>
              <w:t>。</w:t>
            </w:r>
          </w:p>
          <w:p w14:paraId="687DE007">
            <w:pPr>
              <w:pStyle w:val="7"/>
              <w:rPr>
                <w:rFonts w:hint="eastAsia"/>
                <w:bCs/>
                <w:color w:val="auto"/>
                <w:sz w:val="24"/>
                <w:highlight w:val="none"/>
              </w:rPr>
            </w:pPr>
            <w:r>
              <w:rPr>
                <w:rFonts w:hint="eastAsia"/>
                <w:b w:val="0"/>
                <w:bCs w:val="0"/>
                <w:color w:val="auto"/>
                <w:highlight w:val="none"/>
                <w:lang w:val="en-US" w:eastAsia="zh-CN"/>
              </w:rPr>
              <w:t>本项目</w:t>
            </w:r>
            <w:r>
              <w:rPr>
                <w:rFonts w:hint="eastAsia" w:cs="Times New Roman"/>
                <w:b w:val="0"/>
                <w:bCs w:val="0"/>
                <w:color w:val="auto"/>
                <w:highlight w:val="none"/>
                <w:lang w:val="en-US" w:eastAsia="zh-CN"/>
              </w:rPr>
              <w:t>物料输送</w:t>
            </w:r>
            <w:r>
              <w:rPr>
                <w:rFonts w:hint="eastAsia"/>
                <w:b w:val="0"/>
                <w:bCs w:val="0"/>
                <w:color w:val="auto"/>
                <w:highlight w:val="none"/>
                <w:lang w:val="en-US" w:eastAsia="zh-CN"/>
              </w:rPr>
              <w:t>过程位于</w:t>
            </w:r>
            <w:r>
              <w:rPr>
                <w:rFonts w:hint="eastAsia" w:cs="Times New Roman"/>
                <w:b w:val="0"/>
                <w:bCs w:val="0"/>
                <w:color w:val="auto"/>
                <w:highlight w:val="none"/>
                <w:lang w:val="en-US" w:eastAsia="zh-CN"/>
              </w:rPr>
              <w:t>封闭厂房</w:t>
            </w:r>
            <w:r>
              <w:rPr>
                <w:rFonts w:hint="default" w:cs="Times New Roman"/>
                <w:b w:val="0"/>
                <w:bCs w:val="0"/>
                <w:color w:val="auto"/>
                <w:highlight w:val="none"/>
                <w:lang w:val="en-US" w:eastAsia="zh-CN"/>
              </w:rPr>
              <w:t>内，</w:t>
            </w:r>
            <w:r>
              <w:rPr>
                <w:rFonts w:hint="eastAsia" w:cs="Times New Roman"/>
                <w:b w:val="0"/>
                <w:bCs w:val="0"/>
                <w:color w:val="auto"/>
                <w:highlight w:val="none"/>
                <w:lang w:val="en-US" w:eastAsia="zh-CN"/>
              </w:rPr>
              <w:t>且</w:t>
            </w:r>
            <w:r>
              <w:rPr>
                <w:rFonts w:hint="default" w:cs="Times New Roman"/>
                <w:b w:val="0"/>
                <w:bCs w:val="0"/>
                <w:color w:val="auto"/>
                <w:highlight w:val="none"/>
                <w:lang w:val="en-US" w:eastAsia="zh-CN"/>
              </w:rPr>
              <w:t>厂房内设置</w:t>
            </w:r>
            <w:r>
              <w:rPr>
                <w:rFonts w:hint="eastAsia" w:cs="Times New Roman"/>
                <w:b w:val="0"/>
                <w:bCs w:val="0"/>
                <w:color w:val="auto"/>
                <w:highlight w:val="none"/>
                <w:lang w:val="en-US" w:eastAsia="zh-CN"/>
              </w:rPr>
              <w:t>喷雾抑尘装置。</w:t>
            </w:r>
            <w:r>
              <w:rPr>
                <w:rFonts w:hint="eastAsia"/>
                <w:bCs/>
                <w:color w:val="auto"/>
                <w:sz w:val="24"/>
                <w:highlight w:val="none"/>
                <w:lang w:val="en-US" w:eastAsia="zh-CN"/>
              </w:rPr>
              <w:t>参照</w:t>
            </w:r>
            <w:r>
              <w:rPr>
                <w:rFonts w:hint="eastAsia"/>
                <w:bCs/>
                <w:color w:val="auto"/>
                <w:sz w:val="24"/>
                <w:highlight w:val="none"/>
              </w:rPr>
              <w:t>《固体物料堆存颗粒物产污核算系数手册》附录</w:t>
            </w:r>
            <w:r>
              <w:rPr>
                <w:rFonts w:hint="eastAsia"/>
                <w:bCs/>
                <w:color w:val="auto"/>
                <w:sz w:val="24"/>
                <w:highlight w:val="none"/>
                <w:lang w:val="en-US" w:eastAsia="zh-CN"/>
              </w:rPr>
              <w:t>4</w:t>
            </w:r>
            <w:r>
              <w:rPr>
                <w:rFonts w:hint="eastAsia"/>
                <w:bCs/>
                <w:color w:val="auto"/>
                <w:sz w:val="24"/>
                <w:highlight w:val="none"/>
              </w:rPr>
              <w:t>，</w:t>
            </w:r>
            <w:r>
              <w:rPr>
                <w:rFonts w:hint="eastAsia"/>
                <w:bCs/>
                <w:color w:val="auto"/>
                <w:sz w:val="24"/>
                <w:highlight w:val="none"/>
                <w:lang w:val="en-US" w:eastAsia="zh-CN"/>
              </w:rPr>
              <w:t>喷雾抑尘的措施</w:t>
            </w:r>
            <w:r>
              <w:rPr>
                <w:rFonts w:hint="eastAsia"/>
                <w:bCs/>
                <w:color w:val="auto"/>
                <w:sz w:val="24"/>
                <w:highlight w:val="none"/>
              </w:rPr>
              <w:t>可有效去除74%的无组织粉尘</w:t>
            </w:r>
            <w:r>
              <w:rPr>
                <w:rFonts w:hint="eastAsia"/>
                <w:bCs/>
                <w:color w:val="auto"/>
                <w:sz w:val="24"/>
                <w:highlight w:val="none"/>
                <w:lang w:eastAsia="zh-CN"/>
              </w:rPr>
              <w:t>。</w:t>
            </w:r>
            <w:r>
              <w:rPr>
                <w:rFonts w:hint="eastAsia"/>
                <w:bCs/>
                <w:color w:val="auto"/>
                <w:sz w:val="24"/>
                <w:highlight w:val="none"/>
                <w:lang w:val="en-US" w:eastAsia="zh-CN"/>
              </w:rPr>
              <w:t>参考</w:t>
            </w:r>
            <w:r>
              <w:rPr>
                <w:rFonts w:hint="eastAsia"/>
                <w:color w:val="auto"/>
                <w:highlight w:val="none"/>
                <w:lang w:eastAsia="zh-CN"/>
              </w:rPr>
              <w:t>《</w:t>
            </w:r>
            <w:r>
              <w:rPr>
                <w:rFonts w:cs="Times New Roman"/>
                <w:b w:val="0"/>
                <w:bCs w:val="0"/>
                <w:color w:val="auto"/>
                <w:highlight w:val="none"/>
              </w:rPr>
              <w:t>逸散性工业粉尘控制技术</w:t>
            </w:r>
            <w:r>
              <w:rPr>
                <w:rFonts w:hint="eastAsia"/>
                <w:color w:val="auto"/>
                <w:highlight w:val="none"/>
                <w:lang w:eastAsia="zh-CN"/>
              </w:rPr>
              <w:t>》，</w:t>
            </w:r>
            <w:r>
              <w:rPr>
                <w:rFonts w:hint="eastAsia"/>
                <w:bCs/>
                <w:color w:val="auto"/>
                <w:sz w:val="24"/>
                <w:highlight w:val="none"/>
              </w:rPr>
              <w:t>封闭厂房隔挡，可使9</w:t>
            </w:r>
            <w:r>
              <w:rPr>
                <w:rFonts w:hint="eastAsia"/>
                <w:bCs/>
                <w:color w:val="auto"/>
                <w:sz w:val="24"/>
                <w:highlight w:val="none"/>
                <w:lang w:val="en-US" w:eastAsia="zh-CN"/>
              </w:rPr>
              <w:t>0</w:t>
            </w:r>
            <w:r>
              <w:rPr>
                <w:rFonts w:hint="eastAsia"/>
                <w:bCs/>
                <w:color w:val="auto"/>
                <w:sz w:val="24"/>
                <w:highlight w:val="none"/>
              </w:rPr>
              <w:t>%粉尘在厂房内沉降，经过</w:t>
            </w:r>
            <w:r>
              <w:rPr>
                <w:rFonts w:hint="eastAsia"/>
                <w:bCs/>
                <w:color w:val="auto"/>
                <w:sz w:val="24"/>
                <w:highlight w:val="none"/>
                <w:lang w:val="en-US" w:eastAsia="zh-CN"/>
              </w:rPr>
              <w:t>上述措施控制</w:t>
            </w:r>
            <w:r>
              <w:rPr>
                <w:rFonts w:hint="eastAsia"/>
                <w:bCs/>
                <w:color w:val="auto"/>
                <w:sz w:val="24"/>
                <w:highlight w:val="none"/>
              </w:rPr>
              <w:t>后，项目</w:t>
            </w:r>
            <w:r>
              <w:rPr>
                <w:rFonts w:hint="eastAsia"/>
                <w:bCs/>
                <w:color w:val="auto"/>
                <w:sz w:val="24"/>
                <w:highlight w:val="none"/>
                <w:lang w:val="en-US" w:eastAsia="zh-CN"/>
              </w:rPr>
              <w:t>物料输送</w:t>
            </w:r>
            <w:r>
              <w:rPr>
                <w:rFonts w:hint="eastAsia"/>
                <w:bCs/>
                <w:color w:val="auto"/>
                <w:sz w:val="24"/>
                <w:highlight w:val="none"/>
              </w:rPr>
              <w:t>产生的无组织粉尘仅有少部分粉尘逸散出厂房。经计算散逸量为</w:t>
            </w:r>
            <w:r>
              <w:rPr>
                <w:rFonts w:hint="eastAsia"/>
                <w:bCs/>
                <w:color w:val="auto"/>
                <w:sz w:val="24"/>
                <w:highlight w:val="none"/>
                <w:lang w:val="en-US" w:eastAsia="zh-CN"/>
              </w:rPr>
              <w:t>2.203</w:t>
            </w:r>
            <w:r>
              <w:rPr>
                <w:rFonts w:hint="eastAsia"/>
                <w:bCs/>
                <w:color w:val="auto"/>
                <w:sz w:val="24"/>
                <w:highlight w:val="none"/>
              </w:rPr>
              <w:t>t/a。</w:t>
            </w:r>
          </w:p>
          <w:p w14:paraId="687273BE">
            <w:pPr>
              <w:adjustRightInd w:val="0"/>
              <w:snapToGrid w:val="0"/>
              <w:ind w:firstLine="482" w:firstLineChars="200"/>
              <w:rPr>
                <w:rFonts w:cs="Times New Roman"/>
                <w:b/>
                <w:bCs/>
                <w:color w:val="auto"/>
                <w:highlight w:val="none"/>
              </w:rPr>
            </w:pPr>
            <w:r>
              <w:rPr>
                <w:rFonts w:hint="eastAsia" w:cs="Times New Roman" w:eastAsiaTheme="majorEastAsia"/>
                <w:b/>
                <w:bCs/>
                <w:color w:val="auto"/>
                <w:kern w:val="2"/>
                <w:sz w:val="24"/>
                <w:szCs w:val="32"/>
                <w:highlight w:val="none"/>
                <w:lang w:val="en-US" w:eastAsia="zh-CN" w:bidi="ar-SA"/>
              </w:rPr>
              <w:t>（4）</w:t>
            </w:r>
            <w:r>
              <w:rPr>
                <w:rFonts w:hint="eastAsia" w:cs="Times New Roman"/>
                <w:b/>
                <w:bCs/>
                <w:color w:val="auto"/>
                <w:highlight w:val="none"/>
                <w:lang w:val="en-US" w:eastAsia="zh-CN"/>
              </w:rPr>
              <w:t>水泥</w:t>
            </w:r>
            <w:r>
              <w:rPr>
                <w:rFonts w:hint="eastAsia" w:cs="Times New Roman"/>
                <w:b/>
                <w:bCs/>
                <w:color w:val="auto"/>
                <w:highlight w:val="none"/>
              </w:rPr>
              <w:t>筒仓</w:t>
            </w:r>
            <w:r>
              <w:rPr>
                <w:rFonts w:hint="eastAsia" w:cs="Times New Roman"/>
                <w:b/>
                <w:bCs/>
                <w:color w:val="auto"/>
                <w:highlight w:val="none"/>
                <w:lang w:val="en-US" w:eastAsia="zh-CN"/>
              </w:rPr>
              <w:t>呼吸</w:t>
            </w:r>
            <w:r>
              <w:rPr>
                <w:rFonts w:hint="eastAsia" w:cs="Times New Roman"/>
                <w:b/>
                <w:bCs/>
                <w:color w:val="auto"/>
                <w:highlight w:val="none"/>
              </w:rPr>
              <w:t>粉尘</w:t>
            </w:r>
          </w:p>
          <w:p w14:paraId="52CEF601">
            <w:pPr>
              <w:adjustRightInd w:val="0"/>
              <w:snapToGrid w:val="0"/>
              <w:ind w:firstLine="480" w:firstLineChars="200"/>
              <w:jc w:val="both"/>
              <w:rPr>
                <w:rFonts w:hint="eastAsia" w:cs="Times New Roman"/>
                <w:b w:val="0"/>
                <w:bCs w:val="0"/>
                <w:color w:val="auto"/>
                <w:highlight w:val="none"/>
              </w:rPr>
            </w:pPr>
            <w:r>
              <w:rPr>
                <w:rFonts w:hint="eastAsia" w:cs="Times New Roman"/>
                <w:b w:val="0"/>
                <w:bCs w:val="0"/>
                <w:color w:val="auto"/>
                <w:highlight w:val="none"/>
              </w:rPr>
              <w:t>本项目</w:t>
            </w:r>
            <w:r>
              <w:rPr>
                <w:rFonts w:hint="eastAsia" w:cs="Times New Roman"/>
                <w:b w:val="0"/>
                <w:bCs w:val="0"/>
                <w:color w:val="auto"/>
                <w:highlight w:val="none"/>
                <w:lang w:val="en-US" w:eastAsia="zh-CN"/>
              </w:rPr>
              <w:t>共</w:t>
            </w:r>
            <w:r>
              <w:rPr>
                <w:rFonts w:hint="eastAsia" w:cs="Times New Roman"/>
                <w:b w:val="0"/>
                <w:bCs w:val="0"/>
                <w:color w:val="auto"/>
                <w:highlight w:val="none"/>
              </w:rPr>
              <w:t>设有</w:t>
            </w:r>
            <w:r>
              <w:rPr>
                <w:rFonts w:hint="eastAsia" w:cs="Times New Roman"/>
                <w:b w:val="0"/>
                <w:bCs w:val="0"/>
                <w:color w:val="auto"/>
                <w:highlight w:val="none"/>
                <w:lang w:val="en-US" w:eastAsia="zh-CN"/>
              </w:rPr>
              <w:t>2个</w:t>
            </w:r>
            <w:r>
              <w:rPr>
                <w:rFonts w:hint="eastAsia" w:cs="Times New Roman"/>
                <w:b w:val="0"/>
                <w:bCs w:val="0"/>
                <w:color w:val="auto"/>
                <w:highlight w:val="none"/>
              </w:rPr>
              <w:t>100t水泥筒仓</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外购的</w:t>
            </w:r>
            <w:r>
              <w:rPr>
                <w:rFonts w:hint="eastAsia" w:cs="Times New Roman"/>
                <w:b w:val="0"/>
                <w:bCs w:val="0"/>
                <w:color w:val="auto"/>
                <w:highlight w:val="none"/>
              </w:rPr>
              <w:t>水泥由散装罐车运至厂区</w:t>
            </w:r>
            <w:r>
              <w:rPr>
                <w:rFonts w:hint="eastAsia" w:cs="Times New Roman"/>
                <w:b w:val="0"/>
                <w:bCs w:val="0"/>
                <w:color w:val="auto"/>
                <w:highlight w:val="none"/>
                <w:lang w:eastAsia="zh-CN"/>
              </w:rPr>
              <w:t>，</w:t>
            </w:r>
            <w:r>
              <w:rPr>
                <w:rFonts w:hint="eastAsia" w:cs="Times New Roman"/>
                <w:b w:val="0"/>
                <w:bCs w:val="0"/>
                <w:color w:val="auto"/>
                <w:highlight w:val="none"/>
              </w:rPr>
              <w:t>由罐车自带的封闭式气动系统将粉料泵入筒仓内</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水泥在灌装过程中，由于通过管道进入筒仓时进料口在筒仓下方，罐装车通过气力输送将水泥输送至筒仓，整个过程在封闭的管道中完成，此时粉尘会随筒仓里的空气从筒仓顶部的排气孔中排出。筒仓</w:t>
            </w:r>
            <w:r>
              <w:rPr>
                <w:rFonts w:hint="eastAsia" w:cs="Times New Roman"/>
                <w:b w:val="0"/>
                <w:bCs w:val="0"/>
                <w:color w:val="auto"/>
                <w:highlight w:val="none"/>
              </w:rPr>
              <w:t>仓顶</w:t>
            </w:r>
            <w:r>
              <w:rPr>
                <w:rFonts w:hint="eastAsia" w:cs="Times New Roman"/>
                <w:b w:val="0"/>
                <w:bCs w:val="0"/>
                <w:color w:val="auto"/>
                <w:highlight w:val="none"/>
                <w:lang w:val="en-US" w:eastAsia="zh-CN"/>
              </w:rPr>
              <w:t>自带脉冲袋式除尘器，收集效率100%，净化效率可达99%，未被净化的粉尘在封闭厂房内无组织排放</w:t>
            </w:r>
            <w:r>
              <w:rPr>
                <w:rFonts w:hint="eastAsia" w:cs="Times New Roman"/>
                <w:b w:val="0"/>
                <w:bCs w:val="0"/>
                <w:color w:val="auto"/>
                <w:highlight w:val="none"/>
              </w:rPr>
              <w:t>。</w:t>
            </w:r>
          </w:p>
          <w:p w14:paraId="6E0FEB14">
            <w:pPr>
              <w:adjustRightInd w:val="0"/>
              <w:snapToGrid w:val="0"/>
              <w:ind w:firstLine="480" w:firstLineChars="200"/>
              <w:rPr>
                <w:rFonts w:hint="eastAsia" w:cs="Times New Roman" w:eastAsiaTheme="minorEastAsia"/>
                <w:b w:val="0"/>
                <w:bCs w:val="0"/>
                <w:color w:val="auto"/>
                <w:highlight w:val="none"/>
                <w:lang w:val="en-US" w:eastAsia="zh-CN"/>
              </w:rPr>
            </w:pPr>
            <w:r>
              <w:rPr>
                <w:rFonts w:cs="Times New Roman"/>
                <w:b w:val="0"/>
                <w:bCs w:val="0"/>
                <w:color w:val="auto"/>
                <w:highlight w:val="none"/>
              </w:rPr>
              <w:t>根据《逸散性工业粉尘控制技术》</w:t>
            </w:r>
            <w:r>
              <w:rPr>
                <w:rFonts w:hint="eastAsia"/>
                <w:b w:val="0"/>
                <w:bCs w:val="0"/>
                <w:color w:val="auto"/>
                <w:highlight w:val="none"/>
                <w:lang w:val="en-US" w:eastAsia="zh-CN"/>
              </w:rPr>
              <w:t>“表22-1 混凝土分批搅拌厂的逸散尘排放因子”中“</w:t>
            </w:r>
            <w:r>
              <w:rPr>
                <w:rFonts w:cs="Times New Roman"/>
                <w:b w:val="0"/>
                <w:bCs w:val="0"/>
                <w:color w:val="auto"/>
                <w:highlight w:val="none"/>
              </w:rPr>
              <w:t>贮仓排气</w:t>
            </w:r>
            <w:r>
              <w:rPr>
                <w:rFonts w:hint="eastAsia"/>
                <w:b w:val="0"/>
                <w:bCs w:val="0"/>
                <w:color w:val="auto"/>
                <w:highlight w:val="none"/>
                <w:lang w:val="en-US" w:eastAsia="zh-CN"/>
              </w:rPr>
              <w:t>”</w:t>
            </w:r>
            <w:r>
              <w:rPr>
                <w:rFonts w:cs="Times New Roman"/>
                <w:b w:val="0"/>
                <w:bCs w:val="0"/>
                <w:color w:val="auto"/>
                <w:highlight w:val="none"/>
              </w:rPr>
              <w:t>粉尘产生系数0.</w:t>
            </w:r>
            <w:r>
              <w:rPr>
                <w:rFonts w:hint="eastAsia" w:cs="Times New Roman"/>
                <w:b w:val="0"/>
                <w:bCs w:val="0"/>
                <w:color w:val="auto"/>
                <w:highlight w:val="none"/>
                <w:lang w:val="en-US" w:eastAsia="zh-CN"/>
              </w:rPr>
              <w:t>12</w:t>
            </w:r>
            <w:r>
              <w:rPr>
                <w:rFonts w:cs="Times New Roman"/>
                <w:b w:val="0"/>
                <w:bCs w:val="0"/>
                <w:color w:val="auto"/>
                <w:highlight w:val="none"/>
              </w:rPr>
              <w:t>kg/t</w:t>
            </w:r>
            <w:r>
              <w:rPr>
                <w:rFonts w:hint="eastAsia" w:cs="Times New Roman"/>
                <w:b w:val="0"/>
                <w:bCs w:val="0"/>
                <w:color w:val="auto"/>
                <w:highlight w:val="none"/>
                <w:lang w:val="en-US" w:eastAsia="zh-CN"/>
              </w:rPr>
              <w:t>进行核算</w:t>
            </w:r>
            <w:r>
              <w:rPr>
                <w:rFonts w:hint="eastAsia" w:cs="Times New Roman"/>
                <w:b w:val="0"/>
                <w:bCs w:val="0"/>
                <w:color w:val="auto"/>
                <w:highlight w:val="none"/>
                <w:lang w:eastAsia="zh-CN"/>
              </w:rPr>
              <w:t>。</w:t>
            </w:r>
            <w:r>
              <w:rPr>
                <w:rFonts w:hint="default" w:cs="Times New Roman"/>
                <w:b w:val="0"/>
                <w:bCs w:val="0"/>
                <w:color w:val="auto"/>
                <w:highlight w:val="none"/>
                <w:lang w:val="zh-CN"/>
              </w:rPr>
              <w:t>本项目水泥用量为</w:t>
            </w:r>
            <w:r>
              <w:rPr>
                <w:rFonts w:hint="eastAsia" w:cs="Times New Roman"/>
                <w:b w:val="0"/>
                <w:bCs w:val="0"/>
                <w:color w:val="auto"/>
                <w:highlight w:val="none"/>
                <w:lang w:val="en-US" w:eastAsia="zh-CN"/>
              </w:rPr>
              <w:t>12000</w:t>
            </w:r>
            <w:r>
              <w:rPr>
                <w:rFonts w:hint="default" w:cs="Times New Roman"/>
                <w:b w:val="0"/>
                <w:bCs w:val="0"/>
                <w:color w:val="auto"/>
                <w:highlight w:val="none"/>
                <w:lang w:val="zh-CN"/>
              </w:rPr>
              <w:t>t/a</w:t>
            </w:r>
            <w:r>
              <w:rPr>
                <w:rFonts w:hint="eastAsia" w:cs="Times New Roman"/>
                <w:b w:val="0"/>
                <w:bCs w:val="0"/>
                <w:color w:val="auto"/>
                <w:highlight w:val="none"/>
                <w:lang w:val="zh-CN"/>
              </w:rPr>
              <w:t>，</w:t>
            </w:r>
            <w:r>
              <w:rPr>
                <w:rFonts w:cs="Times New Roman"/>
                <w:b w:val="0"/>
                <w:bCs w:val="0"/>
                <w:color w:val="auto"/>
                <w:highlight w:val="none"/>
              </w:rPr>
              <w:t>则</w:t>
            </w:r>
            <w:r>
              <w:rPr>
                <w:rFonts w:hint="eastAsia" w:cs="Times New Roman"/>
                <w:b w:val="0"/>
                <w:bCs w:val="0"/>
                <w:color w:val="auto"/>
                <w:highlight w:val="none"/>
                <w:lang w:val="en-US" w:eastAsia="zh-CN"/>
              </w:rPr>
              <w:t>项目水泥</w:t>
            </w:r>
            <w:r>
              <w:rPr>
                <w:rFonts w:hint="eastAsia" w:cs="Times New Roman"/>
                <w:b w:val="0"/>
                <w:bCs w:val="0"/>
                <w:color w:val="auto"/>
                <w:highlight w:val="none"/>
              </w:rPr>
              <w:t>筒仓</w:t>
            </w:r>
            <w:r>
              <w:rPr>
                <w:rFonts w:hint="eastAsia" w:cs="Times New Roman"/>
                <w:b w:val="0"/>
                <w:bCs w:val="0"/>
                <w:color w:val="auto"/>
                <w:highlight w:val="none"/>
                <w:lang w:val="en-US" w:eastAsia="zh-CN"/>
              </w:rPr>
              <w:t>呼吸孔</w:t>
            </w:r>
            <w:r>
              <w:rPr>
                <w:rFonts w:hint="eastAsia" w:cs="Times New Roman"/>
                <w:b w:val="0"/>
                <w:bCs w:val="0"/>
                <w:color w:val="auto"/>
                <w:highlight w:val="none"/>
              </w:rPr>
              <w:t>粉尘</w:t>
            </w:r>
            <w:r>
              <w:rPr>
                <w:rFonts w:cs="Times New Roman"/>
                <w:b w:val="0"/>
                <w:bCs w:val="0"/>
                <w:color w:val="auto"/>
                <w:highlight w:val="none"/>
              </w:rPr>
              <w:t>产生量为</w:t>
            </w:r>
            <w:r>
              <w:rPr>
                <w:rFonts w:hint="eastAsia" w:cs="Times New Roman"/>
                <w:b w:val="0"/>
                <w:bCs w:val="0"/>
                <w:color w:val="auto"/>
                <w:highlight w:val="none"/>
                <w:lang w:val="en-US" w:eastAsia="zh-CN"/>
              </w:rPr>
              <w:t>1.44</w:t>
            </w:r>
            <w:r>
              <w:rPr>
                <w:rFonts w:cs="Times New Roman"/>
                <w:b w:val="0"/>
                <w:bCs w:val="0"/>
                <w:color w:val="auto"/>
                <w:highlight w:val="none"/>
              </w:rPr>
              <w:t>t/a</w:t>
            </w:r>
            <w:r>
              <w:rPr>
                <w:rFonts w:hint="eastAsia" w:cs="Times New Roman"/>
                <w:b w:val="0"/>
                <w:bCs w:val="0"/>
                <w:color w:val="auto"/>
                <w:highlight w:val="none"/>
                <w:lang w:eastAsia="zh-CN"/>
              </w:rPr>
              <w:t>。</w:t>
            </w:r>
            <w:r>
              <w:rPr>
                <w:rFonts w:cs="Times New Roman"/>
                <w:b w:val="0"/>
                <w:bCs w:val="0"/>
                <w:color w:val="auto"/>
                <w:highlight w:val="none"/>
              </w:rPr>
              <w:t>收集效率</w:t>
            </w:r>
            <w:r>
              <w:rPr>
                <w:rFonts w:hint="eastAsia" w:cs="Times New Roman"/>
                <w:b w:val="0"/>
                <w:bCs w:val="0"/>
                <w:color w:val="auto"/>
                <w:highlight w:val="none"/>
              </w:rPr>
              <w:t>以</w:t>
            </w:r>
            <w:r>
              <w:rPr>
                <w:rFonts w:cs="Times New Roman"/>
                <w:b w:val="0"/>
                <w:bCs w:val="0"/>
                <w:color w:val="auto"/>
                <w:highlight w:val="none"/>
              </w:rPr>
              <w:t>100%</w:t>
            </w:r>
            <w:r>
              <w:rPr>
                <w:rFonts w:hint="eastAsia" w:cs="Times New Roman"/>
                <w:b w:val="0"/>
                <w:bCs w:val="0"/>
                <w:color w:val="auto"/>
                <w:highlight w:val="none"/>
              </w:rPr>
              <w:t>计</w:t>
            </w:r>
            <w:r>
              <w:rPr>
                <w:rFonts w:hint="eastAsia" w:cs="Times New Roman"/>
                <w:b w:val="0"/>
                <w:bCs w:val="0"/>
                <w:color w:val="auto"/>
                <w:highlight w:val="none"/>
                <w:lang w:eastAsia="zh-CN"/>
              </w:rPr>
              <w:t>，除尘器净化效率按99%计</w:t>
            </w:r>
            <w:r>
              <w:rPr>
                <w:rFonts w:hint="eastAsia"/>
                <w:bCs/>
                <w:color w:val="auto"/>
                <w:sz w:val="24"/>
                <w:highlight w:val="none"/>
                <w:lang w:eastAsia="zh-CN"/>
              </w:rPr>
              <w:t>，</w:t>
            </w:r>
            <w:r>
              <w:rPr>
                <w:rFonts w:hint="eastAsia" w:cs="Times New Roman"/>
                <w:b w:val="0"/>
                <w:bCs w:val="0"/>
                <w:color w:val="auto"/>
                <w:highlight w:val="none"/>
                <w:lang w:eastAsia="zh-CN"/>
              </w:rPr>
              <w:t>则</w:t>
            </w:r>
            <w:r>
              <w:rPr>
                <w:rFonts w:hint="eastAsia" w:cs="Times New Roman"/>
                <w:b w:val="0"/>
                <w:bCs w:val="0"/>
                <w:color w:val="auto"/>
                <w:highlight w:val="none"/>
                <w:lang w:val="en-US" w:eastAsia="zh-CN"/>
              </w:rPr>
              <w:t>最终无组织排放</w:t>
            </w:r>
            <w:r>
              <w:rPr>
                <w:rFonts w:hint="eastAsia" w:cs="Times New Roman"/>
                <w:b w:val="0"/>
                <w:bCs w:val="0"/>
                <w:color w:val="auto"/>
                <w:highlight w:val="none"/>
                <w:lang w:eastAsia="zh-CN"/>
              </w:rPr>
              <w:t>排放的粉尘量为0.</w:t>
            </w:r>
            <w:r>
              <w:rPr>
                <w:rFonts w:hint="eastAsia" w:cs="Times New Roman"/>
                <w:b w:val="0"/>
                <w:bCs w:val="0"/>
                <w:color w:val="auto"/>
                <w:highlight w:val="none"/>
                <w:lang w:val="en-US" w:eastAsia="zh-CN"/>
              </w:rPr>
              <w:t>014</w:t>
            </w:r>
            <w:r>
              <w:rPr>
                <w:rFonts w:hint="eastAsia" w:cs="Times New Roman"/>
                <w:b w:val="0"/>
                <w:bCs w:val="0"/>
                <w:color w:val="auto"/>
                <w:highlight w:val="none"/>
                <w:lang w:eastAsia="zh-CN"/>
              </w:rPr>
              <w:t>t/a</w:t>
            </w:r>
            <w:r>
              <w:rPr>
                <w:rFonts w:hint="eastAsia" w:cs="Times New Roman"/>
                <w:b w:val="0"/>
                <w:bCs w:val="0"/>
                <w:color w:val="auto"/>
                <w:highlight w:val="none"/>
              </w:rPr>
              <w:t>。</w:t>
            </w:r>
          </w:p>
          <w:p w14:paraId="523E5B3F">
            <w:pPr>
              <w:pStyle w:val="3"/>
              <w:keepNext/>
              <w:keepLines/>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（5）</w:t>
            </w:r>
            <w:r>
              <w:rPr>
                <w:rFonts w:hint="default" w:ascii="Times New Roman" w:hAnsi="Times New Roman" w:cs="Times New Roman"/>
                <w:b/>
                <w:bCs/>
                <w:color w:val="auto"/>
                <w:highlight w:val="none"/>
              </w:rPr>
              <w:t>搅拌粉尘</w:t>
            </w:r>
          </w:p>
          <w:p w14:paraId="7B3FE3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b w:val="0"/>
                <w:bCs w:val="0"/>
                <w:color w:val="auto"/>
                <w:highlight w:val="none"/>
              </w:rPr>
            </w:pPr>
            <w:r>
              <w:rPr>
                <w:rFonts w:hint="default"/>
                <w:b w:val="0"/>
                <w:bCs w:val="0"/>
                <w:color w:val="auto"/>
                <w:highlight w:val="none"/>
              </w:rPr>
              <w:t>水</w:t>
            </w:r>
            <w:r>
              <w:rPr>
                <w:rFonts w:hint="eastAsia"/>
                <w:b w:val="0"/>
                <w:bCs w:val="0"/>
                <w:color w:val="auto"/>
                <w:highlight w:val="none"/>
              </w:rPr>
              <w:t>稳材料生产线</w:t>
            </w:r>
            <w:r>
              <w:rPr>
                <w:b w:val="0"/>
                <w:bCs w:val="0"/>
                <w:color w:val="auto"/>
                <w:highlight w:val="none"/>
              </w:rPr>
              <w:t>经计量后的</w:t>
            </w:r>
            <w:r>
              <w:rPr>
                <w:rFonts w:hint="eastAsia"/>
                <w:b w:val="0"/>
                <w:bCs w:val="0"/>
                <w:color w:val="auto"/>
                <w:highlight w:val="none"/>
                <w:lang w:val="en-US" w:eastAsia="zh-CN"/>
              </w:rPr>
              <w:t>水泥</w:t>
            </w:r>
            <w:r>
              <w:rPr>
                <w:rFonts w:hint="eastAsia"/>
                <w:b w:val="0"/>
                <w:bCs w:val="0"/>
                <w:color w:val="auto"/>
                <w:highlight w:val="none"/>
              </w:rPr>
              <w:t>、</w:t>
            </w:r>
            <w:r>
              <w:rPr>
                <w:rFonts w:hint="eastAsia"/>
                <w:b w:val="0"/>
                <w:bCs w:val="0"/>
                <w:color w:val="auto"/>
                <w:highlight w:val="none"/>
                <w:lang w:eastAsia="zh-CN"/>
              </w:rPr>
              <w:t>骨料</w:t>
            </w:r>
            <w:r>
              <w:rPr>
                <w:rFonts w:hint="eastAsia"/>
                <w:b w:val="0"/>
                <w:bCs w:val="0"/>
                <w:color w:val="auto"/>
                <w:highlight w:val="none"/>
                <w:lang w:val="en-US" w:eastAsia="zh-CN"/>
              </w:rPr>
              <w:t>和</w:t>
            </w:r>
            <w:r>
              <w:rPr>
                <w:b w:val="0"/>
                <w:bCs w:val="0"/>
                <w:color w:val="auto"/>
                <w:highlight w:val="none"/>
              </w:rPr>
              <w:t>水输送入搅拌机内部进行混合搅拌</w:t>
            </w:r>
            <w:r>
              <w:rPr>
                <w:rFonts w:hint="eastAsia"/>
                <w:b w:val="0"/>
                <w:bCs w:val="0"/>
                <w:color w:val="auto"/>
                <w:highlight w:val="none"/>
                <w:lang w:eastAsia="zh-CN"/>
              </w:rPr>
              <w:t>，</w:t>
            </w:r>
            <w:r>
              <w:rPr>
                <w:b w:val="0"/>
                <w:bCs w:val="0"/>
                <w:color w:val="auto"/>
                <w:highlight w:val="none"/>
              </w:rPr>
              <w:t>过程中</w:t>
            </w:r>
            <w:r>
              <w:rPr>
                <w:rFonts w:hint="eastAsia"/>
                <w:b w:val="0"/>
                <w:bCs w:val="0"/>
                <w:color w:val="auto"/>
                <w:highlight w:val="none"/>
                <w:lang w:val="en-US" w:eastAsia="zh-CN"/>
              </w:rPr>
              <w:t>会产生粉尘，</w:t>
            </w:r>
            <w:r>
              <w:rPr>
                <w:b w:val="0"/>
                <w:bCs w:val="0"/>
                <w:color w:val="auto"/>
                <w:highlight w:val="none"/>
              </w:rPr>
              <w:t>产生量参照“关于发布《排放源统计调查产排污核算方法和系数手册》的公告（公告2021年 第24号）”中“3021 水泥制品制造（含 3022 砼结构构件、3029 其他水泥类似制品制造）行业系数表——物料搅拌”。</w:t>
            </w:r>
          </w:p>
          <w:p w14:paraId="60DCD2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center"/>
              <w:textAlignment w:val="auto"/>
              <w:rPr>
                <w:b/>
                <w:bCs/>
                <w:color w:val="auto"/>
                <w:sz w:val="21"/>
                <w:szCs w:val="21"/>
                <w:highlight w:val="none"/>
              </w:rPr>
            </w:pPr>
            <w:r>
              <w:rPr>
                <w:b/>
                <w:bCs/>
                <w:color w:val="auto"/>
                <w:sz w:val="21"/>
                <w:szCs w:val="21"/>
                <w:highlight w:val="none"/>
              </w:rPr>
              <w:t>表4-</w:t>
            </w:r>
            <w:r>
              <w:rPr>
                <w:rFonts w:hint="eastAsia"/>
                <w:b/>
                <w:bCs/>
                <w:color w:val="auto"/>
                <w:sz w:val="21"/>
                <w:szCs w:val="21"/>
                <w:highlight w:val="none"/>
                <w:lang w:val="en-US" w:eastAsia="zh-CN"/>
              </w:rPr>
              <w:t xml:space="preserve">2 </w:t>
            </w:r>
            <w:r>
              <w:rPr>
                <w:b/>
                <w:bCs/>
                <w:color w:val="auto"/>
                <w:sz w:val="21"/>
                <w:szCs w:val="21"/>
                <w:highlight w:val="none"/>
              </w:rPr>
              <w:t>物料混合搅拌工序产排污系数表（摘录）</w:t>
            </w:r>
          </w:p>
          <w:tbl>
            <w:tblPr>
              <w:tblStyle w:val="2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183"/>
              <w:gridCol w:w="900"/>
              <w:gridCol w:w="783"/>
              <w:gridCol w:w="916"/>
              <w:gridCol w:w="1049"/>
              <w:gridCol w:w="1150"/>
              <w:gridCol w:w="1142"/>
              <w:gridCol w:w="1060"/>
            </w:tblGrid>
            <w:tr w14:paraId="20ED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 w:type="pct"/>
                  <w:vAlign w:val="center"/>
                </w:tcPr>
                <w:p w14:paraId="0D35C471">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产品</w:t>
                  </w:r>
                </w:p>
                <w:p w14:paraId="3FBA2079">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名称</w:t>
                  </w:r>
                </w:p>
              </w:tc>
              <w:tc>
                <w:tcPr>
                  <w:tcW w:w="648" w:type="pct"/>
                  <w:vAlign w:val="center"/>
                </w:tcPr>
                <w:p w14:paraId="3003D6EF">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原料名称</w:t>
                  </w:r>
                </w:p>
              </w:tc>
              <w:tc>
                <w:tcPr>
                  <w:tcW w:w="493" w:type="pct"/>
                  <w:vAlign w:val="center"/>
                </w:tcPr>
                <w:p w14:paraId="3733DAD7">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工艺</w:t>
                  </w:r>
                </w:p>
                <w:p w14:paraId="77BFE3D3">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名称</w:t>
                  </w:r>
                </w:p>
              </w:tc>
              <w:tc>
                <w:tcPr>
                  <w:tcW w:w="429" w:type="pct"/>
                  <w:vAlign w:val="center"/>
                </w:tcPr>
                <w:p w14:paraId="73CEB2FD">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规模等级</w:t>
                  </w:r>
                </w:p>
              </w:tc>
              <w:tc>
                <w:tcPr>
                  <w:tcW w:w="502" w:type="pct"/>
                  <w:vAlign w:val="center"/>
                </w:tcPr>
                <w:p w14:paraId="568323FB">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污染物指标</w:t>
                  </w:r>
                </w:p>
              </w:tc>
              <w:tc>
                <w:tcPr>
                  <w:tcW w:w="575" w:type="pct"/>
                  <w:vAlign w:val="center"/>
                </w:tcPr>
                <w:p w14:paraId="11A8A133">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单位</w:t>
                  </w:r>
                </w:p>
              </w:tc>
              <w:tc>
                <w:tcPr>
                  <w:tcW w:w="630" w:type="pct"/>
                  <w:vAlign w:val="center"/>
                </w:tcPr>
                <w:p w14:paraId="4C140161">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产污</w:t>
                  </w:r>
                </w:p>
                <w:p w14:paraId="375F0F9C">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系数</w:t>
                  </w:r>
                </w:p>
              </w:tc>
              <w:tc>
                <w:tcPr>
                  <w:tcW w:w="626" w:type="pct"/>
                  <w:vAlign w:val="center"/>
                </w:tcPr>
                <w:p w14:paraId="21D3417B">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末端治理技术名称</w:t>
                  </w:r>
                </w:p>
              </w:tc>
              <w:tc>
                <w:tcPr>
                  <w:tcW w:w="581" w:type="pct"/>
                  <w:vAlign w:val="center"/>
                </w:tcPr>
                <w:p w14:paraId="4816889D">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末端治理技术效率</w:t>
                  </w:r>
                </w:p>
              </w:tc>
            </w:tr>
            <w:tr w14:paraId="200D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 w:type="pct"/>
                  <w:vAlign w:val="center"/>
                </w:tcPr>
                <w:p w14:paraId="4ECD02B8">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各种水泥制品</w:t>
                  </w:r>
                </w:p>
              </w:tc>
              <w:tc>
                <w:tcPr>
                  <w:tcW w:w="648" w:type="pct"/>
                  <w:vAlign w:val="center"/>
                </w:tcPr>
                <w:p w14:paraId="63924BFD">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水泥、砂子</w:t>
                  </w:r>
                </w:p>
              </w:tc>
              <w:tc>
                <w:tcPr>
                  <w:tcW w:w="493" w:type="pct"/>
                  <w:vAlign w:val="center"/>
                </w:tcPr>
                <w:p w14:paraId="5AD0AF28">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物料混合搅拌</w:t>
                  </w:r>
                </w:p>
              </w:tc>
              <w:tc>
                <w:tcPr>
                  <w:tcW w:w="429" w:type="pct"/>
                  <w:vAlign w:val="center"/>
                </w:tcPr>
                <w:p w14:paraId="29BEE6D2">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所有规模</w:t>
                  </w:r>
                </w:p>
              </w:tc>
              <w:tc>
                <w:tcPr>
                  <w:tcW w:w="502" w:type="pct"/>
                  <w:vAlign w:val="center"/>
                </w:tcPr>
                <w:p w14:paraId="4AA46119">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颗粒物</w:t>
                  </w:r>
                </w:p>
              </w:tc>
              <w:tc>
                <w:tcPr>
                  <w:tcW w:w="575" w:type="pct"/>
                  <w:vAlign w:val="center"/>
                </w:tcPr>
                <w:p w14:paraId="6B79B49F">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千克/吨</w:t>
                  </w:r>
                  <w:r>
                    <w:rPr>
                      <w:rFonts w:hint="eastAsia"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rPr>
                    <w:t>产品</w:t>
                  </w:r>
                </w:p>
              </w:tc>
              <w:tc>
                <w:tcPr>
                  <w:tcW w:w="630" w:type="pct"/>
                  <w:vAlign w:val="center"/>
                </w:tcPr>
                <w:p w14:paraId="7D7733CE">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5.23×10</w:t>
                  </w:r>
                  <w:r>
                    <w:rPr>
                      <w:rFonts w:hint="eastAsia" w:ascii="Times New Roman" w:hAnsi="Times New Roman" w:cs="Times New Roman"/>
                      <w:b w:val="0"/>
                      <w:bCs w:val="0"/>
                      <w:color w:val="auto"/>
                      <w:sz w:val="21"/>
                      <w:szCs w:val="21"/>
                      <w:highlight w:val="none"/>
                      <w:vertAlign w:val="superscript"/>
                    </w:rPr>
                    <w:t>-1</w:t>
                  </w:r>
                </w:p>
              </w:tc>
              <w:tc>
                <w:tcPr>
                  <w:tcW w:w="626" w:type="pct"/>
                  <w:vAlign w:val="center"/>
                </w:tcPr>
                <w:p w14:paraId="4E7C07A3">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袋式除尘</w:t>
                  </w:r>
                </w:p>
              </w:tc>
              <w:tc>
                <w:tcPr>
                  <w:tcW w:w="581" w:type="pct"/>
                  <w:vAlign w:val="center"/>
                </w:tcPr>
                <w:p w14:paraId="021754E9">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rPr>
                    <w:t>99.7%</w:t>
                  </w:r>
                </w:p>
              </w:tc>
            </w:tr>
          </w:tbl>
          <w:p w14:paraId="5E46A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b w:val="0"/>
                <w:bCs w:val="0"/>
                <w:color w:val="auto"/>
                <w:highlight w:val="none"/>
              </w:rPr>
            </w:pPr>
            <w:r>
              <w:rPr>
                <w:rFonts w:hint="eastAsia"/>
                <w:b w:val="0"/>
                <w:bCs w:val="0"/>
                <w:color w:val="auto"/>
                <w:highlight w:val="none"/>
                <w:lang w:val="zh-CN"/>
              </w:rPr>
              <w:t>本项目水稳材料年产</w:t>
            </w:r>
            <w:r>
              <w:rPr>
                <w:rFonts w:hint="eastAsia"/>
                <w:b w:val="0"/>
                <w:bCs w:val="0"/>
                <w:color w:val="auto"/>
                <w:highlight w:val="none"/>
                <w:lang w:val="en-US" w:eastAsia="zh-CN"/>
              </w:rPr>
              <w:t>30</w:t>
            </w:r>
            <w:r>
              <w:rPr>
                <w:rFonts w:hint="eastAsia"/>
                <w:b w:val="0"/>
                <w:bCs w:val="0"/>
                <w:color w:val="auto"/>
                <w:highlight w:val="none"/>
              </w:rPr>
              <w:t>万吨</w:t>
            </w:r>
            <w:r>
              <w:rPr>
                <w:rFonts w:hint="eastAsia"/>
                <w:b w:val="0"/>
                <w:bCs w:val="0"/>
                <w:color w:val="auto"/>
                <w:highlight w:val="none"/>
                <w:lang w:val="en-US" w:eastAsia="zh-CN"/>
              </w:rPr>
              <w:t>，则</w:t>
            </w:r>
            <w:r>
              <w:rPr>
                <w:rFonts w:hint="eastAsia"/>
                <w:b w:val="0"/>
                <w:bCs w:val="0"/>
                <w:color w:val="auto"/>
                <w:highlight w:val="none"/>
                <w:lang w:val="zh-CN"/>
              </w:rPr>
              <w:t>搅拌</w:t>
            </w:r>
            <w:r>
              <w:rPr>
                <w:rFonts w:hint="eastAsia"/>
                <w:b w:val="0"/>
                <w:bCs w:val="0"/>
                <w:color w:val="auto"/>
                <w:highlight w:val="none"/>
                <w:lang w:val="en-US" w:eastAsia="zh-CN"/>
              </w:rPr>
              <w:t>工序的</w:t>
            </w:r>
            <w:r>
              <w:rPr>
                <w:rFonts w:hint="eastAsia"/>
                <w:b w:val="0"/>
                <w:bCs w:val="0"/>
                <w:color w:val="auto"/>
                <w:highlight w:val="none"/>
                <w:lang w:val="zh-CN"/>
              </w:rPr>
              <w:t>粉尘产生量为</w:t>
            </w:r>
            <w:r>
              <w:rPr>
                <w:rFonts w:hint="eastAsia"/>
                <w:b w:val="0"/>
                <w:bCs w:val="0"/>
                <w:color w:val="auto"/>
                <w:highlight w:val="none"/>
                <w:lang w:val="en-US" w:eastAsia="zh-CN"/>
              </w:rPr>
              <w:t>156.9</w:t>
            </w:r>
            <w:r>
              <w:rPr>
                <w:rFonts w:hint="eastAsia"/>
                <w:b w:val="0"/>
                <w:bCs w:val="0"/>
                <w:color w:val="auto"/>
                <w:highlight w:val="none"/>
              </w:rPr>
              <w:t>t/a。</w:t>
            </w:r>
            <w:r>
              <w:rPr>
                <w:rFonts w:hint="eastAsia"/>
                <w:b w:val="0"/>
                <w:bCs w:val="0"/>
                <w:color w:val="auto"/>
                <w:highlight w:val="none"/>
                <w:lang w:val="zh-CN"/>
              </w:rPr>
              <w:t>环评</w:t>
            </w:r>
            <w:r>
              <w:rPr>
                <w:rFonts w:hint="eastAsia"/>
                <w:b w:val="0"/>
                <w:bCs w:val="0"/>
                <w:color w:val="auto"/>
                <w:highlight w:val="none"/>
                <w:lang w:val="en-US" w:eastAsia="zh-CN"/>
              </w:rPr>
              <w:t>要求</w:t>
            </w:r>
            <w:r>
              <w:rPr>
                <w:rFonts w:hint="eastAsia"/>
                <w:b w:val="0"/>
                <w:bCs w:val="0"/>
                <w:color w:val="auto"/>
                <w:highlight w:val="none"/>
                <w:lang w:val="zh-CN"/>
              </w:rPr>
              <w:t>在</w:t>
            </w:r>
            <w:r>
              <w:rPr>
                <w:rFonts w:hint="eastAsia"/>
                <w:b w:val="0"/>
                <w:bCs w:val="0"/>
                <w:color w:val="auto"/>
                <w:highlight w:val="none"/>
                <w:lang w:val="en-US" w:eastAsia="zh-CN"/>
              </w:rPr>
              <w:t>各</w:t>
            </w:r>
            <w:r>
              <w:rPr>
                <w:rFonts w:hint="eastAsia"/>
                <w:b w:val="0"/>
                <w:bCs w:val="0"/>
                <w:color w:val="auto"/>
                <w:highlight w:val="none"/>
                <w:lang w:val="zh-CN"/>
              </w:rPr>
              <w:t>搅拌机</w:t>
            </w:r>
            <w:r>
              <w:rPr>
                <w:rFonts w:hint="eastAsia"/>
                <w:b w:val="0"/>
                <w:bCs w:val="0"/>
                <w:color w:val="auto"/>
                <w:highlight w:val="none"/>
                <w:lang w:val="en-US" w:eastAsia="zh-CN"/>
              </w:rPr>
              <w:t>进料口和下料口上方</w:t>
            </w:r>
            <w:r>
              <w:rPr>
                <w:rFonts w:hint="eastAsia"/>
                <w:b w:val="0"/>
                <w:bCs w:val="0"/>
                <w:color w:val="auto"/>
                <w:highlight w:val="none"/>
                <w:lang w:val="zh-CN"/>
              </w:rPr>
              <w:t>安装集气罩，</w:t>
            </w:r>
            <w:r>
              <w:rPr>
                <w:rFonts w:hint="eastAsia"/>
                <w:b w:val="0"/>
                <w:bCs w:val="0"/>
                <w:color w:val="auto"/>
                <w:highlight w:val="none"/>
                <w:lang w:val="en-US" w:eastAsia="zh-CN"/>
              </w:rPr>
              <w:t>仅保留物料进出通道，</w:t>
            </w:r>
            <w:r>
              <w:rPr>
                <w:rFonts w:hint="eastAsia"/>
                <w:color w:val="auto"/>
                <w:kern w:val="0"/>
                <w:sz w:val="24"/>
                <w:highlight w:val="none"/>
                <w:lang w:val="en-US" w:eastAsia="zh-CN"/>
              </w:rPr>
              <w:t>根据</w:t>
            </w:r>
            <w:r>
              <w:rPr>
                <w:rFonts w:hint="eastAsia"/>
                <w:color w:val="auto"/>
                <w:kern w:val="0"/>
                <w:sz w:val="24"/>
                <w:highlight w:val="none"/>
                <w:lang w:eastAsia="zh-CN"/>
              </w:rPr>
              <w:t>《袋式除尘工程通用技术规范》(HJ2020-2012)中“6.2.8 集气罩应能实现对烟气(尘)的捕集效果，捕集率不低于:①密闭罩 100%;②半密闭罩 95%;③吹吸罩90%，</w:t>
            </w:r>
            <w:r>
              <w:rPr>
                <w:rFonts w:hint="eastAsia"/>
                <w:color w:val="auto"/>
                <w:kern w:val="0"/>
                <w:sz w:val="24"/>
                <w:highlight w:val="none"/>
                <w:lang w:val="en-US" w:eastAsia="zh-CN"/>
              </w:rPr>
              <w:t>本项目</w:t>
            </w:r>
            <w:r>
              <w:rPr>
                <w:rFonts w:hint="eastAsia"/>
                <w:color w:val="auto"/>
                <w:kern w:val="0"/>
                <w:sz w:val="24"/>
                <w:highlight w:val="none"/>
                <w:lang w:eastAsia="zh-CN"/>
              </w:rPr>
              <w:t>集气罩</w:t>
            </w:r>
            <w:r>
              <w:rPr>
                <w:rFonts w:hint="eastAsia"/>
                <w:color w:val="auto"/>
                <w:kern w:val="0"/>
                <w:sz w:val="24"/>
                <w:highlight w:val="none"/>
                <w:lang w:val="en-US" w:eastAsia="zh-CN"/>
              </w:rPr>
              <w:t>属于</w:t>
            </w:r>
            <w:r>
              <w:rPr>
                <w:rFonts w:hint="eastAsia"/>
                <w:color w:val="auto"/>
                <w:kern w:val="0"/>
                <w:sz w:val="24"/>
                <w:highlight w:val="none"/>
                <w:lang w:eastAsia="zh-CN"/>
              </w:rPr>
              <w:t>吹吸罩，</w:t>
            </w:r>
            <w:r>
              <w:rPr>
                <w:b w:val="0"/>
                <w:bCs w:val="0"/>
                <w:color w:val="auto"/>
                <w:highlight w:val="none"/>
                <w:lang w:val="zh-CN"/>
              </w:rPr>
              <w:t>收集效率</w:t>
            </w:r>
            <w:r>
              <w:rPr>
                <w:rFonts w:hint="eastAsia"/>
                <w:b w:val="0"/>
                <w:bCs w:val="0"/>
                <w:color w:val="auto"/>
                <w:highlight w:val="none"/>
                <w:lang w:val="en-US" w:eastAsia="zh-CN"/>
              </w:rPr>
              <w:t>以90</w:t>
            </w:r>
            <w:r>
              <w:rPr>
                <w:b w:val="0"/>
                <w:bCs w:val="0"/>
                <w:color w:val="auto"/>
                <w:highlight w:val="none"/>
              </w:rPr>
              <w:t>%</w:t>
            </w:r>
            <w:r>
              <w:rPr>
                <w:rFonts w:hint="eastAsia"/>
                <w:b w:val="0"/>
                <w:bCs w:val="0"/>
                <w:color w:val="auto"/>
                <w:highlight w:val="none"/>
                <w:lang w:val="en-US" w:eastAsia="zh-CN"/>
              </w:rPr>
              <w:t>计</w:t>
            </w:r>
            <w:r>
              <w:rPr>
                <w:rFonts w:hint="eastAsia"/>
                <w:b w:val="0"/>
                <w:bCs w:val="0"/>
                <w:color w:val="auto"/>
                <w:highlight w:val="none"/>
                <w:lang w:val="zh-CN"/>
              </w:rPr>
              <w:t>。</w:t>
            </w:r>
            <w:r>
              <w:rPr>
                <w:b w:val="0"/>
                <w:bCs w:val="0"/>
                <w:color w:val="auto"/>
                <w:highlight w:val="none"/>
                <w:lang w:val="zh-CN"/>
              </w:rPr>
              <w:t>粉尘经集气罩收集</w:t>
            </w:r>
            <w:r>
              <w:rPr>
                <w:rFonts w:hint="eastAsia"/>
                <w:b w:val="0"/>
                <w:bCs w:val="0"/>
                <w:color w:val="auto"/>
                <w:highlight w:val="none"/>
                <w:lang w:val="zh-CN"/>
              </w:rPr>
              <w:t>至</w:t>
            </w:r>
            <w:r>
              <w:rPr>
                <w:b w:val="0"/>
                <w:bCs w:val="0"/>
                <w:color w:val="auto"/>
                <w:highlight w:val="none"/>
                <w:lang w:val="zh-CN"/>
              </w:rPr>
              <w:t>布袋除尘器（处理效率不低于</w:t>
            </w:r>
            <w:r>
              <w:rPr>
                <w:b w:val="0"/>
                <w:bCs w:val="0"/>
                <w:color w:val="auto"/>
                <w:highlight w:val="none"/>
              </w:rPr>
              <w:t>99</w:t>
            </w:r>
            <w:r>
              <w:rPr>
                <w:rFonts w:hint="eastAsia"/>
                <w:b w:val="0"/>
                <w:bCs w:val="0"/>
                <w:color w:val="auto"/>
                <w:highlight w:val="none"/>
              </w:rPr>
              <w:t>.7</w:t>
            </w:r>
            <w:r>
              <w:rPr>
                <w:b w:val="0"/>
                <w:bCs w:val="0"/>
                <w:color w:val="auto"/>
                <w:highlight w:val="none"/>
              </w:rPr>
              <w:t>%</w:t>
            </w:r>
            <w:r>
              <w:rPr>
                <w:b w:val="0"/>
                <w:bCs w:val="0"/>
                <w:color w:val="auto"/>
                <w:highlight w:val="none"/>
                <w:lang w:val="zh-CN"/>
              </w:rPr>
              <w:t>）处理</w:t>
            </w:r>
            <w:r>
              <w:rPr>
                <w:rFonts w:hint="eastAsia"/>
                <w:b w:val="0"/>
                <w:bCs w:val="0"/>
                <w:color w:val="auto"/>
                <w:highlight w:val="none"/>
                <w:lang w:val="zh-CN"/>
              </w:rPr>
              <w:t>，废气经处理</w:t>
            </w:r>
            <w:r>
              <w:rPr>
                <w:b w:val="0"/>
                <w:bCs w:val="0"/>
                <w:color w:val="auto"/>
                <w:highlight w:val="none"/>
                <w:lang w:val="zh-CN"/>
              </w:rPr>
              <w:t>后</w:t>
            </w:r>
            <w:r>
              <w:rPr>
                <w:rFonts w:hint="eastAsia"/>
                <w:b w:val="0"/>
                <w:bCs w:val="0"/>
                <w:color w:val="auto"/>
                <w:highlight w:val="none"/>
                <w:lang w:val="zh-CN"/>
              </w:rPr>
              <w:t>在厂房内无组织排放。</w:t>
            </w:r>
            <w:r>
              <w:rPr>
                <w:rFonts w:hint="eastAsia"/>
                <w:b w:val="0"/>
                <w:bCs w:val="0"/>
                <w:color w:val="auto"/>
                <w:highlight w:val="none"/>
                <w:lang w:val="en-US" w:eastAsia="zh-CN"/>
              </w:rPr>
              <w:t>布袋除尘器收尘量为141.21t/a，未被收集和处理的粉尘量为16.11t/a。本</w:t>
            </w:r>
            <w:r>
              <w:rPr>
                <w:b w:val="0"/>
                <w:bCs w:val="0"/>
                <w:color w:val="auto"/>
                <w:highlight w:val="none"/>
              </w:rPr>
              <w:t>项目</w:t>
            </w:r>
            <w:r>
              <w:rPr>
                <w:rFonts w:hint="eastAsia"/>
                <w:b w:val="0"/>
                <w:bCs w:val="0"/>
                <w:color w:val="auto"/>
                <w:highlight w:val="none"/>
              </w:rPr>
              <w:t>生产厂房</w:t>
            </w:r>
            <w:r>
              <w:rPr>
                <w:b w:val="0"/>
                <w:bCs w:val="0"/>
                <w:color w:val="auto"/>
                <w:highlight w:val="none"/>
              </w:rPr>
              <w:t>为全封闭式结构</w:t>
            </w:r>
            <w:r>
              <w:rPr>
                <w:rFonts w:hint="eastAsia"/>
                <w:b w:val="0"/>
                <w:bCs w:val="0"/>
                <w:color w:val="auto"/>
                <w:highlight w:val="none"/>
              </w:rPr>
              <w:t>（粉尘控制效率取9</w:t>
            </w:r>
            <w:r>
              <w:rPr>
                <w:rFonts w:hint="eastAsia"/>
                <w:b w:val="0"/>
                <w:bCs w:val="0"/>
                <w:color w:val="auto"/>
                <w:highlight w:val="none"/>
                <w:lang w:val="en-US" w:eastAsia="zh-CN"/>
              </w:rPr>
              <w:t>0</w:t>
            </w:r>
            <w:r>
              <w:rPr>
                <w:rFonts w:hint="eastAsia"/>
                <w:b w:val="0"/>
                <w:bCs w:val="0"/>
                <w:color w:val="auto"/>
                <w:highlight w:val="none"/>
              </w:rPr>
              <w:t>%）</w:t>
            </w:r>
            <w:r>
              <w:rPr>
                <w:b w:val="0"/>
                <w:bCs w:val="0"/>
                <w:color w:val="auto"/>
                <w:highlight w:val="none"/>
              </w:rPr>
              <w:t>，并设置</w:t>
            </w:r>
            <w:r>
              <w:rPr>
                <w:rFonts w:hint="eastAsia"/>
                <w:b w:val="0"/>
                <w:bCs w:val="0"/>
                <w:color w:val="auto"/>
                <w:highlight w:val="none"/>
                <w:lang w:val="en-US" w:eastAsia="zh-CN"/>
              </w:rPr>
              <w:t>喷雾</w:t>
            </w:r>
            <w:r>
              <w:rPr>
                <w:b w:val="0"/>
                <w:bCs w:val="0"/>
                <w:color w:val="auto"/>
                <w:highlight w:val="none"/>
              </w:rPr>
              <w:t>设施</w:t>
            </w:r>
            <w:r>
              <w:rPr>
                <w:rFonts w:hint="eastAsia"/>
                <w:b w:val="0"/>
                <w:bCs w:val="0"/>
                <w:color w:val="auto"/>
                <w:highlight w:val="none"/>
              </w:rPr>
              <w:t>（粉尘</w:t>
            </w:r>
            <w:r>
              <w:rPr>
                <w:b w:val="0"/>
                <w:bCs w:val="0"/>
                <w:color w:val="auto"/>
                <w:highlight w:val="none"/>
              </w:rPr>
              <w:t>控制效率取74%</w:t>
            </w:r>
            <w:r>
              <w:rPr>
                <w:rFonts w:hint="eastAsia"/>
                <w:b w:val="0"/>
                <w:bCs w:val="0"/>
                <w:color w:val="auto"/>
                <w:highlight w:val="none"/>
              </w:rPr>
              <w:t>），可有效抑制集气罩未收集到的粉尘与经处理后的粉尘扩散</w:t>
            </w:r>
            <w:r>
              <w:rPr>
                <w:rFonts w:hint="eastAsia"/>
                <w:b w:val="0"/>
                <w:bCs w:val="0"/>
                <w:color w:val="auto"/>
                <w:highlight w:val="none"/>
                <w:lang w:val="zh-CN"/>
              </w:rPr>
              <w:t>。</w:t>
            </w:r>
            <w:r>
              <w:rPr>
                <w:rFonts w:hint="eastAsia"/>
                <w:b w:val="0"/>
                <w:bCs w:val="0"/>
                <w:color w:val="auto"/>
                <w:highlight w:val="none"/>
              </w:rPr>
              <w:t>则本项目搅拌粉尘</w:t>
            </w:r>
            <w:r>
              <w:rPr>
                <w:rFonts w:hint="eastAsia"/>
                <w:b w:val="0"/>
                <w:bCs w:val="0"/>
                <w:color w:val="auto"/>
                <w:highlight w:val="none"/>
                <w:lang w:val="zh-CN"/>
              </w:rPr>
              <w:t>无组织排放量为</w:t>
            </w:r>
            <w:r>
              <w:rPr>
                <w:rFonts w:hint="eastAsia"/>
                <w:b w:val="0"/>
                <w:bCs w:val="0"/>
                <w:color w:val="auto"/>
                <w:highlight w:val="none"/>
                <w:lang w:val="en-US" w:eastAsia="zh-CN"/>
              </w:rPr>
              <w:t>0.419</w:t>
            </w:r>
            <w:r>
              <w:rPr>
                <w:rFonts w:hint="eastAsia"/>
                <w:b w:val="0"/>
                <w:bCs w:val="0"/>
                <w:color w:val="auto"/>
                <w:highlight w:val="none"/>
              </w:rPr>
              <w:t>t/a</w:t>
            </w:r>
            <w:r>
              <w:rPr>
                <w:rFonts w:hint="eastAsia"/>
                <w:b w:val="0"/>
                <w:bCs w:val="0"/>
                <w:color w:val="auto"/>
                <w:highlight w:val="none"/>
                <w:lang w:val="zh-CN"/>
              </w:rPr>
              <w:t>。</w:t>
            </w:r>
          </w:p>
          <w:p w14:paraId="59FD7DC6">
            <w:pPr>
              <w:adjustRightInd w:val="0"/>
              <w:snapToGrid w:val="0"/>
              <w:ind w:firstLine="482" w:firstLineChars="200"/>
              <w:rPr>
                <w:rFonts w:hint="eastAsia" w:ascii="Times New Roman" w:hAnsi="Times New Roman" w:cs="Times New Roman"/>
                <w:b/>
                <w:bCs/>
                <w:color w:val="auto"/>
                <w:highlight w:val="none"/>
                <w:lang w:val="en-US" w:eastAsia="zh-CN"/>
              </w:rPr>
            </w:pPr>
            <w:r>
              <w:rPr>
                <w:rFonts w:hint="eastAsia" w:cs="Times New Roman"/>
                <w:b/>
                <w:bCs/>
                <w:color w:val="auto"/>
                <w:highlight w:val="none"/>
                <w:lang w:val="en-US" w:eastAsia="zh-CN"/>
              </w:rPr>
              <w:t>（6）</w:t>
            </w:r>
            <w:r>
              <w:rPr>
                <w:rFonts w:hint="eastAsia" w:ascii="Times New Roman" w:hAnsi="Times New Roman" w:cs="Times New Roman"/>
                <w:b/>
                <w:bCs/>
                <w:color w:val="auto"/>
                <w:highlight w:val="none"/>
                <w:lang w:val="en-US" w:eastAsia="zh-CN"/>
              </w:rPr>
              <w:t>车辆运输扬尘</w:t>
            </w:r>
          </w:p>
          <w:p w14:paraId="214B7C42">
            <w:pPr>
              <w:adjustRightInd w:val="0"/>
              <w:snapToGrid w:val="0"/>
              <w:ind w:firstLine="480" w:firstLineChars="200"/>
              <w:rPr>
                <w:rFonts w:cs="Times New Roman"/>
                <w:color w:val="auto"/>
                <w:highlight w:val="none"/>
              </w:rPr>
            </w:pPr>
            <w:r>
              <w:rPr>
                <w:rFonts w:cs="Times New Roman"/>
                <w:b w:val="0"/>
                <w:bCs w:val="0"/>
                <w:color w:val="auto"/>
                <w:highlight w:val="none"/>
              </w:rPr>
              <w:t>车辆运输过程会产生扬尘，</w:t>
            </w:r>
            <w:r>
              <w:rPr>
                <w:rFonts w:hint="eastAsia" w:cs="Times New Roman"/>
                <w:color w:val="auto"/>
                <w:highlight w:val="none"/>
              </w:rPr>
              <w:t>全厂场地均采用水泥</w:t>
            </w:r>
            <w:r>
              <w:rPr>
                <w:rFonts w:cs="Times New Roman"/>
                <w:color w:val="auto"/>
                <w:highlight w:val="none"/>
              </w:rPr>
              <w:t>硬化，运输条件较好，工程交通运输起尘采用下述</w:t>
            </w:r>
            <w:r>
              <w:rPr>
                <w:rFonts w:hint="eastAsia" w:cs="Times New Roman"/>
                <w:color w:val="auto"/>
                <w:highlight w:val="none"/>
                <w:lang w:eastAsia="zh-CN"/>
              </w:rPr>
              <w:t>公式</w:t>
            </w:r>
            <w:r>
              <w:rPr>
                <w:rFonts w:cs="Times New Roman"/>
                <w:color w:val="auto"/>
                <w:highlight w:val="none"/>
              </w:rPr>
              <w:t>进行计算：</w:t>
            </w:r>
          </w:p>
          <w:p w14:paraId="06B8EE21">
            <w:pPr>
              <w:adjustRightInd w:val="0"/>
              <w:snapToGrid w:val="0"/>
              <w:ind w:firstLine="0" w:firstLineChars="0"/>
              <w:jc w:val="center"/>
              <w:rPr>
                <w:rFonts w:cs="Times New Roman"/>
                <w:color w:val="auto"/>
                <w:highlight w:val="none"/>
              </w:rPr>
            </w:pPr>
            <w:r>
              <w:rPr>
                <w:rFonts w:cs="Times New Roman"/>
                <w:color w:val="auto"/>
                <w:highlight w:val="none"/>
              </w:rPr>
              <w:object>
                <v:shape id="_x0000_i1028" o:spt="75" type="#_x0000_t75" style="height:61.95pt;width:150.7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14:paraId="04E90437">
            <w:pPr>
              <w:adjustRightInd w:val="0"/>
              <w:snapToGrid w:val="0"/>
              <w:ind w:firstLine="480" w:firstLineChars="200"/>
              <w:rPr>
                <w:rFonts w:cs="Times New Roman"/>
                <w:color w:val="auto"/>
                <w:highlight w:val="none"/>
              </w:rPr>
            </w:pPr>
            <w:r>
              <w:rPr>
                <w:rFonts w:cs="Times New Roman"/>
                <w:color w:val="auto"/>
                <w:highlight w:val="none"/>
              </w:rPr>
              <w:t>式中：Q</w:t>
            </w:r>
            <w:r>
              <w:rPr>
                <w:rFonts w:cs="Times New Roman"/>
                <w:color w:val="auto"/>
                <w:highlight w:val="none"/>
                <w:vertAlign w:val="subscript"/>
              </w:rPr>
              <w:t>y</w:t>
            </w:r>
            <w:r>
              <w:rPr>
                <w:rFonts w:cs="Times New Roman"/>
                <w:color w:val="auto"/>
                <w:highlight w:val="none"/>
              </w:rPr>
              <w:t>——交通运输起尘量，</w:t>
            </w:r>
            <w:r>
              <w:rPr>
                <w:color w:val="auto"/>
                <w:sz w:val="24"/>
                <w:highlight w:val="none"/>
              </w:rPr>
              <w:t>kg/</w:t>
            </w:r>
            <w:r>
              <w:rPr>
                <w:rFonts w:hint="eastAsia"/>
                <w:color w:val="auto"/>
                <w:sz w:val="24"/>
                <w:highlight w:val="none"/>
              </w:rPr>
              <w:t>km·辆</w:t>
            </w:r>
            <w:r>
              <w:rPr>
                <w:rFonts w:cs="Times New Roman"/>
                <w:color w:val="auto"/>
                <w:highlight w:val="none"/>
              </w:rPr>
              <w:t>；</w:t>
            </w:r>
          </w:p>
          <w:p w14:paraId="53F0BAD6">
            <w:pPr>
              <w:adjustRightInd w:val="0"/>
              <w:snapToGrid w:val="0"/>
              <w:ind w:firstLine="1200" w:firstLineChars="500"/>
              <w:rPr>
                <w:rFonts w:cs="Times New Roman"/>
                <w:color w:val="auto"/>
                <w:highlight w:val="none"/>
              </w:rPr>
            </w:pPr>
            <w:r>
              <w:rPr>
                <w:rFonts w:cs="Times New Roman"/>
                <w:color w:val="auto"/>
                <w:highlight w:val="none"/>
              </w:rPr>
              <w:t>Q</w:t>
            </w:r>
            <w:r>
              <w:rPr>
                <w:rFonts w:cs="Times New Roman"/>
                <w:color w:val="auto"/>
                <w:highlight w:val="none"/>
                <w:vertAlign w:val="subscript"/>
              </w:rPr>
              <w:t>t</w:t>
            </w:r>
            <w:r>
              <w:rPr>
                <w:rFonts w:cs="Times New Roman"/>
                <w:color w:val="auto"/>
                <w:highlight w:val="none"/>
              </w:rPr>
              <w:t>——运输途中起尘量，kg/a；</w:t>
            </w:r>
          </w:p>
          <w:p w14:paraId="05746185">
            <w:pPr>
              <w:adjustRightInd w:val="0"/>
              <w:snapToGrid w:val="0"/>
              <w:ind w:firstLine="1200" w:firstLineChars="500"/>
              <w:rPr>
                <w:rFonts w:cs="Times New Roman"/>
                <w:color w:val="auto"/>
                <w:highlight w:val="none"/>
              </w:rPr>
            </w:pPr>
            <w:r>
              <w:rPr>
                <w:rFonts w:cs="Times New Roman"/>
                <w:color w:val="auto"/>
                <w:highlight w:val="none"/>
              </w:rPr>
              <w:t>V——车辆行驶速度，</w:t>
            </w:r>
            <w:r>
              <w:rPr>
                <w:rFonts w:hint="eastAsia" w:cs="Times New Roman"/>
                <w:color w:val="auto"/>
                <w:highlight w:val="none"/>
                <w:lang w:val="en-US" w:eastAsia="zh-CN"/>
              </w:rPr>
              <w:t>5</w:t>
            </w:r>
            <w:r>
              <w:rPr>
                <w:rFonts w:cs="Times New Roman"/>
                <w:color w:val="auto"/>
                <w:highlight w:val="none"/>
              </w:rPr>
              <w:t>km/h；</w:t>
            </w:r>
          </w:p>
          <w:p w14:paraId="0D634FCB">
            <w:pPr>
              <w:adjustRightInd w:val="0"/>
              <w:snapToGrid w:val="0"/>
              <w:ind w:firstLine="1200" w:firstLineChars="500"/>
              <w:rPr>
                <w:rFonts w:cs="Times New Roman"/>
                <w:color w:val="auto"/>
                <w:highlight w:val="none"/>
              </w:rPr>
            </w:pPr>
            <w:r>
              <w:rPr>
                <w:rFonts w:cs="Times New Roman"/>
                <w:color w:val="auto"/>
                <w:highlight w:val="none"/>
              </w:rPr>
              <w:t>P——路面状况，以每平方米路面灰尘覆盖率表示，取0.</w:t>
            </w:r>
            <w:r>
              <w:rPr>
                <w:rFonts w:hint="eastAsia" w:cs="Times New Roman"/>
                <w:color w:val="auto"/>
                <w:highlight w:val="none"/>
                <w:lang w:val="en-US" w:eastAsia="zh-CN"/>
              </w:rPr>
              <w:t>0</w:t>
            </w:r>
            <w:r>
              <w:rPr>
                <w:rFonts w:hint="eastAsia" w:cs="Times New Roman"/>
                <w:color w:val="auto"/>
                <w:highlight w:val="none"/>
              </w:rPr>
              <w:t>1</w:t>
            </w:r>
            <w:r>
              <w:rPr>
                <w:rFonts w:cs="Times New Roman"/>
                <w:color w:val="auto"/>
                <w:highlight w:val="none"/>
              </w:rPr>
              <w:t>kg/m</w:t>
            </w:r>
            <w:r>
              <w:rPr>
                <w:rFonts w:cs="Times New Roman"/>
                <w:color w:val="auto"/>
                <w:highlight w:val="none"/>
                <w:vertAlign w:val="superscript"/>
              </w:rPr>
              <w:t>2</w:t>
            </w:r>
            <w:r>
              <w:rPr>
                <w:rFonts w:cs="Times New Roman"/>
                <w:color w:val="auto"/>
                <w:highlight w:val="none"/>
              </w:rPr>
              <w:t>；</w:t>
            </w:r>
          </w:p>
          <w:p w14:paraId="095BE36F">
            <w:pPr>
              <w:adjustRightInd w:val="0"/>
              <w:snapToGrid w:val="0"/>
              <w:ind w:firstLine="1200" w:firstLineChars="500"/>
              <w:rPr>
                <w:rFonts w:cs="Times New Roman"/>
                <w:color w:val="auto"/>
                <w:highlight w:val="none"/>
              </w:rPr>
            </w:pPr>
            <w:r>
              <w:rPr>
                <w:rFonts w:cs="Times New Roman"/>
                <w:color w:val="auto"/>
                <w:highlight w:val="none"/>
              </w:rPr>
              <w:t>M——车辆载重</w:t>
            </w:r>
            <w:r>
              <w:rPr>
                <w:rFonts w:hint="eastAsia" w:cs="Times New Roman"/>
                <w:color w:val="auto"/>
                <w:highlight w:val="none"/>
                <w:lang w:eastAsia="zh-CN"/>
              </w:rPr>
              <w:t>，</w:t>
            </w:r>
            <w:r>
              <w:rPr>
                <w:rFonts w:cs="Times New Roman"/>
                <w:color w:val="auto"/>
                <w:highlight w:val="none"/>
              </w:rPr>
              <w:t>t/辆，</w:t>
            </w:r>
            <w:r>
              <w:rPr>
                <w:rFonts w:hint="eastAsia" w:cs="Times New Roman"/>
                <w:color w:val="auto"/>
                <w:highlight w:val="none"/>
                <w:lang w:val="en-US" w:eastAsia="zh-CN"/>
              </w:rPr>
              <w:t>本项目单车平均运载量50</w:t>
            </w:r>
            <w:r>
              <w:rPr>
                <w:rFonts w:cs="Times New Roman"/>
                <w:color w:val="auto"/>
                <w:highlight w:val="none"/>
              </w:rPr>
              <w:t>t；</w:t>
            </w:r>
          </w:p>
          <w:p w14:paraId="16EC0E33">
            <w:pPr>
              <w:adjustRightInd w:val="0"/>
              <w:snapToGrid w:val="0"/>
              <w:ind w:firstLine="1200" w:firstLineChars="500"/>
              <w:rPr>
                <w:rFonts w:cs="Times New Roman"/>
                <w:color w:val="auto"/>
                <w:highlight w:val="none"/>
              </w:rPr>
            </w:pPr>
            <w:r>
              <w:rPr>
                <w:rFonts w:cs="Times New Roman"/>
                <w:color w:val="auto"/>
                <w:highlight w:val="none"/>
              </w:rPr>
              <w:t>L——运输距离，取</w:t>
            </w:r>
            <w:r>
              <w:rPr>
                <w:rFonts w:hint="eastAsia" w:cs="Times New Roman"/>
                <w:color w:val="auto"/>
                <w:highlight w:val="none"/>
                <w:lang w:val="en-US" w:eastAsia="zh-CN"/>
              </w:rPr>
              <w:t>0.5</w:t>
            </w:r>
            <w:r>
              <w:rPr>
                <w:rFonts w:cs="Times New Roman"/>
                <w:color w:val="auto"/>
                <w:highlight w:val="none"/>
              </w:rPr>
              <w:t>km；</w:t>
            </w:r>
          </w:p>
          <w:p w14:paraId="50E3D19C">
            <w:pPr>
              <w:adjustRightInd w:val="0"/>
              <w:snapToGrid w:val="0"/>
              <w:ind w:firstLine="1200" w:firstLineChars="500"/>
              <w:rPr>
                <w:rFonts w:cs="Times New Roman"/>
                <w:color w:val="auto"/>
                <w:highlight w:val="none"/>
              </w:rPr>
            </w:pPr>
            <w:r>
              <w:rPr>
                <w:rFonts w:cs="Times New Roman"/>
                <w:color w:val="auto"/>
                <w:highlight w:val="none"/>
              </w:rPr>
              <w:t>Q——运输量，t/a；</w:t>
            </w:r>
          </w:p>
          <w:p w14:paraId="5BAB53DE">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default" w:ascii="Times New Roman" w:hAnsi="Times New Roman" w:cs="Times New Roman" w:eastAsiaTheme="minorEastAsia"/>
                <w:b w:val="0"/>
                <w:bCs w:val="0"/>
                <w:color w:val="auto"/>
                <w:kern w:val="2"/>
                <w:sz w:val="24"/>
                <w:szCs w:val="22"/>
                <w:highlight w:val="none"/>
                <w:lang w:val="en-US" w:eastAsia="zh-CN" w:bidi="ar-SA"/>
              </w:rPr>
            </w:pPr>
            <w:r>
              <w:rPr>
                <w:rFonts w:hint="default" w:ascii="Times New Roman" w:hAnsi="Times New Roman" w:cs="Times New Roman" w:eastAsiaTheme="minorEastAsia"/>
                <w:b w:val="0"/>
                <w:bCs w:val="0"/>
                <w:color w:val="auto"/>
                <w:kern w:val="2"/>
                <w:sz w:val="24"/>
                <w:szCs w:val="22"/>
                <w:highlight w:val="none"/>
                <w:lang w:val="en-US" w:eastAsia="zh-CN" w:bidi="ar-SA"/>
              </w:rPr>
              <w:t>本项目运行期间，</w:t>
            </w:r>
            <w:r>
              <w:rPr>
                <w:rFonts w:hint="eastAsia" w:cs="Times New Roman"/>
                <w:b w:val="0"/>
                <w:bCs w:val="0"/>
                <w:color w:val="auto"/>
                <w:kern w:val="2"/>
                <w:sz w:val="24"/>
                <w:szCs w:val="22"/>
                <w:highlight w:val="none"/>
                <w:lang w:val="en-US" w:eastAsia="zh-CN" w:bidi="ar-SA"/>
              </w:rPr>
              <w:t>原料和成品的年运输总车次按</w:t>
            </w:r>
            <w:r>
              <w:rPr>
                <w:rFonts w:hint="eastAsia" w:cs="Times New Roman"/>
                <w:color w:val="auto"/>
                <w:highlight w:val="none"/>
                <w:lang w:val="en-US" w:eastAsia="zh-CN"/>
              </w:rPr>
              <w:t>27940</w:t>
            </w:r>
            <w:r>
              <w:rPr>
                <w:rFonts w:hint="eastAsia" w:cs="Times New Roman"/>
                <w:b w:val="0"/>
                <w:bCs w:val="0"/>
                <w:color w:val="auto"/>
                <w:kern w:val="2"/>
                <w:sz w:val="24"/>
                <w:szCs w:val="22"/>
                <w:highlight w:val="none"/>
                <w:lang w:val="en-US" w:eastAsia="zh-CN" w:bidi="ar-SA"/>
              </w:rPr>
              <w:t>车次计，运输车辆时速取</w:t>
            </w:r>
            <w:r>
              <w:rPr>
                <w:rFonts w:hint="eastAsia" w:cs="Times New Roman"/>
                <w:color w:val="auto"/>
                <w:highlight w:val="none"/>
                <w:lang w:val="en-US" w:eastAsia="zh-CN"/>
              </w:rPr>
              <w:t>5</w:t>
            </w:r>
            <w:r>
              <w:rPr>
                <w:rFonts w:cs="Times New Roman"/>
                <w:color w:val="auto"/>
                <w:highlight w:val="none"/>
              </w:rPr>
              <w:t>km/h</w:t>
            </w:r>
            <w:r>
              <w:rPr>
                <w:rFonts w:hint="eastAsia" w:cs="Times New Roman"/>
                <w:b w:val="0"/>
                <w:bCs w:val="0"/>
                <w:color w:val="auto"/>
                <w:kern w:val="2"/>
                <w:sz w:val="24"/>
                <w:szCs w:val="22"/>
                <w:highlight w:val="none"/>
                <w:lang w:val="en-US" w:eastAsia="zh-CN" w:bidi="ar-SA"/>
              </w:rPr>
              <w:t>，厂区道路可硬化区域进行硬化，则道路灰尘覆盖量P取</w:t>
            </w:r>
            <w:r>
              <w:rPr>
                <w:rFonts w:cs="Times New Roman"/>
                <w:color w:val="auto"/>
                <w:highlight w:val="none"/>
              </w:rPr>
              <w:t>0.</w:t>
            </w:r>
            <w:r>
              <w:rPr>
                <w:rFonts w:hint="eastAsia" w:cs="Times New Roman"/>
                <w:color w:val="auto"/>
                <w:highlight w:val="none"/>
                <w:lang w:val="en-US" w:eastAsia="zh-CN"/>
              </w:rPr>
              <w:t>0</w:t>
            </w:r>
            <w:r>
              <w:rPr>
                <w:rFonts w:hint="eastAsia" w:cs="Times New Roman"/>
                <w:color w:val="auto"/>
                <w:highlight w:val="none"/>
              </w:rPr>
              <w:t>1</w:t>
            </w:r>
            <w:r>
              <w:rPr>
                <w:rFonts w:cs="Times New Roman"/>
                <w:color w:val="auto"/>
                <w:highlight w:val="none"/>
              </w:rPr>
              <w:t>kg/m</w:t>
            </w:r>
            <w:r>
              <w:rPr>
                <w:rFonts w:cs="Times New Roman"/>
                <w:color w:val="auto"/>
                <w:highlight w:val="none"/>
                <w:vertAlign w:val="superscript"/>
              </w:rPr>
              <w:t>2</w:t>
            </w:r>
            <w:r>
              <w:rPr>
                <w:rFonts w:hint="eastAsia" w:cs="Times New Roman"/>
                <w:b w:val="0"/>
                <w:bCs w:val="0"/>
                <w:color w:val="auto"/>
                <w:kern w:val="2"/>
                <w:sz w:val="24"/>
                <w:szCs w:val="22"/>
                <w:highlight w:val="none"/>
                <w:lang w:val="en-US" w:eastAsia="zh-CN" w:bidi="ar-SA"/>
              </w:rPr>
              <w:t>，运输车辆进厂至出厂行驶距离0.5km，</w:t>
            </w:r>
            <w:r>
              <w:rPr>
                <w:rFonts w:hint="default" w:ascii="Times New Roman" w:hAnsi="Times New Roman" w:cs="Times New Roman" w:eastAsiaTheme="minorEastAsia"/>
                <w:b w:val="0"/>
                <w:bCs w:val="0"/>
                <w:color w:val="auto"/>
                <w:kern w:val="2"/>
                <w:sz w:val="24"/>
                <w:szCs w:val="22"/>
                <w:highlight w:val="none"/>
                <w:lang w:val="en-US" w:eastAsia="zh-CN" w:bidi="ar-SA"/>
              </w:rPr>
              <w:t>经计算，本项目</w:t>
            </w:r>
            <w:r>
              <w:rPr>
                <w:rFonts w:hint="eastAsia" w:cs="Times New Roman"/>
                <w:b w:val="0"/>
                <w:bCs w:val="0"/>
                <w:color w:val="auto"/>
                <w:kern w:val="2"/>
                <w:sz w:val="24"/>
                <w:szCs w:val="22"/>
                <w:highlight w:val="none"/>
                <w:lang w:val="en-US" w:eastAsia="zh-CN" w:bidi="ar-SA"/>
              </w:rPr>
              <w:t>厂内</w:t>
            </w:r>
            <w:r>
              <w:rPr>
                <w:rFonts w:cs="Times New Roman"/>
                <w:color w:val="auto"/>
                <w:highlight w:val="none"/>
              </w:rPr>
              <w:t>交通运输起尘量</w:t>
            </w:r>
            <w:r>
              <w:rPr>
                <w:rFonts w:hint="eastAsia" w:cs="Times New Roman"/>
                <w:color w:val="auto"/>
                <w:highlight w:val="none"/>
                <w:lang w:val="en-US" w:eastAsia="zh-CN"/>
              </w:rPr>
              <w:t>为</w:t>
            </w:r>
            <w:r>
              <w:rPr>
                <w:rFonts w:hint="eastAsia" w:cs="Times New Roman"/>
                <w:b w:val="0"/>
                <w:bCs w:val="0"/>
                <w:color w:val="auto"/>
                <w:kern w:val="2"/>
                <w:sz w:val="24"/>
                <w:szCs w:val="22"/>
                <w:highlight w:val="none"/>
                <w:lang w:val="en-US" w:eastAsia="zh-CN" w:bidi="ar-SA"/>
              </w:rPr>
              <w:t>0.0401</w:t>
            </w:r>
            <w:r>
              <w:rPr>
                <w:color w:val="auto"/>
                <w:sz w:val="24"/>
                <w:highlight w:val="none"/>
              </w:rPr>
              <w:t>kg/</w:t>
            </w:r>
            <w:r>
              <w:rPr>
                <w:rFonts w:hint="eastAsia"/>
                <w:color w:val="auto"/>
                <w:sz w:val="24"/>
                <w:highlight w:val="none"/>
              </w:rPr>
              <w:t>km·辆</w:t>
            </w:r>
            <w:r>
              <w:rPr>
                <w:rFonts w:hint="eastAsia" w:cs="Times New Roman"/>
                <w:color w:val="auto"/>
                <w:highlight w:val="none"/>
                <w:lang w:eastAsia="zh-CN"/>
              </w:rPr>
              <w:t>，</w:t>
            </w:r>
            <w:r>
              <w:rPr>
                <w:rFonts w:hint="eastAsia" w:cs="Times New Roman"/>
                <w:b w:val="0"/>
                <w:bCs w:val="0"/>
                <w:color w:val="auto"/>
                <w:kern w:val="2"/>
                <w:sz w:val="24"/>
                <w:szCs w:val="22"/>
                <w:highlight w:val="none"/>
                <w:lang w:val="en-US" w:eastAsia="zh-CN" w:bidi="ar-SA"/>
              </w:rPr>
              <w:t>则年车辆运输途中</w:t>
            </w:r>
            <w:r>
              <w:rPr>
                <w:rFonts w:hint="default" w:ascii="Times New Roman" w:hAnsi="Times New Roman" w:cs="Times New Roman" w:eastAsiaTheme="minorEastAsia"/>
                <w:b w:val="0"/>
                <w:bCs w:val="0"/>
                <w:color w:val="auto"/>
                <w:kern w:val="2"/>
                <w:sz w:val="24"/>
                <w:szCs w:val="22"/>
                <w:highlight w:val="none"/>
                <w:lang w:val="en-US" w:eastAsia="zh-CN" w:bidi="ar-SA"/>
              </w:rPr>
              <w:t>起尘量为</w:t>
            </w:r>
            <w:r>
              <w:rPr>
                <w:rFonts w:hint="eastAsia" w:cs="Times New Roman"/>
                <w:b w:val="0"/>
                <w:bCs w:val="0"/>
                <w:color w:val="auto"/>
                <w:kern w:val="2"/>
                <w:sz w:val="24"/>
                <w:szCs w:val="22"/>
                <w:highlight w:val="none"/>
                <w:lang w:val="en-US" w:eastAsia="zh-CN" w:bidi="ar-SA"/>
              </w:rPr>
              <w:t>0.560</w:t>
            </w:r>
            <w:r>
              <w:rPr>
                <w:rFonts w:hint="default" w:ascii="Times New Roman" w:hAnsi="Times New Roman" w:cs="Times New Roman" w:eastAsiaTheme="minorEastAsia"/>
                <w:b w:val="0"/>
                <w:bCs w:val="0"/>
                <w:color w:val="auto"/>
                <w:kern w:val="2"/>
                <w:sz w:val="24"/>
                <w:szCs w:val="22"/>
                <w:highlight w:val="none"/>
                <w:lang w:val="en-US" w:eastAsia="zh-CN" w:bidi="ar-SA"/>
              </w:rPr>
              <w:t>t/a。</w:t>
            </w:r>
          </w:p>
          <w:p w14:paraId="379511F4">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default" w:ascii="Times New Roman" w:hAnsi="Times New Roman" w:cs="Times New Roman" w:eastAsiaTheme="minorEastAsia"/>
                <w:b w:val="0"/>
                <w:bCs w:val="0"/>
                <w:color w:val="auto"/>
                <w:kern w:val="2"/>
                <w:sz w:val="24"/>
                <w:szCs w:val="22"/>
                <w:highlight w:val="none"/>
                <w:lang w:val="en-US" w:eastAsia="zh-CN" w:bidi="ar-SA"/>
              </w:rPr>
            </w:pPr>
            <w:r>
              <w:rPr>
                <w:rFonts w:hint="default" w:ascii="Times New Roman" w:hAnsi="Times New Roman" w:cs="Times New Roman" w:eastAsiaTheme="minorEastAsia"/>
                <w:b w:val="0"/>
                <w:bCs w:val="0"/>
                <w:color w:val="auto"/>
                <w:kern w:val="2"/>
                <w:sz w:val="24"/>
                <w:szCs w:val="22"/>
                <w:highlight w:val="none"/>
                <w:lang w:val="en-US" w:eastAsia="zh-CN" w:bidi="ar-SA"/>
              </w:rPr>
              <w:t>通过对进出厂区的运输车提出限速要求、不能超载，厂区地面进行硬化，进行定期清扫和洒水，降低道路含尘量，车辆在</w:t>
            </w:r>
            <w:r>
              <w:rPr>
                <w:rFonts w:hint="eastAsia" w:cs="Times New Roman"/>
                <w:b w:val="0"/>
                <w:bCs w:val="0"/>
                <w:color w:val="auto"/>
                <w:kern w:val="2"/>
                <w:sz w:val="24"/>
                <w:szCs w:val="22"/>
                <w:highlight w:val="none"/>
                <w:lang w:val="en-US" w:eastAsia="zh-CN" w:bidi="ar-SA"/>
              </w:rPr>
              <w:t>进出</w:t>
            </w:r>
            <w:r>
              <w:rPr>
                <w:rFonts w:hint="default" w:ascii="Times New Roman" w:hAnsi="Times New Roman" w:cs="Times New Roman" w:eastAsiaTheme="minorEastAsia"/>
                <w:b w:val="0"/>
                <w:bCs w:val="0"/>
                <w:color w:val="auto"/>
                <w:kern w:val="2"/>
                <w:sz w:val="24"/>
                <w:szCs w:val="22"/>
                <w:highlight w:val="none"/>
                <w:lang w:val="en-US" w:eastAsia="zh-CN" w:bidi="ar-SA"/>
              </w:rPr>
              <w:t>厂时进行</w:t>
            </w:r>
            <w:r>
              <w:rPr>
                <w:rFonts w:hint="eastAsia" w:cs="Times New Roman"/>
                <w:b w:val="0"/>
                <w:bCs w:val="0"/>
                <w:color w:val="auto"/>
                <w:kern w:val="2"/>
                <w:sz w:val="24"/>
                <w:szCs w:val="22"/>
                <w:highlight w:val="none"/>
                <w:lang w:val="en-US" w:eastAsia="zh-CN" w:bidi="ar-SA"/>
              </w:rPr>
              <w:t>冲洗</w:t>
            </w:r>
            <w:r>
              <w:rPr>
                <w:rFonts w:hint="default" w:ascii="Times New Roman" w:hAnsi="Times New Roman" w:cs="Times New Roman" w:eastAsiaTheme="minorEastAsia"/>
                <w:b w:val="0"/>
                <w:bCs w:val="0"/>
                <w:color w:val="auto"/>
                <w:kern w:val="2"/>
                <w:sz w:val="24"/>
                <w:szCs w:val="22"/>
                <w:highlight w:val="none"/>
                <w:lang w:val="en-US" w:eastAsia="zh-CN" w:bidi="ar-SA"/>
              </w:rPr>
              <w:t>，车辆运输过程中要进行</w:t>
            </w:r>
            <w:r>
              <w:rPr>
                <w:rFonts w:hint="eastAsia" w:cs="Times New Roman"/>
                <w:b w:val="0"/>
                <w:bCs w:val="0"/>
                <w:color w:val="auto"/>
                <w:kern w:val="2"/>
                <w:sz w:val="24"/>
                <w:szCs w:val="22"/>
                <w:highlight w:val="none"/>
                <w:lang w:val="en-US" w:eastAsia="zh-CN" w:bidi="ar-SA"/>
              </w:rPr>
              <w:t>遮蔽</w:t>
            </w:r>
            <w:r>
              <w:rPr>
                <w:rFonts w:hint="default" w:ascii="Times New Roman" w:hAnsi="Times New Roman" w:cs="Times New Roman" w:eastAsiaTheme="minorEastAsia"/>
                <w:b w:val="0"/>
                <w:bCs w:val="0"/>
                <w:color w:val="auto"/>
                <w:kern w:val="2"/>
                <w:sz w:val="24"/>
                <w:szCs w:val="22"/>
                <w:highlight w:val="none"/>
                <w:lang w:val="en-US" w:eastAsia="zh-CN" w:bidi="ar-SA"/>
              </w:rPr>
              <w:t>处理</w:t>
            </w:r>
            <w:r>
              <w:rPr>
                <w:rFonts w:hint="eastAsia" w:cs="Times New Roman"/>
                <w:b w:val="0"/>
                <w:bCs w:val="0"/>
                <w:color w:val="auto"/>
                <w:kern w:val="2"/>
                <w:sz w:val="24"/>
                <w:szCs w:val="22"/>
                <w:highlight w:val="none"/>
                <w:lang w:val="en-US" w:eastAsia="zh-CN" w:bidi="ar-SA"/>
              </w:rPr>
              <w:t>或者车辆密闭运输</w:t>
            </w:r>
            <w:r>
              <w:rPr>
                <w:rFonts w:hint="default" w:ascii="Times New Roman" w:hAnsi="Times New Roman" w:cs="Times New Roman" w:eastAsiaTheme="minorEastAsia"/>
                <w:b w:val="0"/>
                <w:bCs w:val="0"/>
                <w:color w:val="auto"/>
                <w:kern w:val="2"/>
                <w:sz w:val="24"/>
                <w:szCs w:val="22"/>
                <w:highlight w:val="none"/>
                <w:lang w:val="en-US" w:eastAsia="zh-CN" w:bidi="ar-SA"/>
              </w:rPr>
              <w:t>。</w:t>
            </w:r>
            <w:r>
              <w:rPr>
                <w:color w:val="auto"/>
                <w:highlight w:val="none"/>
              </w:rPr>
              <w:t>在采取以上措施后，可有效抑尘</w:t>
            </w:r>
            <w:r>
              <w:rPr>
                <w:rFonts w:hint="eastAsia"/>
                <w:color w:val="auto"/>
                <w:highlight w:val="none"/>
              </w:rPr>
              <w:t>90</w:t>
            </w:r>
            <w:r>
              <w:rPr>
                <w:color w:val="auto"/>
                <w:highlight w:val="none"/>
              </w:rPr>
              <w:t>%，</w:t>
            </w:r>
            <w:r>
              <w:rPr>
                <w:rFonts w:hint="default" w:ascii="Times New Roman" w:hAnsi="Times New Roman" w:cs="Times New Roman" w:eastAsiaTheme="minorEastAsia"/>
                <w:b w:val="0"/>
                <w:bCs w:val="0"/>
                <w:color w:val="auto"/>
                <w:kern w:val="2"/>
                <w:sz w:val="24"/>
                <w:szCs w:val="22"/>
                <w:highlight w:val="none"/>
                <w:lang w:val="en-US" w:eastAsia="zh-CN" w:bidi="ar-SA"/>
              </w:rPr>
              <w:t>则实际运输扬尘排放量为</w:t>
            </w:r>
            <w:r>
              <w:rPr>
                <w:rFonts w:hint="eastAsia" w:cs="Times New Roman"/>
                <w:b w:val="0"/>
                <w:bCs w:val="0"/>
                <w:color w:val="auto"/>
                <w:kern w:val="2"/>
                <w:sz w:val="24"/>
                <w:szCs w:val="22"/>
                <w:highlight w:val="none"/>
                <w:lang w:val="en-US" w:eastAsia="zh-CN" w:bidi="ar-SA"/>
              </w:rPr>
              <w:t>0.056</w:t>
            </w:r>
            <w:r>
              <w:rPr>
                <w:rFonts w:hint="default" w:ascii="Times New Roman" w:hAnsi="Times New Roman" w:cs="Times New Roman" w:eastAsiaTheme="minorEastAsia"/>
                <w:b w:val="0"/>
                <w:bCs w:val="0"/>
                <w:color w:val="auto"/>
                <w:kern w:val="2"/>
                <w:sz w:val="24"/>
                <w:szCs w:val="22"/>
                <w:highlight w:val="none"/>
                <w:lang w:val="en-US" w:eastAsia="zh-CN" w:bidi="ar-SA"/>
              </w:rPr>
              <w:t>t/a。</w:t>
            </w:r>
          </w:p>
          <w:p w14:paraId="02F6AE02">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2" w:firstLineChars="200"/>
              <w:textAlignment w:val="auto"/>
              <w:rPr>
                <w:rFonts w:hint="eastAsia" w:cs="Times New Roman"/>
                <w:b/>
                <w:color w:val="auto"/>
                <w:highlight w:val="none"/>
                <w:lang w:val="en-US" w:eastAsia="zh-CN"/>
              </w:rPr>
            </w:pPr>
            <w:r>
              <w:rPr>
                <w:rFonts w:hint="eastAsia" w:cs="Times New Roman"/>
                <w:b/>
                <w:color w:val="auto"/>
                <w:highlight w:val="none"/>
                <w:lang w:val="en-US" w:eastAsia="zh-CN"/>
              </w:rPr>
              <w:t>2、非正常排放情况</w:t>
            </w:r>
          </w:p>
          <w:p w14:paraId="7BD53645">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color w:val="auto"/>
                <w:highlight w:val="none"/>
                <w:lang w:val="en-US" w:eastAsia="zh-CN"/>
              </w:rPr>
            </w:pPr>
            <w:r>
              <w:rPr>
                <w:rFonts w:hint="eastAsia"/>
                <w:color w:val="auto"/>
                <w:highlight w:val="none"/>
              </w:rPr>
              <w:t>本项目非正常工况主要是污染物处理设施达不到应有的处理效率，</w:t>
            </w:r>
            <w:r>
              <w:rPr>
                <w:rFonts w:hint="eastAsia"/>
                <w:color w:val="auto"/>
                <w:highlight w:val="none"/>
                <w:lang w:val="en-US" w:eastAsia="zh-CN"/>
              </w:rPr>
              <w:t>主要情况有除尘滤袋有破损</w:t>
            </w:r>
            <w:r>
              <w:rPr>
                <w:rFonts w:hint="eastAsia"/>
                <w:color w:val="auto"/>
                <w:highlight w:val="none"/>
              </w:rPr>
              <w:t>、</w:t>
            </w:r>
            <w:r>
              <w:rPr>
                <w:rFonts w:hint="eastAsia"/>
                <w:color w:val="auto"/>
                <w:highlight w:val="none"/>
                <w:lang w:val="en-US" w:eastAsia="zh-CN"/>
              </w:rPr>
              <w:t>工作时未及时同步开启环保设备等</w:t>
            </w:r>
            <w:r>
              <w:rPr>
                <w:rFonts w:hint="eastAsia"/>
                <w:color w:val="auto"/>
                <w:highlight w:val="none"/>
              </w:rPr>
              <w:t>，</w:t>
            </w:r>
            <w:r>
              <w:rPr>
                <w:rFonts w:hint="eastAsia"/>
                <w:color w:val="auto"/>
                <w:highlight w:val="none"/>
                <w:lang w:val="en-US" w:eastAsia="zh-CN"/>
              </w:rPr>
              <w:t>可能会导致</w:t>
            </w:r>
            <w:r>
              <w:rPr>
                <w:rFonts w:hint="eastAsia"/>
                <w:color w:val="auto"/>
                <w:highlight w:val="none"/>
              </w:rPr>
              <w:t>粉尘</w:t>
            </w:r>
            <w:r>
              <w:rPr>
                <w:rFonts w:hint="eastAsia"/>
                <w:color w:val="auto"/>
                <w:highlight w:val="none"/>
                <w:lang w:val="en-US" w:eastAsia="zh-CN"/>
              </w:rPr>
              <w:t>超标</w:t>
            </w:r>
            <w:r>
              <w:rPr>
                <w:rFonts w:hint="eastAsia"/>
                <w:color w:val="auto"/>
                <w:highlight w:val="none"/>
              </w:rPr>
              <w:t>排放。</w:t>
            </w:r>
            <w:r>
              <w:rPr>
                <w:rFonts w:hint="eastAsia"/>
                <w:color w:val="auto"/>
                <w:highlight w:val="none"/>
                <w:lang w:val="en-US" w:eastAsia="zh-CN"/>
              </w:rPr>
              <w:t>发现环保设备故障后，企业需立即停产检修，待恢复正常且污染物监测达标后方可继续生产。</w:t>
            </w:r>
          </w:p>
          <w:p w14:paraId="00249640">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color w:val="auto"/>
                <w:highlight w:val="none"/>
              </w:rPr>
            </w:pPr>
            <w:r>
              <w:rPr>
                <w:rFonts w:hint="eastAsia"/>
                <w:color w:val="auto"/>
                <w:highlight w:val="none"/>
              </w:rPr>
              <w:t>为减少废气排放量，做到达标排放，企业必须加强废气治理设施的管理维护，定期检修，确保废气设施正常运行。在废气治理设施停止运行或出现故障时，产生废气各工序也必须相应停止生产。</w:t>
            </w:r>
          </w:p>
          <w:p w14:paraId="787B47E2">
            <w:pPr>
              <w:numPr>
                <w:ilvl w:val="0"/>
                <w:numId w:val="0"/>
              </w:numPr>
              <w:adjustRightInd w:val="0"/>
              <w:snapToGrid w:val="0"/>
              <w:ind w:leftChars="200"/>
              <w:rPr>
                <w:rFonts w:hint="eastAsia" w:ascii="Times New Roman" w:hAnsi="Times New Roman" w:cs="Times New Roman"/>
                <w:b/>
                <w:color w:val="auto"/>
                <w:highlight w:val="none"/>
                <w:lang w:val="en-US" w:eastAsia="zh-CN"/>
              </w:rPr>
            </w:pPr>
            <w:r>
              <w:rPr>
                <w:rFonts w:hint="eastAsia" w:cs="Times New Roman"/>
                <w:b/>
                <w:color w:val="auto"/>
                <w:highlight w:val="none"/>
                <w:lang w:val="en-US" w:eastAsia="zh-CN"/>
              </w:rPr>
              <w:t>3、</w:t>
            </w:r>
            <w:r>
              <w:rPr>
                <w:rFonts w:hint="eastAsia" w:ascii="Times New Roman" w:hAnsi="Times New Roman" w:cs="Times New Roman"/>
                <w:b/>
                <w:color w:val="auto"/>
                <w:highlight w:val="none"/>
                <w:lang w:val="en-US" w:eastAsia="zh-CN"/>
              </w:rPr>
              <w:t>废气治理措施可行性分析</w:t>
            </w:r>
          </w:p>
          <w:bookmarkEnd w:id="1"/>
          <w:p w14:paraId="77A1944B">
            <w:pPr>
              <w:spacing w:line="360" w:lineRule="auto"/>
              <w:ind w:firstLine="480"/>
              <w:rPr>
                <w:color w:val="auto"/>
                <w:sz w:val="24"/>
                <w:highlight w:val="none"/>
              </w:rPr>
            </w:pPr>
            <w:r>
              <w:rPr>
                <w:rFonts w:hint="eastAsia"/>
                <w:color w:val="auto"/>
                <w:sz w:val="24"/>
                <w:highlight w:val="none"/>
                <w:lang w:val="en-US" w:eastAsia="zh-CN"/>
              </w:rPr>
              <w:t>参照《污染源源强核算技术指南 水泥工业》（HJ886—2018）中“附录 C 水泥工业废气污染防治可行技术”，</w:t>
            </w:r>
            <w:r>
              <w:rPr>
                <w:rFonts w:hint="eastAsia" w:ascii="Times New Roman" w:hAnsi="Times New Roman" w:cs="Times New Roman"/>
                <w:b w:val="0"/>
                <w:bCs w:val="0"/>
                <w:color w:val="auto"/>
                <w:kern w:val="2"/>
                <w:sz w:val="24"/>
                <w:szCs w:val="22"/>
                <w:highlight w:val="none"/>
                <w:lang w:val="en-US" w:eastAsia="zh-CN" w:bidi="ar-SA"/>
              </w:rPr>
              <w:t>破碎机等生产设备处产生的颗粒物其污染防治可行技术为袋式除尘器</w:t>
            </w:r>
            <w:r>
              <w:rPr>
                <w:rFonts w:hint="eastAsia"/>
                <w:color w:val="auto"/>
                <w:sz w:val="24"/>
                <w:highlight w:val="none"/>
              </w:rPr>
              <w:t>。</w:t>
            </w:r>
            <w:r>
              <w:rPr>
                <w:rFonts w:hint="eastAsia"/>
                <w:color w:val="auto"/>
                <w:sz w:val="24"/>
                <w:highlight w:val="none"/>
                <w:lang w:val="en-US" w:eastAsia="zh-CN"/>
              </w:rPr>
              <w:t>本</w:t>
            </w:r>
            <w:r>
              <w:rPr>
                <w:rFonts w:hint="eastAsia"/>
                <w:color w:val="auto"/>
                <w:sz w:val="24"/>
                <w:highlight w:val="none"/>
              </w:rPr>
              <w:t>项目</w:t>
            </w:r>
            <w:r>
              <w:rPr>
                <w:rFonts w:hint="eastAsia"/>
                <w:color w:val="auto"/>
                <w:sz w:val="24"/>
                <w:highlight w:val="none"/>
                <w:lang w:val="en-US" w:eastAsia="zh-CN"/>
              </w:rPr>
              <w:t>机制骨料生产线的</w:t>
            </w:r>
            <w:r>
              <w:rPr>
                <w:rFonts w:hint="eastAsia"/>
                <w:color w:val="auto"/>
                <w:sz w:val="24"/>
                <w:highlight w:val="none"/>
              </w:rPr>
              <w:t>破碎和筛分过程产生的粉尘由设备上方的集气罩收集后</w:t>
            </w:r>
            <w:r>
              <w:rPr>
                <w:rFonts w:hint="eastAsia"/>
                <w:color w:val="auto"/>
                <w:sz w:val="24"/>
                <w:highlight w:val="none"/>
                <w:lang w:val="en-US" w:eastAsia="zh-CN"/>
              </w:rPr>
              <w:t>通过1套</w:t>
            </w:r>
            <w:r>
              <w:rPr>
                <w:rFonts w:hint="eastAsia"/>
                <w:color w:val="auto"/>
                <w:sz w:val="24"/>
                <w:highlight w:val="none"/>
              </w:rPr>
              <w:t>袋式除尘器处理</w:t>
            </w:r>
            <w:r>
              <w:rPr>
                <w:rFonts w:hint="eastAsia"/>
                <w:color w:val="auto"/>
                <w:sz w:val="24"/>
                <w:highlight w:val="none"/>
                <w:lang w:eastAsia="zh-CN"/>
              </w:rPr>
              <w:t>，</w:t>
            </w:r>
            <w:r>
              <w:rPr>
                <w:rFonts w:hint="eastAsia"/>
                <w:color w:val="auto"/>
                <w:sz w:val="24"/>
                <w:highlight w:val="none"/>
                <w:lang w:val="en-US" w:eastAsia="zh-CN"/>
              </w:rPr>
              <w:t>属于可行技术</w:t>
            </w:r>
            <w:r>
              <w:rPr>
                <w:color w:val="auto"/>
                <w:sz w:val="24"/>
                <w:highlight w:val="none"/>
              </w:rPr>
              <w:t>。</w:t>
            </w:r>
          </w:p>
          <w:p w14:paraId="3F7CE36B">
            <w:pPr>
              <w:pStyle w:val="3"/>
              <w:keepNext/>
              <w:keepLines/>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cs="Times New Roman" w:eastAsiaTheme="minorEastAsia"/>
                <w:b w:val="0"/>
                <w:bCs w:val="0"/>
                <w:color w:val="auto"/>
                <w:kern w:val="2"/>
                <w:sz w:val="24"/>
                <w:szCs w:val="22"/>
                <w:highlight w:val="none"/>
                <w:lang w:val="en-US" w:eastAsia="zh-CN" w:bidi="ar-SA"/>
              </w:rPr>
            </w:pPr>
            <w:r>
              <w:rPr>
                <w:rFonts w:hint="eastAsia" w:ascii="Times New Roman" w:hAnsi="Times New Roman" w:cs="Times New Roman" w:eastAsiaTheme="minorEastAsia"/>
                <w:b w:val="0"/>
                <w:bCs w:val="0"/>
                <w:color w:val="auto"/>
                <w:kern w:val="2"/>
                <w:sz w:val="24"/>
                <w:szCs w:val="22"/>
                <w:highlight w:val="none"/>
                <w:lang w:val="en-US" w:eastAsia="zh-CN" w:bidi="ar-SA"/>
              </w:rPr>
              <w:t>参照《污染源源强核算技术指南 水泥工业》（HJ886—2018）中“附录 C 水泥工业废气污染防治可行技术”，“无组织排放控制中可通过物料处理、输送、装卸、储存过程应当封闭，对块石、粘湿物料、浆料以及车船装卸料过程也可采取其他有效抑尘措施，控制颗粒物无组织排放”。环评建议，本项目原料运输车辆进出厂区严格控制车速，经洗车台冲洗，对厂区地面进行定期洒水、清扫等，可有效减少道路扬尘；搅拌粉尘同时配备有集气罩和袋式除尘器处理，水泥筒仓呼吸口配备有袋式除尘器，其采用处理技术属于《排放源统计调查产排污核算方法和系数手册》中推荐的末端处理技术。本项目物料堆存区及生产线各设备均布置在封闭式厂房内，厂房顶部内配备喷淋设施。</w:t>
            </w:r>
          </w:p>
          <w:p w14:paraId="19DC2B3D">
            <w:pPr>
              <w:pStyle w:val="3"/>
              <w:keepNext/>
              <w:keepLines/>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cs="Times New Roman" w:eastAsiaTheme="minorEastAsia"/>
                <w:b w:val="0"/>
                <w:bCs w:val="0"/>
                <w:color w:val="auto"/>
                <w:kern w:val="2"/>
                <w:sz w:val="24"/>
                <w:szCs w:val="22"/>
                <w:highlight w:val="none"/>
                <w:lang w:val="zh-TW" w:eastAsia="zh-CN" w:bidi="ar-SA"/>
              </w:rPr>
            </w:pPr>
            <w:r>
              <w:rPr>
                <w:rFonts w:hint="eastAsia"/>
                <w:b w:val="0"/>
                <w:bCs w:val="0"/>
                <w:color w:val="auto"/>
                <w:highlight w:val="none"/>
              </w:rPr>
              <w:t>综上，项目运营期产生的废气在采取环评提出的措施处理后可达标排放，</w:t>
            </w:r>
            <w:r>
              <w:rPr>
                <w:rFonts w:hint="eastAsia" w:ascii="Times New Roman" w:hAnsi="Times New Roman" w:cs="Times New Roman" w:eastAsiaTheme="minorEastAsia"/>
                <w:b w:val="0"/>
                <w:bCs w:val="0"/>
                <w:color w:val="auto"/>
                <w:kern w:val="2"/>
                <w:sz w:val="24"/>
                <w:szCs w:val="22"/>
                <w:highlight w:val="none"/>
                <w:lang w:val="zh-TW" w:eastAsia="zh-CN" w:bidi="ar-SA"/>
              </w:rPr>
              <w:t>无组织排放颗粒物可满足《水泥工业大气污染物排放标准》（GB</w:t>
            </w:r>
            <w:r>
              <w:rPr>
                <w:rFonts w:hint="eastAsia" w:ascii="Times New Roman" w:hAnsi="Times New Roman" w:cs="Times New Roman" w:eastAsiaTheme="minorEastAsia"/>
                <w:b w:val="0"/>
                <w:bCs w:val="0"/>
                <w:color w:val="auto"/>
                <w:kern w:val="2"/>
                <w:sz w:val="24"/>
                <w:szCs w:val="22"/>
                <w:highlight w:val="none"/>
                <w:lang w:val="en-US" w:eastAsia="zh-CN" w:bidi="ar-SA"/>
              </w:rPr>
              <w:t xml:space="preserve"> </w:t>
            </w:r>
            <w:r>
              <w:rPr>
                <w:rFonts w:hint="eastAsia" w:ascii="Times New Roman" w:hAnsi="Times New Roman" w:cs="Times New Roman" w:eastAsiaTheme="minorEastAsia"/>
                <w:b w:val="0"/>
                <w:bCs w:val="0"/>
                <w:color w:val="auto"/>
                <w:kern w:val="2"/>
                <w:sz w:val="24"/>
                <w:szCs w:val="22"/>
                <w:highlight w:val="none"/>
                <w:lang w:val="zh-TW" w:eastAsia="zh-CN" w:bidi="ar-SA"/>
              </w:rPr>
              <w:t>4915-2013）中表</w:t>
            </w:r>
            <w:r>
              <w:rPr>
                <w:rFonts w:hint="eastAsia" w:ascii="Times New Roman" w:hAnsi="Times New Roman" w:cs="Times New Roman" w:eastAsiaTheme="minorEastAsia"/>
                <w:b w:val="0"/>
                <w:bCs w:val="0"/>
                <w:color w:val="auto"/>
                <w:kern w:val="2"/>
                <w:sz w:val="24"/>
                <w:szCs w:val="22"/>
                <w:highlight w:val="none"/>
                <w:lang w:val="en-US" w:eastAsia="zh-CN" w:bidi="ar-SA"/>
              </w:rPr>
              <w:t>3</w:t>
            </w:r>
            <w:r>
              <w:rPr>
                <w:rFonts w:hint="eastAsia" w:ascii="Times New Roman" w:hAnsi="Times New Roman" w:cs="Times New Roman" w:eastAsiaTheme="minorEastAsia"/>
                <w:b w:val="0"/>
                <w:bCs w:val="0"/>
                <w:color w:val="auto"/>
                <w:kern w:val="2"/>
                <w:sz w:val="24"/>
                <w:szCs w:val="22"/>
                <w:highlight w:val="none"/>
                <w:lang w:val="zh-TW" w:eastAsia="zh-CN" w:bidi="ar-SA"/>
              </w:rPr>
              <w:t>限值要求，</w:t>
            </w:r>
            <w:r>
              <w:rPr>
                <w:rFonts w:hint="eastAsia"/>
                <w:b w:val="0"/>
                <w:bCs w:val="0"/>
                <w:color w:val="auto"/>
                <w:highlight w:val="none"/>
              </w:rPr>
              <w:t>故</w:t>
            </w:r>
            <w:r>
              <w:rPr>
                <w:rFonts w:hint="eastAsia"/>
                <w:b w:val="0"/>
                <w:bCs w:val="0"/>
                <w:color w:val="auto"/>
                <w:highlight w:val="none"/>
                <w:lang w:val="en-US" w:eastAsia="zh-CN"/>
              </w:rPr>
              <w:t>本</w:t>
            </w:r>
            <w:r>
              <w:rPr>
                <w:rFonts w:hint="eastAsia"/>
                <w:b w:val="0"/>
                <w:bCs w:val="0"/>
                <w:color w:val="auto"/>
                <w:highlight w:val="none"/>
              </w:rPr>
              <w:t>项目选用的废气处理措施基本可行，对周围环境影响较小。</w:t>
            </w:r>
          </w:p>
          <w:p w14:paraId="76273A65">
            <w:pPr>
              <w:numPr>
                <w:ilvl w:val="-1"/>
                <w:numId w:val="0"/>
              </w:numPr>
              <w:adjustRightInd w:val="0"/>
              <w:snapToGrid w:val="0"/>
              <w:ind w:left="480" w:leftChars="200" w:firstLine="0" w:firstLineChars="0"/>
              <w:rPr>
                <w:rFonts w:hint="eastAsia" w:cs="Times New Roman"/>
                <w:b/>
                <w:color w:val="auto"/>
                <w:highlight w:val="none"/>
                <w:lang w:val="zh-TW" w:eastAsia="zh-CN"/>
              </w:rPr>
            </w:pPr>
            <w:r>
              <w:rPr>
                <w:rFonts w:hint="eastAsia" w:cs="Times New Roman"/>
                <w:b/>
                <w:color w:val="auto"/>
                <w:highlight w:val="none"/>
                <w:lang w:val="en-US" w:eastAsia="zh-CN"/>
              </w:rPr>
              <w:t>4、</w:t>
            </w:r>
            <w:r>
              <w:rPr>
                <w:rFonts w:hint="eastAsia" w:cs="Times New Roman"/>
                <w:b/>
                <w:color w:val="auto"/>
                <w:highlight w:val="none"/>
                <w:lang w:val="zh-TW" w:eastAsia="zh-CN"/>
              </w:rPr>
              <w:t>废气环境监测与管理</w:t>
            </w:r>
          </w:p>
          <w:p w14:paraId="7D87BD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zh-TW" w:eastAsia="zh-CN"/>
              </w:rPr>
            </w:pPr>
            <w:r>
              <w:rPr>
                <w:rFonts w:hint="eastAsia"/>
                <w:color w:val="auto"/>
                <w:highlight w:val="none"/>
                <w:lang w:val="en-US" w:eastAsia="zh-CN"/>
              </w:rPr>
              <w:t>参照</w:t>
            </w:r>
            <w:r>
              <w:rPr>
                <w:rFonts w:hint="eastAsia"/>
                <w:color w:val="auto"/>
                <w:highlight w:val="none"/>
                <w:lang w:val="zh-TW" w:eastAsia="zh-CN"/>
              </w:rPr>
              <w:t>《排污单位自行监测技术指南 总则》（HJ</w:t>
            </w:r>
            <w:r>
              <w:rPr>
                <w:rFonts w:hint="eastAsia"/>
                <w:color w:val="auto"/>
                <w:highlight w:val="none"/>
                <w:lang w:val="en-US" w:eastAsia="zh-CN"/>
              </w:rPr>
              <w:t xml:space="preserve"> </w:t>
            </w:r>
            <w:r>
              <w:rPr>
                <w:rFonts w:hint="eastAsia"/>
                <w:color w:val="auto"/>
                <w:highlight w:val="none"/>
                <w:lang w:val="zh-TW" w:eastAsia="zh-CN"/>
              </w:rPr>
              <w:t>819-2017）</w:t>
            </w:r>
            <w:r>
              <w:rPr>
                <w:rFonts w:hint="eastAsia"/>
                <w:color w:val="auto"/>
                <w:highlight w:val="none"/>
                <w:lang w:val="en-US" w:eastAsia="zh-CN"/>
              </w:rPr>
              <w:t>和</w:t>
            </w:r>
            <w:r>
              <w:rPr>
                <w:rFonts w:hint="eastAsia"/>
                <w:color w:val="auto"/>
                <w:highlight w:val="none"/>
                <w:lang w:val="zh-TW" w:eastAsia="zh-CN"/>
              </w:rPr>
              <w:t>《排污单位自行监测技术指南 水泥工业》</w:t>
            </w:r>
            <w:r>
              <w:rPr>
                <w:rFonts w:hint="eastAsia"/>
                <w:color w:val="auto"/>
                <w:highlight w:val="none"/>
                <w:lang w:val="zh-TW" w:eastAsia="zh-CN"/>
              </w:rPr>
              <w:fldChar w:fldCharType="begin"/>
            </w:r>
            <w:r>
              <w:rPr>
                <w:rFonts w:hint="eastAsia"/>
                <w:color w:val="auto"/>
                <w:highlight w:val="none"/>
                <w:lang w:val="zh-TW" w:eastAsia="zh-CN"/>
              </w:rPr>
              <w:instrText xml:space="preserve"> HYPERLINK "https://www.mee.gov.cn/ywgz/fgbz/bz/bzwb/jcffbz/201710/W020171017402970693730.pdf" </w:instrText>
            </w:r>
            <w:r>
              <w:rPr>
                <w:rFonts w:hint="eastAsia"/>
                <w:color w:val="auto"/>
                <w:highlight w:val="none"/>
                <w:lang w:val="zh-TW" w:eastAsia="zh-CN"/>
              </w:rPr>
              <w:fldChar w:fldCharType="separate"/>
            </w:r>
            <w:r>
              <w:rPr>
                <w:rFonts w:hint="eastAsia"/>
                <w:color w:val="auto"/>
                <w:highlight w:val="none"/>
                <w:lang w:val="zh-TW" w:eastAsia="zh-CN"/>
              </w:rPr>
              <w:t>(HJ848-2017)</w:t>
            </w:r>
            <w:r>
              <w:rPr>
                <w:rFonts w:hint="eastAsia"/>
                <w:color w:val="auto"/>
                <w:highlight w:val="none"/>
                <w:lang w:val="zh-TW" w:eastAsia="zh-CN"/>
              </w:rPr>
              <w:fldChar w:fldCharType="end"/>
            </w:r>
            <w:r>
              <w:rPr>
                <w:rFonts w:hint="eastAsia"/>
                <w:color w:val="auto"/>
                <w:highlight w:val="none"/>
                <w:lang w:val="zh-TW" w:eastAsia="zh-CN"/>
              </w:rPr>
              <w:t>，</w:t>
            </w:r>
            <w:r>
              <w:rPr>
                <w:rFonts w:hint="eastAsia"/>
                <w:color w:val="auto"/>
                <w:highlight w:val="none"/>
                <w:lang w:val="en-US" w:eastAsia="zh-CN"/>
              </w:rPr>
              <w:t>本项目运营期</w:t>
            </w:r>
            <w:r>
              <w:rPr>
                <w:rFonts w:hint="eastAsia"/>
                <w:color w:val="auto"/>
                <w:highlight w:val="none"/>
                <w:lang w:val="zh-TW" w:eastAsia="zh-CN"/>
              </w:rPr>
              <w:t>自行监测要求见表4-</w:t>
            </w:r>
            <w:r>
              <w:rPr>
                <w:rFonts w:hint="eastAsia"/>
                <w:color w:val="auto"/>
                <w:highlight w:val="none"/>
                <w:lang w:val="en-US" w:eastAsia="zh-CN"/>
              </w:rPr>
              <w:t>3。</w:t>
            </w:r>
          </w:p>
          <w:p w14:paraId="5DCF2812">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jc w:val="center"/>
              <w:textAlignment w:val="auto"/>
              <w:rPr>
                <w:rFonts w:hint="eastAsia" w:ascii="Times New Roman" w:hAnsi="Times New Roman" w:cs="Times New Roman" w:eastAsiaTheme="minorEastAsia"/>
                <w:b/>
                <w:bCs/>
                <w:color w:val="auto"/>
                <w:kern w:val="2"/>
                <w:sz w:val="22"/>
                <w:szCs w:val="22"/>
                <w:highlight w:val="none"/>
                <w:lang w:val="zh-TW" w:eastAsia="zh-CN" w:bidi="ar-SA"/>
              </w:rPr>
            </w:pPr>
            <w:r>
              <w:rPr>
                <w:rFonts w:hint="eastAsia" w:ascii="Times New Roman" w:hAnsi="Times New Roman" w:cs="Times New Roman" w:eastAsiaTheme="minorEastAsia"/>
                <w:b/>
                <w:bCs/>
                <w:color w:val="auto"/>
                <w:kern w:val="2"/>
                <w:sz w:val="22"/>
                <w:szCs w:val="22"/>
                <w:highlight w:val="none"/>
                <w:lang w:val="zh-TW" w:eastAsia="zh-CN" w:bidi="ar-SA"/>
              </w:rPr>
              <w:t>表4-</w:t>
            </w:r>
            <w:r>
              <w:rPr>
                <w:rFonts w:hint="eastAsia" w:cs="Times New Roman"/>
                <w:b/>
                <w:bCs/>
                <w:color w:val="auto"/>
                <w:kern w:val="2"/>
                <w:sz w:val="22"/>
                <w:szCs w:val="22"/>
                <w:highlight w:val="none"/>
                <w:lang w:val="en-US" w:eastAsia="zh-CN" w:bidi="ar-SA"/>
              </w:rPr>
              <w:t>3 废气</w:t>
            </w:r>
            <w:r>
              <w:rPr>
                <w:rFonts w:hint="eastAsia" w:ascii="Times New Roman" w:hAnsi="Times New Roman" w:cs="Times New Roman" w:eastAsiaTheme="minorEastAsia"/>
                <w:b/>
                <w:bCs/>
                <w:color w:val="auto"/>
                <w:kern w:val="2"/>
                <w:sz w:val="22"/>
                <w:szCs w:val="22"/>
                <w:highlight w:val="none"/>
                <w:lang w:val="zh-TW" w:eastAsia="zh-CN" w:bidi="ar-SA"/>
              </w:rPr>
              <w:t>环境监测内容及计划</w:t>
            </w:r>
          </w:p>
          <w:tbl>
            <w:tblPr>
              <w:tblStyle w:val="24"/>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29"/>
              <w:gridCol w:w="1815"/>
              <w:gridCol w:w="1065"/>
              <w:gridCol w:w="885"/>
              <w:gridCol w:w="2550"/>
              <w:gridCol w:w="1189"/>
            </w:tblGrid>
            <w:tr w14:paraId="5D8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tcBorders>
                    <w:tl2br w:val="nil"/>
                    <w:tr2bl w:val="nil"/>
                  </w:tcBorders>
                  <w:noWrap w:val="0"/>
                  <w:vAlign w:val="center"/>
                </w:tcPr>
                <w:p w14:paraId="73769E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rPr>
                  </w:pPr>
                  <w:r>
                    <w:rPr>
                      <w:b/>
                      <w:bCs/>
                      <w:color w:val="auto"/>
                      <w:kern w:val="21"/>
                      <w:sz w:val="21"/>
                      <w:szCs w:val="21"/>
                      <w:highlight w:val="none"/>
                    </w:rPr>
                    <w:t>类别</w:t>
                  </w:r>
                </w:p>
              </w:tc>
              <w:tc>
                <w:tcPr>
                  <w:tcW w:w="929" w:type="dxa"/>
                  <w:tcBorders>
                    <w:tl2br w:val="nil"/>
                    <w:tr2bl w:val="nil"/>
                  </w:tcBorders>
                  <w:noWrap w:val="0"/>
                  <w:vAlign w:val="center"/>
                </w:tcPr>
                <w:p w14:paraId="14DE5642">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rPr>
                  </w:pPr>
                  <w:r>
                    <w:rPr>
                      <w:b/>
                      <w:bCs/>
                      <w:color w:val="auto"/>
                      <w:kern w:val="21"/>
                      <w:sz w:val="21"/>
                      <w:szCs w:val="21"/>
                      <w:highlight w:val="none"/>
                    </w:rPr>
                    <w:t>内容</w:t>
                  </w:r>
                </w:p>
              </w:tc>
              <w:tc>
                <w:tcPr>
                  <w:tcW w:w="1815" w:type="dxa"/>
                  <w:tcBorders>
                    <w:tl2br w:val="nil"/>
                    <w:tr2bl w:val="nil"/>
                  </w:tcBorders>
                  <w:noWrap w:val="0"/>
                  <w:vAlign w:val="center"/>
                </w:tcPr>
                <w:p w14:paraId="02C35871">
                  <w:pPr>
                    <w:keepNext w:val="0"/>
                    <w:keepLines w:val="0"/>
                    <w:pageBreakBefore w:val="0"/>
                    <w:widowControl/>
                    <w:kinsoku/>
                    <w:wordWrap/>
                    <w:overflowPunct/>
                    <w:topLinePunct w:val="0"/>
                    <w:autoSpaceDE/>
                    <w:autoSpaceDN/>
                    <w:bidi w:val="0"/>
                    <w:snapToGrid w:val="0"/>
                    <w:spacing w:line="240" w:lineRule="auto"/>
                    <w:jc w:val="center"/>
                    <w:textAlignment w:val="auto"/>
                    <w:rPr>
                      <w:b/>
                      <w:bCs/>
                      <w:color w:val="auto"/>
                      <w:kern w:val="21"/>
                      <w:sz w:val="21"/>
                      <w:szCs w:val="21"/>
                      <w:highlight w:val="none"/>
                    </w:rPr>
                  </w:pPr>
                  <w:r>
                    <w:rPr>
                      <w:b/>
                      <w:bCs/>
                      <w:color w:val="auto"/>
                      <w:kern w:val="21"/>
                      <w:sz w:val="21"/>
                      <w:szCs w:val="21"/>
                      <w:highlight w:val="none"/>
                    </w:rPr>
                    <w:t>监测点位</w:t>
                  </w:r>
                </w:p>
              </w:tc>
              <w:tc>
                <w:tcPr>
                  <w:tcW w:w="1065" w:type="dxa"/>
                  <w:tcBorders>
                    <w:tl2br w:val="nil"/>
                    <w:tr2bl w:val="nil"/>
                  </w:tcBorders>
                  <w:noWrap w:val="0"/>
                  <w:vAlign w:val="center"/>
                </w:tcPr>
                <w:p w14:paraId="6DF7B46C">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rPr>
                  </w:pPr>
                  <w:r>
                    <w:rPr>
                      <w:b/>
                      <w:bCs/>
                      <w:color w:val="auto"/>
                      <w:kern w:val="21"/>
                      <w:sz w:val="21"/>
                      <w:szCs w:val="21"/>
                      <w:highlight w:val="none"/>
                    </w:rPr>
                    <w:t>监测因子</w:t>
                  </w:r>
                </w:p>
              </w:tc>
              <w:tc>
                <w:tcPr>
                  <w:tcW w:w="885" w:type="dxa"/>
                  <w:tcBorders>
                    <w:tl2br w:val="nil"/>
                    <w:tr2bl w:val="nil"/>
                  </w:tcBorders>
                  <w:noWrap w:val="0"/>
                  <w:vAlign w:val="center"/>
                </w:tcPr>
                <w:p w14:paraId="362E1EAA">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rPr>
                  </w:pPr>
                  <w:r>
                    <w:rPr>
                      <w:b/>
                      <w:bCs/>
                      <w:color w:val="auto"/>
                      <w:kern w:val="21"/>
                      <w:sz w:val="21"/>
                      <w:szCs w:val="21"/>
                      <w:highlight w:val="none"/>
                    </w:rPr>
                    <w:t>频次</w:t>
                  </w:r>
                </w:p>
              </w:tc>
              <w:tc>
                <w:tcPr>
                  <w:tcW w:w="2550" w:type="dxa"/>
                  <w:tcBorders>
                    <w:tl2br w:val="nil"/>
                    <w:tr2bl w:val="nil"/>
                  </w:tcBorders>
                  <w:noWrap w:val="0"/>
                  <w:vAlign w:val="center"/>
                </w:tcPr>
                <w:p w14:paraId="03BD3E73">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lang w:eastAsia="zh-CN"/>
                    </w:rPr>
                  </w:pPr>
                  <w:r>
                    <w:rPr>
                      <w:b/>
                      <w:bCs/>
                      <w:color w:val="auto"/>
                      <w:kern w:val="21"/>
                      <w:sz w:val="21"/>
                      <w:szCs w:val="21"/>
                      <w:highlight w:val="none"/>
                    </w:rPr>
                    <w:t>执行标准</w:t>
                  </w:r>
                </w:p>
              </w:tc>
              <w:tc>
                <w:tcPr>
                  <w:tcW w:w="1189" w:type="dxa"/>
                  <w:tcBorders>
                    <w:tl2br w:val="nil"/>
                    <w:tr2bl w:val="nil"/>
                  </w:tcBorders>
                  <w:noWrap w:val="0"/>
                  <w:vAlign w:val="center"/>
                </w:tcPr>
                <w:p w14:paraId="31470FE8">
                  <w:pPr>
                    <w:keepNext w:val="0"/>
                    <w:keepLines w:val="0"/>
                    <w:pageBreakBefore w:val="0"/>
                    <w:widowControl/>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lang w:eastAsia="zh-CN"/>
                    </w:rPr>
                  </w:pPr>
                  <w:r>
                    <w:rPr>
                      <w:rFonts w:hint="eastAsia"/>
                      <w:b/>
                      <w:bCs/>
                      <w:color w:val="auto"/>
                      <w:kern w:val="21"/>
                      <w:sz w:val="21"/>
                      <w:szCs w:val="21"/>
                      <w:highlight w:val="none"/>
                    </w:rPr>
                    <w:t>标准限值</w:t>
                  </w:r>
                </w:p>
              </w:tc>
            </w:tr>
            <w:tr w14:paraId="6089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tcBorders>
                    <w:tl2br w:val="nil"/>
                    <w:tr2bl w:val="nil"/>
                  </w:tcBorders>
                  <w:noWrap w:val="0"/>
                  <w:vAlign w:val="center"/>
                </w:tcPr>
                <w:p w14:paraId="6315DFAD">
                  <w:pPr>
                    <w:keepNext w:val="0"/>
                    <w:keepLines w:val="0"/>
                    <w:suppressLineNumbers w:val="0"/>
                    <w:adjustRightInd w:val="0"/>
                    <w:snapToGrid w:val="0"/>
                    <w:spacing w:before="0" w:beforeAutospacing="0" w:after="0" w:afterAutospacing="0" w:line="240" w:lineRule="auto"/>
                    <w:ind w:left="0" w:right="0"/>
                    <w:jc w:val="center"/>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废气</w:t>
                  </w:r>
                </w:p>
              </w:tc>
              <w:tc>
                <w:tcPr>
                  <w:tcW w:w="929" w:type="dxa"/>
                  <w:tcBorders>
                    <w:tl2br w:val="nil"/>
                    <w:tr2bl w:val="nil"/>
                  </w:tcBorders>
                  <w:noWrap w:val="0"/>
                  <w:vAlign w:val="center"/>
                </w:tcPr>
                <w:p w14:paraId="0602CE8D">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无组织</w:t>
                  </w:r>
                </w:p>
              </w:tc>
              <w:tc>
                <w:tcPr>
                  <w:tcW w:w="1815" w:type="dxa"/>
                  <w:tcBorders>
                    <w:tl2br w:val="nil"/>
                    <w:tr2bl w:val="nil"/>
                  </w:tcBorders>
                  <w:noWrap w:val="0"/>
                  <w:vAlign w:val="center"/>
                </w:tcPr>
                <w:p w14:paraId="1BAEC476">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厂区</w:t>
                  </w:r>
                  <w:r>
                    <w:rPr>
                      <w:rFonts w:hint="default" w:ascii="Times New Roman" w:hAnsi="Times New Roman" w:eastAsia="宋体" w:cs="Times New Roman"/>
                      <w:color w:val="auto"/>
                      <w:kern w:val="0"/>
                      <w:sz w:val="21"/>
                      <w:szCs w:val="21"/>
                      <w:highlight w:val="none"/>
                      <w:lang w:eastAsia="zh-CN"/>
                    </w:rPr>
                    <w:t>上风向1个点位，下风向3个点位</w:t>
                  </w:r>
                </w:p>
              </w:tc>
              <w:tc>
                <w:tcPr>
                  <w:tcW w:w="1065" w:type="dxa"/>
                  <w:tcBorders>
                    <w:tl2br w:val="nil"/>
                    <w:tr2bl w:val="nil"/>
                  </w:tcBorders>
                  <w:noWrap w:val="0"/>
                  <w:vAlign w:val="center"/>
                </w:tcPr>
                <w:p w14:paraId="19F5BD86">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颗粒物</w:t>
                  </w:r>
                </w:p>
              </w:tc>
              <w:tc>
                <w:tcPr>
                  <w:tcW w:w="885" w:type="dxa"/>
                  <w:tcBorders>
                    <w:tl2br w:val="nil"/>
                    <w:tr2bl w:val="nil"/>
                  </w:tcBorders>
                  <w:noWrap w:val="0"/>
                  <w:vAlign w:val="center"/>
                </w:tcPr>
                <w:p w14:paraId="4997930D">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eastAsia="zh-CN"/>
                    </w:rPr>
                    <w:t>1次/</w:t>
                  </w:r>
                  <w:r>
                    <w:rPr>
                      <w:rFonts w:hint="eastAsia" w:eastAsia="宋体" w:cs="Times New Roman"/>
                      <w:color w:val="auto"/>
                      <w:kern w:val="0"/>
                      <w:sz w:val="21"/>
                      <w:szCs w:val="21"/>
                      <w:highlight w:val="none"/>
                      <w:lang w:val="en-US" w:eastAsia="zh-CN"/>
                    </w:rPr>
                    <w:t>季度</w:t>
                  </w:r>
                </w:p>
              </w:tc>
              <w:tc>
                <w:tcPr>
                  <w:tcW w:w="2550" w:type="dxa"/>
                  <w:tcBorders>
                    <w:tl2br w:val="nil"/>
                    <w:tr2bl w:val="nil"/>
                  </w:tcBorders>
                  <w:noWrap w:val="0"/>
                  <w:vAlign w:val="center"/>
                </w:tcPr>
                <w:p w14:paraId="63B4CE87">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《水泥工业大气污染物排放标准》（GB</w:t>
                  </w:r>
                  <w:r>
                    <w:rPr>
                      <w:rFonts w:hint="eastAsia" w:ascii="Times New Roman" w:hAnsi="Times New Roman" w:eastAsia="宋体"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lang w:eastAsia="zh-CN"/>
                    </w:rPr>
                    <w:t>4915-2013）</w:t>
                  </w:r>
                </w:p>
              </w:tc>
              <w:tc>
                <w:tcPr>
                  <w:tcW w:w="1189" w:type="dxa"/>
                  <w:tcBorders>
                    <w:tl2br w:val="nil"/>
                    <w:tr2bl w:val="nil"/>
                  </w:tcBorders>
                  <w:noWrap w:val="0"/>
                  <w:vAlign w:val="center"/>
                </w:tcPr>
                <w:p w14:paraId="33579ACA">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0.5</w:t>
                  </w:r>
                  <w:r>
                    <w:rPr>
                      <w:rFonts w:hint="default" w:ascii="Times New Roman" w:hAnsi="Times New Roman" w:eastAsia="宋体" w:cs="Times New Roman"/>
                      <w:color w:val="auto"/>
                      <w:kern w:val="0"/>
                      <w:sz w:val="21"/>
                      <w:szCs w:val="21"/>
                      <w:highlight w:val="none"/>
                      <w:lang w:eastAsia="zh-CN"/>
                    </w:rPr>
                    <w:t>mg/m</w:t>
                  </w:r>
                  <w:r>
                    <w:rPr>
                      <w:rFonts w:hint="default" w:ascii="Times New Roman" w:hAnsi="Times New Roman" w:eastAsia="宋体" w:cs="Times New Roman"/>
                      <w:color w:val="auto"/>
                      <w:kern w:val="0"/>
                      <w:sz w:val="21"/>
                      <w:szCs w:val="21"/>
                      <w:highlight w:val="none"/>
                      <w:vertAlign w:val="superscript"/>
                      <w:lang w:eastAsia="zh-CN"/>
                    </w:rPr>
                    <w:t>3</w:t>
                  </w:r>
                </w:p>
              </w:tc>
            </w:tr>
          </w:tbl>
          <w:p w14:paraId="0B4CCF7C">
            <w:pPr>
              <w:adjustRightInd w:val="0"/>
              <w:snapToGrid w:val="0"/>
              <w:ind w:firstLine="482" w:firstLineChars="200"/>
              <w:rPr>
                <w:rFonts w:cs="Times New Roman"/>
                <w:b/>
                <w:color w:val="auto"/>
                <w:highlight w:val="none"/>
              </w:rPr>
            </w:pPr>
            <w:r>
              <w:rPr>
                <w:rFonts w:hint="eastAsia" w:cs="Times New Roman"/>
                <w:b/>
                <w:color w:val="auto"/>
                <w:highlight w:val="none"/>
                <w:lang w:eastAsia="zh-CN"/>
              </w:rPr>
              <w:t>（</w:t>
            </w:r>
            <w:r>
              <w:rPr>
                <w:rFonts w:hint="eastAsia" w:cs="Times New Roman"/>
                <w:b/>
                <w:color w:val="auto"/>
                <w:highlight w:val="none"/>
                <w:lang w:val="en-US" w:eastAsia="zh-CN"/>
              </w:rPr>
              <w:t>二</w:t>
            </w:r>
            <w:r>
              <w:rPr>
                <w:rFonts w:hint="eastAsia" w:cs="Times New Roman"/>
                <w:b/>
                <w:color w:val="auto"/>
                <w:highlight w:val="none"/>
                <w:lang w:eastAsia="zh-CN"/>
              </w:rPr>
              <w:t>）</w:t>
            </w:r>
            <w:r>
              <w:rPr>
                <w:rFonts w:cs="Times New Roman"/>
                <w:b/>
                <w:color w:val="auto"/>
                <w:highlight w:val="none"/>
              </w:rPr>
              <w:t>地表水环境影响分析</w:t>
            </w:r>
          </w:p>
          <w:p w14:paraId="43BACEBD">
            <w:pPr>
              <w:adjustRightInd w:val="0"/>
              <w:snapToGrid w:val="0"/>
              <w:ind w:firstLine="482" w:firstLineChars="200"/>
              <w:rPr>
                <w:rFonts w:cs="Times New Roman"/>
                <w:b/>
                <w:bCs/>
                <w:color w:val="auto"/>
                <w:highlight w:val="none"/>
              </w:rPr>
            </w:pPr>
            <w:r>
              <w:rPr>
                <w:rFonts w:hint="eastAsia" w:cs="Times New Roman"/>
                <w:b/>
                <w:bCs/>
                <w:color w:val="auto"/>
                <w:highlight w:val="none"/>
                <w:lang w:val="en-US" w:eastAsia="zh-CN"/>
              </w:rPr>
              <w:t>1、</w:t>
            </w:r>
            <w:r>
              <w:rPr>
                <w:rFonts w:cs="Times New Roman"/>
                <w:b/>
                <w:bCs/>
                <w:color w:val="auto"/>
                <w:highlight w:val="none"/>
              </w:rPr>
              <w:t>废水污染物源强核算</w:t>
            </w:r>
          </w:p>
          <w:p w14:paraId="1E13B568">
            <w:pPr>
              <w:adjustRightInd w:val="0"/>
              <w:snapToGrid w:val="0"/>
              <w:ind w:firstLine="480" w:firstLineChars="200"/>
              <w:rPr>
                <w:rFonts w:hint="eastAsia" w:cs="Times New Roman"/>
                <w:color w:val="auto"/>
                <w:highlight w:val="none"/>
              </w:rPr>
            </w:pPr>
            <w:r>
              <w:rPr>
                <w:rFonts w:cs="Times New Roman"/>
                <w:color w:val="auto"/>
                <w:highlight w:val="none"/>
              </w:rPr>
              <w:t>本项目</w:t>
            </w:r>
            <w:r>
              <w:rPr>
                <w:rFonts w:hint="eastAsia" w:cs="Times New Roman"/>
                <w:color w:val="auto"/>
                <w:highlight w:val="none"/>
              </w:rPr>
              <w:t>主要用水为职工生活用水、生产配比用水、车辆冲洗用水、喷淋抑尘用水、路面洒</w:t>
            </w:r>
            <w:r>
              <w:rPr>
                <w:rFonts w:hint="eastAsia" w:cs="Times New Roman"/>
                <w:color w:val="auto"/>
                <w:highlight w:val="none"/>
                <w:lang w:val="en-US" w:eastAsia="zh-CN"/>
              </w:rPr>
              <w:t>扫用水</w:t>
            </w:r>
            <w:r>
              <w:rPr>
                <w:rFonts w:hint="eastAsia" w:cs="Times New Roman"/>
                <w:color w:val="auto"/>
                <w:highlight w:val="none"/>
              </w:rPr>
              <w:t>。</w:t>
            </w:r>
          </w:p>
          <w:p w14:paraId="576D45F7">
            <w:pPr>
              <w:adjustRightInd w:val="0"/>
              <w:snapToGrid w:val="0"/>
              <w:ind w:firstLine="480" w:firstLineChars="200"/>
              <w:rPr>
                <w:rFonts w:hint="default" w:cs="Times New Roman" w:eastAsiaTheme="minorEastAsia"/>
                <w:color w:val="auto"/>
                <w:highlight w:val="none"/>
                <w:lang w:val="en-US" w:eastAsia="zh-CN"/>
              </w:rPr>
            </w:pPr>
            <w:r>
              <w:rPr>
                <w:rFonts w:hint="eastAsia" w:cs="Times New Roman"/>
                <w:color w:val="auto"/>
                <w:highlight w:val="none"/>
                <w:lang w:eastAsia="zh-CN"/>
              </w:rPr>
              <w:t>生活污水经化粪池处理后，定期清掏用作农肥，不外排；</w:t>
            </w:r>
            <w:r>
              <w:rPr>
                <w:rFonts w:hint="eastAsia" w:cs="Times New Roman"/>
                <w:color w:val="auto"/>
                <w:highlight w:val="none"/>
              </w:rPr>
              <w:t>生产配比用水</w:t>
            </w:r>
            <w:r>
              <w:rPr>
                <w:rFonts w:cs="Times New Roman"/>
                <w:color w:val="auto"/>
                <w:highlight w:val="none"/>
              </w:rPr>
              <w:t>直接进入产品</w:t>
            </w:r>
            <w:r>
              <w:rPr>
                <w:rFonts w:hint="eastAsia" w:cs="Times New Roman"/>
                <w:color w:val="auto"/>
                <w:highlight w:val="none"/>
                <w:lang w:eastAsia="zh-CN"/>
              </w:rPr>
              <w:t>；洗车废水经洗车台沉淀处理后循环使用；</w:t>
            </w:r>
            <w:r>
              <w:rPr>
                <w:rFonts w:cs="Times New Roman"/>
                <w:color w:val="auto"/>
                <w:highlight w:val="none"/>
              </w:rPr>
              <w:t>喷淋抑尘用水和</w:t>
            </w:r>
            <w:r>
              <w:rPr>
                <w:rFonts w:hint="eastAsia" w:cs="Times New Roman"/>
                <w:color w:val="auto"/>
                <w:highlight w:val="none"/>
                <w:lang w:val="en-US" w:eastAsia="zh-CN"/>
              </w:rPr>
              <w:t>道路清扫用水</w:t>
            </w:r>
            <w:r>
              <w:rPr>
                <w:rFonts w:cs="Times New Roman"/>
                <w:color w:val="auto"/>
                <w:highlight w:val="none"/>
              </w:rPr>
              <w:t>进入地面或空气，在使用中损耗</w:t>
            </w:r>
            <w:r>
              <w:rPr>
                <w:rFonts w:hint="eastAsia" w:cs="Times New Roman"/>
                <w:color w:val="auto"/>
                <w:highlight w:val="none"/>
                <w:lang w:eastAsia="zh-CN"/>
              </w:rPr>
              <w:t>。</w:t>
            </w:r>
            <w:r>
              <w:rPr>
                <w:rFonts w:hint="eastAsia" w:cs="Times New Roman"/>
                <w:color w:val="auto"/>
                <w:highlight w:val="none"/>
                <w:lang w:val="en-US" w:eastAsia="zh-CN"/>
              </w:rPr>
              <w:t>根据前文计算，本项目废水产生情况如下：</w:t>
            </w:r>
          </w:p>
          <w:p w14:paraId="053F0C8C">
            <w:pPr>
              <w:adjustRightInd w:val="0"/>
              <w:snapToGrid w:val="0"/>
              <w:ind w:firstLine="480" w:firstLineChars="200"/>
              <w:rPr>
                <w:rFonts w:hint="eastAsia" w:cs="Times New Roman" w:eastAsiaTheme="minorEastAsia"/>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）生活污水</w:t>
            </w:r>
          </w:p>
          <w:p w14:paraId="18912823">
            <w:pPr>
              <w:adjustRightInd w:val="0"/>
              <w:snapToGrid w:val="0"/>
              <w:ind w:firstLine="480" w:firstLineChars="200"/>
              <w:rPr>
                <w:rFonts w:hint="eastAsia" w:cs="Times New Roman"/>
                <w:color w:val="auto"/>
                <w:highlight w:val="none"/>
                <w:lang w:eastAsia="zh-CN"/>
              </w:rPr>
            </w:pPr>
            <w:r>
              <w:rPr>
                <w:rFonts w:hint="eastAsia" w:cs="Times New Roman"/>
                <w:color w:val="auto"/>
                <w:highlight w:val="none"/>
                <w:lang w:eastAsia="zh-CN"/>
              </w:rPr>
              <w:t>生活污水经化粪池处理后，定期清掏用作肥田，不外排。</w:t>
            </w:r>
          </w:p>
          <w:p w14:paraId="5AD12A43">
            <w:pPr>
              <w:adjustRightInd w:val="0"/>
              <w:snapToGrid w:val="0"/>
              <w:ind w:firstLine="480" w:firstLineChars="200"/>
              <w:rPr>
                <w:rFonts w:cs="Times New Roman"/>
                <w:color w:val="auto"/>
                <w:highlight w:val="none"/>
              </w:rPr>
            </w:pPr>
            <w:r>
              <w:rPr>
                <w:rFonts w:hint="eastAsia" w:eastAsia="宋体" w:cs="Times New Roman"/>
                <w:color w:val="auto"/>
                <w:highlight w:val="none"/>
                <w:lang w:eastAsia="zh-CN"/>
              </w:rPr>
              <w:t>（</w:t>
            </w:r>
            <w:r>
              <w:rPr>
                <w:rFonts w:hint="eastAsia" w:eastAsia="宋体" w:cs="Times New Roman"/>
                <w:color w:val="auto"/>
                <w:highlight w:val="none"/>
                <w:lang w:val="en-US" w:eastAsia="zh-CN"/>
              </w:rPr>
              <w:t>2</w:t>
            </w:r>
            <w:r>
              <w:rPr>
                <w:rFonts w:hint="eastAsia" w:eastAsia="宋体" w:cs="Times New Roman"/>
                <w:color w:val="auto"/>
                <w:highlight w:val="none"/>
                <w:lang w:eastAsia="zh-CN"/>
              </w:rPr>
              <w:t>）</w:t>
            </w:r>
            <w:r>
              <w:rPr>
                <w:rFonts w:eastAsia="宋体" w:cs="Times New Roman"/>
                <w:color w:val="auto"/>
                <w:szCs w:val="24"/>
                <w:highlight w:val="none"/>
              </w:rPr>
              <w:t>生产配比用水</w:t>
            </w:r>
          </w:p>
          <w:p w14:paraId="26F07214">
            <w:pPr>
              <w:pStyle w:val="3"/>
              <w:keepNext/>
              <w:keepLines/>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配比用水在使用中部分蒸发损耗，其余全部进入产品。</w:t>
            </w:r>
          </w:p>
          <w:p w14:paraId="1DEBFF00">
            <w:pPr>
              <w:adjustRightInd w:val="0"/>
              <w:snapToGrid w:val="0"/>
              <w:ind w:firstLine="480" w:firstLineChars="200"/>
              <w:rPr>
                <w:rFonts w:cs="Times New Roman"/>
                <w:color w:val="auto"/>
                <w:highlight w:val="none"/>
              </w:rPr>
            </w:pPr>
            <w:r>
              <w:rPr>
                <w:rFonts w:hint="eastAsia" w:cs="Times New Roman"/>
                <w:color w:val="auto"/>
                <w:highlight w:val="none"/>
                <w:lang w:val="en-US" w:eastAsia="zh-CN"/>
              </w:rPr>
              <w:t>（3）</w:t>
            </w:r>
            <w:r>
              <w:rPr>
                <w:rFonts w:cs="Times New Roman"/>
                <w:color w:val="auto"/>
                <w:highlight w:val="none"/>
              </w:rPr>
              <w:t>车辆冲洗水</w:t>
            </w:r>
          </w:p>
          <w:p w14:paraId="06439F81">
            <w:pPr>
              <w:ind w:firstLine="480" w:firstLineChars="200"/>
              <w:rPr>
                <w:rFonts w:hint="eastAsia" w:cs="Times New Roman"/>
                <w:color w:val="auto"/>
                <w:highlight w:val="none"/>
                <w:lang w:eastAsia="zh-CN"/>
              </w:rPr>
            </w:pPr>
            <w:r>
              <w:rPr>
                <w:rFonts w:hint="eastAsia" w:cs="Times New Roman"/>
                <w:color w:val="auto"/>
                <w:highlight w:val="none"/>
                <w:lang w:eastAsia="zh-CN"/>
              </w:rPr>
              <w:t>本项目在进入厂区出入厂道路口设置</w:t>
            </w:r>
            <w:r>
              <w:rPr>
                <w:rFonts w:hint="eastAsia" w:cs="Times New Roman"/>
                <w:color w:val="auto"/>
                <w:highlight w:val="none"/>
                <w:lang w:val="en-US" w:eastAsia="zh-CN"/>
              </w:rPr>
              <w:t>1</w:t>
            </w:r>
            <w:r>
              <w:rPr>
                <w:rFonts w:hint="eastAsia" w:cs="Times New Roman"/>
                <w:color w:val="auto"/>
                <w:highlight w:val="none"/>
                <w:lang w:eastAsia="zh-CN"/>
              </w:rPr>
              <w:t>个冲洗平台，对进出厂区的运输车辆进行冲洗，减少车辆运输产生的粉尘</w:t>
            </w:r>
            <w:r>
              <w:rPr>
                <w:rFonts w:cs="Times New Roman"/>
                <w:color w:val="auto"/>
                <w:highlight w:val="none"/>
              </w:rPr>
              <w:t>，洗车废水经洗车台沉淀处理后循环使用。</w:t>
            </w:r>
          </w:p>
          <w:p w14:paraId="142E7F5F">
            <w:pPr>
              <w:adjustRightInd w:val="0"/>
              <w:snapToGrid w:val="0"/>
              <w:ind w:firstLine="480" w:firstLineChars="200"/>
              <w:rPr>
                <w:rFonts w:cs="Times New Roman"/>
                <w:color w:val="auto"/>
                <w:highlight w:val="none"/>
              </w:rPr>
            </w:pPr>
            <w:r>
              <w:rPr>
                <w:rFonts w:hint="eastAsia" w:cs="Times New Roman"/>
                <w:color w:val="auto"/>
                <w:highlight w:val="none"/>
                <w:lang w:val="en-US" w:eastAsia="zh-CN"/>
              </w:rPr>
              <w:t>（4）</w:t>
            </w:r>
            <w:r>
              <w:rPr>
                <w:rFonts w:cs="Times New Roman"/>
                <w:color w:val="auto"/>
                <w:highlight w:val="none"/>
              </w:rPr>
              <w:t>喷淋</w:t>
            </w:r>
            <w:r>
              <w:rPr>
                <w:rFonts w:hint="eastAsia" w:cs="Times New Roman"/>
                <w:color w:val="auto"/>
                <w:highlight w:val="none"/>
                <w:lang w:val="en-US" w:eastAsia="zh-CN"/>
              </w:rPr>
              <w:t>抑尘</w:t>
            </w:r>
            <w:r>
              <w:rPr>
                <w:rFonts w:cs="Times New Roman"/>
                <w:color w:val="auto"/>
                <w:highlight w:val="none"/>
              </w:rPr>
              <w:t>用水</w:t>
            </w:r>
          </w:p>
          <w:p w14:paraId="2E403FB3">
            <w:pPr>
              <w:ind w:firstLine="480" w:firstLineChars="200"/>
              <w:rPr>
                <w:rFonts w:eastAsia="宋体" w:cs="Times New Roman"/>
                <w:color w:val="auto"/>
                <w:szCs w:val="24"/>
                <w:highlight w:val="none"/>
              </w:rPr>
            </w:pPr>
            <w:r>
              <w:rPr>
                <w:rFonts w:cs="Times New Roman"/>
                <w:color w:val="auto"/>
                <w:highlight w:val="none"/>
              </w:rPr>
              <w:t>本项目</w:t>
            </w:r>
            <w:r>
              <w:rPr>
                <w:rFonts w:hint="eastAsia" w:cs="Times New Roman"/>
                <w:color w:val="auto"/>
                <w:highlight w:val="none"/>
                <w:lang w:val="en-US" w:eastAsia="zh-CN"/>
              </w:rPr>
              <w:t>在封闭式生产厂房和原料库顶部均配备有喷淋抑尘装置</w:t>
            </w:r>
            <w:r>
              <w:rPr>
                <w:rFonts w:cs="Times New Roman"/>
                <w:color w:val="auto"/>
                <w:highlight w:val="none"/>
              </w:rPr>
              <w:t>，可有效减少无组织粉尘的排放</w:t>
            </w:r>
            <w:r>
              <w:rPr>
                <w:rFonts w:hint="eastAsia" w:cs="Times New Roman"/>
                <w:color w:val="auto"/>
                <w:highlight w:val="none"/>
                <w:lang w:eastAsia="zh-CN"/>
              </w:rPr>
              <w:t>，</w:t>
            </w:r>
            <w:r>
              <w:rPr>
                <w:rFonts w:hint="default" w:ascii="Times New Roman" w:hAnsi="Times New Roman" w:eastAsia="宋体" w:cs="Times New Roman"/>
                <w:color w:val="auto"/>
                <w:sz w:val="24"/>
                <w:szCs w:val="24"/>
                <w:highlight w:val="none"/>
              </w:rPr>
              <w:t>洒水全部进入产品或</w:t>
            </w:r>
            <w:r>
              <w:rPr>
                <w:rFonts w:hint="eastAsia" w:eastAsia="宋体" w:cs="Times New Roman"/>
                <w:color w:val="auto"/>
                <w:sz w:val="24"/>
                <w:szCs w:val="24"/>
                <w:highlight w:val="none"/>
                <w:lang w:val="en-US" w:eastAsia="zh-CN"/>
              </w:rPr>
              <w:t>损耗</w:t>
            </w:r>
            <w:r>
              <w:rPr>
                <w:rFonts w:hint="default" w:ascii="Times New Roman" w:hAnsi="Times New Roman" w:eastAsia="宋体" w:cs="Times New Roman"/>
                <w:color w:val="auto"/>
                <w:sz w:val="24"/>
                <w:szCs w:val="24"/>
                <w:highlight w:val="none"/>
              </w:rPr>
              <w:t>。</w:t>
            </w:r>
          </w:p>
          <w:p w14:paraId="4C2C82CA">
            <w:pPr>
              <w:adjustRightInd w:val="0"/>
              <w:snapToGrid w:val="0"/>
              <w:ind w:firstLine="480" w:firstLineChars="200"/>
              <w:rPr>
                <w:rFonts w:cs="Times New Roman"/>
                <w:color w:val="auto"/>
                <w:highlight w:val="none"/>
              </w:rPr>
            </w:pPr>
            <w:r>
              <w:rPr>
                <w:rFonts w:hint="eastAsia" w:cs="Times New Roman"/>
                <w:color w:val="auto"/>
                <w:highlight w:val="none"/>
                <w:lang w:val="en-US" w:eastAsia="zh-CN"/>
              </w:rPr>
              <w:t>（5）</w:t>
            </w:r>
            <w:r>
              <w:rPr>
                <w:rFonts w:cs="Times New Roman"/>
                <w:color w:val="auto"/>
                <w:highlight w:val="none"/>
              </w:rPr>
              <w:t>路面洒水</w:t>
            </w:r>
          </w:p>
          <w:p w14:paraId="148F97A5">
            <w:pPr>
              <w:adjustRightInd w:val="0"/>
              <w:snapToGrid w:val="0"/>
              <w:ind w:firstLine="480" w:firstLineChars="200"/>
              <w:rPr>
                <w:rFonts w:hint="eastAsia" w:ascii="Times New Roman" w:hAnsi="Times New Roman" w:cs="Times New Roman" w:eastAsiaTheme="minorEastAsia"/>
                <w:b w:val="0"/>
                <w:bCs w:val="0"/>
                <w:color w:val="auto"/>
                <w:kern w:val="2"/>
                <w:sz w:val="24"/>
                <w:szCs w:val="22"/>
                <w:highlight w:val="none"/>
                <w:lang w:val="en-US" w:eastAsia="zh-CN" w:bidi="ar-SA"/>
              </w:rPr>
            </w:pPr>
            <w:r>
              <w:rPr>
                <w:rFonts w:cs="Times New Roman"/>
                <w:color w:val="auto"/>
                <w:highlight w:val="none"/>
              </w:rPr>
              <w:t>项目运营期约每3天对道路洒水1次。本项目路面洒水量为</w:t>
            </w:r>
            <w:r>
              <w:rPr>
                <w:rFonts w:hint="eastAsia" w:cs="Times New Roman"/>
                <w:color w:val="auto"/>
                <w:highlight w:val="none"/>
                <w:lang w:val="en-US" w:eastAsia="zh-CN"/>
              </w:rPr>
              <w:t>1200</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ascii="Times New Roman" w:hAnsi="Times New Roman" w:cs="Times New Roman" w:eastAsiaTheme="minorEastAsia"/>
                <w:b w:val="0"/>
                <w:bCs w:val="0"/>
                <w:color w:val="auto"/>
                <w:kern w:val="2"/>
                <w:sz w:val="24"/>
                <w:szCs w:val="22"/>
                <w:highlight w:val="none"/>
                <w:lang w:val="en-US" w:eastAsia="zh-CN" w:bidi="ar-SA"/>
              </w:rPr>
              <w:t>。</w:t>
            </w:r>
          </w:p>
          <w:p w14:paraId="62D636C4">
            <w:pPr>
              <w:adjustRightInd w:val="0"/>
              <w:snapToGrid w:val="0"/>
              <w:ind w:firstLine="48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初期雨水收集池</w:t>
            </w:r>
          </w:p>
          <w:p w14:paraId="5BC3DE23">
            <w:pPr>
              <w:adjustRightInd w:val="0"/>
              <w:snapToGrid w:val="0"/>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highlight w:val="none"/>
                <w:lang w:val="en-US" w:eastAsia="zh-CN"/>
              </w:rPr>
              <w:t>厂区设置雨水导排系统及雨水收集池，厂区汇集的初期雨水做到全部收集，不</w:t>
            </w:r>
            <w:r>
              <w:rPr>
                <w:rFonts w:hint="eastAsia" w:ascii="Times New Roman" w:hAnsi="Times New Roman" w:cs="Times New Roman"/>
                <w:color w:val="auto"/>
                <w:highlight w:val="none"/>
                <w:lang w:val="en-US" w:eastAsia="zh-CN"/>
              </w:rPr>
              <w:t>外排</w:t>
            </w:r>
            <w:r>
              <w:rPr>
                <w:rFonts w:hint="default" w:ascii="Times New Roman" w:hAnsi="Times New Roman" w:cs="Times New Roman"/>
                <w:color w:val="auto"/>
                <w:highlight w:val="none"/>
                <w:lang w:val="en-US" w:eastAsia="zh-CN"/>
              </w:rPr>
              <w:t>。项目雨水收集池设于生产厂区最低点，可以保证能收集全部场地的初期雨水，根据厂区地势情况</w:t>
            </w:r>
            <w:r>
              <w:rPr>
                <w:rFonts w:hint="eastAsia" w:ascii="Times New Roman" w:hAnsi="Times New Roman" w:cs="Times New Roman"/>
                <w:color w:val="auto"/>
                <w:highlight w:val="none"/>
                <w:lang w:val="en-US" w:eastAsia="zh-CN"/>
              </w:rPr>
              <w:t>设置</w:t>
            </w:r>
            <w:r>
              <w:rPr>
                <w:rFonts w:hint="default" w:ascii="Times New Roman" w:hAnsi="Times New Roman" w:cs="Times New Roman"/>
                <w:color w:val="auto"/>
                <w:highlight w:val="none"/>
                <w:lang w:val="en-US" w:eastAsia="zh-CN"/>
              </w:rPr>
              <w:t>集雨水导流渠，最终进入初期雨水收集池内，定量用于厂区道路洒水等。按照西北建筑工程学院采用数理统计法编制的暴雨强度公式</w:t>
            </w:r>
            <w:r>
              <w:rPr>
                <w:rFonts w:hint="default" w:ascii="Times New Roman" w:hAnsi="Times New Roman" w:cs="Times New Roman"/>
                <w:color w:val="auto"/>
                <w:sz w:val="24"/>
                <w:highlight w:val="none"/>
              </w:rPr>
              <w:t>：</w:t>
            </w:r>
          </w:p>
          <w:p w14:paraId="459D0684">
            <w:pPr>
              <w:spacing w:line="360" w:lineRule="auto"/>
              <w:contextualSpacing/>
              <w:jc w:val="center"/>
              <w:rPr>
                <w:bCs/>
                <w:color w:val="auto"/>
                <w:sz w:val="24"/>
                <w:highlight w:val="none"/>
              </w:rPr>
            </w:pPr>
            <w:r>
              <w:rPr>
                <w:bCs/>
                <w:color w:val="auto"/>
                <w:position w:val="-28"/>
                <w:sz w:val="24"/>
                <w:highlight w:val="none"/>
              </w:rPr>
              <w:object>
                <v:shape id="_x0000_i1029" o:spt="75" type="#_x0000_t75" style="height:33pt;width:107.05pt;" o:ole="t" filled="f" o:preferrelative="t" stroked="f" coordsize="21600,21600">
                  <v:path/>
                  <v:fill on="f" focussize="0,0"/>
                  <v:stroke on="f"/>
                  <v:imagedata r:id="rId20" o:title=""/>
                  <o:lock v:ext="edit" aspectratio="t"/>
                  <w10:wrap type="none"/>
                  <w10:anchorlock/>
                </v:shape>
                <o:OLEObject Type="Embed" ProgID="Equation.3" ShapeID="_x0000_i1029" DrawAspect="Content" ObjectID="_1468075729" r:id="rId19">
                  <o:LockedField>false</o:LockedField>
                </o:OLEObject>
              </w:object>
            </w:r>
          </w:p>
          <w:p w14:paraId="6CA5FC5F">
            <w:pPr>
              <w:spacing w:line="360" w:lineRule="auto"/>
              <w:ind w:firstLine="480" w:firstLineChars="200"/>
              <w:contextualSpacing/>
              <w:rPr>
                <w:bCs/>
                <w:color w:val="auto"/>
                <w:sz w:val="24"/>
                <w:highlight w:val="none"/>
              </w:rPr>
            </w:pPr>
            <w:r>
              <w:rPr>
                <w:rFonts w:hAnsi="宋体"/>
                <w:bCs/>
                <w:color w:val="auto"/>
                <w:sz w:val="24"/>
                <w:highlight w:val="none"/>
              </w:rPr>
              <w:t>式中：</w:t>
            </w:r>
            <w:r>
              <w:rPr>
                <w:bCs/>
                <w:color w:val="auto"/>
                <w:sz w:val="24"/>
                <w:highlight w:val="none"/>
              </w:rPr>
              <w:t>q——</w:t>
            </w:r>
            <w:r>
              <w:rPr>
                <w:rFonts w:hAnsi="宋体"/>
                <w:bCs/>
                <w:color w:val="auto"/>
                <w:sz w:val="24"/>
                <w:highlight w:val="none"/>
              </w:rPr>
              <w:t>暴雨强度，</w:t>
            </w:r>
            <w:r>
              <w:rPr>
                <w:bCs/>
                <w:color w:val="auto"/>
                <w:sz w:val="24"/>
                <w:highlight w:val="none"/>
              </w:rPr>
              <w:t>L/s·ha</w:t>
            </w:r>
            <w:r>
              <w:rPr>
                <w:rFonts w:hAnsi="宋体"/>
                <w:bCs/>
                <w:color w:val="auto"/>
                <w:sz w:val="24"/>
                <w:highlight w:val="none"/>
              </w:rPr>
              <w:t>；</w:t>
            </w:r>
          </w:p>
          <w:p w14:paraId="66FEDF58">
            <w:pPr>
              <w:spacing w:line="360" w:lineRule="auto"/>
              <w:ind w:firstLine="1200" w:firstLineChars="500"/>
              <w:contextualSpacing/>
              <w:rPr>
                <w:bCs/>
                <w:color w:val="auto"/>
                <w:sz w:val="24"/>
                <w:highlight w:val="none"/>
              </w:rPr>
            </w:pPr>
            <w:r>
              <w:rPr>
                <w:bCs/>
                <w:color w:val="auto"/>
                <w:sz w:val="24"/>
                <w:highlight w:val="none"/>
              </w:rPr>
              <w:t>P——</w:t>
            </w:r>
            <w:r>
              <w:rPr>
                <w:rFonts w:hAnsi="宋体"/>
                <w:bCs/>
                <w:color w:val="auto"/>
                <w:sz w:val="24"/>
                <w:highlight w:val="none"/>
              </w:rPr>
              <w:t>重现值，年；</w:t>
            </w:r>
          </w:p>
          <w:p w14:paraId="415B69F0">
            <w:pPr>
              <w:spacing w:line="360" w:lineRule="auto"/>
              <w:ind w:firstLine="1200" w:firstLineChars="500"/>
              <w:contextualSpacing/>
              <w:rPr>
                <w:bCs/>
                <w:color w:val="auto"/>
                <w:sz w:val="24"/>
                <w:highlight w:val="none"/>
              </w:rPr>
            </w:pPr>
            <w:r>
              <w:rPr>
                <w:bCs/>
                <w:color w:val="auto"/>
                <w:sz w:val="24"/>
                <w:highlight w:val="none"/>
              </w:rPr>
              <w:t>t——</w:t>
            </w:r>
            <w:r>
              <w:rPr>
                <w:rFonts w:hAnsi="宋体"/>
                <w:bCs/>
                <w:color w:val="auto"/>
                <w:sz w:val="24"/>
                <w:highlight w:val="none"/>
              </w:rPr>
              <w:t>降雨历时，</w:t>
            </w:r>
            <w:r>
              <w:rPr>
                <w:bCs/>
                <w:color w:val="auto"/>
                <w:sz w:val="24"/>
                <w:highlight w:val="none"/>
              </w:rPr>
              <w:t>min</w:t>
            </w:r>
            <w:r>
              <w:rPr>
                <w:rFonts w:hAnsi="宋体"/>
                <w:bCs/>
                <w:color w:val="auto"/>
                <w:sz w:val="24"/>
                <w:highlight w:val="none"/>
              </w:rPr>
              <w:t>；</w:t>
            </w:r>
          </w:p>
          <w:p w14:paraId="1EF7CDD3">
            <w:pPr>
              <w:spacing w:line="360" w:lineRule="auto"/>
              <w:ind w:firstLine="480" w:firstLineChars="200"/>
              <w:contextualSpacing/>
              <w:rPr>
                <w:bCs/>
                <w:color w:val="auto"/>
                <w:sz w:val="24"/>
                <w:highlight w:val="none"/>
              </w:rPr>
            </w:pPr>
            <w:r>
              <w:rPr>
                <w:rFonts w:hAnsi="宋体"/>
                <w:bCs/>
                <w:color w:val="auto"/>
                <w:sz w:val="24"/>
                <w:highlight w:val="none"/>
              </w:rPr>
              <w:t>雨水设计流量：</w:t>
            </w:r>
            <w:r>
              <w:rPr>
                <w:bCs/>
                <w:color w:val="auto"/>
                <w:sz w:val="24"/>
                <w:highlight w:val="none"/>
              </w:rPr>
              <w:t>Q=ΨqF</w:t>
            </w:r>
          </w:p>
          <w:p w14:paraId="37D185A4">
            <w:pPr>
              <w:spacing w:line="360" w:lineRule="auto"/>
              <w:ind w:firstLine="480" w:firstLineChars="200"/>
              <w:contextualSpacing/>
              <w:rPr>
                <w:bCs/>
                <w:color w:val="auto"/>
                <w:sz w:val="24"/>
                <w:highlight w:val="none"/>
              </w:rPr>
            </w:pPr>
            <w:r>
              <w:rPr>
                <w:rFonts w:hAnsi="宋体"/>
                <w:bCs/>
                <w:color w:val="auto"/>
                <w:sz w:val="24"/>
                <w:highlight w:val="none"/>
              </w:rPr>
              <w:t>式中：</w:t>
            </w:r>
            <w:r>
              <w:rPr>
                <w:bCs/>
                <w:color w:val="auto"/>
                <w:sz w:val="24"/>
                <w:highlight w:val="none"/>
              </w:rPr>
              <w:t>Ψ——</w:t>
            </w:r>
            <w:r>
              <w:rPr>
                <w:rFonts w:hAnsi="宋体"/>
                <w:bCs/>
                <w:color w:val="auto"/>
                <w:sz w:val="24"/>
                <w:highlight w:val="none"/>
              </w:rPr>
              <w:t>径流系数；</w:t>
            </w:r>
          </w:p>
          <w:p w14:paraId="659BF265">
            <w:pPr>
              <w:spacing w:line="360" w:lineRule="auto"/>
              <w:ind w:firstLine="1200" w:firstLineChars="500"/>
              <w:contextualSpacing/>
              <w:rPr>
                <w:bCs/>
                <w:color w:val="auto"/>
                <w:sz w:val="24"/>
                <w:highlight w:val="none"/>
              </w:rPr>
            </w:pPr>
            <w:r>
              <w:rPr>
                <w:bCs/>
                <w:color w:val="auto"/>
                <w:sz w:val="24"/>
                <w:highlight w:val="none"/>
              </w:rPr>
              <w:t>F——</w:t>
            </w:r>
            <w:r>
              <w:rPr>
                <w:rFonts w:hAnsi="宋体"/>
                <w:bCs/>
                <w:color w:val="auto"/>
                <w:sz w:val="24"/>
                <w:highlight w:val="none"/>
              </w:rPr>
              <w:t>汇水面积，</w:t>
            </w:r>
            <w:r>
              <w:rPr>
                <w:bCs/>
                <w:color w:val="auto"/>
                <w:sz w:val="24"/>
                <w:highlight w:val="none"/>
              </w:rPr>
              <w:t>hm</w:t>
            </w:r>
            <w:r>
              <w:rPr>
                <w:bCs/>
                <w:color w:val="auto"/>
                <w:sz w:val="24"/>
                <w:highlight w:val="none"/>
                <w:vertAlign w:val="superscript"/>
              </w:rPr>
              <w:t>2</w:t>
            </w:r>
            <w:r>
              <w:rPr>
                <w:rFonts w:hAnsi="宋体"/>
                <w:bCs/>
                <w:color w:val="auto"/>
                <w:sz w:val="24"/>
                <w:highlight w:val="none"/>
              </w:rPr>
              <w:t>。</w:t>
            </w:r>
          </w:p>
          <w:p w14:paraId="6020F59D">
            <w:pPr>
              <w:widowControl/>
              <w:spacing w:line="360" w:lineRule="auto"/>
              <w:ind w:firstLine="480" w:firstLineChars="200"/>
              <w:jc w:val="left"/>
              <w:rPr>
                <w:rFonts w:hint="default" w:ascii="Times New Roman" w:hAnsi="Times New Roman" w:cs="Times New Roman" w:eastAsiaTheme="minorEastAsia"/>
                <w:color w:val="auto"/>
                <w:highlight w:val="none"/>
                <w:lang w:val="en-US" w:eastAsia="zh-CN"/>
              </w:rPr>
            </w:pPr>
            <w:r>
              <w:rPr>
                <w:bCs/>
                <w:color w:val="auto"/>
                <w:sz w:val="24"/>
                <w:highlight w:val="none"/>
              </w:rPr>
              <w:t>P</w:t>
            </w:r>
            <w:r>
              <w:rPr>
                <w:rFonts w:hAnsi="宋体"/>
                <w:bCs/>
                <w:color w:val="auto"/>
                <w:sz w:val="24"/>
                <w:highlight w:val="none"/>
              </w:rPr>
              <w:t>取值</w:t>
            </w:r>
            <w:r>
              <w:rPr>
                <w:bCs/>
                <w:color w:val="auto"/>
                <w:sz w:val="24"/>
                <w:highlight w:val="none"/>
              </w:rPr>
              <w:t>1</w:t>
            </w:r>
            <w:r>
              <w:rPr>
                <w:rFonts w:hAnsi="宋体"/>
                <w:bCs/>
                <w:color w:val="auto"/>
                <w:sz w:val="24"/>
                <w:highlight w:val="none"/>
              </w:rPr>
              <w:t>年，</w:t>
            </w:r>
            <w:r>
              <w:rPr>
                <w:bCs/>
                <w:color w:val="auto"/>
                <w:sz w:val="24"/>
                <w:highlight w:val="none"/>
              </w:rPr>
              <w:t>t</w:t>
            </w:r>
            <w:r>
              <w:rPr>
                <w:rFonts w:hAnsi="宋体"/>
                <w:bCs/>
                <w:color w:val="auto"/>
                <w:sz w:val="24"/>
                <w:highlight w:val="none"/>
              </w:rPr>
              <w:t>取值</w:t>
            </w:r>
            <w:r>
              <w:rPr>
                <w:rFonts w:hint="eastAsia"/>
                <w:bCs/>
                <w:color w:val="auto"/>
                <w:sz w:val="24"/>
                <w:highlight w:val="none"/>
              </w:rPr>
              <w:t>30</w:t>
            </w:r>
            <w:r>
              <w:rPr>
                <w:bCs/>
                <w:color w:val="auto"/>
                <w:sz w:val="24"/>
                <w:highlight w:val="none"/>
              </w:rPr>
              <w:t>min</w:t>
            </w:r>
            <w:r>
              <w:rPr>
                <w:rFonts w:hAnsi="宋体"/>
                <w:bCs/>
                <w:color w:val="auto"/>
                <w:sz w:val="24"/>
                <w:highlight w:val="none"/>
              </w:rPr>
              <w:t>，</w:t>
            </w:r>
            <w:r>
              <w:rPr>
                <w:bCs/>
                <w:color w:val="auto"/>
                <w:sz w:val="24"/>
                <w:highlight w:val="none"/>
              </w:rPr>
              <w:t>Ψ</w:t>
            </w:r>
            <w:r>
              <w:rPr>
                <w:rFonts w:hAnsi="宋体"/>
                <w:bCs/>
                <w:color w:val="auto"/>
                <w:sz w:val="24"/>
                <w:highlight w:val="none"/>
              </w:rPr>
              <w:t>取值</w:t>
            </w:r>
            <w:r>
              <w:rPr>
                <w:bCs/>
                <w:color w:val="auto"/>
                <w:sz w:val="24"/>
                <w:highlight w:val="none"/>
              </w:rPr>
              <w:t>0.3</w:t>
            </w:r>
            <w:r>
              <w:rPr>
                <w:rFonts w:hAnsi="宋体"/>
                <w:bCs/>
                <w:color w:val="auto"/>
                <w:sz w:val="24"/>
                <w:highlight w:val="none"/>
              </w:rPr>
              <w:t>，</w:t>
            </w:r>
            <w:r>
              <w:rPr>
                <w:bCs/>
                <w:color w:val="auto"/>
                <w:sz w:val="24"/>
                <w:highlight w:val="none"/>
              </w:rPr>
              <w:t>F</w:t>
            </w:r>
            <w:r>
              <w:rPr>
                <w:rFonts w:hAnsi="宋体"/>
                <w:bCs/>
                <w:color w:val="auto"/>
                <w:sz w:val="24"/>
                <w:highlight w:val="none"/>
              </w:rPr>
              <w:t>为</w:t>
            </w:r>
            <w:r>
              <w:rPr>
                <w:rFonts w:hint="eastAsia"/>
                <w:bCs/>
                <w:color w:val="auto"/>
                <w:sz w:val="24"/>
                <w:highlight w:val="none"/>
              </w:rPr>
              <w:t>0.75</w:t>
            </w:r>
            <w:r>
              <w:rPr>
                <w:bCs/>
                <w:color w:val="auto"/>
                <w:sz w:val="24"/>
                <w:highlight w:val="none"/>
              </w:rPr>
              <w:t>hm</w:t>
            </w:r>
            <w:r>
              <w:rPr>
                <w:bCs/>
                <w:color w:val="auto"/>
                <w:sz w:val="24"/>
                <w:highlight w:val="none"/>
                <w:vertAlign w:val="superscript"/>
              </w:rPr>
              <w:t>2</w:t>
            </w:r>
            <w:r>
              <w:rPr>
                <w:rFonts w:hAnsi="宋体"/>
                <w:bCs/>
                <w:color w:val="auto"/>
                <w:sz w:val="24"/>
                <w:highlight w:val="none"/>
              </w:rPr>
              <w:t>（有效收集雨水面积）经计算，一次</w:t>
            </w:r>
            <w:r>
              <w:rPr>
                <w:bCs/>
                <w:color w:val="auto"/>
                <w:sz w:val="24"/>
                <w:highlight w:val="none"/>
              </w:rPr>
              <w:t>(</w:t>
            </w:r>
            <w:r>
              <w:rPr>
                <w:rFonts w:hAnsi="宋体"/>
                <w:bCs/>
                <w:color w:val="auto"/>
                <w:sz w:val="24"/>
                <w:highlight w:val="none"/>
              </w:rPr>
              <w:t>以</w:t>
            </w:r>
            <w:r>
              <w:rPr>
                <w:rFonts w:hint="eastAsia"/>
                <w:bCs/>
                <w:color w:val="auto"/>
                <w:sz w:val="24"/>
                <w:highlight w:val="none"/>
              </w:rPr>
              <w:t>30</w:t>
            </w:r>
            <w:r>
              <w:rPr>
                <w:bCs/>
                <w:color w:val="auto"/>
                <w:sz w:val="24"/>
                <w:highlight w:val="none"/>
              </w:rPr>
              <w:t>min</w:t>
            </w:r>
            <w:r>
              <w:rPr>
                <w:rFonts w:hAnsi="宋体"/>
                <w:bCs/>
                <w:color w:val="auto"/>
                <w:sz w:val="24"/>
                <w:highlight w:val="none"/>
              </w:rPr>
              <w:t>计</w:t>
            </w:r>
            <w:r>
              <w:rPr>
                <w:bCs/>
                <w:color w:val="auto"/>
                <w:sz w:val="24"/>
                <w:highlight w:val="none"/>
              </w:rPr>
              <w:t>)</w:t>
            </w:r>
            <w:r>
              <w:rPr>
                <w:rFonts w:hAnsi="宋体"/>
                <w:bCs/>
                <w:color w:val="auto"/>
                <w:sz w:val="24"/>
                <w:highlight w:val="none"/>
              </w:rPr>
              <w:t>强降水厂区收集水为</w:t>
            </w:r>
            <w:r>
              <w:rPr>
                <w:rFonts w:hint="eastAsia"/>
                <w:bCs/>
                <w:color w:val="auto"/>
                <w:sz w:val="24"/>
                <w:highlight w:val="none"/>
              </w:rPr>
              <w:t>15.6</w:t>
            </w:r>
            <w:r>
              <w:rPr>
                <w:bCs/>
                <w:color w:val="auto"/>
                <w:sz w:val="24"/>
                <w:highlight w:val="none"/>
              </w:rPr>
              <w:t>m</w:t>
            </w:r>
            <w:r>
              <w:rPr>
                <w:bCs/>
                <w:color w:val="auto"/>
                <w:sz w:val="24"/>
                <w:highlight w:val="none"/>
                <w:vertAlign w:val="superscript"/>
              </w:rPr>
              <w:t>3</w:t>
            </w:r>
            <w:r>
              <w:rPr>
                <w:color w:val="auto"/>
                <w:spacing w:val="-3"/>
                <w:sz w:val="24"/>
                <w:highlight w:val="none"/>
              </w:rPr>
              <w:t>。本项目初期雨水中所含有的污染物主要为SS，浓度在500~1000mg/m</w:t>
            </w:r>
            <w:r>
              <w:rPr>
                <w:color w:val="auto"/>
                <w:spacing w:val="-3"/>
                <w:sz w:val="24"/>
                <w:highlight w:val="none"/>
                <w:vertAlign w:val="superscript"/>
              </w:rPr>
              <w:t>3</w:t>
            </w:r>
            <w:r>
              <w:rPr>
                <w:color w:val="auto"/>
                <w:spacing w:val="-3"/>
                <w:sz w:val="24"/>
                <w:highlight w:val="none"/>
              </w:rPr>
              <w:t>之间</w:t>
            </w:r>
            <w:r>
              <w:rPr>
                <w:rFonts w:hint="default" w:ascii="Times New Roman" w:hAnsi="Times New Roman" w:cs="Times New Roman"/>
                <w:color w:val="auto"/>
                <w:kern w:val="0"/>
                <w:sz w:val="24"/>
                <w:highlight w:val="none"/>
                <w:lang w:bidi="ar"/>
              </w:rPr>
              <w:t>。</w:t>
            </w:r>
            <w:r>
              <w:rPr>
                <w:rFonts w:hint="eastAsia" w:cs="Times New Roman"/>
                <w:color w:val="auto"/>
                <w:kern w:val="0"/>
                <w:sz w:val="24"/>
                <w:highlight w:val="none"/>
                <w:lang w:val="en-US" w:eastAsia="zh-CN" w:bidi="ar"/>
              </w:rPr>
              <w:t>根据现场调查，厂区原有</w:t>
            </w:r>
            <w:r>
              <w:rPr>
                <w:rFonts w:hint="default" w:ascii="Times New Roman" w:hAnsi="Times New Roman" w:cs="Times New Roman"/>
                <w:color w:val="auto"/>
                <w:sz w:val="24"/>
                <w:highlight w:val="none"/>
              </w:rPr>
              <w:t>初期雨水收集池</w:t>
            </w:r>
            <w:r>
              <w:rPr>
                <w:rFonts w:hint="eastAsia" w:cs="Times New Roman"/>
                <w:color w:val="auto"/>
                <w:sz w:val="24"/>
                <w:highlight w:val="none"/>
                <w:lang w:val="en-US" w:eastAsia="zh-CN"/>
              </w:rPr>
              <w:t>未拆除</w:t>
            </w:r>
            <w:r>
              <w:rPr>
                <w:rFonts w:hint="eastAsia" w:cs="Times New Roman"/>
                <w:color w:val="auto"/>
                <w:sz w:val="24"/>
                <w:highlight w:val="none"/>
                <w:lang w:eastAsia="zh-CN"/>
              </w:rPr>
              <w:t>，</w:t>
            </w:r>
            <w:r>
              <w:rPr>
                <w:rFonts w:hint="eastAsia" w:cs="Times New Roman"/>
                <w:color w:val="auto"/>
                <w:sz w:val="24"/>
                <w:highlight w:val="none"/>
                <w:lang w:val="en-US" w:eastAsia="zh-CN"/>
              </w:rPr>
              <w:t>其容积为5</w:t>
            </w:r>
            <w:r>
              <w:rPr>
                <w:rFonts w:hint="eastAsia" w:cs="Times New Roman"/>
                <w:color w:val="auto"/>
                <w:kern w:val="0"/>
                <w:sz w:val="24"/>
                <w:highlight w:val="none"/>
                <w:lang w:val="en-US" w:eastAsia="zh-CN" w:bidi="ar"/>
              </w:rPr>
              <w:t>0</w:t>
            </w:r>
            <w:r>
              <w:rPr>
                <w:rFonts w:hint="default" w:ascii="Times New Roman" w:hAnsi="Times New Roman" w:cs="Times New Roman"/>
                <w:color w:val="auto"/>
                <w:kern w:val="0"/>
                <w:sz w:val="24"/>
                <w:highlight w:val="none"/>
                <w:lang w:bidi="ar"/>
              </w:rPr>
              <w:t>m</w:t>
            </w:r>
            <w:r>
              <w:rPr>
                <w:rFonts w:hint="default" w:ascii="Times New Roman" w:hAnsi="Times New Roman" w:cs="Times New Roman"/>
                <w:color w:val="auto"/>
                <w:kern w:val="0"/>
                <w:sz w:val="24"/>
                <w:highlight w:val="none"/>
                <w:vertAlign w:val="superscript"/>
                <w:lang w:bidi="ar"/>
              </w:rPr>
              <w:t>3</w:t>
            </w:r>
            <w:r>
              <w:rPr>
                <w:rFonts w:hint="eastAsia" w:cs="Times New Roman"/>
                <w:color w:val="auto"/>
                <w:kern w:val="0"/>
                <w:sz w:val="24"/>
                <w:highlight w:val="none"/>
                <w:lang w:val="en-US" w:eastAsia="zh-CN" w:bidi="ar"/>
              </w:rPr>
              <w:t>，构筑物无渗漏，故</w:t>
            </w:r>
            <w:r>
              <w:rPr>
                <w:rFonts w:hint="default" w:ascii="Times New Roman" w:hAnsi="Times New Roman" w:cs="Times New Roman"/>
                <w:color w:val="auto"/>
                <w:sz w:val="24"/>
                <w:highlight w:val="none"/>
              </w:rPr>
              <w:t>初期雨水收集池</w:t>
            </w:r>
            <w:r>
              <w:rPr>
                <w:rFonts w:hint="default" w:ascii="Times New Roman" w:hAnsi="Times New Roman" w:cs="Times New Roman"/>
                <w:color w:val="auto"/>
                <w:kern w:val="0"/>
                <w:sz w:val="24"/>
                <w:highlight w:val="none"/>
                <w:lang w:bidi="ar"/>
              </w:rPr>
              <w:t>满足项目初期雨水的收集。</w:t>
            </w:r>
            <w:r>
              <w:rPr>
                <w:rFonts w:hint="eastAsia" w:cs="Times New Roman"/>
                <w:color w:val="auto"/>
                <w:kern w:val="0"/>
                <w:sz w:val="24"/>
                <w:highlight w:val="none"/>
                <w:lang w:val="en-US" w:eastAsia="zh-CN" w:bidi="ar"/>
              </w:rPr>
              <w:t>最终进入沉淀池沉淀后回用于生产。</w:t>
            </w:r>
          </w:p>
          <w:p w14:paraId="370673F3">
            <w:pPr>
              <w:adjustRightInd w:val="0"/>
              <w:snapToGrid w:val="0"/>
              <w:spacing w:line="360" w:lineRule="auto"/>
              <w:ind w:firstLine="480" w:firstLineChars="200"/>
              <w:rPr>
                <w:rFonts w:hint="default" w:cs="Times New Roman"/>
                <w:color w:val="auto"/>
                <w:szCs w:val="21"/>
                <w:highlight w:val="none"/>
              </w:rPr>
            </w:pPr>
            <w:r>
              <w:rPr>
                <w:rFonts w:hint="default" w:ascii="Times New Roman" w:hAnsi="Times New Roman" w:cs="Times New Roman"/>
                <w:color w:val="auto"/>
                <w:sz w:val="24"/>
                <w:highlight w:val="none"/>
              </w:rPr>
              <w:t>综上所述，项目采取的废水处理措施合理可行。</w:t>
            </w:r>
          </w:p>
          <w:p w14:paraId="44241804">
            <w:pPr>
              <w:pStyle w:val="31"/>
              <w:rPr>
                <w:rFonts w:hint="default" w:cs="Times New Roman"/>
                <w:color w:val="auto"/>
                <w:szCs w:val="21"/>
                <w:highlight w:val="none"/>
                <w:lang w:val="en-US" w:eastAsia="zh-CN"/>
              </w:rPr>
            </w:pPr>
            <w:r>
              <w:rPr>
                <w:rFonts w:hint="default" w:cs="Times New Roman"/>
                <w:color w:val="auto"/>
                <w:szCs w:val="21"/>
                <w:highlight w:val="none"/>
              </w:rPr>
              <w:t>表4-</w:t>
            </w:r>
            <w:r>
              <w:rPr>
                <w:rFonts w:hint="eastAsia" w:cs="Times New Roman"/>
                <w:color w:val="auto"/>
                <w:szCs w:val="21"/>
                <w:highlight w:val="none"/>
                <w:lang w:val="en-US" w:eastAsia="zh-CN"/>
              </w:rPr>
              <w:t xml:space="preserve">4 </w:t>
            </w:r>
            <w:r>
              <w:rPr>
                <w:rFonts w:hint="default" w:cs="Times New Roman"/>
                <w:color w:val="auto"/>
                <w:szCs w:val="21"/>
                <w:highlight w:val="none"/>
                <w:lang w:val="en-US" w:eastAsia="zh-CN"/>
              </w:rPr>
              <w:t>废水类别、污染物及污染治理设施信息表</w:t>
            </w:r>
          </w:p>
          <w:tbl>
            <w:tblPr>
              <w:tblStyle w:val="24"/>
              <w:tblW w:w="4995" w:type="pct"/>
              <w:tblInd w:w="-5"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054"/>
              <w:gridCol w:w="2058"/>
              <w:gridCol w:w="3214"/>
              <w:gridCol w:w="3217"/>
            </w:tblGrid>
            <w:tr w14:paraId="115898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1EE91D3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产污环节</w:t>
                  </w:r>
                </w:p>
              </w:tc>
              <w:tc>
                <w:tcPr>
                  <w:tcW w:w="1684" w:type="pct"/>
                  <w:tcBorders>
                    <w:tl2br w:val="nil"/>
                    <w:tr2bl w:val="nil"/>
                  </w:tcBorders>
                  <w:noWrap w:val="0"/>
                  <w:vAlign w:val="center"/>
                </w:tcPr>
                <w:p w14:paraId="00C8C870">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生活污水</w:t>
                  </w:r>
                </w:p>
              </w:tc>
              <w:tc>
                <w:tcPr>
                  <w:tcW w:w="1685" w:type="pct"/>
                  <w:tcBorders>
                    <w:tl2br w:val="nil"/>
                    <w:tr2bl w:val="nil"/>
                  </w:tcBorders>
                  <w:noWrap w:val="0"/>
                  <w:vAlign w:val="center"/>
                </w:tcPr>
                <w:p w14:paraId="449C616B">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车辆冲洗废水</w:t>
                  </w:r>
                </w:p>
              </w:tc>
            </w:tr>
            <w:tr w14:paraId="27F6AE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1FEE0AD6">
                  <w:pPr>
                    <w:pStyle w:val="47"/>
                    <w:keepNext w:val="0"/>
                    <w:keepLines w:val="0"/>
                    <w:pageBreakBefore w:val="0"/>
                    <w:widowControl w:val="0"/>
                    <w:wordWrap/>
                    <w:topLinePunct w:val="0"/>
                    <w:bidi w:val="0"/>
                    <w:adjustRightInd w:val="0"/>
                    <w:snapToGrid w:val="0"/>
                    <w:spacing w:line="240" w:lineRule="auto"/>
                    <w:jc w:val="center"/>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a</w:t>
                  </w:r>
                </w:p>
              </w:tc>
              <w:tc>
                <w:tcPr>
                  <w:tcW w:w="1684" w:type="pct"/>
                  <w:tcBorders>
                    <w:tl2br w:val="nil"/>
                    <w:tr2bl w:val="nil"/>
                  </w:tcBorders>
                  <w:noWrap w:val="0"/>
                  <w:vAlign w:val="center"/>
                </w:tcPr>
                <w:p w14:paraId="1D23CA6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40</w:t>
                  </w:r>
                  <w:r>
                    <w:rPr>
                      <w:rFonts w:hint="eastAsia" w:ascii="Times New Roman" w:hAnsi="Times New Roman" w:eastAsia="宋体" w:cs="Times New Roman"/>
                      <w:color w:val="auto"/>
                      <w:sz w:val="21"/>
                      <w:szCs w:val="21"/>
                      <w:highlight w:val="none"/>
                      <w:lang w:val="en-US" w:eastAsia="zh-CN"/>
                    </w:rPr>
                    <w:t>0</w:t>
                  </w:r>
                </w:p>
              </w:tc>
              <w:tc>
                <w:tcPr>
                  <w:tcW w:w="1685" w:type="pct"/>
                  <w:tcBorders>
                    <w:tl2br w:val="nil"/>
                    <w:tr2bl w:val="nil"/>
                  </w:tcBorders>
                  <w:noWrap w:val="0"/>
                  <w:vAlign w:val="center"/>
                </w:tcPr>
                <w:p w14:paraId="556D9F12">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1229</w:t>
                  </w:r>
                </w:p>
              </w:tc>
            </w:tr>
            <w:tr w14:paraId="3C384B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21F044E8">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污染物种类</w:t>
                  </w:r>
                </w:p>
              </w:tc>
              <w:tc>
                <w:tcPr>
                  <w:tcW w:w="1684" w:type="pct"/>
                  <w:tcBorders>
                    <w:tl2br w:val="nil"/>
                    <w:tr2bl w:val="nil"/>
                  </w:tcBorders>
                  <w:noWrap w:val="0"/>
                  <w:vAlign w:val="center"/>
                </w:tcPr>
                <w:p w14:paraId="37D2EFCD">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COD</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SS</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r>
                    <w:rPr>
                      <w:rFonts w:hint="default" w:ascii="Times New Roman" w:hAnsi="Times New Roman" w:eastAsia="宋体" w:cs="Times New Roman"/>
                      <w:color w:val="auto"/>
                      <w:sz w:val="21"/>
                      <w:szCs w:val="21"/>
                      <w:highlight w:val="none"/>
                      <w:lang w:eastAsia="zh-CN"/>
                    </w:rPr>
                    <w:t>、</w:t>
                  </w:r>
                </w:p>
                <w:p w14:paraId="03249875">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TP、TN</w:t>
                  </w:r>
                </w:p>
              </w:tc>
              <w:tc>
                <w:tcPr>
                  <w:tcW w:w="1685" w:type="pct"/>
                  <w:tcBorders>
                    <w:tl2br w:val="nil"/>
                    <w:tr2bl w:val="nil"/>
                  </w:tcBorders>
                  <w:noWrap w:val="0"/>
                  <w:vAlign w:val="center"/>
                </w:tcPr>
                <w:p w14:paraId="2DB4EB7C">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SS</w:t>
                  </w:r>
                </w:p>
              </w:tc>
            </w:tr>
            <w:tr w14:paraId="160976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731BEB51">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污染物产生浓度mg/L</w:t>
                  </w:r>
                </w:p>
              </w:tc>
              <w:tc>
                <w:tcPr>
                  <w:tcW w:w="1684" w:type="pct"/>
                  <w:tcBorders>
                    <w:tl2br w:val="nil"/>
                    <w:tr2bl w:val="nil"/>
                  </w:tcBorders>
                  <w:noWrap w:val="0"/>
                  <w:vAlign w:val="center"/>
                </w:tcPr>
                <w:p w14:paraId="6BF75145">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85" w:type="pct"/>
                  <w:tcBorders>
                    <w:tl2br w:val="nil"/>
                    <w:tr2bl w:val="nil"/>
                  </w:tcBorders>
                  <w:noWrap w:val="0"/>
                  <w:vAlign w:val="center"/>
                </w:tcPr>
                <w:p w14:paraId="60AF9E71">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51345B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062EB51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污染物产生量t/a</w:t>
                  </w:r>
                </w:p>
              </w:tc>
              <w:tc>
                <w:tcPr>
                  <w:tcW w:w="1684" w:type="pct"/>
                  <w:tcBorders>
                    <w:tl2br w:val="nil"/>
                    <w:tr2bl w:val="nil"/>
                  </w:tcBorders>
                  <w:noWrap w:val="0"/>
                  <w:vAlign w:val="center"/>
                </w:tcPr>
                <w:p w14:paraId="6B3E837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685" w:type="pct"/>
                  <w:tcBorders>
                    <w:tl2br w:val="nil"/>
                    <w:tr2bl w:val="nil"/>
                  </w:tcBorders>
                  <w:noWrap w:val="0"/>
                  <w:vAlign w:val="center"/>
                </w:tcPr>
                <w:p w14:paraId="72AEDA32">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7F5BAD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restart"/>
                  <w:tcBorders>
                    <w:tl2br w:val="nil"/>
                    <w:tr2bl w:val="nil"/>
                  </w:tcBorders>
                  <w:noWrap w:val="0"/>
                  <w:vAlign w:val="center"/>
                </w:tcPr>
                <w:p w14:paraId="13CC2CFB">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污染治理设施</w:t>
                  </w:r>
                </w:p>
              </w:tc>
              <w:tc>
                <w:tcPr>
                  <w:tcW w:w="1078" w:type="pct"/>
                  <w:tcBorders>
                    <w:tl2br w:val="nil"/>
                    <w:tr2bl w:val="nil"/>
                  </w:tcBorders>
                  <w:noWrap w:val="0"/>
                  <w:vAlign w:val="center"/>
                </w:tcPr>
                <w:p w14:paraId="7253206F">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设施编号</w:t>
                  </w:r>
                </w:p>
              </w:tc>
              <w:tc>
                <w:tcPr>
                  <w:tcW w:w="1684" w:type="pct"/>
                  <w:tcBorders>
                    <w:tl2br w:val="nil"/>
                    <w:tr2bl w:val="nil"/>
                  </w:tcBorders>
                  <w:noWrap w:val="0"/>
                  <w:vAlign w:val="center"/>
                </w:tcPr>
                <w:p w14:paraId="5678616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TW001</w:t>
                  </w:r>
                </w:p>
              </w:tc>
              <w:tc>
                <w:tcPr>
                  <w:tcW w:w="1685" w:type="pct"/>
                  <w:tcBorders>
                    <w:tl2br w:val="nil"/>
                    <w:tr2bl w:val="nil"/>
                  </w:tcBorders>
                  <w:noWrap w:val="0"/>
                  <w:vAlign w:val="center"/>
                </w:tcPr>
                <w:p w14:paraId="509E99D7">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TW002</w:t>
                  </w:r>
                </w:p>
              </w:tc>
            </w:tr>
            <w:tr w14:paraId="29264B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continue"/>
                  <w:tcBorders>
                    <w:tl2br w:val="nil"/>
                    <w:tr2bl w:val="nil"/>
                  </w:tcBorders>
                  <w:noWrap w:val="0"/>
                  <w:vAlign w:val="center"/>
                </w:tcPr>
                <w:p w14:paraId="5847BD6D">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78" w:type="pct"/>
                  <w:tcBorders>
                    <w:tl2br w:val="nil"/>
                    <w:tr2bl w:val="nil"/>
                  </w:tcBorders>
                  <w:noWrap w:val="0"/>
                  <w:vAlign w:val="center"/>
                </w:tcPr>
                <w:p w14:paraId="66DC0534">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设施名称</w:t>
                  </w:r>
                </w:p>
              </w:tc>
              <w:tc>
                <w:tcPr>
                  <w:tcW w:w="1684" w:type="pct"/>
                  <w:tcBorders>
                    <w:tl2br w:val="nil"/>
                    <w:tr2bl w:val="nil"/>
                  </w:tcBorders>
                  <w:noWrap w:val="0"/>
                  <w:vAlign w:val="center"/>
                </w:tcPr>
                <w:p w14:paraId="08CBF3C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化粪池（</w:t>
                  </w:r>
                  <w:r>
                    <w:rPr>
                      <w:rFonts w:hint="eastAsia" w:eastAsia="宋体" w:cs="Times New Roman"/>
                      <w:color w:val="auto"/>
                      <w:sz w:val="21"/>
                      <w:szCs w:val="21"/>
                      <w:highlight w:val="none"/>
                      <w:lang w:val="en-US" w:eastAsia="zh-CN"/>
                    </w:rPr>
                    <w:t>75</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w:t>
                  </w:r>
                </w:p>
              </w:tc>
              <w:tc>
                <w:tcPr>
                  <w:tcW w:w="1685" w:type="pct"/>
                  <w:tcBorders>
                    <w:tl2br w:val="nil"/>
                    <w:tr2bl w:val="nil"/>
                  </w:tcBorders>
                  <w:noWrap w:val="0"/>
                  <w:vAlign w:val="center"/>
                </w:tcPr>
                <w:p w14:paraId="23182CCF">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沉淀池</w:t>
                  </w:r>
                  <w:r>
                    <w:rPr>
                      <w:rFonts w:hint="default" w:ascii="Times New Roman" w:hAnsi="Times New Roman"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w:t>
                  </w:r>
                </w:p>
              </w:tc>
            </w:tr>
            <w:tr w14:paraId="3663C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continue"/>
                  <w:tcBorders>
                    <w:tl2br w:val="nil"/>
                    <w:tr2bl w:val="nil"/>
                  </w:tcBorders>
                  <w:noWrap w:val="0"/>
                  <w:vAlign w:val="center"/>
                </w:tcPr>
                <w:p w14:paraId="2C700E16">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78" w:type="pct"/>
                  <w:tcBorders>
                    <w:tl2br w:val="nil"/>
                    <w:tr2bl w:val="nil"/>
                  </w:tcBorders>
                  <w:noWrap w:val="0"/>
                  <w:vAlign w:val="center"/>
                </w:tcPr>
                <w:p w14:paraId="79D41726">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设施建设</w:t>
                  </w:r>
                </w:p>
              </w:tc>
              <w:tc>
                <w:tcPr>
                  <w:tcW w:w="1684" w:type="pct"/>
                  <w:tcBorders>
                    <w:tl2br w:val="nil"/>
                    <w:tr2bl w:val="nil"/>
                  </w:tcBorders>
                  <w:noWrap w:val="0"/>
                  <w:vAlign w:val="center"/>
                </w:tcPr>
                <w:p w14:paraId="5A2855FC">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依托</w:t>
                  </w:r>
                </w:p>
              </w:tc>
              <w:tc>
                <w:tcPr>
                  <w:tcW w:w="1685" w:type="pct"/>
                  <w:tcBorders>
                    <w:tl2br w:val="nil"/>
                    <w:tr2bl w:val="nil"/>
                  </w:tcBorders>
                  <w:noWrap w:val="0"/>
                  <w:vAlign w:val="center"/>
                </w:tcPr>
                <w:p w14:paraId="17B93F5D">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依托</w:t>
                  </w:r>
                </w:p>
              </w:tc>
            </w:tr>
            <w:tr w14:paraId="5A383F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continue"/>
                  <w:tcBorders>
                    <w:tl2br w:val="nil"/>
                    <w:tr2bl w:val="nil"/>
                  </w:tcBorders>
                  <w:noWrap w:val="0"/>
                  <w:vAlign w:val="center"/>
                </w:tcPr>
                <w:p w14:paraId="4F2BE0C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78" w:type="pct"/>
                  <w:tcBorders>
                    <w:tl2br w:val="nil"/>
                    <w:tr2bl w:val="nil"/>
                  </w:tcBorders>
                  <w:shd w:val="clear" w:color="auto" w:fill="auto"/>
                  <w:noWrap w:val="0"/>
                  <w:vAlign w:val="center"/>
                </w:tcPr>
                <w:p w14:paraId="29B8055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处理工艺</w:t>
                  </w:r>
                </w:p>
              </w:tc>
              <w:tc>
                <w:tcPr>
                  <w:tcW w:w="1684" w:type="pct"/>
                  <w:tcBorders>
                    <w:tl2br w:val="nil"/>
                    <w:tr2bl w:val="nil"/>
                  </w:tcBorders>
                  <w:shd w:val="clear" w:color="auto" w:fill="auto"/>
                  <w:noWrap w:val="0"/>
                  <w:vAlign w:val="center"/>
                </w:tcPr>
                <w:p w14:paraId="2CE8BCB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沉淀</w:t>
                  </w:r>
                </w:p>
              </w:tc>
              <w:tc>
                <w:tcPr>
                  <w:tcW w:w="1685" w:type="pct"/>
                  <w:tcBorders>
                    <w:tl2br w:val="nil"/>
                    <w:tr2bl w:val="nil"/>
                  </w:tcBorders>
                  <w:shd w:val="clear" w:color="auto" w:fill="auto"/>
                  <w:noWrap w:val="0"/>
                  <w:vAlign w:val="center"/>
                </w:tcPr>
                <w:p w14:paraId="69924ECE">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沉淀</w:t>
                  </w:r>
                </w:p>
              </w:tc>
            </w:tr>
            <w:tr w14:paraId="44E874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continue"/>
                  <w:tcBorders>
                    <w:tl2br w:val="nil"/>
                    <w:tr2bl w:val="nil"/>
                  </w:tcBorders>
                  <w:noWrap w:val="0"/>
                  <w:vAlign w:val="center"/>
                </w:tcPr>
                <w:p w14:paraId="0D5684E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78" w:type="pct"/>
                  <w:tcBorders>
                    <w:tl2br w:val="nil"/>
                    <w:tr2bl w:val="nil"/>
                  </w:tcBorders>
                  <w:noWrap w:val="0"/>
                  <w:vAlign w:val="center"/>
                </w:tcPr>
                <w:p w14:paraId="0BE04BA7">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处理效率</w:t>
                  </w:r>
                </w:p>
              </w:tc>
              <w:tc>
                <w:tcPr>
                  <w:tcW w:w="1684" w:type="pct"/>
                  <w:tcBorders>
                    <w:tl2br w:val="nil"/>
                    <w:tr2bl w:val="nil"/>
                  </w:tcBorders>
                  <w:noWrap w:val="0"/>
                  <w:vAlign w:val="center"/>
                </w:tcPr>
                <w:p w14:paraId="5B4EC2B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85" w:type="pct"/>
                  <w:tcBorders>
                    <w:tl2br w:val="nil"/>
                    <w:tr2bl w:val="nil"/>
                  </w:tcBorders>
                  <w:noWrap w:val="0"/>
                  <w:vAlign w:val="center"/>
                </w:tcPr>
                <w:p w14:paraId="04AAF95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3A686A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52" w:type="pct"/>
                  <w:vMerge w:val="continue"/>
                  <w:tcBorders>
                    <w:tl2br w:val="nil"/>
                    <w:tr2bl w:val="nil"/>
                  </w:tcBorders>
                  <w:noWrap w:val="0"/>
                  <w:vAlign w:val="center"/>
                </w:tcPr>
                <w:p w14:paraId="123F8BA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078" w:type="pct"/>
                  <w:tcBorders>
                    <w:tl2br w:val="nil"/>
                    <w:tr2bl w:val="nil"/>
                  </w:tcBorders>
                  <w:noWrap w:val="0"/>
                  <w:vAlign w:val="center"/>
                </w:tcPr>
                <w:p w14:paraId="574E9D07">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是否可行</w:t>
                  </w:r>
                </w:p>
              </w:tc>
              <w:tc>
                <w:tcPr>
                  <w:tcW w:w="1684" w:type="pct"/>
                  <w:tcBorders>
                    <w:tl2br w:val="nil"/>
                    <w:tr2bl w:val="nil"/>
                  </w:tcBorders>
                  <w:noWrap w:val="0"/>
                  <w:vAlign w:val="center"/>
                </w:tcPr>
                <w:p w14:paraId="1536CC0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可行</w:t>
                  </w:r>
                </w:p>
              </w:tc>
              <w:tc>
                <w:tcPr>
                  <w:tcW w:w="1685" w:type="pct"/>
                  <w:tcBorders>
                    <w:tl2br w:val="nil"/>
                    <w:tr2bl w:val="nil"/>
                  </w:tcBorders>
                  <w:noWrap w:val="0"/>
                  <w:vAlign w:val="center"/>
                </w:tcPr>
                <w:p w14:paraId="5E3FDFD7">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可行</w:t>
                  </w:r>
                </w:p>
              </w:tc>
            </w:tr>
            <w:tr w14:paraId="31C8D9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360426D0">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污染物排放浓度</w:t>
                  </w:r>
                </w:p>
              </w:tc>
              <w:tc>
                <w:tcPr>
                  <w:tcW w:w="1684" w:type="pct"/>
                  <w:tcBorders>
                    <w:tl2br w:val="nil"/>
                    <w:tr2bl w:val="nil"/>
                  </w:tcBorders>
                  <w:noWrap w:val="0"/>
                  <w:vAlign w:val="center"/>
                </w:tcPr>
                <w:p w14:paraId="397B6C62">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85" w:type="pct"/>
                  <w:tcBorders>
                    <w:tl2br w:val="nil"/>
                    <w:tr2bl w:val="nil"/>
                  </w:tcBorders>
                  <w:noWrap w:val="0"/>
                  <w:vAlign w:val="center"/>
                </w:tcPr>
                <w:p w14:paraId="32AB10E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3C663C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0F57004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废水排放量m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/d</w:t>
                  </w:r>
                </w:p>
              </w:tc>
              <w:tc>
                <w:tcPr>
                  <w:tcW w:w="1684" w:type="pct"/>
                  <w:tcBorders>
                    <w:tl2br w:val="nil"/>
                    <w:tr2bl w:val="nil"/>
                  </w:tcBorders>
                  <w:noWrap w:val="0"/>
                  <w:vAlign w:val="center"/>
                </w:tcPr>
                <w:p w14:paraId="7F6E2270">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eastAsia="宋体" w:cs="Times New Roman"/>
                      <w:color w:val="auto"/>
                      <w:sz w:val="21"/>
                      <w:szCs w:val="21"/>
                      <w:highlight w:val="none"/>
                      <w:lang w:val="en-US" w:eastAsia="zh-CN"/>
                    </w:rPr>
                    <w:t>（不外排）</w:t>
                  </w:r>
                </w:p>
              </w:tc>
              <w:tc>
                <w:tcPr>
                  <w:tcW w:w="1685" w:type="pct"/>
                  <w:tcBorders>
                    <w:tl2br w:val="nil"/>
                    <w:tr2bl w:val="nil"/>
                  </w:tcBorders>
                  <w:noWrap w:val="0"/>
                  <w:vAlign w:val="center"/>
                </w:tcPr>
                <w:p w14:paraId="29679302">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eastAsia="宋体" w:cs="Times New Roman"/>
                      <w:color w:val="auto"/>
                      <w:sz w:val="21"/>
                      <w:szCs w:val="21"/>
                      <w:highlight w:val="none"/>
                      <w:lang w:val="en-US" w:eastAsia="zh-CN"/>
                    </w:rPr>
                    <w:t>（不外排）</w:t>
                  </w:r>
                </w:p>
              </w:tc>
            </w:tr>
            <w:tr w14:paraId="7AA0FA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50D79560">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污染物排放量t/a</w:t>
                  </w:r>
                </w:p>
              </w:tc>
              <w:tc>
                <w:tcPr>
                  <w:tcW w:w="1684" w:type="pct"/>
                  <w:tcBorders>
                    <w:tl2br w:val="nil"/>
                    <w:tr2bl w:val="nil"/>
                  </w:tcBorders>
                  <w:noWrap w:val="0"/>
                  <w:vAlign w:val="center"/>
                </w:tcPr>
                <w:p w14:paraId="212963DA">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685" w:type="pct"/>
                  <w:tcBorders>
                    <w:tl2br w:val="nil"/>
                    <w:tr2bl w:val="nil"/>
                  </w:tcBorders>
                  <w:noWrap w:val="0"/>
                  <w:vAlign w:val="center"/>
                </w:tcPr>
                <w:p w14:paraId="33FD7903">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1F9B00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30" w:type="pct"/>
                  <w:gridSpan w:val="2"/>
                  <w:tcBorders>
                    <w:tl2br w:val="nil"/>
                    <w:tr2bl w:val="nil"/>
                  </w:tcBorders>
                  <w:noWrap w:val="0"/>
                  <w:vAlign w:val="center"/>
                </w:tcPr>
                <w:p w14:paraId="3CFEA2D5">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排放去向</w:t>
                  </w:r>
                </w:p>
              </w:tc>
              <w:tc>
                <w:tcPr>
                  <w:tcW w:w="1684" w:type="pct"/>
                  <w:tcBorders>
                    <w:tl2br w:val="nil"/>
                    <w:tr2bl w:val="nil"/>
                  </w:tcBorders>
                  <w:noWrap w:val="0"/>
                  <w:vAlign w:val="center"/>
                </w:tcPr>
                <w:p w14:paraId="3307569C">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定期清掏，用作农肥</w:t>
                  </w:r>
                </w:p>
              </w:tc>
              <w:tc>
                <w:tcPr>
                  <w:tcW w:w="1685" w:type="pct"/>
                  <w:tcBorders>
                    <w:tl2br w:val="nil"/>
                    <w:tr2bl w:val="nil"/>
                  </w:tcBorders>
                  <w:noWrap w:val="0"/>
                  <w:vAlign w:val="center"/>
                </w:tcPr>
                <w:p w14:paraId="313E6EA2">
                  <w:pPr>
                    <w:pStyle w:val="47"/>
                    <w:keepNext w:val="0"/>
                    <w:keepLines w:val="0"/>
                    <w:pageBreakBefore w:val="0"/>
                    <w:widowControl w:val="0"/>
                    <w:wordWrap/>
                    <w:topLinePunct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沉淀后回用于洗车工序</w:t>
                  </w:r>
                </w:p>
              </w:tc>
            </w:tr>
          </w:tbl>
          <w:p w14:paraId="61BFB07B">
            <w:pPr>
              <w:adjustRightInd w:val="0"/>
              <w:snapToGrid w:val="0"/>
              <w:ind w:firstLine="482" w:firstLineChars="200"/>
              <w:contextualSpacing/>
              <w:rPr>
                <w:rFonts w:cs="Times New Roman"/>
                <w:b/>
                <w:bCs/>
                <w:color w:val="auto"/>
                <w:kern w:val="0"/>
                <w:highlight w:val="none"/>
              </w:rPr>
            </w:pPr>
            <w:r>
              <w:rPr>
                <w:rFonts w:hint="eastAsia" w:cs="Times New Roman"/>
                <w:b/>
                <w:bCs/>
                <w:color w:val="auto"/>
                <w:highlight w:val="none"/>
                <w:lang w:val="en-US" w:eastAsia="zh-CN"/>
              </w:rPr>
              <w:t>2、</w:t>
            </w:r>
            <w:r>
              <w:rPr>
                <w:rFonts w:cs="Times New Roman"/>
                <w:b/>
                <w:bCs/>
                <w:color w:val="auto"/>
                <w:kern w:val="0"/>
                <w:highlight w:val="none"/>
              </w:rPr>
              <w:t>废水治理措施可行性分析</w:t>
            </w:r>
          </w:p>
          <w:p w14:paraId="14E755A6">
            <w:pPr>
              <w:pStyle w:val="3"/>
              <w:keepNext/>
              <w:keepLines/>
              <w:pageBreakBefore w:val="0"/>
              <w:widowControl w:val="0"/>
              <w:kinsoku/>
              <w:wordWrap/>
              <w:overflowPunct/>
              <w:topLinePunct w:val="0"/>
              <w:autoSpaceDE/>
              <w:autoSpaceDN/>
              <w:bidi w:val="0"/>
              <w:adjustRightInd/>
              <w:snapToGrid/>
              <w:ind w:firstLine="480" w:firstLineChars="200"/>
              <w:textAlignment w:val="auto"/>
              <w:rPr>
                <w:rFonts w:hint="eastAsia" w:cs="Times New Roman"/>
                <w:b w:val="0"/>
                <w:bCs w:val="0"/>
                <w:color w:val="auto"/>
                <w:highlight w:val="none"/>
                <w:lang w:eastAsia="zh-CN"/>
              </w:rPr>
            </w:pPr>
            <w:r>
              <w:rPr>
                <w:rFonts w:hint="default" w:cs="Times New Roman"/>
                <w:b w:val="0"/>
                <w:bCs w:val="0"/>
                <w:color w:val="auto"/>
                <w:highlight w:val="none"/>
              </w:rPr>
              <w:t>本项目</w:t>
            </w:r>
            <w:r>
              <w:rPr>
                <w:rFonts w:hint="default" w:cs="Times New Roman"/>
                <w:b w:val="0"/>
                <w:bCs w:val="0"/>
                <w:color w:val="auto"/>
                <w:highlight w:val="none"/>
                <w:lang w:eastAsia="zh-CN"/>
              </w:rPr>
              <w:t>废水主要为</w:t>
            </w:r>
            <w:r>
              <w:rPr>
                <w:rFonts w:hint="eastAsia" w:cs="Times New Roman"/>
                <w:b w:val="0"/>
                <w:bCs w:val="0"/>
                <w:color w:val="auto"/>
                <w:highlight w:val="none"/>
                <w:lang w:eastAsia="zh-CN"/>
              </w:rPr>
              <w:t>职工</w:t>
            </w:r>
            <w:r>
              <w:rPr>
                <w:rFonts w:hint="default" w:cs="Times New Roman"/>
                <w:b w:val="0"/>
                <w:bCs w:val="0"/>
                <w:color w:val="auto"/>
                <w:highlight w:val="none"/>
                <w:lang w:eastAsia="zh-CN"/>
              </w:rPr>
              <w:t>生活污水和车辆冲洗</w:t>
            </w:r>
            <w:r>
              <w:rPr>
                <w:rFonts w:hint="default" w:cs="Times New Roman"/>
                <w:b w:val="0"/>
                <w:bCs w:val="0"/>
                <w:color w:val="auto"/>
                <w:highlight w:val="none"/>
              </w:rPr>
              <w:t>废水</w:t>
            </w:r>
            <w:r>
              <w:rPr>
                <w:rFonts w:hint="eastAsia" w:cs="Times New Roman"/>
                <w:b w:val="0"/>
                <w:bCs w:val="0"/>
                <w:color w:val="auto"/>
                <w:highlight w:val="none"/>
                <w:lang w:eastAsia="zh-CN"/>
              </w:rPr>
              <w:t>。</w:t>
            </w:r>
          </w:p>
          <w:p w14:paraId="685155FD">
            <w:pPr>
              <w:pStyle w:val="3"/>
              <w:keepNext/>
              <w:keepLines/>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b w:val="0"/>
                <w:bCs w:val="0"/>
                <w:color w:val="auto"/>
                <w:kern w:val="2"/>
                <w:sz w:val="24"/>
                <w:szCs w:val="22"/>
                <w:highlight w:val="none"/>
                <w:lang w:val="en-US" w:eastAsia="zh-CN" w:bidi="ar-SA"/>
              </w:rPr>
            </w:pPr>
            <w:r>
              <w:rPr>
                <w:rFonts w:hint="default" w:ascii="Times New Roman" w:hAnsi="Times New Roman" w:cs="Times New Roman"/>
                <w:b w:val="0"/>
                <w:bCs w:val="0"/>
                <w:color w:val="auto"/>
                <w:highlight w:val="none"/>
                <w:lang w:val="en-US" w:eastAsia="zh-CN"/>
              </w:rPr>
              <w:t>本项目职工</w:t>
            </w:r>
            <w:r>
              <w:rPr>
                <w:rFonts w:hint="default" w:ascii="Times New Roman" w:hAnsi="Times New Roman" w:cs="Times New Roman" w:eastAsiaTheme="minorEastAsia"/>
                <w:b w:val="0"/>
                <w:bCs w:val="0"/>
                <w:color w:val="auto"/>
                <w:kern w:val="2"/>
                <w:sz w:val="24"/>
                <w:szCs w:val="22"/>
                <w:highlight w:val="none"/>
                <w:lang w:val="en-US" w:eastAsia="zh-CN" w:bidi="ar-SA"/>
              </w:rPr>
              <w:t>生活污水</w:t>
            </w:r>
            <w:r>
              <w:rPr>
                <w:rFonts w:hint="default" w:ascii="Times New Roman" w:hAnsi="Times New Roman" w:cs="Times New Roman"/>
                <w:b w:val="0"/>
                <w:bCs w:val="0"/>
                <w:color w:val="auto"/>
                <w:highlight w:val="none"/>
                <w:lang w:eastAsia="zh-CN"/>
              </w:rPr>
              <w:t>产生量</w:t>
            </w:r>
            <w:r>
              <w:rPr>
                <w:rFonts w:hint="default" w:ascii="Times New Roman" w:hAnsi="Times New Roman" w:cs="Times New Roman"/>
                <w:b w:val="0"/>
                <w:bCs w:val="0"/>
                <w:color w:val="auto"/>
                <w:highlight w:val="none"/>
                <w:lang w:val="en-US" w:eastAsia="zh-CN"/>
              </w:rPr>
              <w:t>约1.33</w:t>
            </w:r>
            <w:r>
              <w:rPr>
                <w:rFonts w:hint="default" w:ascii="Times New Roman" w:hAnsi="Times New Roman" w:cs="Times New Roman"/>
                <w:b w:val="0"/>
                <w:bCs w:val="0"/>
                <w:color w:val="auto"/>
                <w:highlight w:val="none"/>
                <w:lang w:eastAsia="zh-CN"/>
              </w:rPr>
              <w:t>m</w:t>
            </w:r>
            <w:r>
              <w:rPr>
                <w:rFonts w:hint="default" w:ascii="Times New Roman" w:hAnsi="Times New Roman" w:cs="Times New Roman"/>
                <w:b w:val="0"/>
                <w:bCs w:val="0"/>
                <w:color w:val="auto"/>
                <w:highlight w:val="none"/>
                <w:vertAlign w:val="superscript"/>
                <w:lang w:eastAsia="zh-CN"/>
              </w:rPr>
              <w:t>3</w:t>
            </w:r>
            <w:r>
              <w:rPr>
                <w:rFonts w:hint="default" w:ascii="Times New Roman" w:hAnsi="Times New Roman" w:cs="Times New Roman"/>
                <w:b w:val="0"/>
                <w:bCs w:val="0"/>
                <w:color w:val="auto"/>
                <w:highlight w:val="none"/>
                <w:lang w:eastAsia="zh-CN"/>
              </w:rPr>
              <w:t>/d，</w:t>
            </w:r>
            <w:r>
              <w:rPr>
                <w:rFonts w:hint="default" w:ascii="Times New Roman" w:hAnsi="Times New Roman" w:cs="Times New Roman" w:eastAsiaTheme="minorEastAsia"/>
                <w:b w:val="0"/>
                <w:bCs w:val="0"/>
                <w:color w:val="auto"/>
                <w:kern w:val="2"/>
                <w:sz w:val="24"/>
                <w:szCs w:val="22"/>
                <w:highlight w:val="none"/>
                <w:lang w:val="en-US" w:eastAsia="zh-CN" w:bidi="ar-SA"/>
              </w:rPr>
              <w:t>经过现有化粪池</w:t>
            </w:r>
            <w:r>
              <w:rPr>
                <w:rFonts w:hint="default" w:ascii="Times New Roman" w:hAnsi="Times New Roman" w:cs="Times New Roman" w:eastAsiaTheme="minorEastAsia"/>
                <w:b w:val="0"/>
                <w:bCs w:val="0"/>
                <w:color w:val="auto"/>
                <w:kern w:val="2"/>
                <w:sz w:val="24"/>
                <w:szCs w:val="24"/>
                <w:highlight w:val="none"/>
                <w:lang w:val="en-US" w:eastAsia="zh-CN" w:bidi="ar-SA"/>
              </w:rPr>
              <w:t>处理</w:t>
            </w:r>
            <w:r>
              <w:rPr>
                <w:rFonts w:hint="default" w:ascii="Times New Roman" w:hAnsi="Times New Roman" w:cs="Times New Roman" w:eastAsiaTheme="minorEastAsia"/>
                <w:b w:val="0"/>
                <w:bCs w:val="0"/>
                <w:color w:val="auto"/>
                <w:kern w:val="2"/>
                <w:sz w:val="24"/>
                <w:szCs w:val="22"/>
                <w:highlight w:val="none"/>
                <w:lang w:val="en-US" w:eastAsia="zh-CN" w:bidi="ar-SA"/>
              </w:rPr>
              <w:t>后定期清掏，用作农肥，不外排。</w:t>
            </w:r>
            <w:r>
              <w:rPr>
                <w:rFonts w:hint="eastAsia" w:ascii="Times New Roman" w:hAnsi="Times New Roman" w:cs="Times New Roman" w:eastAsiaTheme="minorEastAsia"/>
                <w:b w:val="0"/>
                <w:bCs w:val="0"/>
                <w:color w:val="auto"/>
                <w:kern w:val="2"/>
                <w:sz w:val="24"/>
                <w:szCs w:val="22"/>
                <w:highlight w:val="none"/>
                <w:lang w:val="en-US" w:eastAsia="zh-CN" w:bidi="ar-SA"/>
              </w:rPr>
              <w:t>化粪池容积</w:t>
            </w:r>
            <w:r>
              <w:rPr>
                <w:rFonts w:hint="default" w:ascii="Times New Roman" w:hAnsi="Times New Roman" w:eastAsia="宋体" w:cs="Times New Roman"/>
                <w:b w:val="0"/>
                <w:bCs w:val="0"/>
                <w:color w:val="auto"/>
                <w:sz w:val="24"/>
                <w:szCs w:val="24"/>
                <w:highlight w:val="none"/>
                <w:lang w:val="en-US" w:eastAsia="zh-CN"/>
              </w:rPr>
              <w:t>75m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运行状态良好。故依托现有化粪池可行。</w:t>
            </w:r>
          </w:p>
          <w:p w14:paraId="5CC59B9C">
            <w:pPr>
              <w:adjustRightInd w:val="0"/>
              <w:snapToGrid w:val="0"/>
              <w:ind w:firstLine="480" w:firstLineChars="200"/>
              <w:rPr>
                <w:rFonts w:hint="eastAsia" w:cs="Times New Roman"/>
                <w:color w:val="auto"/>
                <w:highlight w:val="none"/>
                <w:lang w:val="en-US" w:eastAsia="zh-CN"/>
              </w:rPr>
            </w:pPr>
            <w:r>
              <w:rPr>
                <w:rFonts w:hint="eastAsia" w:cs="Times New Roman"/>
                <w:color w:val="auto"/>
                <w:highlight w:val="none"/>
                <w:lang w:eastAsia="zh-CN"/>
              </w:rPr>
              <w:t>车辆</w:t>
            </w:r>
            <w:r>
              <w:rPr>
                <w:rFonts w:hint="default" w:cs="Times New Roman"/>
                <w:color w:val="auto"/>
                <w:highlight w:val="none"/>
                <w:lang w:eastAsia="zh-CN"/>
              </w:rPr>
              <w:t>冲洗废水</w:t>
            </w:r>
            <w:r>
              <w:rPr>
                <w:rFonts w:hint="default" w:cs="Times New Roman"/>
                <w:color w:val="auto"/>
                <w:highlight w:val="none"/>
              </w:rPr>
              <w:t>中含有水泥、砂石等物质，悬浮物浓度较高，若未经收集、处理，会对本项目所在地及周边土壤甚至地下水环境造成影响。</w:t>
            </w:r>
            <w:r>
              <w:rPr>
                <w:rFonts w:hint="eastAsia" w:cs="Times New Roman"/>
                <w:color w:val="auto"/>
                <w:highlight w:val="none"/>
                <w:lang w:val="en-US" w:eastAsia="zh-CN"/>
              </w:rPr>
              <w:t>本项目</w:t>
            </w:r>
            <w:r>
              <w:rPr>
                <w:rFonts w:hint="default" w:cs="Times New Roman"/>
                <w:color w:val="auto"/>
                <w:highlight w:val="none"/>
                <w:lang w:val="en-US" w:eastAsia="zh-CN"/>
              </w:rPr>
              <w:t>车辆冲洗废水</w:t>
            </w:r>
            <w:r>
              <w:rPr>
                <w:rFonts w:hint="eastAsia" w:cs="Times New Roman"/>
                <w:color w:val="auto"/>
                <w:highlight w:val="none"/>
                <w:lang w:val="en-US" w:eastAsia="zh-CN"/>
              </w:rPr>
              <w:t>依托现有厂区</w:t>
            </w:r>
            <w:r>
              <w:rPr>
                <w:rFonts w:hint="default" w:cs="Times New Roman"/>
                <w:color w:val="auto"/>
                <w:highlight w:val="none"/>
                <w:lang w:eastAsia="zh-CN"/>
              </w:rPr>
              <w:t>进出场通道</w:t>
            </w:r>
            <w:r>
              <w:rPr>
                <w:rFonts w:hint="eastAsia" w:cs="Times New Roman"/>
                <w:color w:val="auto"/>
                <w:highlight w:val="none"/>
                <w:lang w:val="en-US" w:eastAsia="zh-CN"/>
              </w:rPr>
              <w:t>的</w:t>
            </w:r>
            <w:r>
              <w:rPr>
                <w:rFonts w:hint="default" w:cs="Times New Roman"/>
                <w:color w:val="auto"/>
                <w:highlight w:val="none"/>
                <w:lang w:eastAsia="zh-CN"/>
              </w:rPr>
              <w:t>洗车台</w:t>
            </w:r>
            <w:r>
              <w:rPr>
                <w:rFonts w:hint="eastAsia" w:cs="Times New Roman"/>
                <w:color w:val="auto"/>
                <w:highlight w:val="none"/>
                <w:lang w:val="en-US" w:eastAsia="zh-CN"/>
              </w:rPr>
              <w:t>和</w:t>
            </w:r>
            <w:r>
              <w:rPr>
                <w:rFonts w:hint="default" w:cs="Times New Roman"/>
                <w:color w:val="auto"/>
                <w:highlight w:val="none"/>
                <w:lang w:eastAsia="zh-CN"/>
              </w:rPr>
              <w:t>沉淀池</w:t>
            </w:r>
            <w:r>
              <w:rPr>
                <w:rFonts w:hint="default" w:cs="Times New Roman"/>
                <w:color w:val="auto"/>
                <w:highlight w:val="none"/>
                <w:lang w:val="en-US" w:eastAsia="zh-CN"/>
              </w:rPr>
              <w:t>（</w:t>
            </w:r>
            <w:r>
              <w:rPr>
                <w:rFonts w:hint="eastAsia" w:cs="Times New Roman"/>
                <w:color w:val="auto"/>
                <w:highlight w:val="none"/>
                <w:lang w:val="en-US" w:eastAsia="zh-CN"/>
              </w:rPr>
              <w:t>50</w:t>
            </w:r>
            <w:r>
              <w:rPr>
                <w:rFonts w:hint="default" w:cs="Times New Roman"/>
                <w:color w:val="auto"/>
                <w:highlight w:val="none"/>
                <w:lang w:val="en-US" w:eastAsia="zh-CN"/>
              </w:rPr>
              <w:t>m</w:t>
            </w:r>
            <w:r>
              <w:rPr>
                <w:rFonts w:hint="default" w:cs="Times New Roman"/>
                <w:color w:val="auto"/>
                <w:highlight w:val="none"/>
                <w:vertAlign w:val="superscript"/>
                <w:lang w:val="en-US" w:eastAsia="zh-CN"/>
              </w:rPr>
              <w:t>3</w:t>
            </w:r>
            <w:r>
              <w:rPr>
                <w:rFonts w:hint="default" w:cs="Times New Roman"/>
                <w:color w:val="auto"/>
                <w:highlight w:val="none"/>
                <w:lang w:val="en-US" w:eastAsia="zh-CN"/>
              </w:rPr>
              <w:t>）收集</w:t>
            </w:r>
            <w:r>
              <w:rPr>
                <w:rFonts w:hint="eastAsia" w:cs="Times New Roman"/>
                <w:color w:val="auto"/>
                <w:highlight w:val="none"/>
                <w:lang w:val="en-US" w:eastAsia="zh-CN"/>
              </w:rPr>
              <w:t>处理</w:t>
            </w:r>
            <w:r>
              <w:rPr>
                <w:rFonts w:hint="default" w:cs="Times New Roman"/>
                <w:color w:val="auto"/>
                <w:highlight w:val="none"/>
                <w:lang w:val="en-US" w:eastAsia="zh-CN"/>
              </w:rPr>
              <w:t>，</w:t>
            </w:r>
            <w:r>
              <w:rPr>
                <w:rFonts w:hint="eastAsia" w:cs="Times New Roman"/>
                <w:color w:val="auto"/>
                <w:highlight w:val="none"/>
                <w:lang w:val="en-US" w:eastAsia="zh-CN"/>
              </w:rPr>
              <w:t>产生的</w:t>
            </w:r>
            <w:r>
              <w:rPr>
                <w:rFonts w:hint="default" w:cs="Times New Roman"/>
                <w:color w:val="auto"/>
                <w:highlight w:val="none"/>
                <w:lang w:val="en-US" w:eastAsia="zh-CN"/>
              </w:rPr>
              <w:t>车辆冲洗废水1229</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/a（</w:t>
            </w:r>
            <w:r>
              <w:rPr>
                <w:rFonts w:hint="eastAsia" w:cs="Times New Roman"/>
                <w:color w:val="auto"/>
                <w:highlight w:val="none"/>
                <w:lang w:val="en-US" w:eastAsia="zh-CN"/>
              </w:rPr>
              <w:t>4.10</w:t>
            </w:r>
            <w:r>
              <w:rPr>
                <w:rFonts w:cs="Times New Roman"/>
                <w:color w:val="auto"/>
                <w:highlight w:val="none"/>
              </w:rPr>
              <w:t>m</w:t>
            </w:r>
            <w:r>
              <w:rPr>
                <w:rFonts w:cs="Times New Roman"/>
                <w:color w:val="auto"/>
                <w:highlight w:val="none"/>
                <w:vertAlign w:val="superscript"/>
              </w:rPr>
              <w:t>3</w:t>
            </w:r>
            <w:r>
              <w:rPr>
                <w:rFonts w:cs="Times New Roman"/>
                <w:color w:val="auto"/>
                <w:highlight w:val="none"/>
              </w:rPr>
              <w:t>/d）</w:t>
            </w:r>
            <w:r>
              <w:rPr>
                <w:rFonts w:hint="default" w:cs="Times New Roman"/>
                <w:color w:val="auto"/>
                <w:highlight w:val="none"/>
                <w:lang w:val="en-US" w:eastAsia="zh-CN"/>
              </w:rPr>
              <w:t>经</w:t>
            </w:r>
            <w:r>
              <w:rPr>
                <w:rFonts w:hint="eastAsia" w:cs="Times New Roman"/>
                <w:color w:val="auto"/>
                <w:highlight w:val="none"/>
                <w:lang w:val="en-US" w:eastAsia="zh-CN"/>
              </w:rPr>
              <w:t>沉淀池</w:t>
            </w:r>
            <w:r>
              <w:rPr>
                <w:rFonts w:hint="default" w:cs="Times New Roman"/>
                <w:color w:val="auto"/>
                <w:highlight w:val="none"/>
                <w:lang w:val="en-US" w:eastAsia="zh-CN"/>
              </w:rPr>
              <w:t>沉淀处理后</w:t>
            </w:r>
            <w:r>
              <w:rPr>
                <w:rFonts w:cs="Times New Roman"/>
                <w:color w:val="auto"/>
                <w:highlight w:val="none"/>
              </w:rPr>
              <w:t>上清液</w:t>
            </w:r>
            <w:r>
              <w:rPr>
                <w:rFonts w:hint="default" w:cs="Times New Roman"/>
                <w:color w:val="auto"/>
                <w:highlight w:val="none"/>
                <w:lang w:val="en-US" w:eastAsia="zh-CN"/>
              </w:rPr>
              <w:t>回用于车辆清洗</w:t>
            </w:r>
            <w:r>
              <w:rPr>
                <w:rFonts w:hint="eastAsia" w:cs="Times New Roman"/>
                <w:color w:val="auto"/>
                <w:highlight w:val="none"/>
                <w:lang w:val="en-US" w:eastAsia="zh-CN"/>
              </w:rPr>
              <w:t>，</w:t>
            </w:r>
            <w:r>
              <w:rPr>
                <w:rFonts w:hint="default" w:cs="Times New Roman"/>
                <w:color w:val="auto"/>
                <w:highlight w:val="none"/>
                <w:lang w:val="en-US" w:eastAsia="zh-CN"/>
              </w:rPr>
              <w:t>不外排</w:t>
            </w:r>
            <w:r>
              <w:rPr>
                <w:rFonts w:hint="eastAsia" w:cs="Times New Roman"/>
                <w:color w:val="auto"/>
                <w:highlight w:val="none"/>
                <w:lang w:val="en-US" w:eastAsia="zh-CN"/>
              </w:rPr>
              <w:t>。本项目车辆冲洗设施是一套节能、环保、循环利用水资源的简易系统，利用有组织的排水将冲洗车辆的污水汇集到沉淀池内，经过三级沉淀处理后再由水泵加压到给水管对车辆进行自动冲洗。车辆冲洗后的污水再汇集到池内沉淀，形成循环再利用（当池内水量不足时，可以通过自来水补水管进行水源补给），这样大大减少了水资源浪费。</w:t>
            </w:r>
          </w:p>
          <w:p w14:paraId="021E6094">
            <w:pPr>
              <w:adjustRightInd w:val="0"/>
              <w:snapToGrid w:val="0"/>
              <w:ind w:firstLine="480" w:firstLineChars="200"/>
              <w:rPr>
                <w:rFonts w:hint="eastAsia" w:cs="Times New Roman"/>
                <w:color w:val="auto"/>
                <w:highlight w:val="none"/>
                <w:lang w:val="en-US" w:eastAsia="zh-CN"/>
              </w:rPr>
            </w:pPr>
            <w:r>
              <w:rPr>
                <w:rFonts w:hint="default" w:cs="Times New Roman"/>
                <w:color w:val="auto"/>
                <w:highlight w:val="none"/>
                <w:lang w:val="en-US" w:eastAsia="zh-CN"/>
              </w:rPr>
              <w:t>综上所述，本项目废水均可得到合理处置，</w:t>
            </w:r>
            <w:r>
              <w:rPr>
                <w:rFonts w:hint="eastAsia" w:cs="Times New Roman"/>
                <w:color w:val="auto"/>
                <w:highlight w:val="none"/>
                <w:lang w:val="en-US" w:eastAsia="zh-CN"/>
              </w:rPr>
              <w:t>现有沉淀池可</w:t>
            </w:r>
            <w:r>
              <w:rPr>
                <w:rFonts w:hint="default" w:cs="Times New Roman"/>
                <w:color w:val="auto"/>
                <w:highlight w:val="none"/>
                <w:lang w:val="en-US" w:eastAsia="zh-CN"/>
              </w:rPr>
              <w:t>接纳本项目车辆冲洗废水</w:t>
            </w:r>
            <w:r>
              <w:rPr>
                <w:rFonts w:hint="eastAsia" w:cs="Times New Roman"/>
                <w:color w:val="auto"/>
                <w:highlight w:val="none"/>
                <w:lang w:val="en-US" w:eastAsia="zh-CN"/>
              </w:rPr>
              <w:t>，现有化粪池可完全接纳本项目生活污水产生量，</w:t>
            </w:r>
            <w:r>
              <w:rPr>
                <w:rFonts w:hint="default" w:cs="Times New Roman"/>
                <w:color w:val="auto"/>
                <w:highlight w:val="none"/>
                <w:lang w:val="en-US" w:eastAsia="zh-CN"/>
              </w:rPr>
              <w:t>废水处理技术可行。</w:t>
            </w:r>
          </w:p>
          <w:p w14:paraId="1A27667D">
            <w:pPr>
              <w:adjustRightInd w:val="0"/>
              <w:snapToGrid w:val="0"/>
              <w:ind w:firstLine="482" w:firstLineChars="200"/>
              <w:rPr>
                <w:rFonts w:cs="Times New Roman"/>
                <w:b/>
                <w:color w:val="auto"/>
                <w:highlight w:val="none"/>
              </w:rPr>
            </w:pPr>
            <w:r>
              <w:rPr>
                <w:rFonts w:hint="eastAsia" w:cs="Times New Roman"/>
                <w:b/>
                <w:color w:val="auto"/>
                <w:highlight w:val="none"/>
                <w:lang w:eastAsia="zh-CN"/>
              </w:rPr>
              <w:t>（</w:t>
            </w:r>
            <w:r>
              <w:rPr>
                <w:rFonts w:hint="eastAsia" w:cs="Times New Roman"/>
                <w:b/>
                <w:color w:val="auto"/>
                <w:highlight w:val="none"/>
                <w:lang w:val="en-US" w:eastAsia="zh-CN"/>
              </w:rPr>
              <w:t>三</w:t>
            </w:r>
            <w:r>
              <w:rPr>
                <w:rFonts w:hint="eastAsia" w:cs="Times New Roman"/>
                <w:b/>
                <w:color w:val="auto"/>
                <w:highlight w:val="none"/>
                <w:lang w:eastAsia="zh-CN"/>
              </w:rPr>
              <w:t>）</w:t>
            </w:r>
            <w:r>
              <w:rPr>
                <w:rFonts w:cs="Times New Roman"/>
                <w:b/>
                <w:color w:val="auto"/>
                <w:highlight w:val="none"/>
              </w:rPr>
              <w:t>噪声环境影响分析</w:t>
            </w:r>
          </w:p>
          <w:p w14:paraId="0C2C2AFC">
            <w:pPr>
              <w:adjustRightInd w:val="0"/>
              <w:snapToGrid w:val="0"/>
              <w:ind w:firstLine="482" w:firstLineChars="200"/>
              <w:rPr>
                <w:rFonts w:cs="Times New Roman"/>
                <w:b/>
                <w:bCs/>
                <w:color w:val="auto"/>
                <w:highlight w:val="none"/>
              </w:rPr>
            </w:pPr>
            <w:r>
              <w:rPr>
                <w:rFonts w:hint="eastAsia" w:cs="Times New Roman"/>
                <w:b/>
                <w:bCs/>
                <w:color w:val="auto"/>
                <w:highlight w:val="none"/>
                <w:lang w:val="en-US" w:eastAsia="zh-CN"/>
              </w:rPr>
              <w:t>1、</w:t>
            </w:r>
            <w:r>
              <w:rPr>
                <w:rFonts w:cs="Times New Roman"/>
                <w:b/>
                <w:bCs/>
                <w:color w:val="auto"/>
                <w:highlight w:val="none"/>
              </w:rPr>
              <w:t>源强分析</w:t>
            </w:r>
          </w:p>
          <w:p w14:paraId="5B64D0A2">
            <w:pPr>
              <w:spacing w:line="360" w:lineRule="auto"/>
              <w:ind w:firstLine="480" w:firstLineChars="200"/>
              <w:rPr>
                <w:rFonts w:hint="default" w:ascii="Times New Roman" w:hAnsi="Times New Roman" w:eastAsia="宋体" w:cs="Times New Roman"/>
                <w:color w:val="auto"/>
                <w:sz w:val="24"/>
                <w:highlight w:val="none"/>
                <w:lang w:eastAsia="zh-CN"/>
              </w:rPr>
            </w:pPr>
            <w:r>
              <w:rPr>
                <w:rFonts w:cs="Times New Roman"/>
                <w:color w:val="auto"/>
                <w:highlight w:val="none"/>
              </w:rPr>
              <w:t>经调查，本项目运营期</w:t>
            </w:r>
            <w:r>
              <w:rPr>
                <w:rFonts w:hint="default" w:ascii="Times New Roman" w:hAnsi="Times New Roman" w:eastAsia="宋体" w:cs="Times New Roman"/>
                <w:bCs/>
                <w:color w:val="auto"/>
                <w:sz w:val="24"/>
                <w:szCs w:val="24"/>
                <w:highlight w:val="none"/>
              </w:rPr>
              <w:t>噪声主要来源于</w:t>
            </w:r>
            <w:r>
              <w:rPr>
                <w:rFonts w:hint="eastAsia" w:eastAsia="宋体" w:cs="Times New Roman"/>
                <w:bCs/>
                <w:color w:val="auto"/>
                <w:sz w:val="24"/>
                <w:szCs w:val="24"/>
                <w:highlight w:val="none"/>
                <w:lang w:val="en-US" w:eastAsia="zh-CN"/>
              </w:rPr>
              <w:t>破碎机、筛分机、</w:t>
            </w:r>
            <w:r>
              <w:rPr>
                <w:rFonts w:hint="eastAsia" w:ascii="Times New Roman" w:hAnsi="Times New Roman" w:eastAsia="宋体" w:cs="Times New Roman"/>
                <w:bCs/>
                <w:color w:val="auto"/>
                <w:sz w:val="24"/>
                <w:szCs w:val="24"/>
                <w:highlight w:val="none"/>
                <w:lang w:eastAsia="zh-CN"/>
              </w:rPr>
              <w:t>搅拌</w:t>
            </w:r>
            <w:r>
              <w:rPr>
                <w:rFonts w:hint="eastAsia" w:ascii="Times New Roman" w:hAnsi="Times New Roman" w:eastAsia="宋体" w:cs="Times New Roman"/>
                <w:bCs/>
                <w:color w:val="auto"/>
                <w:sz w:val="24"/>
                <w:szCs w:val="24"/>
                <w:highlight w:val="none"/>
                <w:lang w:val="en-US" w:eastAsia="zh-CN"/>
              </w:rPr>
              <w:t>机</w:t>
            </w:r>
            <w:r>
              <w:rPr>
                <w:rFonts w:hint="default" w:ascii="Times New Roman" w:hAnsi="Times New Roman" w:eastAsia="宋体" w:cs="Times New Roman"/>
                <w:bCs/>
                <w:color w:val="auto"/>
                <w:sz w:val="24"/>
                <w:szCs w:val="24"/>
                <w:highlight w:val="none"/>
              </w:rPr>
              <w:t>等</w:t>
            </w:r>
            <w:r>
              <w:rPr>
                <w:rFonts w:hint="eastAsia" w:eastAsia="宋体" w:cs="Times New Roman"/>
                <w:bCs/>
                <w:color w:val="auto"/>
                <w:sz w:val="24"/>
                <w:szCs w:val="24"/>
                <w:highlight w:val="none"/>
                <w:lang w:val="en-US" w:eastAsia="zh-CN"/>
              </w:rPr>
              <w:t>生产设备</w:t>
            </w:r>
            <w:r>
              <w:rPr>
                <w:rFonts w:hint="default" w:ascii="Times New Roman" w:hAnsi="Times New Roman" w:eastAsia="宋体" w:cs="Times New Roman"/>
                <w:bCs/>
                <w:color w:val="auto"/>
                <w:sz w:val="24"/>
                <w:szCs w:val="24"/>
                <w:highlight w:val="none"/>
              </w:rPr>
              <w:t>所产生的机械噪声，以及风机等动力学噪声，</w:t>
            </w:r>
            <w:r>
              <w:rPr>
                <w:rFonts w:hint="default" w:ascii="Times New Roman" w:hAnsi="Times New Roman" w:eastAsia="宋体" w:cs="Times New Roman"/>
                <w:color w:val="auto"/>
                <w:sz w:val="24"/>
                <w:highlight w:val="none"/>
                <w:lang w:eastAsia="zh-CN"/>
              </w:rPr>
              <w:t>其噪声值约在</w:t>
            </w:r>
            <w:r>
              <w:rPr>
                <w:rFonts w:hint="eastAsia" w:ascii="Times New Roman" w:hAnsi="Times New Roman" w:eastAsia="宋体" w:cs="Times New Roman"/>
                <w:color w:val="auto"/>
                <w:sz w:val="24"/>
                <w:highlight w:val="none"/>
                <w:lang w:val="en-US" w:eastAsia="zh-CN"/>
              </w:rPr>
              <w:t>8</w:t>
            </w:r>
            <w:r>
              <w:rPr>
                <w:rFonts w:hint="eastAsia"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eastAsia="zh-CN"/>
              </w:rPr>
              <w:t>~9</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eastAsia="zh-CN"/>
              </w:rPr>
              <w:t>dB(A)范围内</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color w:val="auto"/>
                <w:sz w:val="24"/>
                <w:highlight w:val="none"/>
                <w:lang w:eastAsia="zh-CN"/>
              </w:rPr>
              <w:t>本项目</w:t>
            </w:r>
            <w:r>
              <w:rPr>
                <w:rFonts w:hint="eastAsia" w:ascii="Times New Roman" w:hAnsi="Times New Roman" w:eastAsia="宋体" w:cs="Times New Roman"/>
                <w:color w:val="auto"/>
                <w:sz w:val="24"/>
                <w:highlight w:val="none"/>
                <w:lang w:val="en-US" w:eastAsia="zh-CN"/>
              </w:rPr>
              <w:t>生产设备及风机</w:t>
            </w:r>
            <w:r>
              <w:rPr>
                <w:rFonts w:hint="eastAsia" w:ascii="Times New Roman" w:hAnsi="Times New Roman" w:eastAsia="宋体" w:cs="Times New Roman"/>
                <w:color w:val="auto"/>
                <w:sz w:val="24"/>
                <w:highlight w:val="none"/>
                <w:lang w:eastAsia="zh-CN"/>
              </w:rPr>
              <w:t>等</w:t>
            </w:r>
            <w:r>
              <w:rPr>
                <w:rFonts w:hint="default" w:ascii="Times New Roman" w:hAnsi="Times New Roman" w:eastAsia="宋体" w:cs="Times New Roman"/>
                <w:color w:val="auto"/>
                <w:sz w:val="24"/>
                <w:highlight w:val="none"/>
                <w:lang w:eastAsia="zh-CN"/>
              </w:rPr>
              <w:t>机械设备均选用低噪声设备、</w:t>
            </w:r>
            <w:r>
              <w:rPr>
                <w:rFonts w:hint="eastAsia" w:ascii="Times New Roman" w:hAnsi="Times New Roman" w:eastAsia="宋体" w:cs="Times New Roman"/>
                <w:color w:val="auto"/>
                <w:sz w:val="24"/>
                <w:highlight w:val="none"/>
                <w:lang w:val="en-US" w:eastAsia="zh-CN"/>
              </w:rPr>
              <w:t>采取</w:t>
            </w:r>
            <w:r>
              <w:rPr>
                <w:rFonts w:hint="default" w:ascii="Times New Roman" w:hAnsi="Times New Roman" w:eastAsia="宋体" w:cs="Times New Roman"/>
                <w:color w:val="auto"/>
                <w:sz w:val="24"/>
                <w:highlight w:val="none"/>
                <w:lang w:eastAsia="zh-CN"/>
              </w:rPr>
              <w:t>设备入室、基础减振等减振降噪措施。</w:t>
            </w:r>
          </w:p>
          <w:p w14:paraId="4CC06B10">
            <w:pPr>
              <w:adjustRightInd w:val="0"/>
              <w:snapToGrid w:val="0"/>
              <w:ind w:firstLine="480" w:firstLineChars="200"/>
              <w:rPr>
                <w:rFonts w:cs="Times New Roman"/>
                <w:color w:val="auto"/>
                <w:highlight w:val="none"/>
              </w:rPr>
            </w:pPr>
            <w:r>
              <w:rPr>
                <w:rFonts w:hint="default" w:ascii="Times New Roman" w:hAnsi="Times New Roman" w:eastAsia="宋体" w:cs="Times New Roman"/>
                <w:bCs/>
                <w:color w:val="auto"/>
                <w:sz w:val="24"/>
                <w:szCs w:val="24"/>
                <w:highlight w:val="none"/>
              </w:rPr>
              <w:t>企业拟对高噪声设备采取</w:t>
            </w:r>
            <w:r>
              <w:rPr>
                <w:rFonts w:hint="default" w:ascii="Times New Roman" w:hAnsi="Times New Roman" w:eastAsia="宋体" w:cs="Times New Roman"/>
                <w:color w:val="auto"/>
                <w:sz w:val="24"/>
                <w:highlight w:val="none"/>
                <w:lang w:eastAsia="zh-CN"/>
              </w:rPr>
              <w:t>厂房隔声，基础减振</w:t>
            </w:r>
            <w:r>
              <w:rPr>
                <w:rFonts w:hint="default" w:ascii="Times New Roman" w:hAnsi="Times New Roman" w:eastAsia="宋体" w:cs="Times New Roman"/>
                <w:bCs/>
                <w:color w:val="auto"/>
                <w:sz w:val="24"/>
                <w:szCs w:val="24"/>
                <w:highlight w:val="none"/>
              </w:rPr>
              <w:t>等</w:t>
            </w:r>
            <w:r>
              <w:rPr>
                <w:rFonts w:hint="default" w:ascii="Times New Roman" w:hAnsi="Times New Roman" w:eastAsia="宋体" w:cs="Times New Roman"/>
                <w:color w:val="auto"/>
                <w:sz w:val="24"/>
                <w:highlight w:val="none"/>
                <w:lang w:eastAsia="zh-CN"/>
              </w:rPr>
              <w:t>减振降噪</w:t>
            </w:r>
            <w:r>
              <w:rPr>
                <w:rFonts w:hint="default" w:ascii="Times New Roman" w:hAnsi="Times New Roman" w:eastAsia="宋体" w:cs="Times New Roman"/>
                <w:bCs/>
                <w:color w:val="auto"/>
                <w:sz w:val="24"/>
                <w:szCs w:val="24"/>
                <w:highlight w:val="none"/>
              </w:rPr>
              <w:t>措施，降低生产噪声对周围环境的影响。</w:t>
            </w:r>
            <w:r>
              <w:rPr>
                <w:rFonts w:hint="default" w:ascii="Times New Roman" w:hAnsi="Times New Roman" w:eastAsia="宋体" w:cs="Times New Roman"/>
                <w:bCs/>
                <w:color w:val="auto"/>
                <w:sz w:val="24"/>
                <w:highlight w:val="none"/>
              </w:rPr>
              <w:t>在采取措施以后，项目主要噪声源及排放情况见表</w:t>
            </w:r>
            <w:r>
              <w:rPr>
                <w:rFonts w:hint="eastAsia" w:ascii="Times New Roman" w:hAnsi="Times New Roman" w:eastAsia="宋体" w:cs="Times New Roman"/>
                <w:bCs/>
                <w:color w:val="auto"/>
                <w:sz w:val="24"/>
                <w:szCs w:val="24"/>
                <w:highlight w:val="none"/>
                <w:lang w:val="en-US" w:eastAsia="zh-CN"/>
              </w:rPr>
              <w:t>4-</w:t>
            </w:r>
            <w:r>
              <w:rPr>
                <w:rFonts w:hint="eastAsia" w:eastAsia="宋体" w:cs="Times New Roman"/>
                <w:bCs/>
                <w:color w:val="auto"/>
                <w:sz w:val="24"/>
                <w:szCs w:val="24"/>
                <w:highlight w:val="none"/>
                <w:lang w:val="en-US" w:eastAsia="zh-CN"/>
              </w:rPr>
              <w:t>5</w:t>
            </w:r>
            <w:r>
              <w:rPr>
                <w:rFonts w:hint="eastAsia" w:ascii="Times New Roman" w:hAnsi="Times New Roman" w:eastAsia="宋体" w:cs="Times New Roman"/>
                <w:bCs/>
                <w:color w:val="auto"/>
                <w:sz w:val="24"/>
                <w:szCs w:val="24"/>
                <w:highlight w:val="none"/>
                <w:lang w:val="en-US" w:eastAsia="zh-CN"/>
              </w:rPr>
              <w:t>。</w:t>
            </w:r>
          </w:p>
          <w:p w14:paraId="57524986">
            <w:pPr>
              <w:adjustRightInd w:val="0"/>
              <w:snapToGrid w:val="0"/>
              <w:ind w:firstLine="482" w:firstLineChars="200"/>
              <w:rPr>
                <w:rFonts w:cs="Times New Roman"/>
                <w:b/>
                <w:bCs/>
                <w:color w:val="auto"/>
                <w:highlight w:val="none"/>
              </w:rPr>
            </w:pPr>
            <w:r>
              <w:rPr>
                <w:rFonts w:hint="eastAsia" w:cs="Times New Roman"/>
                <w:b/>
                <w:bCs/>
                <w:color w:val="auto"/>
                <w:highlight w:val="none"/>
                <w:lang w:val="en-US" w:eastAsia="zh-CN"/>
              </w:rPr>
              <w:t>2、</w:t>
            </w:r>
            <w:r>
              <w:rPr>
                <w:rFonts w:cs="Times New Roman"/>
                <w:b/>
                <w:bCs/>
                <w:color w:val="auto"/>
                <w:highlight w:val="none"/>
              </w:rPr>
              <w:t>模型预测</w:t>
            </w:r>
            <w:r>
              <w:rPr>
                <w:rFonts w:hint="eastAsia" w:cs="Times New Roman"/>
                <w:b/>
                <w:bCs/>
                <w:color w:val="auto"/>
                <w:highlight w:val="none"/>
              </w:rPr>
              <w:t>与分析</w:t>
            </w:r>
          </w:p>
          <w:p w14:paraId="2DAE2864">
            <w:pPr>
              <w:adjustRightInd w:val="0"/>
              <w:snapToGrid w:val="0"/>
              <w:ind w:firstLine="380"/>
              <w:rPr>
                <w:rFonts w:cs="Times New Roman"/>
                <w:bCs/>
                <w:color w:val="auto"/>
                <w:highlight w:val="none"/>
              </w:rPr>
            </w:pPr>
            <w:r>
              <w:rPr>
                <w:rFonts w:cs="Times New Roman"/>
                <w:bCs/>
                <w:color w:val="auto"/>
                <w:highlight w:val="none"/>
              </w:rPr>
              <w:t>根据项目建设内容，本项目高噪声设备均位于室内，本次环评参考《环境影响评价技术导则 声环境》（HJ2.4-2021）附录A和附录B中预测模式对项目声环境影响进行分析，预测模型如下。</w:t>
            </w:r>
          </w:p>
          <w:p w14:paraId="4F616BA3">
            <w:pPr>
              <w:ind w:firstLine="482" w:firstLineChars="200"/>
              <w:rPr>
                <w:rFonts w:cs="Times New Roman"/>
                <w:b/>
                <w:bCs/>
                <w:color w:val="auto"/>
                <w:highlight w:val="none"/>
              </w:rPr>
            </w:pPr>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cs="Times New Roman"/>
                <w:b/>
                <w:bCs/>
                <w:color w:val="auto"/>
                <w:highlight w:val="none"/>
              </w:rPr>
              <w:t>附录B.1.3室内声源等效室外声源声功率级计算方法</w:t>
            </w:r>
          </w:p>
          <w:p w14:paraId="43AE7C17">
            <w:pPr>
              <w:ind w:firstLine="480" w:firstLineChars="200"/>
              <w:rPr>
                <w:rFonts w:cs="Times New Roman"/>
                <w:color w:val="auto"/>
                <w:highlight w:val="none"/>
              </w:rPr>
            </w:pPr>
            <w:r>
              <w:rPr>
                <w:rFonts w:cs="Times New Roman"/>
                <w:color w:val="auto"/>
                <w:highlight w:val="none"/>
              </w:rPr>
              <w:t>声源位于室内，室内声源可采用等效室外声源声功率级法进行计算。设靠近开口处（或窗户）室内、室外某倍频带的声压级或A声级分别为L</w:t>
            </w:r>
            <w:r>
              <w:rPr>
                <w:rFonts w:cs="Times New Roman"/>
                <w:color w:val="auto"/>
                <w:highlight w:val="none"/>
                <w:vertAlign w:val="subscript"/>
              </w:rPr>
              <w:t>p1</w:t>
            </w:r>
            <w:r>
              <w:rPr>
                <w:rFonts w:cs="Times New Roman"/>
                <w:color w:val="auto"/>
                <w:highlight w:val="none"/>
              </w:rPr>
              <w:t>和L</w:t>
            </w:r>
            <w:r>
              <w:rPr>
                <w:rFonts w:cs="Times New Roman"/>
                <w:color w:val="auto"/>
                <w:highlight w:val="none"/>
                <w:vertAlign w:val="subscript"/>
              </w:rPr>
              <w:t>p2</w:t>
            </w:r>
            <w:r>
              <w:rPr>
                <w:rFonts w:cs="Times New Roman"/>
                <w:color w:val="auto"/>
                <w:highlight w:val="none"/>
              </w:rPr>
              <w:t>。若声源所在室内声场为近似扩散声场，则室外的倍频带声压级可按式（B.1）近似求出：</w:t>
            </w:r>
          </w:p>
          <w:p w14:paraId="3B983DBA">
            <w:pPr>
              <w:jc w:val="center"/>
              <w:rPr>
                <w:rFonts w:cs="Times New Roman"/>
                <w:color w:val="auto"/>
                <w:highlight w:val="none"/>
              </w:rPr>
            </w:pPr>
            <w:r>
              <w:rPr>
                <w:rFonts w:hint="eastAsia" w:cs="Times New Roman"/>
                <w:color w:val="auto"/>
                <w:position w:val="-14"/>
                <w:highlight w:val="none"/>
                <w:lang w:val="en-US" w:eastAsia="zh-CN"/>
              </w:rPr>
              <w:t xml:space="preserve">                   </w:t>
            </w:r>
            <w:r>
              <w:rPr>
                <w:rFonts w:cs="Times New Roman"/>
                <w:color w:val="auto"/>
                <w:position w:val="-14"/>
                <w:highlight w:val="none"/>
              </w:rPr>
              <w:object>
                <v:shape id="_x0000_i1030" o:spt="75" type="#_x0000_t75" style="height:21.75pt;width:93.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cs="Times New Roman"/>
                <w:color w:val="auto"/>
                <w:highlight w:val="none"/>
              </w:rPr>
              <w:t xml:space="preserve">                      （B.1）</w:t>
            </w:r>
          </w:p>
          <w:p w14:paraId="4540A0CC">
            <w:pPr>
              <w:ind w:firstLine="480" w:firstLineChars="200"/>
              <w:rPr>
                <w:rFonts w:cs="Times New Roman"/>
                <w:color w:val="auto"/>
                <w:highlight w:val="none"/>
              </w:rPr>
            </w:pPr>
            <w:r>
              <w:rPr>
                <w:rFonts w:cs="Times New Roman"/>
                <w:color w:val="auto"/>
                <w:highlight w:val="none"/>
              </w:rPr>
              <w:t>式中：</w:t>
            </w:r>
            <w:r>
              <w:rPr>
                <w:rFonts w:cs="Times New Roman"/>
                <w:color w:val="auto"/>
                <w:position w:val="-14"/>
                <w:highlight w:val="none"/>
              </w:rPr>
              <w:object>
                <v:shape id="_x0000_i1031" o:spt="75" type="#_x0000_t75" style="height:21.75pt;width:21.7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cs="Times New Roman"/>
                <w:color w:val="auto"/>
                <w:highlight w:val="none"/>
              </w:rPr>
              <w:t>——靠近开口处（或窗户）室内某倍频带的声压级或A声级，dB；</w:t>
            </w:r>
          </w:p>
          <w:p w14:paraId="645A5348">
            <w:pPr>
              <w:ind w:firstLine="1200" w:firstLineChars="500"/>
              <w:rPr>
                <w:rFonts w:cs="Times New Roman"/>
                <w:color w:val="auto"/>
                <w:highlight w:val="none"/>
              </w:rPr>
            </w:pPr>
            <w:r>
              <w:rPr>
                <w:rFonts w:cs="Times New Roman"/>
                <w:color w:val="auto"/>
                <w:position w:val="-14"/>
                <w:highlight w:val="none"/>
              </w:rPr>
              <w:object>
                <v:shape id="_x0000_i1032" o:spt="75" type="#_x0000_t75" style="height:21.75pt;width:21.75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cs="Times New Roman"/>
                <w:color w:val="auto"/>
                <w:highlight w:val="none"/>
              </w:rPr>
              <w:t>——靠近开口处（或窗户）室外某倍频带的声压级或A声级，dB；</w:t>
            </w:r>
          </w:p>
          <w:p w14:paraId="63C8828B">
            <w:pPr>
              <w:ind w:firstLine="1200" w:firstLineChars="500"/>
              <w:rPr>
                <w:rFonts w:cs="Times New Roman"/>
                <w:color w:val="auto"/>
                <w:highlight w:val="none"/>
              </w:rPr>
            </w:pPr>
            <w:r>
              <w:rPr>
                <w:rFonts w:cs="Times New Roman"/>
                <w:color w:val="auto"/>
                <w:highlight w:val="none"/>
              </w:rPr>
              <w:t>TL——隔墙（或窗户）倍频带或A声级的隔声量，dB。</w:t>
            </w:r>
          </w:p>
          <w:p w14:paraId="79E38A8F">
            <w:pPr>
              <w:ind w:firstLine="480" w:firstLineChars="200"/>
              <w:rPr>
                <w:rFonts w:cs="Times New Roman"/>
                <w:color w:val="auto"/>
                <w:highlight w:val="none"/>
              </w:rPr>
            </w:pPr>
            <w:r>
              <w:rPr>
                <w:rFonts w:cs="Times New Roman"/>
                <w:color w:val="auto"/>
                <w:highlight w:val="none"/>
              </w:rPr>
              <w:t>也可按式（B.2）计算某一室内声源靠近围护结构处产生的倍频带声压级或A声级：</w:t>
            </w:r>
          </w:p>
          <w:p w14:paraId="032F6040">
            <w:pPr>
              <w:ind w:firstLine="480" w:firstLineChars="200"/>
              <w:jc w:val="center"/>
              <w:rPr>
                <w:rFonts w:cs="Times New Roman"/>
                <w:color w:val="auto"/>
                <w:highlight w:val="none"/>
              </w:rPr>
            </w:pPr>
            <w:r>
              <w:rPr>
                <w:rFonts w:hint="eastAsia" w:cs="Times New Roman"/>
                <w:color w:val="auto"/>
                <w:position w:val="-28"/>
                <w:highlight w:val="none"/>
                <w:lang w:val="en-US" w:eastAsia="zh-CN"/>
              </w:rPr>
              <w:t xml:space="preserve">               </w:t>
            </w:r>
            <w:r>
              <w:rPr>
                <w:rFonts w:cs="Times New Roman"/>
                <w:color w:val="auto"/>
                <w:position w:val="-28"/>
                <w:highlight w:val="none"/>
              </w:rPr>
              <w:object>
                <v:shape id="_x0000_i1033" o:spt="75" type="#_x0000_t75" style="height:36pt;width:129.7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cs="Times New Roman"/>
                <w:color w:val="auto"/>
                <w:highlight w:val="none"/>
              </w:rPr>
              <w:t xml:space="preserve">                （B.2）</w:t>
            </w:r>
          </w:p>
          <w:p w14:paraId="4A2291B2">
            <w:pPr>
              <w:ind w:firstLine="480" w:firstLineChars="200"/>
              <w:rPr>
                <w:rFonts w:cs="Times New Roman"/>
                <w:color w:val="auto"/>
                <w:highlight w:val="none"/>
              </w:rPr>
            </w:pPr>
            <w:r>
              <w:rPr>
                <w:rFonts w:cs="Times New Roman"/>
                <w:color w:val="auto"/>
                <w:highlight w:val="none"/>
              </w:rPr>
              <w:t>式中：</w:t>
            </w:r>
            <w:r>
              <w:rPr>
                <w:rFonts w:cs="Times New Roman"/>
                <w:color w:val="auto"/>
                <w:position w:val="-14"/>
                <w:highlight w:val="none"/>
              </w:rPr>
              <w:object>
                <v:shape id="_x0000_i1034" o:spt="75" type="#_x0000_t75" style="height:21.75pt;width:21.75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9">
                  <o:LockedField>false</o:LockedField>
                </o:OLEObject>
              </w:object>
            </w:r>
            <w:r>
              <w:rPr>
                <w:rFonts w:cs="Times New Roman"/>
                <w:color w:val="auto"/>
                <w:highlight w:val="none"/>
              </w:rPr>
              <w:t>——靠近开口处（或窗户）室内某倍频带的声压级或A声级，dB；</w:t>
            </w:r>
          </w:p>
          <w:p w14:paraId="36B79142">
            <w:pPr>
              <w:ind w:firstLine="1200" w:firstLineChars="500"/>
              <w:rPr>
                <w:rFonts w:cs="Times New Roman"/>
                <w:color w:val="auto"/>
                <w:highlight w:val="none"/>
              </w:rPr>
            </w:pPr>
            <w:r>
              <w:rPr>
                <w:rFonts w:cs="Times New Roman"/>
                <w:color w:val="auto"/>
                <w:position w:val="-12"/>
                <w:highlight w:val="none"/>
              </w:rPr>
              <w:object>
                <v:shape id="_x0000_i1035" o:spt="75" type="#_x0000_t75" style="height:21.75pt;width:14.25pt;" o:ole="t" filled="f" o:preferrelative="t" stroked="f" coordsize="21600,21600">
                  <v:path/>
                  <v:fill on="f" focussize="0,0"/>
                  <v:stroke on="f" joinstyle="miter"/>
                  <v:imagedata r:id="rId31" o:title=""/>
                  <o:lock v:ext="edit" aspectratio="t"/>
                  <w10:wrap type="none"/>
                  <w10:anchorlock/>
                </v:shape>
                <o:OLEObject Type="Embed" ProgID="Equation.3" ShapeID="_x0000_i1035" DrawAspect="Content" ObjectID="_1468075735" r:id="rId30">
                  <o:LockedField>false</o:LockedField>
                </o:OLEObject>
              </w:object>
            </w:r>
            <w:r>
              <w:rPr>
                <w:rFonts w:cs="Times New Roman"/>
                <w:color w:val="auto"/>
                <w:highlight w:val="none"/>
              </w:rPr>
              <w:t>——点声源声功率级（A计权或倍频带），dB；</w:t>
            </w:r>
          </w:p>
          <w:p w14:paraId="23F690B5">
            <w:pPr>
              <w:ind w:firstLine="1200" w:firstLineChars="500"/>
              <w:rPr>
                <w:rFonts w:cs="Times New Roman"/>
                <w:color w:val="auto"/>
                <w:highlight w:val="none"/>
              </w:rPr>
            </w:pPr>
            <w:r>
              <w:rPr>
                <w:rFonts w:cs="Times New Roman"/>
                <w:color w:val="auto"/>
                <w:position w:val="-10"/>
                <w:highlight w:val="none"/>
              </w:rPr>
              <w:object>
                <v:shape id="_x0000_i1036" o:spt="75" type="#_x0000_t75" style="height:14.25pt;width:14.25pt;" o:ole="t" filled="f" o:preferrelative="t" stroked="f" coordsize="21600,21600">
                  <v:path/>
                  <v:fill on="f" focussize="0,0"/>
                  <v:stroke on="f" joinstyle="miter"/>
                  <v:imagedata r:id="rId33" o:title=""/>
                  <o:lock v:ext="edit" aspectratio="t"/>
                  <w10:wrap type="none"/>
                  <w10:anchorlock/>
                </v:shape>
                <o:OLEObject Type="Embed" ProgID="Equation.3" ShapeID="_x0000_i1036" DrawAspect="Content" ObjectID="_1468075736" r:id="rId32">
                  <o:LockedField>false</o:LockedField>
                </o:OLEObject>
              </w:object>
            </w:r>
            <w:r>
              <w:rPr>
                <w:rFonts w:cs="Times New Roman"/>
                <w:color w:val="auto"/>
                <w:highlight w:val="none"/>
              </w:rPr>
              <w:t>——指向性因数；通常对无指向性声源，当声源放在房间中心时，</w:t>
            </w:r>
            <w:r>
              <w:rPr>
                <w:rFonts w:cs="Times New Roman"/>
                <w:color w:val="auto"/>
                <w:position w:val="-10"/>
                <w:highlight w:val="none"/>
              </w:rPr>
              <w:object>
                <v:shape id="_x0000_i1037" o:spt="75" type="#_x0000_t75" style="height:14.25pt;width:28.45pt;" o:ole="t" filled="f" o:preferrelative="t" stroked="f" coordsize="21600,21600">
                  <v:path/>
                  <v:fill on="f" focussize="0,0"/>
                  <v:stroke on="f" joinstyle="miter"/>
                  <v:imagedata r:id="rId35" o:title=""/>
                  <o:lock v:ext="edit" aspectratio="t"/>
                  <w10:wrap type="none"/>
                  <w10:anchorlock/>
                </v:shape>
                <o:OLEObject Type="Embed" ProgID="Equation.3" ShapeID="_x0000_i1037" DrawAspect="Content" ObjectID="_1468075737" r:id="rId34">
                  <o:LockedField>false</o:LockedField>
                </o:OLEObject>
              </w:object>
            </w:r>
            <w:r>
              <w:rPr>
                <w:rFonts w:cs="Times New Roman"/>
                <w:color w:val="auto"/>
                <w:highlight w:val="none"/>
              </w:rPr>
              <w:t>；当放在一面墙的中心时，</w:t>
            </w:r>
            <w:r>
              <w:rPr>
                <w:rFonts w:cs="Times New Roman"/>
                <w:color w:val="auto"/>
                <w:position w:val="-10"/>
                <w:highlight w:val="none"/>
              </w:rPr>
              <w:object>
                <v:shape id="_x0000_i1038" o:spt="75" type="#_x0000_t75" style="height:14.25pt;width:28.45pt;" o:ole="t"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8" r:id="rId36">
                  <o:LockedField>false</o:LockedField>
                </o:OLEObject>
              </w:object>
            </w:r>
            <w:r>
              <w:rPr>
                <w:rFonts w:cs="Times New Roman"/>
                <w:color w:val="auto"/>
                <w:highlight w:val="none"/>
              </w:rPr>
              <w:t>；当放在两面墙夹角处时，</w:t>
            </w:r>
            <w:r>
              <w:rPr>
                <w:rFonts w:cs="Times New Roman"/>
                <w:color w:val="auto"/>
                <w:position w:val="-10"/>
                <w:highlight w:val="none"/>
              </w:rPr>
              <w:object>
                <v:shape id="_x0000_i1039" o:spt="75" type="#_x0000_t75" style="height:14.25pt;width:28.45pt;" o:ole="t" filled="f" o:preferrelative="t" stroked="f" coordsize="21600,21600">
                  <v:path/>
                  <v:fill on="f" focussize="0,0"/>
                  <v:stroke on="f" joinstyle="miter"/>
                  <v:imagedata r:id="rId39" o:title=""/>
                  <o:lock v:ext="edit" aspectratio="t"/>
                  <w10:wrap type="none"/>
                  <w10:anchorlock/>
                </v:shape>
                <o:OLEObject Type="Embed" ProgID="Equation.3" ShapeID="_x0000_i1039" DrawAspect="Content" ObjectID="_1468075739" r:id="rId38">
                  <o:LockedField>false</o:LockedField>
                </o:OLEObject>
              </w:object>
            </w:r>
            <w:r>
              <w:rPr>
                <w:rFonts w:cs="Times New Roman"/>
                <w:color w:val="auto"/>
                <w:highlight w:val="none"/>
              </w:rPr>
              <w:t>；当放在三面墙夹角处时，</w:t>
            </w:r>
            <w:r>
              <w:rPr>
                <w:rFonts w:cs="Times New Roman"/>
                <w:color w:val="auto"/>
                <w:position w:val="-10"/>
                <w:highlight w:val="none"/>
              </w:rPr>
              <w:object>
                <v:shape id="_x0000_i1040" o:spt="75" type="#_x0000_t75" style="height:14.25pt;width:28.45pt;" o:ole="t" filled="f" o:preferrelative="t" stroked="f" coordsize="21600,21600">
                  <v:path/>
                  <v:fill on="f" focussize="0,0"/>
                  <v:stroke on="f" joinstyle="miter"/>
                  <v:imagedata r:id="rId41" o:title=""/>
                  <o:lock v:ext="edit" aspectratio="t"/>
                  <w10:wrap type="none"/>
                  <w10:anchorlock/>
                </v:shape>
                <o:OLEObject Type="Embed" ProgID="Equation.3" ShapeID="_x0000_i1040" DrawAspect="Content" ObjectID="_1468075740" r:id="rId40">
                  <o:LockedField>false</o:LockedField>
                </o:OLEObject>
              </w:object>
            </w:r>
            <w:r>
              <w:rPr>
                <w:rFonts w:cs="Times New Roman"/>
                <w:color w:val="auto"/>
                <w:highlight w:val="none"/>
              </w:rPr>
              <w:t>；</w:t>
            </w:r>
          </w:p>
          <w:p w14:paraId="64358372">
            <w:pPr>
              <w:ind w:firstLine="1200" w:firstLineChars="500"/>
              <w:rPr>
                <w:rFonts w:cs="Times New Roman"/>
                <w:color w:val="auto"/>
                <w:highlight w:val="none"/>
              </w:rPr>
            </w:pPr>
            <w:r>
              <w:rPr>
                <w:rFonts w:cs="Times New Roman"/>
                <w:color w:val="auto"/>
                <w:position w:val="-4"/>
                <w:highlight w:val="none"/>
              </w:rPr>
              <w:object>
                <v:shape id="_x0000_i1041" o:spt="75" type="#_x0000_t75" style="height:14.25pt;width:14.25pt;" o:ole="t" filled="f" o:preferrelative="t" stroked="f" coordsize="21600,21600">
                  <v:path/>
                  <v:fill on="f" focussize="0,0"/>
                  <v:stroke on="f" joinstyle="miter"/>
                  <v:imagedata r:id="rId43" o:title=""/>
                  <o:lock v:ext="edit" aspectratio="t"/>
                  <w10:wrap type="none"/>
                  <w10:anchorlock/>
                </v:shape>
                <o:OLEObject Type="Embed" ProgID="Equation.3" ShapeID="_x0000_i1041" DrawAspect="Content" ObjectID="_1468075741" r:id="rId42">
                  <o:LockedField>false</o:LockedField>
                </o:OLEObject>
              </w:object>
            </w:r>
            <w:r>
              <w:rPr>
                <w:rFonts w:cs="Times New Roman"/>
                <w:color w:val="auto"/>
                <w:highlight w:val="none"/>
              </w:rPr>
              <w:t>——房间常数；</w:t>
            </w:r>
            <w:r>
              <w:rPr>
                <w:rFonts w:cs="Times New Roman"/>
                <w:color w:val="auto"/>
                <w:position w:val="-10"/>
                <w:highlight w:val="none"/>
              </w:rPr>
              <w:object>
                <v:shape id="_x0000_i1042" o:spt="75" type="#_x0000_t75" style="height:21.75pt;width:72pt;" o:ole="t" filled="f" o:preferrelative="t" stroked="f" coordsize="21600,21600">
                  <v:path/>
                  <v:fill on="f" focussize="0,0"/>
                  <v:stroke on="f" joinstyle="miter"/>
                  <v:imagedata r:id="rId45" o:title=""/>
                  <o:lock v:ext="edit" aspectratio="t"/>
                  <w10:wrap type="none"/>
                  <w10:anchorlock/>
                </v:shape>
                <o:OLEObject Type="Embed" ProgID="Equation.3" ShapeID="_x0000_i1042" DrawAspect="Content" ObjectID="_1468075742" r:id="rId44">
                  <o:LockedField>false</o:LockedField>
                </o:OLEObject>
              </w:object>
            </w:r>
            <w:r>
              <w:rPr>
                <w:rFonts w:cs="Times New Roman"/>
                <w:color w:val="auto"/>
                <w:highlight w:val="none"/>
              </w:rPr>
              <w:t>，</w:t>
            </w:r>
            <w:r>
              <w:rPr>
                <w:rFonts w:cs="Times New Roman"/>
                <w:color w:val="auto"/>
                <w:position w:val="-6"/>
                <w:highlight w:val="none"/>
              </w:rPr>
              <w:object>
                <v:shape id="_x0000_i1043" o:spt="75" type="#_x0000_t75" style="height:14.25pt;width:14.25pt;" o:ole="t" filled="f" o:preferrelative="t" stroked="f" coordsize="21600,21600">
                  <v:path/>
                  <v:fill on="f" focussize="0,0"/>
                  <v:stroke on="f" joinstyle="miter"/>
                  <v:imagedata r:id="rId47" o:title=""/>
                  <o:lock v:ext="edit" aspectratio="t"/>
                  <w10:wrap type="none"/>
                  <w10:anchorlock/>
                </v:shape>
                <o:OLEObject Type="Embed" ProgID="Equation.3" ShapeID="_x0000_i1043" DrawAspect="Content" ObjectID="_1468075743" r:id="rId46">
                  <o:LockedField>false</o:LockedField>
                </o:OLEObject>
              </w:object>
            </w:r>
            <w:r>
              <w:rPr>
                <w:rFonts w:cs="Times New Roman"/>
                <w:color w:val="auto"/>
                <w:highlight w:val="none"/>
              </w:rPr>
              <w:t>为房间内表面面积，</w:t>
            </w:r>
            <w:r>
              <w:rPr>
                <w:rFonts w:cs="Times New Roman"/>
                <w:color w:val="auto"/>
                <w:position w:val="-6"/>
                <w:highlight w:val="none"/>
              </w:rPr>
              <w:object>
                <v:shape id="_x0000_i1044" o:spt="75" type="#_x0000_t75" style="height:14.25pt;width:21.75pt;" o:ole="t" filled="f" o:preferrelative="t" stroked="f" coordsize="21600,21600">
                  <v:path/>
                  <v:fill on="f" focussize="0,0"/>
                  <v:stroke on="f" joinstyle="miter"/>
                  <v:imagedata r:id="rId49" o:title=""/>
                  <o:lock v:ext="edit" aspectratio="t"/>
                  <w10:wrap type="none"/>
                  <w10:anchorlock/>
                </v:shape>
                <o:OLEObject Type="Embed" ProgID="Equation.3" ShapeID="_x0000_i1044" DrawAspect="Content" ObjectID="_1468075744" r:id="rId48">
                  <o:LockedField>false</o:LockedField>
                </o:OLEObject>
              </w:object>
            </w:r>
            <w:r>
              <w:rPr>
                <w:rFonts w:cs="Times New Roman"/>
                <w:color w:val="auto"/>
                <w:highlight w:val="none"/>
              </w:rPr>
              <w:t>；</w:t>
            </w:r>
            <w:r>
              <w:rPr>
                <w:rFonts w:cs="Times New Roman"/>
                <w:color w:val="auto"/>
                <w:position w:val="-6"/>
                <w:highlight w:val="none"/>
              </w:rPr>
              <w:object>
                <v:shape id="_x0000_i1045" o:spt="75" type="#_x0000_t75" style="height:14.25pt;width:14.25pt;" o:ole="t" filled="f" o:preferrelative="t" stroked="f" coordsize="21600,21600">
                  <v:path/>
                  <v:fill on="f" focussize="0,0"/>
                  <v:stroke on="f" joinstyle="miter"/>
                  <v:imagedata r:id="rId51" o:title=""/>
                  <o:lock v:ext="edit" aspectratio="t"/>
                  <w10:wrap type="none"/>
                  <w10:anchorlock/>
                </v:shape>
                <o:OLEObject Type="Embed" ProgID="Equation.3" ShapeID="_x0000_i1045" DrawAspect="Content" ObjectID="_1468075745" r:id="rId50">
                  <o:LockedField>false</o:LockedField>
                </o:OLEObject>
              </w:object>
            </w:r>
            <w:r>
              <w:rPr>
                <w:rFonts w:cs="Times New Roman"/>
                <w:color w:val="auto"/>
                <w:highlight w:val="none"/>
              </w:rPr>
              <w:t>为平均吸声系数；</w:t>
            </w:r>
          </w:p>
          <w:p w14:paraId="4148FE5B">
            <w:pPr>
              <w:ind w:firstLine="1200" w:firstLineChars="500"/>
              <w:rPr>
                <w:rFonts w:cs="Times New Roman"/>
                <w:color w:val="auto"/>
                <w:highlight w:val="none"/>
              </w:rPr>
            </w:pPr>
            <w:r>
              <w:rPr>
                <w:rFonts w:cs="Times New Roman"/>
                <w:color w:val="auto"/>
                <w:position w:val="-4"/>
                <w:highlight w:val="none"/>
              </w:rPr>
              <w:object>
                <v:shape id="_x0000_i1046" o:spt="75" type="#_x0000_t75" style="height:6.7pt;width:6.7pt;" o:ole="t" filled="f" o:preferrelative="t" stroked="f" coordsize="21600,21600">
                  <v:path/>
                  <v:fill on="f" focussize="0,0"/>
                  <v:stroke on="f" joinstyle="miter"/>
                  <v:imagedata r:id="rId53" o:title=""/>
                  <o:lock v:ext="edit" aspectratio="t"/>
                  <w10:wrap type="none"/>
                  <w10:anchorlock/>
                </v:shape>
                <o:OLEObject Type="Embed" ProgID="Equation.3" ShapeID="_x0000_i1046" DrawAspect="Content" ObjectID="_1468075746" r:id="rId52">
                  <o:LockedField>false</o:LockedField>
                </o:OLEObject>
              </w:object>
            </w:r>
            <w:r>
              <w:rPr>
                <w:rFonts w:cs="Times New Roman"/>
                <w:color w:val="auto"/>
                <w:highlight w:val="none"/>
              </w:rPr>
              <w:t>——声源到靠近围护结构某点处的距离，m。</w:t>
            </w:r>
          </w:p>
          <w:p w14:paraId="2DC50F2D">
            <w:pPr>
              <w:ind w:firstLine="480" w:firstLineChars="200"/>
              <w:rPr>
                <w:rFonts w:cs="Times New Roman"/>
                <w:color w:val="auto"/>
                <w:highlight w:val="none"/>
              </w:rPr>
            </w:pPr>
            <w:r>
              <w:rPr>
                <w:rFonts w:cs="Times New Roman"/>
                <w:color w:val="auto"/>
                <w:highlight w:val="none"/>
              </w:rPr>
              <w:t>然后按式（B.3）计算出所有室内声源在围护结构处产生的</w:t>
            </w:r>
            <w:r>
              <w:rPr>
                <w:rFonts w:cs="Times New Roman"/>
                <w:color w:val="auto"/>
                <w:position w:val="-6"/>
                <w:highlight w:val="none"/>
              </w:rPr>
              <w:object>
                <v:shape id="_x0000_i1047"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47" DrawAspect="Content" ObjectID="_1468075747" r:id="rId54">
                  <o:LockedField>false</o:LockedField>
                </o:OLEObject>
              </w:object>
            </w:r>
            <w:r>
              <w:rPr>
                <w:rFonts w:cs="Times New Roman"/>
                <w:color w:val="auto"/>
                <w:highlight w:val="none"/>
              </w:rPr>
              <w:t>倍频带叠加声压级：</w:t>
            </w:r>
          </w:p>
          <w:p w14:paraId="2311D3FB">
            <w:pPr>
              <w:ind w:firstLine="3120" w:firstLineChars="1300"/>
              <w:jc w:val="both"/>
              <w:rPr>
                <w:rFonts w:cs="Times New Roman"/>
                <w:color w:val="auto"/>
                <w:highlight w:val="none"/>
              </w:rPr>
            </w:pPr>
            <w:r>
              <w:rPr>
                <w:rFonts w:cs="Times New Roman"/>
                <w:color w:val="auto"/>
                <w:position w:val="-34"/>
                <w:highlight w:val="none"/>
              </w:rPr>
              <w:object>
                <v:shape id="_x0000_i1048" o:spt="75" type="#_x0000_t75" style="height:36pt;width:129.75pt;" o:ole="t" filled="f" o:preferrelative="t" stroked="f" coordsize="21600,21600">
                  <v:path/>
                  <v:fill on="f" focussize="0,0"/>
                  <v:stroke on="f" joinstyle="miter"/>
                  <v:imagedata r:id="rId57" o:title=""/>
                  <o:lock v:ext="edit" aspectratio="t"/>
                  <w10:wrap type="none"/>
                  <w10:anchorlock/>
                </v:shape>
                <o:OLEObject Type="Embed" ProgID="Equation.3" ShapeID="_x0000_i1048" DrawAspect="Content" ObjectID="_1468075748" r:id="rId56">
                  <o:LockedField>false</o:LockedField>
                </o:OLEObject>
              </w:object>
            </w:r>
            <w:r>
              <w:rPr>
                <w:rFonts w:cs="Times New Roman"/>
                <w:color w:val="auto"/>
                <w:highlight w:val="none"/>
              </w:rPr>
              <w:t xml:space="preserve">     </w:t>
            </w:r>
            <w:r>
              <w:rPr>
                <w:rFonts w:hint="eastAsia" w:cs="Times New Roman"/>
                <w:color w:val="auto"/>
                <w:highlight w:val="none"/>
                <w:lang w:val="en-US" w:eastAsia="zh-CN"/>
              </w:rPr>
              <w:t xml:space="preserve"> </w:t>
            </w:r>
            <w:r>
              <w:rPr>
                <w:rFonts w:cs="Times New Roman"/>
                <w:color w:val="auto"/>
                <w:highlight w:val="none"/>
              </w:rPr>
              <w:t xml:space="preserve">          （B.3）</w:t>
            </w:r>
          </w:p>
          <w:p w14:paraId="239CDB19">
            <w:pPr>
              <w:ind w:firstLine="480" w:firstLineChars="200"/>
              <w:rPr>
                <w:rFonts w:cs="Times New Roman"/>
                <w:color w:val="auto"/>
                <w:highlight w:val="none"/>
              </w:rPr>
            </w:pPr>
            <w:r>
              <w:rPr>
                <w:rFonts w:cs="Times New Roman"/>
                <w:color w:val="auto"/>
                <w:highlight w:val="none"/>
              </w:rPr>
              <w:t>式中：</w:t>
            </w:r>
            <w:r>
              <w:rPr>
                <w:rFonts w:cs="Times New Roman"/>
                <w:color w:val="auto"/>
                <w:position w:val="-14"/>
                <w:highlight w:val="none"/>
              </w:rPr>
              <w:object>
                <v:shape id="_x0000_i1049" o:spt="75" type="#_x0000_t75" style="height:21.75pt;width:36pt;" o:ole="t" filled="f" o:preferrelative="t" stroked="f" coordsize="21600,21600">
                  <v:path/>
                  <v:fill on="f" focussize="0,0"/>
                  <v:stroke on="f" joinstyle="miter"/>
                  <v:imagedata r:id="rId59" o:title=""/>
                  <o:lock v:ext="edit" aspectratio="t"/>
                  <w10:wrap type="none"/>
                  <w10:anchorlock/>
                </v:shape>
                <o:OLEObject Type="Embed" ProgID="Equation.3" ShapeID="_x0000_i1049" DrawAspect="Content" ObjectID="_1468075749" r:id="rId58">
                  <o:LockedField>false</o:LockedField>
                </o:OLEObject>
              </w:object>
            </w:r>
            <w:r>
              <w:rPr>
                <w:rFonts w:cs="Times New Roman"/>
                <w:color w:val="auto"/>
                <w:highlight w:val="none"/>
              </w:rPr>
              <w:t>——靠近围护结构处室内</w:t>
            </w:r>
            <w:r>
              <w:rPr>
                <w:rFonts w:cs="Times New Roman"/>
                <w:color w:val="auto"/>
                <w:position w:val="-6"/>
                <w:highlight w:val="none"/>
              </w:rPr>
              <w:object>
                <v:shape id="_x0000_i1050" o:spt="75" type="#_x0000_t75" style="height:14.25pt;width:14.25pt;" o:ole="t" filled="f" o:preferrelative="t" stroked="f" coordsize="21600,21600">
                  <v:path/>
                  <v:fill on="f" focussize="0,0"/>
                  <v:stroke on="f" joinstyle="miter"/>
                  <v:imagedata r:id="rId61" o:title=""/>
                  <o:lock v:ext="edit" aspectratio="t"/>
                  <w10:wrap type="none"/>
                  <w10:anchorlock/>
                </v:shape>
                <o:OLEObject Type="Embed" ProgID="Equation.3" ShapeID="_x0000_i1050" DrawAspect="Content" ObjectID="_1468075750" r:id="rId60">
                  <o:LockedField>false</o:LockedField>
                </o:OLEObject>
              </w:object>
            </w:r>
            <w:r>
              <w:rPr>
                <w:rFonts w:cs="Times New Roman"/>
                <w:color w:val="auto"/>
                <w:highlight w:val="none"/>
              </w:rPr>
              <w:t>个声源</w:t>
            </w:r>
            <w:r>
              <w:rPr>
                <w:rFonts w:cs="Times New Roman"/>
                <w:color w:val="auto"/>
                <w:position w:val="-6"/>
                <w:highlight w:val="none"/>
              </w:rPr>
              <w:object>
                <v:shape id="_x0000_i1051"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51" DrawAspect="Content" ObjectID="_1468075751" r:id="rId62">
                  <o:LockedField>false</o:LockedField>
                </o:OLEObject>
              </w:object>
            </w:r>
            <w:r>
              <w:rPr>
                <w:rFonts w:cs="Times New Roman"/>
                <w:color w:val="auto"/>
                <w:highlight w:val="none"/>
              </w:rPr>
              <w:t>倍频带的叠加声压级，dB；</w:t>
            </w:r>
          </w:p>
          <w:p w14:paraId="77AA43BD">
            <w:pPr>
              <w:ind w:firstLine="1200" w:firstLineChars="500"/>
              <w:rPr>
                <w:rFonts w:cs="Times New Roman"/>
                <w:color w:val="auto"/>
                <w:highlight w:val="none"/>
              </w:rPr>
            </w:pPr>
            <w:r>
              <w:rPr>
                <w:rFonts w:cs="Times New Roman"/>
                <w:color w:val="auto"/>
                <w:position w:val="-14"/>
                <w:highlight w:val="none"/>
              </w:rPr>
              <w:object>
                <v:shape id="_x0000_i1052" o:spt="75" type="#_x0000_t75" style="height:21.75pt;width:21.75pt;" o:ole="t" filled="f" o:preferrelative="t" stroked="f" coordsize="21600,21600">
                  <v:path/>
                  <v:fill on="f" focussize="0,0"/>
                  <v:stroke on="f" joinstyle="miter"/>
                  <v:imagedata r:id="rId64" o:title=""/>
                  <o:lock v:ext="edit" aspectratio="t"/>
                  <w10:wrap type="none"/>
                  <w10:anchorlock/>
                </v:shape>
                <o:OLEObject Type="Embed" ProgID="Equation.3" ShapeID="_x0000_i1052" DrawAspect="Content" ObjectID="_1468075752" r:id="rId63">
                  <o:LockedField>false</o:LockedField>
                </o:OLEObject>
              </w:object>
            </w:r>
            <w:r>
              <w:rPr>
                <w:rFonts w:cs="Times New Roman"/>
                <w:color w:val="auto"/>
                <w:highlight w:val="none"/>
              </w:rPr>
              <w:t>——室内</w:t>
            </w:r>
            <w:r>
              <w:rPr>
                <w:rFonts w:cs="Times New Roman"/>
                <w:color w:val="auto"/>
                <w:position w:val="-10"/>
                <w:highlight w:val="none"/>
              </w:rPr>
              <w:object>
                <v:shape id="_x0000_i1053" o:spt="75" type="#_x0000_t75" style="height:14.25pt;width:6.7pt;" o:ole="t" filled="f" o:preferrelative="t" stroked="f" coordsize="21600,21600">
                  <v:path/>
                  <v:fill on="f" focussize="0,0"/>
                  <v:stroke on="f" joinstyle="miter"/>
                  <v:imagedata r:id="rId66" o:title=""/>
                  <o:lock v:ext="edit" aspectratio="t"/>
                  <w10:wrap type="none"/>
                  <w10:anchorlock/>
                </v:shape>
                <o:OLEObject Type="Embed" ProgID="Equation.3" ShapeID="_x0000_i1053" DrawAspect="Content" ObjectID="_1468075753" r:id="rId65">
                  <o:LockedField>false</o:LockedField>
                </o:OLEObject>
              </w:object>
            </w:r>
            <w:r>
              <w:rPr>
                <w:rFonts w:cs="Times New Roman"/>
                <w:color w:val="auto"/>
                <w:highlight w:val="none"/>
              </w:rPr>
              <w:t>声源</w:t>
            </w:r>
            <w:r>
              <w:rPr>
                <w:rFonts w:cs="Times New Roman"/>
                <w:color w:val="auto"/>
                <w:position w:val="-6"/>
                <w:highlight w:val="none"/>
              </w:rPr>
              <w:object>
                <v:shape id="_x0000_i1054"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54" DrawAspect="Content" ObjectID="_1468075754" r:id="rId67">
                  <o:LockedField>false</o:LockedField>
                </o:OLEObject>
              </w:object>
            </w:r>
            <w:r>
              <w:rPr>
                <w:rFonts w:cs="Times New Roman"/>
                <w:color w:val="auto"/>
                <w:highlight w:val="none"/>
              </w:rPr>
              <w:t>倍频带的声压级，dB；</w:t>
            </w:r>
          </w:p>
          <w:p w14:paraId="1498912C">
            <w:pPr>
              <w:ind w:firstLine="1200" w:firstLineChars="500"/>
              <w:rPr>
                <w:rFonts w:cs="Times New Roman"/>
                <w:color w:val="auto"/>
                <w:highlight w:val="none"/>
              </w:rPr>
            </w:pPr>
            <w:r>
              <w:rPr>
                <w:rFonts w:cs="Times New Roman"/>
                <w:color w:val="auto"/>
                <w:position w:val="-6"/>
                <w:highlight w:val="none"/>
              </w:rPr>
              <w:object>
                <v:shape id="_x0000_i1055" o:spt="75" type="#_x0000_t75" style="height:14.25pt;width:14.25pt;" o:ole="t" filled="f" o:preferrelative="t" stroked="f" coordsize="21600,21600">
                  <v:path/>
                  <v:fill on="f" focussize="0,0"/>
                  <v:stroke on="f" joinstyle="miter"/>
                  <v:imagedata r:id="rId61" o:title=""/>
                  <o:lock v:ext="edit" aspectratio="t"/>
                  <w10:wrap type="none"/>
                  <w10:anchorlock/>
                </v:shape>
                <o:OLEObject Type="Embed" ProgID="Equation.3" ShapeID="_x0000_i1055" DrawAspect="Content" ObjectID="_1468075755" r:id="rId68">
                  <o:LockedField>false</o:LockedField>
                </o:OLEObject>
              </w:object>
            </w:r>
            <w:r>
              <w:rPr>
                <w:rFonts w:cs="Times New Roman"/>
                <w:color w:val="auto"/>
                <w:highlight w:val="none"/>
              </w:rPr>
              <w:t>——室内声源总数。</w:t>
            </w:r>
          </w:p>
          <w:p w14:paraId="698074F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cs="Times New Roman"/>
                <w:color w:val="auto"/>
                <w:highlight w:val="none"/>
              </w:rPr>
            </w:pPr>
            <w:r>
              <w:rPr>
                <w:rFonts w:cs="Times New Roman"/>
                <w:color w:val="auto"/>
                <w:highlight w:val="none"/>
              </w:rPr>
              <w:t>在室内近似为扩散声场时，按式（B.4）计算出靠近室外围护结构处的声压级：</w:t>
            </w:r>
          </w:p>
          <w:p w14:paraId="4CD6CD70">
            <w:pPr>
              <w:ind w:firstLine="480" w:firstLineChars="200"/>
              <w:jc w:val="center"/>
              <w:rPr>
                <w:rFonts w:cs="Times New Roman"/>
                <w:color w:val="auto"/>
                <w:highlight w:val="none"/>
              </w:rPr>
            </w:pPr>
            <w:r>
              <w:rPr>
                <w:rFonts w:hint="eastAsia" w:cs="Times New Roman"/>
                <w:color w:val="auto"/>
                <w:highlight w:val="none"/>
                <w:lang w:val="en-US" w:eastAsia="zh-CN"/>
              </w:rPr>
              <w:t xml:space="preserve">                </w:t>
            </w:r>
            <w:r>
              <w:rPr>
                <w:rFonts w:cs="Times New Roman"/>
                <w:color w:val="auto"/>
                <w:position w:val="-14"/>
                <w:highlight w:val="none"/>
              </w:rPr>
              <w:object>
                <v:shape id="_x0000_i1056" o:spt="75" type="#_x0000_t75" style="height:21.75pt;width:129.75pt;" o:ole="t" filled="f" o:preferrelative="t" stroked="f" coordsize="21600,21600">
                  <v:path/>
                  <v:fill on="f" focussize="0,0"/>
                  <v:stroke on="f" joinstyle="miter"/>
                  <v:imagedata r:id="rId70" o:title=""/>
                  <o:lock v:ext="edit" aspectratio="t"/>
                  <w10:wrap type="none"/>
                  <w10:anchorlock/>
                </v:shape>
                <o:OLEObject Type="Embed" ProgID="Equation.3" ShapeID="_x0000_i1056" DrawAspect="Content" ObjectID="_1468075756" r:id="rId69">
                  <o:LockedField>false</o:LockedField>
                </o:OLEObject>
              </w:object>
            </w:r>
            <w:r>
              <w:rPr>
                <w:rFonts w:cs="Times New Roman"/>
                <w:color w:val="auto"/>
                <w:highlight w:val="none"/>
              </w:rPr>
              <w:t xml:space="preserve">      </w:t>
            </w:r>
            <w:r>
              <w:rPr>
                <w:rFonts w:hint="eastAsia" w:cs="Times New Roman"/>
                <w:color w:val="auto"/>
                <w:highlight w:val="none"/>
                <w:lang w:val="en-US" w:eastAsia="zh-CN"/>
              </w:rPr>
              <w:t xml:space="preserve">  </w:t>
            </w:r>
            <w:r>
              <w:rPr>
                <w:rFonts w:cs="Times New Roman"/>
                <w:color w:val="auto"/>
                <w:highlight w:val="none"/>
              </w:rPr>
              <w:t xml:space="preserve">        （B.4）</w:t>
            </w:r>
          </w:p>
          <w:p w14:paraId="62D298BA">
            <w:pPr>
              <w:ind w:left="1267" w:leftChars="228" w:hanging="720" w:hangingChars="300"/>
              <w:rPr>
                <w:rFonts w:cs="Times New Roman"/>
                <w:color w:val="auto"/>
                <w:highlight w:val="none"/>
              </w:rPr>
            </w:pPr>
            <w:r>
              <w:rPr>
                <w:rFonts w:cs="Times New Roman"/>
                <w:color w:val="auto"/>
                <w:highlight w:val="none"/>
              </w:rPr>
              <w:t>式中：</w:t>
            </w:r>
            <w:r>
              <w:rPr>
                <w:rFonts w:cs="Times New Roman"/>
                <w:color w:val="auto"/>
                <w:position w:val="-14"/>
                <w:highlight w:val="none"/>
              </w:rPr>
              <w:object>
                <v:shape id="_x0000_i1057" o:spt="75" type="#_x0000_t75" style="height:21.75pt;width:36pt;" o:ole="t" filled="f" o:preferrelative="t" stroked="f" coordsize="21600,21600">
                  <v:path/>
                  <v:fill on="f" focussize="0,0"/>
                  <v:stroke on="f" joinstyle="miter"/>
                  <v:imagedata r:id="rId72" o:title=""/>
                  <o:lock v:ext="edit" aspectratio="t"/>
                  <w10:wrap type="none"/>
                  <w10:anchorlock/>
                </v:shape>
                <o:OLEObject Type="Embed" ProgID="Equation.3" ShapeID="_x0000_i1057" DrawAspect="Content" ObjectID="_1468075757" r:id="rId71">
                  <o:LockedField>false</o:LockedField>
                </o:OLEObject>
              </w:object>
            </w:r>
            <w:r>
              <w:rPr>
                <w:rFonts w:cs="Times New Roman"/>
                <w:color w:val="auto"/>
                <w:highlight w:val="none"/>
              </w:rPr>
              <w:t>——靠近围护结构处室外</w:t>
            </w:r>
            <w:r>
              <w:rPr>
                <w:rFonts w:cs="Times New Roman"/>
                <w:color w:val="auto"/>
                <w:position w:val="-6"/>
                <w:highlight w:val="none"/>
              </w:rPr>
              <w:object>
                <v:shape id="_x0000_i1058" o:spt="75" type="#_x0000_t75" style="height:14.25pt;width:14.25pt;" o:ole="t" filled="f" o:preferrelative="t" stroked="f" coordsize="21600,21600">
                  <v:path/>
                  <v:fill on="f" focussize="0,0"/>
                  <v:stroke on="f" joinstyle="miter"/>
                  <v:imagedata r:id="rId61" o:title=""/>
                  <o:lock v:ext="edit" aspectratio="t"/>
                  <w10:wrap type="none"/>
                  <w10:anchorlock/>
                </v:shape>
                <o:OLEObject Type="Embed" ProgID="Equation.3" ShapeID="_x0000_i1058" DrawAspect="Content" ObjectID="_1468075758" r:id="rId73">
                  <o:LockedField>false</o:LockedField>
                </o:OLEObject>
              </w:object>
            </w:r>
            <w:r>
              <w:rPr>
                <w:rFonts w:cs="Times New Roman"/>
                <w:color w:val="auto"/>
                <w:highlight w:val="none"/>
              </w:rPr>
              <w:t>个声源</w:t>
            </w:r>
            <w:r>
              <w:rPr>
                <w:rFonts w:cs="Times New Roman"/>
                <w:color w:val="auto"/>
                <w:position w:val="-6"/>
                <w:highlight w:val="none"/>
              </w:rPr>
              <w:object>
                <v:shape id="_x0000_i1059"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59" DrawAspect="Content" ObjectID="_1468075759" r:id="rId74">
                  <o:LockedField>false</o:LockedField>
                </o:OLEObject>
              </w:object>
            </w:r>
            <w:r>
              <w:rPr>
                <w:rFonts w:cs="Times New Roman"/>
                <w:color w:val="auto"/>
                <w:highlight w:val="none"/>
              </w:rPr>
              <w:t>倍频带的叠加声压级，dB；</w:t>
            </w:r>
            <w:r>
              <w:rPr>
                <w:rFonts w:cs="Times New Roman"/>
                <w:color w:val="auto"/>
                <w:position w:val="-14"/>
                <w:highlight w:val="none"/>
              </w:rPr>
              <w:object>
                <v:shape id="_x0000_i1060" o:spt="75" type="#_x0000_t75" style="height:21.75pt;width:36pt;" o:ole="t" filled="f" o:preferrelative="t" stroked="f" coordsize="21600,21600">
                  <v:path/>
                  <v:fill on="f" focussize="0,0"/>
                  <v:stroke on="f" joinstyle="miter"/>
                  <v:imagedata r:id="rId76" o:title=""/>
                  <o:lock v:ext="edit" aspectratio="t"/>
                  <w10:wrap type="none"/>
                  <w10:anchorlock/>
                </v:shape>
                <o:OLEObject Type="Embed" ProgID="Equation.3" ShapeID="_x0000_i1060" DrawAspect="Content" ObjectID="_1468075760" r:id="rId75">
                  <o:LockedField>false</o:LockedField>
                </o:OLEObject>
              </w:object>
            </w:r>
            <w:r>
              <w:rPr>
                <w:rFonts w:cs="Times New Roman"/>
                <w:color w:val="auto"/>
                <w:highlight w:val="none"/>
              </w:rPr>
              <w:t>——靠近围护结构处室内</w:t>
            </w:r>
            <w:r>
              <w:rPr>
                <w:rFonts w:cs="Times New Roman"/>
                <w:color w:val="auto"/>
                <w:position w:val="-6"/>
                <w:highlight w:val="none"/>
              </w:rPr>
              <w:object>
                <v:shape id="_x0000_i1061" o:spt="75" type="#_x0000_t75" style="height:14.25pt;width:14.25pt;" o:ole="t" filled="f" o:preferrelative="t" stroked="f" coordsize="21600,21600">
                  <v:path/>
                  <v:fill on="f" focussize="0,0"/>
                  <v:stroke on="f" joinstyle="miter"/>
                  <v:imagedata r:id="rId61" o:title=""/>
                  <o:lock v:ext="edit" aspectratio="t"/>
                  <w10:wrap type="none"/>
                  <w10:anchorlock/>
                </v:shape>
                <o:OLEObject Type="Embed" ProgID="Equation.3" ShapeID="_x0000_i1061" DrawAspect="Content" ObjectID="_1468075761" r:id="rId77">
                  <o:LockedField>false</o:LockedField>
                </o:OLEObject>
              </w:object>
            </w:r>
            <w:r>
              <w:rPr>
                <w:rFonts w:cs="Times New Roman"/>
                <w:color w:val="auto"/>
                <w:highlight w:val="none"/>
              </w:rPr>
              <w:t>个声源</w:t>
            </w:r>
            <w:r>
              <w:rPr>
                <w:rFonts w:cs="Times New Roman"/>
                <w:color w:val="auto"/>
                <w:position w:val="-6"/>
                <w:highlight w:val="none"/>
              </w:rPr>
              <w:object>
                <v:shape id="_x0000_i1062"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62" DrawAspect="Content" ObjectID="_1468075762" r:id="rId78">
                  <o:LockedField>false</o:LockedField>
                </o:OLEObject>
              </w:object>
            </w:r>
            <w:r>
              <w:rPr>
                <w:rFonts w:cs="Times New Roman"/>
                <w:color w:val="auto"/>
                <w:highlight w:val="none"/>
              </w:rPr>
              <w:t>倍频带的叠加声压级，dB；</w:t>
            </w:r>
          </w:p>
          <w:p w14:paraId="01951BAF">
            <w:pPr>
              <w:ind w:firstLine="1200" w:firstLineChars="500"/>
              <w:rPr>
                <w:rFonts w:cs="Times New Roman"/>
                <w:color w:val="auto"/>
                <w:highlight w:val="none"/>
              </w:rPr>
            </w:pPr>
            <w:r>
              <w:rPr>
                <w:rFonts w:cs="Times New Roman"/>
                <w:color w:val="auto"/>
                <w:position w:val="-12"/>
                <w:highlight w:val="none"/>
              </w:rPr>
              <w:object>
                <v:shape id="_x0000_i1063" o:spt="75" type="#_x0000_t75" style="height:21.75pt;width:21.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cs="Times New Roman"/>
                <w:color w:val="auto"/>
                <w:highlight w:val="none"/>
              </w:rPr>
              <w:t>——围护结构</w:t>
            </w:r>
            <w:r>
              <w:rPr>
                <w:rFonts w:cs="Times New Roman"/>
                <w:color w:val="auto"/>
                <w:position w:val="-6"/>
                <w:highlight w:val="none"/>
              </w:rPr>
              <w:object>
                <v:shape id="_x0000_i1064" o:spt="75" type="#_x0000_t75" style="height:14.25pt;width:6.7pt;" o:ole="t" filled="f" o:preferrelative="t" stroked="f" coordsize="21600,21600">
                  <v:path/>
                  <v:fill on="f" focussize="0,0"/>
                  <v:stroke on="f" joinstyle="miter"/>
                  <v:imagedata r:id="rId55" o:title=""/>
                  <o:lock v:ext="edit" aspectratio="t"/>
                  <w10:wrap type="none"/>
                  <w10:anchorlock/>
                </v:shape>
                <o:OLEObject Type="Embed" ProgID="Equation.3" ShapeID="_x0000_i1064" DrawAspect="Content" ObjectID="_1468075764" r:id="rId81">
                  <o:LockedField>false</o:LockedField>
                </o:OLEObject>
              </w:object>
            </w:r>
            <w:r>
              <w:rPr>
                <w:rFonts w:cs="Times New Roman"/>
                <w:color w:val="auto"/>
                <w:highlight w:val="none"/>
              </w:rPr>
              <w:t>倍频带的隔声量，dB。</w:t>
            </w:r>
          </w:p>
          <w:p w14:paraId="5F0165C5">
            <w:pPr>
              <w:ind w:firstLine="480" w:firstLineChars="200"/>
              <w:rPr>
                <w:rFonts w:cs="Times New Roman"/>
                <w:color w:val="auto"/>
                <w:highlight w:val="none"/>
              </w:rPr>
            </w:pPr>
            <w:r>
              <w:rPr>
                <w:rFonts w:cs="Times New Roman"/>
                <w:color w:val="auto"/>
                <w:highlight w:val="none"/>
              </w:rPr>
              <w:t>然后按式（B.5）将室外声源的声压级和透过面积换算成等效的室外声源，计算出中心位置位于透声面积（</w:t>
            </w:r>
            <w:r>
              <w:rPr>
                <w:rFonts w:cs="Times New Roman"/>
                <w:color w:val="auto"/>
                <w:position w:val="-6"/>
                <w:highlight w:val="none"/>
              </w:rPr>
              <w:object>
                <v:shape id="_x0000_i1065" o:spt="75" type="#_x0000_t75" style="height:14.25pt;width:14.25pt;" o:ole="t" filled="f" o:preferrelative="t" stroked="f" coordsize="21600,21600">
                  <v:path/>
                  <v:fill on="f" focussize="0,0"/>
                  <v:stroke on="f" joinstyle="miter"/>
                  <v:imagedata r:id="rId83" o:title=""/>
                  <o:lock v:ext="edit" aspectratio="t"/>
                  <w10:wrap type="none"/>
                  <w10:anchorlock/>
                </v:shape>
                <o:OLEObject Type="Embed" ProgID="Equation.3" ShapeID="_x0000_i1065" DrawAspect="Content" ObjectID="_1468075765" r:id="rId82">
                  <o:LockedField>false</o:LockedField>
                </o:OLEObject>
              </w:object>
            </w:r>
            <w:r>
              <w:rPr>
                <w:rFonts w:cs="Times New Roman"/>
                <w:color w:val="auto"/>
                <w:highlight w:val="none"/>
              </w:rPr>
              <w:t>）处的等效声源的倍频带声功率级。</w:t>
            </w:r>
          </w:p>
          <w:p w14:paraId="3FF99C88">
            <w:pPr>
              <w:ind w:firstLine="480" w:firstLineChars="200"/>
              <w:jc w:val="center"/>
              <w:rPr>
                <w:rFonts w:cs="Times New Roman"/>
                <w:color w:val="auto"/>
                <w:highlight w:val="none"/>
              </w:rPr>
            </w:pPr>
            <w:r>
              <w:rPr>
                <w:rFonts w:hint="eastAsia" w:cs="Times New Roman"/>
                <w:color w:val="auto"/>
                <w:position w:val="-14"/>
                <w:highlight w:val="none"/>
                <w:lang w:val="en-US" w:eastAsia="zh-CN"/>
              </w:rPr>
              <w:t xml:space="preserve">                </w:t>
            </w:r>
            <w:r>
              <w:rPr>
                <w:rFonts w:cs="Times New Roman"/>
                <w:color w:val="auto"/>
                <w:position w:val="-14"/>
                <w:highlight w:val="none"/>
              </w:rPr>
              <w:object>
                <v:shape id="_x0000_i1066" o:spt="75" type="#_x0000_t75" style="height:21.75pt;width:100.45pt;" o:ole="t" filled="f" o:preferrelative="t" stroked="f" coordsize="21600,21600">
                  <v:path/>
                  <v:fill on="f" focussize="0,0"/>
                  <v:stroke on="f" joinstyle="miter"/>
                  <v:imagedata r:id="rId85" o:title=""/>
                  <o:lock v:ext="edit" aspectratio="t"/>
                  <w10:wrap type="none"/>
                  <w10:anchorlock/>
                </v:shape>
                <o:OLEObject Type="Embed" ProgID="Equation.3" ShapeID="_x0000_i1066" DrawAspect="Content" ObjectID="_1468075766" r:id="rId84">
                  <o:LockedField>false</o:LockedField>
                </o:OLEObject>
              </w:object>
            </w:r>
            <w:r>
              <w:rPr>
                <w:rFonts w:cs="Times New Roman"/>
                <w:color w:val="auto"/>
                <w:highlight w:val="none"/>
              </w:rPr>
              <w:t xml:space="preserve">  </w:t>
            </w:r>
            <w:r>
              <w:rPr>
                <w:rFonts w:hint="eastAsia" w:cs="Times New Roman"/>
                <w:color w:val="auto"/>
                <w:highlight w:val="none"/>
                <w:lang w:val="en-US" w:eastAsia="zh-CN"/>
              </w:rPr>
              <w:t xml:space="preserve">   </w:t>
            </w:r>
            <w:r>
              <w:rPr>
                <w:rFonts w:cs="Times New Roman"/>
                <w:color w:val="auto"/>
                <w:highlight w:val="none"/>
              </w:rPr>
              <w:t xml:space="preserve">                （B.5）</w:t>
            </w:r>
          </w:p>
          <w:p w14:paraId="294EF07F">
            <w:pPr>
              <w:ind w:firstLine="480" w:firstLineChars="200"/>
              <w:rPr>
                <w:rFonts w:cs="Times New Roman"/>
                <w:color w:val="auto"/>
                <w:highlight w:val="none"/>
              </w:rPr>
            </w:pPr>
            <w:r>
              <w:rPr>
                <w:rFonts w:cs="Times New Roman"/>
                <w:color w:val="auto"/>
                <w:highlight w:val="none"/>
              </w:rPr>
              <w:t>式中：</w:t>
            </w:r>
            <w:r>
              <w:rPr>
                <w:rFonts w:cs="Times New Roman"/>
                <w:color w:val="auto"/>
                <w:position w:val="-12"/>
                <w:highlight w:val="none"/>
              </w:rPr>
              <w:object>
                <v:shape id="_x0000_i1067" o:spt="75" type="#_x0000_t75" style="height:21.75pt;width:14.25pt;" o:ole="t" filled="f" o:preferrelative="t" stroked="f" coordsize="21600,21600">
                  <v:path/>
                  <v:fill on="f" focussize="0,0"/>
                  <v:stroke on="f" joinstyle="miter"/>
                  <v:imagedata r:id="rId87" o:title=""/>
                  <o:lock v:ext="edit" aspectratio="t"/>
                  <w10:wrap type="none"/>
                  <w10:anchorlock/>
                </v:shape>
                <o:OLEObject Type="Embed" ProgID="Equation.3" ShapeID="_x0000_i1067" DrawAspect="Content" ObjectID="_1468075767" r:id="rId86">
                  <o:LockedField>false</o:LockedField>
                </o:OLEObject>
              </w:object>
            </w:r>
            <w:r>
              <w:rPr>
                <w:rFonts w:cs="Times New Roman"/>
                <w:color w:val="auto"/>
                <w:highlight w:val="none"/>
              </w:rPr>
              <w:t>——中心位置位于透声面积（</w:t>
            </w:r>
            <w:r>
              <w:rPr>
                <w:rFonts w:cs="Times New Roman"/>
                <w:color w:val="auto"/>
                <w:position w:val="-6"/>
                <w:highlight w:val="none"/>
              </w:rPr>
              <w:object>
                <v:shape id="_x0000_i1068" o:spt="75" type="#_x0000_t75" style="height:14.25pt;width:14.25pt;" o:ole="t" filled="f" o:preferrelative="t" stroked="f" coordsize="21600,21600">
                  <v:path/>
                  <v:fill on="f" focussize="0,0"/>
                  <v:stroke on="f" joinstyle="miter"/>
                  <v:imagedata r:id="rId83" o:title=""/>
                  <o:lock v:ext="edit" aspectratio="t"/>
                  <w10:wrap type="none"/>
                  <w10:anchorlock/>
                </v:shape>
                <o:OLEObject Type="Embed" ProgID="Equation.3" ShapeID="_x0000_i1068" DrawAspect="Content" ObjectID="_1468075768" r:id="rId88">
                  <o:LockedField>false</o:LockedField>
                </o:OLEObject>
              </w:object>
            </w:r>
            <w:r>
              <w:rPr>
                <w:rFonts w:cs="Times New Roman"/>
                <w:color w:val="auto"/>
                <w:highlight w:val="none"/>
              </w:rPr>
              <w:t>）处的等效声源的倍频带声功率级，dB；</w:t>
            </w:r>
          </w:p>
          <w:p w14:paraId="2AE2823A">
            <w:pPr>
              <w:ind w:firstLine="1200" w:firstLineChars="500"/>
              <w:rPr>
                <w:rFonts w:cs="Times New Roman"/>
                <w:color w:val="auto"/>
                <w:highlight w:val="none"/>
              </w:rPr>
            </w:pPr>
            <w:r>
              <w:rPr>
                <w:rFonts w:cs="Times New Roman"/>
                <w:color w:val="auto"/>
                <w:position w:val="-14"/>
                <w:highlight w:val="none"/>
              </w:rPr>
              <w:object>
                <v:shape id="_x0000_i1069" o:spt="75" type="#_x0000_t75" style="height:21.75pt;width:36pt;" o:ole="t" filled="f" o:preferrelative="t" stroked="f" coordsize="21600,21600">
                  <v:path/>
                  <v:fill on="f" focussize="0,0"/>
                  <v:stroke on="f" joinstyle="miter"/>
                  <v:imagedata r:id="rId90" o:title=""/>
                  <o:lock v:ext="edit" aspectratio="t"/>
                  <w10:wrap type="none"/>
                  <w10:anchorlock/>
                </v:shape>
                <o:OLEObject Type="Embed" ProgID="Equation.3" ShapeID="_x0000_i1069" DrawAspect="Content" ObjectID="_1468075769" r:id="rId89">
                  <o:LockedField>false</o:LockedField>
                </o:OLEObject>
              </w:object>
            </w:r>
            <w:r>
              <w:rPr>
                <w:rFonts w:cs="Times New Roman"/>
                <w:color w:val="auto"/>
                <w:highlight w:val="none"/>
              </w:rPr>
              <w:t>——靠近围护结构处室外声源的声压级，dB；</w:t>
            </w:r>
          </w:p>
          <w:p w14:paraId="55EB4733">
            <w:pPr>
              <w:ind w:firstLine="1200" w:firstLineChars="500"/>
              <w:rPr>
                <w:rFonts w:cs="Times New Roman"/>
                <w:color w:val="auto"/>
                <w:highlight w:val="none"/>
              </w:rPr>
            </w:pPr>
            <w:r>
              <w:rPr>
                <w:rFonts w:cs="Times New Roman"/>
                <w:color w:val="auto"/>
                <w:position w:val="-6"/>
                <w:highlight w:val="none"/>
              </w:rPr>
              <w:object>
                <v:shape id="_x0000_i1070" o:spt="75" type="#_x0000_t75" style="height:14.25pt;width:14.25pt;" o:ole="t" filled="f" o:preferrelative="t" stroked="f" coordsize="21600,21600">
                  <v:path/>
                  <v:fill on="f" focussize="0,0"/>
                  <v:stroke on="f" joinstyle="miter"/>
                  <v:imagedata r:id="rId83" o:title=""/>
                  <o:lock v:ext="edit" aspectratio="t"/>
                  <w10:wrap type="none"/>
                  <w10:anchorlock/>
                </v:shape>
                <o:OLEObject Type="Embed" ProgID="Equation.3" ShapeID="_x0000_i1070" DrawAspect="Content" ObjectID="_1468075770" r:id="rId91">
                  <o:LockedField>false</o:LockedField>
                </o:OLEObject>
              </w:object>
            </w:r>
            <w:r>
              <w:rPr>
                <w:rFonts w:cs="Times New Roman"/>
                <w:color w:val="auto"/>
                <w:highlight w:val="none"/>
              </w:rPr>
              <w:t>——透声面积，</w:t>
            </w:r>
            <w:r>
              <w:rPr>
                <w:rFonts w:cs="Times New Roman"/>
                <w:color w:val="auto"/>
                <w:position w:val="-6"/>
                <w:highlight w:val="none"/>
              </w:rPr>
              <w:object>
                <v:shape id="_x0000_i1071" o:spt="75" type="#_x0000_t75" style="height:14.25pt;width:21.75pt;" o:ole="t" filled="f" o:preferrelative="t" stroked="f" coordsize="21600,21600">
                  <v:path/>
                  <v:fill on="f" focussize="0,0"/>
                  <v:stroke on="f" joinstyle="miter"/>
                  <v:imagedata r:id="rId49" o:title=""/>
                  <o:lock v:ext="edit" aspectratio="t"/>
                  <w10:wrap type="none"/>
                  <w10:anchorlock/>
                </v:shape>
                <o:OLEObject Type="Embed" ProgID="Equation.3" ShapeID="_x0000_i1071" DrawAspect="Content" ObjectID="_1468075771" r:id="rId92">
                  <o:LockedField>false</o:LockedField>
                </o:OLEObject>
              </w:object>
            </w:r>
            <w:r>
              <w:rPr>
                <w:rFonts w:cs="Times New Roman"/>
                <w:color w:val="auto"/>
                <w:highlight w:val="none"/>
              </w:rPr>
              <w:t>。</w:t>
            </w:r>
          </w:p>
          <w:p w14:paraId="2E92B131">
            <w:pPr>
              <w:ind w:firstLine="480" w:firstLineChars="200"/>
              <w:rPr>
                <w:rFonts w:cs="Times New Roman"/>
                <w:color w:val="auto"/>
                <w:highlight w:val="none"/>
              </w:rPr>
            </w:pPr>
            <w:r>
              <w:rPr>
                <w:rFonts w:cs="Times New Roman"/>
                <w:color w:val="auto"/>
                <w:highlight w:val="none"/>
              </w:rPr>
              <w:t>然后按室外声源预测方法计算预测点处的A声级。</w:t>
            </w:r>
          </w:p>
          <w:p w14:paraId="4F342452">
            <w:pPr>
              <w:pStyle w:val="52"/>
              <w:keepNext w:val="0"/>
              <w:keepLines w:val="0"/>
              <w:pageBreakBefore w:val="0"/>
              <w:widowControl w:val="0"/>
              <w:kinsoku/>
              <w:wordWrap/>
              <w:overflowPunct/>
              <w:topLinePunct w:val="0"/>
              <w:autoSpaceDE/>
              <w:autoSpaceDN/>
              <w:bidi w:val="0"/>
              <w:adjustRightInd/>
              <w:snapToGrid/>
              <w:spacing w:after="0"/>
              <w:textAlignment w:val="auto"/>
              <w:rPr>
                <w:rFonts w:cs="Times New Roman"/>
                <w:color w:val="auto"/>
                <w:highlight w:val="none"/>
                <w:vertAlign w:val="baseline"/>
              </w:rPr>
            </w:pPr>
            <w:r>
              <w:rPr>
                <w:rFonts w:cs="Times New Roman"/>
                <w:color w:val="auto"/>
                <w:highlight w:val="none"/>
              </w:rPr>
              <w:t>表4</w:t>
            </w:r>
            <w:r>
              <w:rPr>
                <w:rFonts w:hint="eastAsia" w:cs="Times New Roman"/>
                <w:color w:val="auto"/>
                <w:highlight w:val="none"/>
                <w:lang w:val="en-US" w:eastAsia="zh-CN"/>
              </w:rPr>
              <w:t xml:space="preserve">-5 </w:t>
            </w:r>
            <w:r>
              <w:rPr>
                <w:rFonts w:cs="Times New Roman"/>
                <w:color w:val="auto"/>
                <w:highlight w:val="none"/>
              </w:rPr>
              <w:t>工业企业噪声源强调查清单（室内）</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99"/>
              <w:gridCol w:w="686"/>
              <w:gridCol w:w="753"/>
              <w:gridCol w:w="854"/>
              <w:gridCol w:w="565"/>
              <w:gridCol w:w="713"/>
              <w:gridCol w:w="791"/>
              <w:gridCol w:w="864"/>
              <w:gridCol w:w="850"/>
              <w:gridCol w:w="862"/>
              <w:gridCol w:w="906"/>
            </w:tblGrid>
            <w:tr w14:paraId="0AA3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1" w:type="pct"/>
                  <w:vMerge w:val="restart"/>
                  <w:tcBorders>
                    <w:tl2br w:val="nil"/>
                    <w:tr2bl w:val="nil"/>
                  </w:tcBorders>
                  <w:noWrap w:val="0"/>
                  <w:vAlign w:val="center"/>
                </w:tcPr>
                <w:p w14:paraId="150C2819">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声源名称</w:t>
                  </w:r>
                </w:p>
              </w:tc>
              <w:tc>
                <w:tcPr>
                  <w:tcW w:w="418" w:type="pct"/>
                  <w:vMerge w:val="restart"/>
                  <w:tcBorders>
                    <w:tl2br w:val="nil"/>
                    <w:tr2bl w:val="nil"/>
                  </w:tcBorders>
                  <w:noWrap w:val="0"/>
                  <w:vAlign w:val="center"/>
                </w:tcPr>
                <w:p w14:paraId="0D0676C1">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声源源强dB(A)</w:t>
                  </w:r>
                </w:p>
              </w:tc>
              <w:tc>
                <w:tcPr>
                  <w:tcW w:w="359" w:type="pct"/>
                  <w:vMerge w:val="restart"/>
                  <w:tcBorders>
                    <w:tl2br w:val="nil"/>
                    <w:tr2bl w:val="nil"/>
                  </w:tcBorders>
                  <w:noWrap w:val="0"/>
                  <w:vAlign w:val="center"/>
                </w:tcPr>
                <w:p w14:paraId="59217FC1">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声源控制措施</w:t>
                  </w:r>
                </w:p>
              </w:tc>
              <w:tc>
                <w:tcPr>
                  <w:tcW w:w="1138" w:type="pct"/>
                  <w:gridSpan w:val="3"/>
                  <w:tcBorders>
                    <w:tl2br w:val="nil"/>
                    <w:tr2bl w:val="nil"/>
                  </w:tcBorders>
                  <w:noWrap w:val="0"/>
                  <w:vAlign w:val="center"/>
                </w:tcPr>
                <w:p w14:paraId="3C3056D8">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空间相对位置/m</w:t>
                  </w:r>
                </w:p>
              </w:tc>
              <w:tc>
                <w:tcPr>
                  <w:tcW w:w="373" w:type="pct"/>
                  <w:vMerge w:val="restart"/>
                  <w:tcBorders>
                    <w:tl2br w:val="nil"/>
                    <w:tr2bl w:val="nil"/>
                  </w:tcBorders>
                  <w:noWrap w:val="0"/>
                  <w:vAlign w:val="center"/>
                </w:tcPr>
                <w:p w14:paraId="33379F65">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运行时段</w:t>
                  </w:r>
                </w:p>
              </w:tc>
              <w:tc>
                <w:tcPr>
                  <w:tcW w:w="414" w:type="pct"/>
                  <w:vMerge w:val="restart"/>
                  <w:tcBorders>
                    <w:tl2br w:val="nil"/>
                    <w:tr2bl w:val="nil"/>
                  </w:tcBorders>
                  <w:noWrap w:val="0"/>
                  <w:vAlign w:val="center"/>
                </w:tcPr>
                <w:p w14:paraId="070D511B">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距室内边界距离/m</w:t>
                  </w:r>
                </w:p>
              </w:tc>
              <w:tc>
                <w:tcPr>
                  <w:tcW w:w="452" w:type="pct"/>
                  <w:vMerge w:val="restart"/>
                  <w:tcBorders>
                    <w:tl2br w:val="nil"/>
                    <w:tr2bl w:val="nil"/>
                  </w:tcBorders>
                  <w:noWrap w:val="0"/>
                  <w:vAlign w:val="center"/>
                </w:tcPr>
                <w:p w14:paraId="12E40A62">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室内边界声级/dB(A)</w:t>
                  </w:r>
                </w:p>
              </w:tc>
              <w:tc>
                <w:tcPr>
                  <w:tcW w:w="445" w:type="pct"/>
                  <w:vMerge w:val="restart"/>
                  <w:tcBorders>
                    <w:tl2br w:val="nil"/>
                    <w:tr2bl w:val="nil"/>
                  </w:tcBorders>
                  <w:noWrap w:val="0"/>
                  <w:vAlign w:val="center"/>
                </w:tcPr>
                <w:p w14:paraId="1D4AB2ED">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建筑物插入损失/dB(A)</w:t>
                  </w:r>
                </w:p>
              </w:tc>
              <w:tc>
                <w:tcPr>
                  <w:tcW w:w="926" w:type="pct"/>
                  <w:gridSpan w:val="2"/>
                  <w:tcBorders>
                    <w:tl2br w:val="nil"/>
                    <w:tr2bl w:val="nil"/>
                  </w:tcBorders>
                  <w:noWrap w:val="0"/>
                  <w:vAlign w:val="center"/>
                </w:tcPr>
                <w:p w14:paraId="1C6E86CC">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建筑物外噪声</w:t>
                  </w:r>
                </w:p>
              </w:tc>
            </w:tr>
            <w:tr w14:paraId="2EB9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1" w:type="pct"/>
                  <w:vMerge w:val="continue"/>
                  <w:tcBorders>
                    <w:tl2br w:val="nil"/>
                    <w:tr2bl w:val="nil"/>
                  </w:tcBorders>
                  <w:noWrap w:val="0"/>
                  <w:vAlign w:val="center"/>
                </w:tcPr>
                <w:p w14:paraId="55704B2C">
                  <w:pPr>
                    <w:spacing w:line="240" w:lineRule="auto"/>
                    <w:jc w:val="center"/>
                    <w:rPr>
                      <w:rFonts w:hint="default" w:ascii="Times New Roman" w:hAnsi="Times New Roman" w:eastAsia="宋体" w:cs="Times New Roman"/>
                      <w:b w:val="0"/>
                      <w:bCs w:val="0"/>
                      <w:color w:val="auto"/>
                      <w:sz w:val="21"/>
                      <w:szCs w:val="21"/>
                      <w:highlight w:val="none"/>
                    </w:rPr>
                  </w:pPr>
                </w:p>
              </w:tc>
              <w:tc>
                <w:tcPr>
                  <w:tcW w:w="418" w:type="pct"/>
                  <w:vMerge w:val="continue"/>
                  <w:tcBorders>
                    <w:tl2br w:val="nil"/>
                    <w:tr2bl w:val="nil"/>
                  </w:tcBorders>
                  <w:noWrap w:val="0"/>
                  <w:vAlign w:val="center"/>
                </w:tcPr>
                <w:p w14:paraId="35B3ACC7">
                  <w:pPr>
                    <w:spacing w:line="240" w:lineRule="auto"/>
                    <w:jc w:val="center"/>
                    <w:rPr>
                      <w:rFonts w:hint="default" w:ascii="Times New Roman" w:hAnsi="Times New Roman" w:eastAsia="宋体" w:cs="Times New Roman"/>
                      <w:b w:val="0"/>
                      <w:bCs w:val="0"/>
                      <w:color w:val="auto"/>
                      <w:sz w:val="21"/>
                      <w:szCs w:val="21"/>
                      <w:highlight w:val="none"/>
                    </w:rPr>
                  </w:pPr>
                </w:p>
              </w:tc>
              <w:tc>
                <w:tcPr>
                  <w:tcW w:w="359" w:type="pct"/>
                  <w:vMerge w:val="continue"/>
                  <w:tcBorders>
                    <w:tl2br w:val="nil"/>
                    <w:tr2bl w:val="nil"/>
                  </w:tcBorders>
                  <w:noWrap w:val="0"/>
                  <w:vAlign w:val="center"/>
                </w:tcPr>
                <w:p w14:paraId="5007ADFF">
                  <w:pPr>
                    <w:spacing w:line="240" w:lineRule="auto"/>
                    <w:jc w:val="center"/>
                    <w:rPr>
                      <w:rFonts w:hint="default" w:ascii="Times New Roman" w:hAnsi="Times New Roman" w:eastAsia="宋体" w:cs="Times New Roman"/>
                      <w:b w:val="0"/>
                      <w:bCs w:val="0"/>
                      <w:color w:val="auto"/>
                      <w:sz w:val="21"/>
                      <w:szCs w:val="21"/>
                      <w:highlight w:val="none"/>
                    </w:rPr>
                  </w:pPr>
                </w:p>
              </w:tc>
              <w:tc>
                <w:tcPr>
                  <w:tcW w:w="394" w:type="pct"/>
                  <w:tcBorders>
                    <w:tl2br w:val="nil"/>
                    <w:tr2bl w:val="nil"/>
                  </w:tcBorders>
                  <w:noWrap w:val="0"/>
                  <w:vAlign w:val="center"/>
                </w:tcPr>
                <w:p w14:paraId="089B0A90">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X</w:t>
                  </w:r>
                </w:p>
              </w:tc>
              <w:tc>
                <w:tcPr>
                  <w:tcW w:w="447" w:type="pct"/>
                  <w:tcBorders>
                    <w:tl2br w:val="nil"/>
                    <w:tr2bl w:val="nil"/>
                  </w:tcBorders>
                  <w:noWrap w:val="0"/>
                  <w:vAlign w:val="center"/>
                </w:tcPr>
                <w:p w14:paraId="36FA78E8">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Y</w:t>
                  </w:r>
                </w:p>
              </w:tc>
              <w:tc>
                <w:tcPr>
                  <w:tcW w:w="296" w:type="pct"/>
                  <w:tcBorders>
                    <w:tl2br w:val="nil"/>
                    <w:tr2bl w:val="nil"/>
                  </w:tcBorders>
                  <w:noWrap w:val="0"/>
                  <w:vAlign w:val="center"/>
                </w:tcPr>
                <w:p w14:paraId="6C2B3848">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Z</w:t>
                  </w:r>
                </w:p>
              </w:tc>
              <w:tc>
                <w:tcPr>
                  <w:tcW w:w="373" w:type="pct"/>
                  <w:vMerge w:val="continue"/>
                  <w:tcBorders>
                    <w:tl2br w:val="nil"/>
                    <w:tr2bl w:val="nil"/>
                  </w:tcBorders>
                  <w:noWrap w:val="0"/>
                  <w:vAlign w:val="center"/>
                </w:tcPr>
                <w:p w14:paraId="1278A626">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414" w:type="pct"/>
                  <w:vMerge w:val="continue"/>
                  <w:tcBorders>
                    <w:tl2br w:val="nil"/>
                    <w:tr2bl w:val="nil"/>
                  </w:tcBorders>
                  <w:noWrap w:val="0"/>
                  <w:vAlign w:val="center"/>
                </w:tcPr>
                <w:p w14:paraId="1C296C26">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452" w:type="pct"/>
                  <w:vMerge w:val="continue"/>
                  <w:tcBorders>
                    <w:tl2br w:val="nil"/>
                    <w:tr2bl w:val="nil"/>
                  </w:tcBorders>
                  <w:noWrap w:val="0"/>
                  <w:vAlign w:val="center"/>
                </w:tcPr>
                <w:p w14:paraId="15D2573C">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445" w:type="pct"/>
                  <w:vMerge w:val="continue"/>
                  <w:tcBorders>
                    <w:tl2br w:val="nil"/>
                    <w:tr2bl w:val="nil"/>
                  </w:tcBorders>
                  <w:noWrap w:val="0"/>
                  <w:vAlign w:val="center"/>
                </w:tcPr>
                <w:p w14:paraId="506D633F">
                  <w:pPr>
                    <w:widowControl/>
                    <w:spacing w:line="240" w:lineRule="auto"/>
                    <w:jc w:val="center"/>
                    <w:rPr>
                      <w:rFonts w:hint="default" w:ascii="Times New Roman" w:hAnsi="Times New Roman" w:eastAsia="宋体" w:cs="Times New Roman"/>
                      <w:b w:val="0"/>
                      <w:bCs w:val="0"/>
                      <w:color w:val="auto"/>
                      <w:sz w:val="21"/>
                      <w:szCs w:val="21"/>
                      <w:highlight w:val="none"/>
                    </w:rPr>
                  </w:pPr>
                </w:p>
              </w:tc>
              <w:tc>
                <w:tcPr>
                  <w:tcW w:w="451" w:type="pct"/>
                  <w:tcBorders>
                    <w:tl2br w:val="nil"/>
                    <w:tr2bl w:val="nil"/>
                  </w:tcBorders>
                  <w:noWrap w:val="0"/>
                  <w:vAlign w:val="center"/>
                </w:tcPr>
                <w:p w14:paraId="622E51D5">
                  <w:pPr>
                    <w:pStyle w:val="44"/>
                    <w:adjustRightInd w:val="0"/>
                    <w:snapToGrid w:val="0"/>
                    <w:spacing w:line="240" w:lineRule="auto"/>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声压级/dB(A)</w:t>
                  </w:r>
                </w:p>
              </w:tc>
              <w:tc>
                <w:tcPr>
                  <w:tcW w:w="474" w:type="pct"/>
                  <w:tcBorders>
                    <w:tl2br w:val="nil"/>
                    <w:tr2bl w:val="nil"/>
                  </w:tcBorders>
                  <w:noWrap w:val="0"/>
                  <w:vAlign w:val="center"/>
                </w:tcPr>
                <w:p w14:paraId="7C9A548F">
                  <w:pPr>
                    <w:pStyle w:val="44"/>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建筑物外距离/m</w:t>
                  </w:r>
                </w:p>
              </w:tc>
            </w:tr>
            <w:tr w14:paraId="68CA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pct"/>
                  <w:tcBorders>
                    <w:tl2br w:val="nil"/>
                    <w:tr2bl w:val="nil"/>
                  </w:tcBorders>
                  <w:noWrap w:val="0"/>
                  <w:vAlign w:val="center"/>
                </w:tcPr>
                <w:p w14:paraId="75FE1F2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给料机</w:t>
                  </w:r>
                </w:p>
              </w:tc>
              <w:tc>
                <w:tcPr>
                  <w:tcW w:w="418" w:type="pct"/>
                  <w:tcBorders>
                    <w:tl2br w:val="nil"/>
                    <w:tr2bl w:val="nil"/>
                  </w:tcBorders>
                  <w:noWrap w:val="0"/>
                  <w:vAlign w:val="center"/>
                </w:tcPr>
                <w:p w14:paraId="68FDE268">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85</w:t>
                  </w:r>
                </w:p>
              </w:tc>
              <w:tc>
                <w:tcPr>
                  <w:tcW w:w="359" w:type="pct"/>
                  <w:vMerge w:val="restart"/>
                  <w:tcBorders>
                    <w:tl2br w:val="nil"/>
                    <w:tr2bl w:val="nil"/>
                  </w:tcBorders>
                  <w:noWrap w:val="0"/>
                  <w:vAlign w:val="center"/>
                </w:tcPr>
                <w:p w14:paraId="5504F15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低噪声设备、基础减振、厂房隔声</w:t>
                  </w:r>
                </w:p>
              </w:tc>
              <w:tc>
                <w:tcPr>
                  <w:tcW w:w="394" w:type="pct"/>
                  <w:tcBorders>
                    <w:tl2br w:val="nil"/>
                    <w:tr2bl w:val="nil"/>
                  </w:tcBorders>
                  <w:noWrap w:val="0"/>
                  <w:vAlign w:val="center"/>
                </w:tcPr>
                <w:p w14:paraId="59F6616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82.11</w:t>
                  </w:r>
                </w:p>
              </w:tc>
              <w:tc>
                <w:tcPr>
                  <w:tcW w:w="447" w:type="pct"/>
                  <w:tcBorders>
                    <w:tl2br w:val="nil"/>
                    <w:tr2bl w:val="nil"/>
                  </w:tcBorders>
                  <w:noWrap w:val="0"/>
                  <w:vAlign w:val="center"/>
                </w:tcPr>
                <w:p w14:paraId="41BEBF2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281.22</w:t>
                  </w:r>
                </w:p>
              </w:tc>
              <w:tc>
                <w:tcPr>
                  <w:tcW w:w="296" w:type="pct"/>
                  <w:tcBorders>
                    <w:tl2br w:val="nil"/>
                    <w:tr2bl w:val="nil"/>
                  </w:tcBorders>
                  <w:noWrap w:val="0"/>
                  <w:vAlign w:val="center"/>
                </w:tcPr>
                <w:p w14:paraId="32E2099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20624D77">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7F04069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72</w:t>
                  </w:r>
                </w:p>
              </w:tc>
              <w:tc>
                <w:tcPr>
                  <w:tcW w:w="452" w:type="pct"/>
                  <w:tcBorders>
                    <w:tl2br w:val="nil"/>
                    <w:tr2bl w:val="nil"/>
                  </w:tcBorders>
                  <w:noWrap w:val="0"/>
                  <w:vAlign w:val="center"/>
                </w:tcPr>
                <w:p w14:paraId="4315AFF7">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68</w:t>
                  </w:r>
                </w:p>
              </w:tc>
              <w:tc>
                <w:tcPr>
                  <w:tcW w:w="445" w:type="pct"/>
                  <w:tcBorders>
                    <w:tl2br w:val="nil"/>
                    <w:tr2bl w:val="nil"/>
                  </w:tcBorders>
                  <w:noWrap w:val="0"/>
                  <w:vAlign w:val="center"/>
                </w:tcPr>
                <w:p w14:paraId="7A1B833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0FCD6679">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2</w:t>
                  </w:r>
                </w:p>
              </w:tc>
              <w:tc>
                <w:tcPr>
                  <w:tcW w:w="474" w:type="pct"/>
                  <w:tcBorders>
                    <w:tl2br w:val="nil"/>
                    <w:tr2bl w:val="nil"/>
                  </w:tcBorders>
                  <w:noWrap w:val="0"/>
                  <w:vAlign w:val="center"/>
                </w:tcPr>
                <w:p w14:paraId="6EAD2A7F">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49E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71" w:type="pct"/>
                  <w:tcBorders>
                    <w:tl2br w:val="nil"/>
                    <w:tr2bl w:val="nil"/>
                  </w:tcBorders>
                  <w:noWrap w:val="0"/>
                  <w:vAlign w:val="center"/>
                </w:tcPr>
                <w:p w14:paraId="5BED24C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颚式破碎机</w:t>
                  </w:r>
                </w:p>
              </w:tc>
              <w:tc>
                <w:tcPr>
                  <w:tcW w:w="418" w:type="pct"/>
                  <w:tcBorders>
                    <w:tl2br w:val="nil"/>
                    <w:tr2bl w:val="nil"/>
                  </w:tcBorders>
                  <w:noWrap w:val="0"/>
                  <w:vAlign w:val="center"/>
                </w:tcPr>
                <w:p w14:paraId="5F9E7F6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95</w:t>
                  </w:r>
                </w:p>
              </w:tc>
              <w:tc>
                <w:tcPr>
                  <w:tcW w:w="359" w:type="pct"/>
                  <w:vMerge w:val="continue"/>
                  <w:tcBorders>
                    <w:tl2br w:val="nil"/>
                    <w:tr2bl w:val="nil"/>
                  </w:tcBorders>
                  <w:noWrap w:val="0"/>
                  <w:vAlign w:val="center"/>
                </w:tcPr>
                <w:p w14:paraId="15FB6912">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1AA83897">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82.11</w:t>
                  </w:r>
                </w:p>
              </w:tc>
              <w:tc>
                <w:tcPr>
                  <w:tcW w:w="447" w:type="pct"/>
                  <w:tcBorders>
                    <w:tl2br w:val="nil"/>
                    <w:tr2bl w:val="nil"/>
                  </w:tcBorders>
                  <w:noWrap w:val="0"/>
                  <w:vAlign w:val="center"/>
                </w:tcPr>
                <w:p w14:paraId="452D3287">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267.86</w:t>
                  </w:r>
                </w:p>
              </w:tc>
              <w:tc>
                <w:tcPr>
                  <w:tcW w:w="296" w:type="pct"/>
                  <w:tcBorders>
                    <w:tl2br w:val="nil"/>
                    <w:tr2bl w:val="nil"/>
                  </w:tcBorders>
                  <w:noWrap w:val="0"/>
                  <w:vAlign w:val="center"/>
                </w:tcPr>
                <w:p w14:paraId="5D3B917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7BF6942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10EB81A9">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72</w:t>
                  </w:r>
                </w:p>
              </w:tc>
              <w:tc>
                <w:tcPr>
                  <w:tcW w:w="452" w:type="pct"/>
                  <w:tcBorders>
                    <w:tl2br w:val="nil"/>
                    <w:tr2bl w:val="nil"/>
                  </w:tcBorders>
                  <w:noWrap w:val="0"/>
                  <w:vAlign w:val="center"/>
                </w:tcPr>
                <w:p w14:paraId="0B611754">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445" w:type="pct"/>
                  <w:tcBorders>
                    <w:tl2br w:val="nil"/>
                    <w:tr2bl w:val="nil"/>
                  </w:tcBorders>
                  <w:noWrap w:val="0"/>
                  <w:vAlign w:val="center"/>
                </w:tcPr>
                <w:p w14:paraId="7379088A">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60F1A005">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54</w:t>
                  </w:r>
                </w:p>
              </w:tc>
              <w:tc>
                <w:tcPr>
                  <w:tcW w:w="474" w:type="pct"/>
                  <w:tcBorders>
                    <w:tl2br w:val="nil"/>
                    <w:tr2bl w:val="nil"/>
                  </w:tcBorders>
                  <w:noWrap w:val="0"/>
                  <w:vAlign w:val="center"/>
                </w:tcPr>
                <w:p w14:paraId="5ED2A00B">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45D1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71" w:type="pct"/>
                  <w:tcBorders>
                    <w:tl2br w:val="nil"/>
                    <w:tr2bl w:val="nil"/>
                  </w:tcBorders>
                  <w:noWrap w:val="0"/>
                  <w:vAlign w:val="center"/>
                </w:tcPr>
                <w:p w14:paraId="474DC049">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圆锥破碎机</w:t>
                  </w:r>
                </w:p>
              </w:tc>
              <w:tc>
                <w:tcPr>
                  <w:tcW w:w="418" w:type="pct"/>
                  <w:tcBorders>
                    <w:tl2br w:val="nil"/>
                    <w:tr2bl w:val="nil"/>
                  </w:tcBorders>
                  <w:noWrap w:val="0"/>
                  <w:vAlign w:val="center"/>
                </w:tcPr>
                <w:p w14:paraId="1C4E607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95</w:t>
                  </w:r>
                </w:p>
              </w:tc>
              <w:tc>
                <w:tcPr>
                  <w:tcW w:w="359" w:type="pct"/>
                  <w:vMerge w:val="continue"/>
                  <w:tcBorders>
                    <w:tl2br w:val="nil"/>
                    <w:tr2bl w:val="nil"/>
                  </w:tcBorders>
                  <w:noWrap w:val="0"/>
                  <w:vAlign w:val="center"/>
                </w:tcPr>
                <w:p w14:paraId="0FA70D88">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22D0093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83.38</w:t>
                  </w:r>
                </w:p>
              </w:tc>
              <w:tc>
                <w:tcPr>
                  <w:tcW w:w="447" w:type="pct"/>
                  <w:tcBorders>
                    <w:tl2br w:val="nil"/>
                    <w:tr2bl w:val="nil"/>
                  </w:tcBorders>
                  <w:noWrap w:val="0"/>
                  <w:vAlign w:val="center"/>
                </w:tcPr>
                <w:p w14:paraId="3D200EF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255.78</w:t>
                  </w:r>
                </w:p>
              </w:tc>
              <w:tc>
                <w:tcPr>
                  <w:tcW w:w="296" w:type="pct"/>
                  <w:tcBorders>
                    <w:tl2br w:val="nil"/>
                    <w:tr2bl w:val="nil"/>
                  </w:tcBorders>
                  <w:noWrap w:val="0"/>
                  <w:vAlign w:val="center"/>
                </w:tcPr>
                <w:p w14:paraId="7ED2D9C9">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3F664EEE">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6E07C794">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73</w:t>
                  </w:r>
                </w:p>
              </w:tc>
              <w:tc>
                <w:tcPr>
                  <w:tcW w:w="452" w:type="pct"/>
                  <w:tcBorders>
                    <w:tl2br w:val="nil"/>
                    <w:tr2bl w:val="nil"/>
                  </w:tcBorders>
                  <w:noWrap w:val="0"/>
                  <w:vAlign w:val="center"/>
                </w:tcPr>
                <w:p w14:paraId="05EB587A">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445" w:type="pct"/>
                  <w:tcBorders>
                    <w:tl2br w:val="nil"/>
                    <w:tr2bl w:val="nil"/>
                  </w:tcBorders>
                  <w:noWrap w:val="0"/>
                  <w:vAlign w:val="center"/>
                </w:tcPr>
                <w:p w14:paraId="42251D4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399A44E5">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54</w:t>
                  </w:r>
                </w:p>
              </w:tc>
              <w:tc>
                <w:tcPr>
                  <w:tcW w:w="474" w:type="pct"/>
                  <w:tcBorders>
                    <w:tl2br w:val="nil"/>
                    <w:tr2bl w:val="nil"/>
                  </w:tcBorders>
                  <w:noWrap w:val="0"/>
                  <w:vAlign w:val="center"/>
                </w:tcPr>
                <w:p w14:paraId="4C936FD0">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13F9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shd w:val="clear" w:color="auto" w:fill="auto"/>
                  <w:noWrap w:val="0"/>
                  <w:vAlign w:val="center"/>
                </w:tcPr>
                <w:p w14:paraId="3926D575">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振动筛1</w:t>
                  </w:r>
                </w:p>
              </w:tc>
              <w:tc>
                <w:tcPr>
                  <w:tcW w:w="418" w:type="pct"/>
                  <w:tcBorders>
                    <w:tl2br w:val="nil"/>
                    <w:tr2bl w:val="nil"/>
                  </w:tcBorders>
                  <w:shd w:val="clear" w:color="auto" w:fill="auto"/>
                  <w:noWrap w:val="0"/>
                  <w:vAlign w:val="center"/>
                </w:tcPr>
                <w:p w14:paraId="2A82177D">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w:t>
                  </w:r>
                </w:p>
              </w:tc>
              <w:tc>
                <w:tcPr>
                  <w:tcW w:w="359" w:type="pct"/>
                  <w:vMerge w:val="continue"/>
                  <w:tcBorders>
                    <w:tl2br w:val="nil"/>
                    <w:tr2bl w:val="nil"/>
                  </w:tcBorders>
                  <w:noWrap w:val="0"/>
                  <w:vAlign w:val="center"/>
                </w:tcPr>
                <w:p w14:paraId="674646A8">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64016338">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76.39</w:t>
                  </w:r>
                </w:p>
              </w:tc>
              <w:tc>
                <w:tcPr>
                  <w:tcW w:w="447" w:type="pct"/>
                  <w:tcBorders>
                    <w:tl2br w:val="nil"/>
                    <w:tr2bl w:val="nil"/>
                  </w:tcBorders>
                  <w:noWrap w:val="0"/>
                  <w:vAlign w:val="center"/>
                </w:tcPr>
                <w:p w14:paraId="495EAD93">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244.33</w:t>
                  </w:r>
                </w:p>
              </w:tc>
              <w:tc>
                <w:tcPr>
                  <w:tcW w:w="296" w:type="pct"/>
                  <w:tcBorders>
                    <w:tl2br w:val="nil"/>
                    <w:tr2bl w:val="nil"/>
                  </w:tcBorders>
                  <w:noWrap w:val="0"/>
                  <w:vAlign w:val="center"/>
                </w:tcPr>
                <w:p w14:paraId="6DDD5A39">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4CCA85B2">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2E9C6F8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66</w:t>
                  </w:r>
                </w:p>
              </w:tc>
              <w:tc>
                <w:tcPr>
                  <w:tcW w:w="452" w:type="pct"/>
                  <w:tcBorders>
                    <w:tl2br w:val="nil"/>
                    <w:tr2bl w:val="nil"/>
                  </w:tcBorders>
                  <w:noWrap w:val="0"/>
                  <w:vAlign w:val="center"/>
                </w:tcPr>
                <w:p w14:paraId="0A281455">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0A549A35">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2B9334C8">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4474515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14:paraId="3663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0B29E1B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振动筛2</w:t>
                  </w:r>
                </w:p>
              </w:tc>
              <w:tc>
                <w:tcPr>
                  <w:tcW w:w="418" w:type="pct"/>
                  <w:tcBorders>
                    <w:tl2br w:val="nil"/>
                    <w:tr2bl w:val="nil"/>
                  </w:tcBorders>
                  <w:noWrap w:val="0"/>
                  <w:vAlign w:val="center"/>
                </w:tcPr>
                <w:p w14:paraId="1FD9172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255FEFBA">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72E0850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85.93</w:t>
                  </w:r>
                </w:p>
              </w:tc>
              <w:tc>
                <w:tcPr>
                  <w:tcW w:w="447" w:type="pct"/>
                  <w:tcBorders>
                    <w:tl2br w:val="nil"/>
                    <w:tr2bl w:val="nil"/>
                  </w:tcBorders>
                  <w:noWrap w:val="0"/>
                  <w:vAlign w:val="center"/>
                </w:tcPr>
                <w:p w14:paraId="4D73237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243.69</w:t>
                  </w:r>
                </w:p>
              </w:tc>
              <w:tc>
                <w:tcPr>
                  <w:tcW w:w="296" w:type="pct"/>
                  <w:tcBorders>
                    <w:tl2br w:val="nil"/>
                    <w:tr2bl w:val="nil"/>
                  </w:tcBorders>
                  <w:noWrap w:val="0"/>
                  <w:vAlign w:val="center"/>
                </w:tcPr>
                <w:p w14:paraId="6B51805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7B098BD7">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66DD2CF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77</w:t>
                  </w:r>
                </w:p>
              </w:tc>
              <w:tc>
                <w:tcPr>
                  <w:tcW w:w="452" w:type="pct"/>
                  <w:tcBorders>
                    <w:tl2br w:val="nil"/>
                    <w:tr2bl w:val="nil"/>
                  </w:tcBorders>
                  <w:noWrap w:val="0"/>
                  <w:vAlign w:val="center"/>
                </w:tcPr>
                <w:p w14:paraId="5F8EC39B">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12EFCE9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303576C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01981690">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7B1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3D16F9A4">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振动筛3</w:t>
                  </w:r>
                </w:p>
              </w:tc>
              <w:tc>
                <w:tcPr>
                  <w:tcW w:w="418" w:type="pct"/>
                  <w:tcBorders>
                    <w:tl2br w:val="nil"/>
                    <w:tr2bl w:val="nil"/>
                  </w:tcBorders>
                  <w:noWrap w:val="0"/>
                  <w:vAlign w:val="center"/>
                </w:tcPr>
                <w:p w14:paraId="1B4DB932">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0D955448">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2CB543C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96.11</w:t>
                  </w:r>
                </w:p>
              </w:tc>
              <w:tc>
                <w:tcPr>
                  <w:tcW w:w="447" w:type="pct"/>
                  <w:tcBorders>
                    <w:tl2br w:val="nil"/>
                    <w:tr2bl w:val="nil"/>
                  </w:tcBorders>
                  <w:noWrap w:val="0"/>
                  <w:vAlign w:val="center"/>
                </w:tcPr>
                <w:p w14:paraId="3AF41D9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241.15</w:t>
                  </w:r>
                </w:p>
              </w:tc>
              <w:tc>
                <w:tcPr>
                  <w:tcW w:w="296" w:type="pct"/>
                  <w:tcBorders>
                    <w:tl2br w:val="nil"/>
                    <w:tr2bl w:val="nil"/>
                  </w:tcBorders>
                  <w:noWrap w:val="0"/>
                  <w:vAlign w:val="center"/>
                </w:tcPr>
                <w:p w14:paraId="2A3586C4">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3971357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006F034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88</w:t>
                  </w:r>
                </w:p>
              </w:tc>
              <w:tc>
                <w:tcPr>
                  <w:tcW w:w="452" w:type="pct"/>
                  <w:tcBorders>
                    <w:tl2br w:val="nil"/>
                    <w:tr2bl w:val="nil"/>
                  </w:tcBorders>
                  <w:noWrap w:val="0"/>
                  <w:vAlign w:val="center"/>
                </w:tcPr>
                <w:p w14:paraId="6A1CABAD">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195A4B1A">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775D1B5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68C6C370">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0CD1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3C37BFA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振动筛4</w:t>
                  </w:r>
                </w:p>
              </w:tc>
              <w:tc>
                <w:tcPr>
                  <w:tcW w:w="418" w:type="pct"/>
                  <w:tcBorders>
                    <w:tl2br w:val="nil"/>
                    <w:tr2bl w:val="nil"/>
                  </w:tcBorders>
                  <w:noWrap w:val="0"/>
                  <w:vAlign w:val="center"/>
                </w:tcPr>
                <w:p w14:paraId="64728AD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22FB1CF7">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4FDFC7C9">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105.65</w:t>
                  </w:r>
                </w:p>
              </w:tc>
              <w:tc>
                <w:tcPr>
                  <w:tcW w:w="447" w:type="pct"/>
                  <w:tcBorders>
                    <w:tl2br w:val="nil"/>
                    <w:tr2bl w:val="nil"/>
                  </w:tcBorders>
                  <w:noWrap w:val="0"/>
                  <w:vAlign w:val="center"/>
                </w:tcPr>
                <w:p w14:paraId="187A627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239.88</w:t>
                  </w:r>
                </w:p>
              </w:tc>
              <w:tc>
                <w:tcPr>
                  <w:tcW w:w="296" w:type="pct"/>
                  <w:tcBorders>
                    <w:tl2br w:val="nil"/>
                    <w:tr2bl w:val="nil"/>
                  </w:tcBorders>
                  <w:noWrap w:val="0"/>
                  <w:vAlign w:val="center"/>
                </w:tcPr>
                <w:p w14:paraId="6A4B5F6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34E8B9B0">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1B366E4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95</w:t>
                  </w:r>
                </w:p>
              </w:tc>
              <w:tc>
                <w:tcPr>
                  <w:tcW w:w="452" w:type="pct"/>
                  <w:tcBorders>
                    <w:tl2br w:val="nil"/>
                    <w:tr2bl w:val="nil"/>
                  </w:tcBorders>
                  <w:noWrap w:val="0"/>
                  <w:vAlign w:val="center"/>
                </w:tcPr>
                <w:p w14:paraId="7FF60EAD">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58C11B2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5AB3AC1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0EEB6437">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444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4C15D004">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搅拌机</w:t>
                  </w:r>
                </w:p>
              </w:tc>
              <w:tc>
                <w:tcPr>
                  <w:tcW w:w="418" w:type="pct"/>
                  <w:tcBorders>
                    <w:tl2br w:val="nil"/>
                    <w:tr2bl w:val="nil"/>
                  </w:tcBorders>
                  <w:noWrap w:val="0"/>
                  <w:vAlign w:val="center"/>
                </w:tcPr>
                <w:p w14:paraId="13ED90B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3A0362AD">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0DC6057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65.57</w:t>
                  </w:r>
                </w:p>
              </w:tc>
              <w:tc>
                <w:tcPr>
                  <w:tcW w:w="447" w:type="pct"/>
                  <w:tcBorders>
                    <w:tl2br w:val="nil"/>
                    <w:tr2bl w:val="nil"/>
                  </w:tcBorders>
                  <w:noWrap w:val="0"/>
                  <w:vAlign w:val="center"/>
                </w:tcPr>
                <w:p w14:paraId="3BEE5478">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114.57</w:t>
                  </w:r>
                </w:p>
              </w:tc>
              <w:tc>
                <w:tcPr>
                  <w:tcW w:w="296" w:type="pct"/>
                  <w:tcBorders>
                    <w:tl2br w:val="nil"/>
                    <w:tr2bl w:val="nil"/>
                  </w:tcBorders>
                  <w:noWrap w:val="0"/>
                  <w:vAlign w:val="center"/>
                </w:tcPr>
                <w:p w14:paraId="5EEC4DA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2E2C9B42">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昼间、夜间</w:t>
                  </w:r>
                </w:p>
              </w:tc>
              <w:tc>
                <w:tcPr>
                  <w:tcW w:w="414" w:type="pct"/>
                  <w:tcBorders>
                    <w:tl2br w:val="nil"/>
                    <w:tr2bl w:val="nil"/>
                  </w:tcBorders>
                  <w:noWrap w:val="0"/>
                  <w:vAlign w:val="center"/>
                </w:tcPr>
                <w:p w14:paraId="7C3D404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54</w:t>
                  </w:r>
                </w:p>
              </w:tc>
              <w:tc>
                <w:tcPr>
                  <w:tcW w:w="452" w:type="pct"/>
                  <w:tcBorders>
                    <w:tl2br w:val="nil"/>
                    <w:tr2bl w:val="nil"/>
                  </w:tcBorders>
                  <w:noWrap w:val="0"/>
                  <w:vAlign w:val="center"/>
                </w:tcPr>
                <w:p w14:paraId="169FCCA1">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1E53140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58DB03F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556398C2">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406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49FB50C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除尘器风机</w:t>
                  </w:r>
                </w:p>
              </w:tc>
              <w:tc>
                <w:tcPr>
                  <w:tcW w:w="418" w:type="pct"/>
                  <w:tcBorders>
                    <w:tl2br w:val="nil"/>
                    <w:tr2bl w:val="nil"/>
                  </w:tcBorders>
                  <w:noWrap w:val="0"/>
                  <w:vAlign w:val="center"/>
                </w:tcPr>
                <w:p w14:paraId="2BE817AB">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2FFCE067">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4A23E4B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87.11</w:t>
                  </w:r>
                </w:p>
              </w:tc>
              <w:tc>
                <w:tcPr>
                  <w:tcW w:w="447" w:type="pct"/>
                  <w:tcBorders>
                    <w:tl2br w:val="nil"/>
                    <w:tr2bl w:val="nil"/>
                  </w:tcBorders>
                  <w:noWrap w:val="0"/>
                  <w:vAlign w:val="center"/>
                </w:tcPr>
                <w:p w14:paraId="519CE06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266.86</w:t>
                  </w:r>
                </w:p>
              </w:tc>
              <w:tc>
                <w:tcPr>
                  <w:tcW w:w="296" w:type="pct"/>
                  <w:tcBorders>
                    <w:tl2br w:val="nil"/>
                    <w:tr2bl w:val="nil"/>
                  </w:tcBorders>
                  <w:noWrap w:val="0"/>
                  <w:vAlign w:val="center"/>
                </w:tcPr>
                <w:p w14:paraId="67372594">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394F9C7E">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昼间、夜间</w:t>
                  </w:r>
                </w:p>
              </w:tc>
              <w:tc>
                <w:tcPr>
                  <w:tcW w:w="414" w:type="pct"/>
                  <w:tcBorders>
                    <w:tl2br w:val="nil"/>
                    <w:tr2bl w:val="nil"/>
                  </w:tcBorders>
                  <w:noWrap w:val="0"/>
                  <w:vAlign w:val="center"/>
                </w:tcPr>
                <w:p w14:paraId="35B44B17">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79</w:t>
                  </w:r>
                </w:p>
              </w:tc>
              <w:tc>
                <w:tcPr>
                  <w:tcW w:w="452" w:type="pct"/>
                  <w:tcBorders>
                    <w:tl2br w:val="nil"/>
                    <w:tr2bl w:val="nil"/>
                  </w:tcBorders>
                  <w:noWrap w:val="0"/>
                  <w:vAlign w:val="center"/>
                </w:tcPr>
                <w:p w14:paraId="5796D019">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3BE5EA95">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3E320A7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26CFFFD1">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1699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6E019C1B">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除尘器风机</w:t>
                  </w:r>
                </w:p>
              </w:tc>
              <w:tc>
                <w:tcPr>
                  <w:tcW w:w="418" w:type="pct"/>
                  <w:tcBorders>
                    <w:tl2br w:val="nil"/>
                    <w:tr2bl w:val="nil"/>
                  </w:tcBorders>
                  <w:noWrap w:val="0"/>
                  <w:vAlign w:val="center"/>
                </w:tcPr>
                <w:p w14:paraId="5B627768">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w:t>
                  </w:r>
                </w:p>
              </w:tc>
              <w:tc>
                <w:tcPr>
                  <w:tcW w:w="359" w:type="pct"/>
                  <w:vMerge w:val="continue"/>
                  <w:tcBorders>
                    <w:tl2br w:val="nil"/>
                    <w:tr2bl w:val="nil"/>
                  </w:tcBorders>
                  <w:noWrap w:val="0"/>
                  <w:vAlign w:val="center"/>
                </w:tcPr>
                <w:p w14:paraId="58FB3C9D">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7893970D">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69.23</w:t>
                  </w:r>
                </w:p>
              </w:tc>
              <w:tc>
                <w:tcPr>
                  <w:tcW w:w="447" w:type="pct"/>
                  <w:tcBorders>
                    <w:tl2br w:val="nil"/>
                    <w:tr2bl w:val="nil"/>
                  </w:tcBorders>
                  <w:noWrap w:val="0"/>
                  <w:vAlign w:val="center"/>
                </w:tcPr>
                <w:p w14:paraId="479DAA23">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113.41</w:t>
                  </w:r>
                </w:p>
              </w:tc>
              <w:tc>
                <w:tcPr>
                  <w:tcW w:w="296" w:type="pct"/>
                  <w:tcBorders>
                    <w:tl2br w:val="nil"/>
                    <w:tr2bl w:val="nil"/>
                  </w:tcBorders>
                  <w:noWrap w:val="0"/>
                  <w:vAlign w:val="center"/>
                </w:tcPr>
                <w:p w14:paraId="7CE06D47">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73" w:type="pct"/>
                  <w:tcBorders>
                    <w:tl2br w:val="nil"/>
                    <w:tr2bl w:val="nil"/>
                  </w:tcBorders>
                  <w:noWrap w:val="0"/>
                  <w:vAlign w:val="center"/>
                </w:tcPr>
                <w:p w14:paraId="739858E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w:t>
                  </w:r>
                </w:p>
              </w:tc>
              <w:tc>
                <w:tcPr>
                  <w:tcW w:w="414" w:type="pct"/>
                  <w:tcBorders>
                    <w:tl2br w:val="nil"/>
                    <w:tr2bl w:val="nil"/>
                  </w:tcBorders>
                  <w:noWrap w:val="0"/>
                  <w:vAlign w:val="center"/>
                </w:tcPr>
                <w:p w14:paraId="636CC1E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59</w:t>
                  </w:r>
                </w:p>
              </w:tc>
              <w:tc>
                <w:tcPr>
                  <w:tcW w:w="452" w:type="pct"/>
                  <w:tcBorders>
                    <w:tl2br w:val="nil"/>
                    <w:tr2bl w:val="nil"/>
                  </w:tcBorders>
                  <w:noWrap w:val="0"/>
                  <w:vAlign w:val="center"/>
                </w:tcPr>
                <w:p w14:paraId="048379C7">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77</w:t>
                  </w:r>
                </w:p>
              </w:tc>
              <w:tc>
                <w:tcPr>
                  <w:tcW w:w="445" w:type="pct"/>
                  <w:tcBorders>
                    <w:tl2br w:val="nil"/>
                    <w:tr2bl w:val="nil"/>
                  </w:tcBorders>
                  <w:noWrap w:val="0"/>
                  <w:vAlign w:val="center"/>
                </w:tcPr>
                <w:p w14:paraId="7EEE4E4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135AE813">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w:t>
                  </w:r>
                </w:p>
              </w:tc>
              <w:tc>
                <w:tcPr>
                  <w:tcW w:w="474" w:type="pct"/>
                  <w:tcBorders>
                    <w:tl2br w:val="nil"/>
                    <w:tr2bl w:val="nil"/>
                  </w:tcBorders>
                  <w:noWrap w:val="0"/>
                  <w:vAlign w:val="center"/>
                </w:tcPr>
                <w:p w14:paraId="1622032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r>
            <w:tr w14:paraId="4C4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37F16F7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水泵1</w:t>
                  </w:r>
                </w:p>
              </w:tc>
              <w:tc>
                <w:tcPr>
                  <w:tcW w:w="418" w:type="pct"/>
                  <w:tcBorders>
                    <w:tl2br w:val="nil"/>
                    <w:tr2bl w:val="nil"/>
                  </w:tcBorders>
                  <w:noWrap w:val="0"/>
                  <w:vAlign w:val="center"/>
                </w:tcPr>
                <w:p w14:paraId="3F7AE537">
                  <w:pPr>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color w:val="auto"/>
                      <w:szCs w:val="21"/>
                      <w:highlight w:val="none"/>
                    </w:rPr>
                    <w:t>8</w:t>
                  </w:r>
                  <w:r>
                    <w:rPr>
                      <w:rFonts w:hint="eastAsia"/>
                      <w:color w:val="auto"/>
                      <w:szCs w:val="21"/>
                      <w:highlight w:val="none"/>
                      <w:lang w:val="en-US" w:eastAsia="zh-CN"/>
                    </w:rPr>
                    <w:t>5</w:t>
                  </w:r>
                </w:p>
              </w:tc>
              <w:tc>
                <w:tcPr>
                  <w:tcW w:w="359" w:type="pct"/>
                  <w:vMerge w:val="continue"/>
                  <w:tcBorders>
                    <w:tl2br w:val="nil"/>
                    <w:tr2bl w:val="nil"/>
                  </w:tcBorders>
                  <w:noWrap w:val="0"/>
                  <w:vAlign w:val="center"/>
                </w:tcPr>
                <w:p w14:paraId="7A78938E">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14EBDC0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89.50</w:t>
                  </w:r>
                </w:p>
              </w:tc>
              <w:tc>
                <w:tcPr>
                  <w:tcW w:w="447" w:type="pct"/>
                  <w:tcBorders>
                    <w:tl2br w:val="nil"/>
                    <w:tr2bl w:val="nil"/>
                  </w:tcBorders>
                  <w:noWrap w:val="0"/>
                  <w:vAlign w:val="center"/>
                </w:tcPr>
                <w:p w14:paraId="12027C9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290.05</w:t>
                  </w:r>
                </w:p>
              </w:tc>
              <w:tc>
                <w:tcPr>
                  <w:tcW w:w="296" w:type="pct"/>
                  <w:tcBorders>
                    <w:tl2br w:val="nil"/>
                    <w:tr2bl w:val="nil"/>
                  </w:tcBorders>
                  <w:noWrap w:val="0"/>
                  <w:vAlign w:val="center"/>
                </w:tcPr>
                <w:p w14:paraId="0137F536">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c>
                <w:tcPr>
                  <w:tcW w:w="373" w:type="pct"/>
                  <w:tcBorders>
                    <w:tl2br w:val="nil"/>
                    <w:tr2bl w:val="nil"/>
                  </w:tcBorders>
                  <w:shd w:val="clear" w:color="auto" w:fill="auto"/>
                  <w:noWrap w:val="0"/>
                  <w:vAlign w:val="center"/>
                </w:tcPr>
                <w:p w14:paraId="22EFBE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昼间、夜间</w:t>
                  </w:r>
                </w:p>
              </w:tc>
              <w:tc>
                <w:tcPr>
                  <w:tcW w:w="414" w:type="pct"/>
                  <w:tcBorders>
                    <w:tl2br w:val="nil"/>
                    <w:tr2bl w:val="nil"/>
                  </w:tcBorders>
                  <w:noWrap w:val="0"/>
                  <w:vAlign w:val="center"/>
                </w:tcPr>
                <w:p w14:paraId="22531D56">
                  <w:pPr>
                    <w:spacing w:line="240" w:lineRule="auto"/>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75</w:t>
                  </w:r>
                </w:p>
              </w:tc>
              <w:tc>
                <w:tcPr>
                  <w:tcW w:w="452" w:type="pct"/>
                  <w:tcBorders>
                    <w:tl2br w:val="nil"/>
                    <w:tr2bl w:val="nil"/>
                  </w:tcBorders>
                  <w:noWrap w:val="0"/>
                  <w:vAlign w:val="center"/>
                </w:tcPr>
                <w:p w14:paraId="45D1779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68</w:t>
                  </w:r>
                </w:p>
              </w:tc>
              <w:tc>
                <w:tcPr>
                  <w:tcW w:w="445" w:type="pct"/>
                  <w:tcBorders>
                    <w:tl2br w:val="nil"/>
                    <w:tr2bl w:val="nil"/>
                  </w:tcBorders>
                  <w:noWrap w:val="0"/>
                  <w:vAlign w:val="center"/>
                </w:tcPr>
                <w:p w14:paraId="7ECCF3D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051B074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42</w:t>
                  </w:r>
                </w:p>
              </w:tc>
              <w:tc>
                <w:tcPr>
                  <w:tcW w:w="474" w:type="pct"/>
                  <w:tcBorders>
                    <w:tl2br w:val="nil"/>
                    <w:tr2bl w:val="nil"/>
                  </w:tcBorders>
                  <w:noWrap w:val="0"/>
                  <w:vAlign w:val="center"/>
                </w:tcPr>
                <w:p w14:paraId="053C95BC">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r w14:paraId="7A80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71" w:type="pct"/>
                  <w:tcBorders>
                    <w:tl2br w:val="nil"/>
                    <w:tr2bl w:val="nil"/>
                  </w:tcBorders>
                  <w:noWrap w:val="0"/>
                  <w:vAlign w:val="center"/>
                </w:tcPr>
                <w:p w14:paraId="4AE40097">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水泵2</w:t>
                  </w:r>
                </w:p>
              </w:tc>
              <w:tc>
                <w:tcPr>
                  <w:tcW w:w="418" w:type="pct"/>
                  <w:tcBorders>
                    <w:tl2br w:val="nil"/>
                    <w:tr2bl w:val="nil"/>
                  </w:tcBorders>
                  <w:noWrap w:val="0"/>
                  <w:vAlign w:val="center"/>
                </w:tcPr>
                <w:p w14:paraId="3F48EC6D">
                  <w:pPr>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color w:val="auto"/>
                      <w:szCs w:val="21"/>
                      <w:highlight w:val="none"/>
                    </w:rPr>
                    <w:t>8</w:t>
                  </w:r>
                  <w:r>
                    <w:rPr>
                      <w:rFonts w:hint="eastAsia"/>
                      <w:color w:val="auto"/>
                      <w:szCs w:val="21"/>
                      <w:highlight w:val="none"/>
                      <w:lang w:val="en-US" w:eastAsia="zh-CN"/>
                    </w:rPr>
                    <w:t>5</w:t>
                  </w:r>
                </w:p>
              </w:tc>
              <w:tc>
                <w:tcPr>
                  <w:tcW w:w="359" w:type="pct"/>
                  <w:vMerge w:val="continue"/>
                  <w:tcBorders>
                    <w:tl2br w:val="nil"/>
                    <w:tr2bl w:val="nil"/>
                  </w:tcBorders>
                  <w:noWrap w:val="0"/>
                  <w:vAlign w:val="center"/>
                </w:tcPr>
                <w:p w14:paraId="63D31573">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394" w:type="pct"/>
                  <w:tcBorders>
                    <w:tl2br w:val="nil"/>
                    <w:tr2bl w:val="nil"/>
                  </w:tcBorders>
                  <w:noWrap w:val="0"/>
                  <w:vAlign w:val="center"/>
                </w:tcPr>
                <w:p w14:paraId="0E8D12B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72.45</w:t>
                  </w:r>
                </w:p>
              </w:tc>
              <w:tc>
                <w:tcPr>
                  <w:tcW w:w="447" w:type="pct"/>
                  <w:tcBorders>
                    <w:tl2br w:val="nil"/>
                    <w:tr2bl w:val="nil"/>
                  </w:tcBorders>
                  <w:noWrap w:val="0"/>
                  <w:vAlign w:val="center"/>
                </w:tcPr>
                <w:p w14:paraId="00C5211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110.15</w:t>
                  </w:r>
                </w:p>
              </w:tc>
              <w:tc>
                <w:tcPr>
                  <w:tcW w:w="296" w:type="pct"/>
                  <w:tcBorders>
                    <w:tl2br w:val="nil"/>
                    <w:tr2bl w:val="nil"/>
                  </w:tcBorders>
                  <w:noWrap w:val="0"/>
                  <w:vAlign w:val="center"/>
                </w:tcPr>
                <w:p w14:paraId="5A56107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c>
                <w:tcPr>
                  <w:tcW w:w="373" w:type="pct"/>
                  <w:tcBorders>
                    <w:tl2br w:val="nil"/>
                    <w:tr2bl w:val="nil"/>
                  </w:tcBorders>
                  <w:noWrap w:val="0"/>
                  <w:vAlign w:val="center"/>
                </w:tcPr>
                <w:p w14:paraId="04FAA9B1">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昼间、夜间</w:t>
                  </w:r>
                </w:p>
              </w:tc>
              <w:tc>
                <w:tcPr>
                  <w:tcW w:w="414" w:type="pct"/>
                  <w:tcBorders>
                    <w:tl2br w:val="nil"/>
                    <w:tr2bl w:val="nil"/>
                  </w:tcBorders>
                  <w:noWrap w:val="0"/>
                  <w:vAlign w:val="center"/>
                </w:tcPr>
                <w:p w14:paraId="01A100FE">
                  <w:pPr>
                    <w:spacing w:line="240" w:lineRule="auto"/>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63</w:t>
                  </w:r>
                </w:p>
              </w:tc>
              <w:tc>
                <w:tcPr>
                  <w:tcW w:w="452" w:type="pct"/>
                  <w:tcBorders>
                    <w:tl2br w:val="nil"/>
                    <w:tr2bl w:val="nil"/>
                  </w:tcBorders>
                  <w:noWrap w:val="0"/>
                  <w:vAlign w:val="center"/>
                </w:tcPr>
                <w:p w14:paraId="49AB9380">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68</w:t>
                  </w:r>
                </w:p>
              </w:tc>
              <w:tc>
                <w:tcPr>
                  <w:tcW w:w="445" w:type="pct"/>
                  <w:tcBorders>
                    <w:tl2br w:val="nil"/>
                    <w:tr2bl w:val="nil"/>
                  </w:tcBorders>
                  <w:noWrap w:val="0"/>
                  <w:vAlign w:val="center"/>
                </w:tcPr>
                <w:p w14:paraId="2F766071">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26</w:t>
                  </w:r>
                </w:p>
              </w:tc>
              <w:tc>
                <w:tcPr>
                  <w:tcW w:w="451" w:type="pct"/>
                  <w:tcBorders>
                    <w:tl2br w:val="nil"/>
                    <w:tr2bl w:val="nil"/>
                  </w:tcBorders>
                  <w:noWrap w:val="0"/>
                  <w:vAlign w:val="center"/>
                </w:tcPr>
                <w:p w14:paraId="1C3C2DC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42</w:t>
                  </w:r>
                </w:p>
              </w:tc>
              <w:tc>
                <w:tcPr>
                  <w:tcW w:w="474" w:type="pct"/>
                  <w:tcBorders>
                    <w:tl2br w:val="nil"/>
                    <w:tr2bl w:val="nil"/>
                  </w:tcBorders>
                  <w:noWrap w:val="0"/>
                  <w:vAlign w:val="center"/>
                </w:tcPr>
                <w:p w14:paraId="75C9679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r>
          </w:tbl>
          <w:p w14:paraId="3BDD6EEE">
            <w:pPr>
              <w:adjustRightInd w:val="0"/>
              <w:snapToGrid w:val="0"/>
              <w:ind w:firstLine="480" w:firstLineChars="200"/>
              <w:rPr>
                <w:rFonts w:hint="default" w:ascii="Times New Roman" w:hAnsi="Times New Roman" w:eastAsia="宋体" w:cs="Times New Roman"/>
                <w:color w:val="auto"/>
                <w:highlight w:val="none"/>
              </w:rPr>
            </w:pPr>
          </w:p>
          <w:p w14:paraId="1E54B560">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本通过预测模型计算，项目厂界噪声预测结果与达标分析见表4-</w:t>
            </w:r>
            <w:r>
              <w:rPr>
                <w:rFonts w:hint="eastAsia" w:eastAsia="宋体" w:cs="Times New Roman"/>
                <w:color w:val="auto"/>
                <w:highlight w:val="none"/>
                <w:lang w:val="en-US" w:eastAsia="zh-CN"/>
              </w:rPr>
              <w:t>6</w:t>
            </w:r>
            <w:r>
              <w:rPr>
                <w:rFonts w:hint="default" w:ascii="Times New Roman" w:hAnsi="Times New Roman" w:eastAsia="宋体" w:cs="Times New Roman"/>
                <w:color w:val="auto"/>
                <w:highlight w:val="none"/>
              </w:rPr>
              <w:t>。</w:t>
            </w:r>
          </w:p>
          <w:p w14:paraId="5DC9AB43">
            <w:pPr>
              <w:pStyle w:val="5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表4</w:t>
            </w:r>
            <w:r>
              <w:rPr>
                <w:rFonts w:hint="default"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 xml:space="preserve">6 </w:t>
            </w:r>
            <w:r>
              <w:rPr>
                <w:rFonts w:hint="default" w:ascii="Times New Roman" w:hAnsi="Times New Roman" w:eastAsia="宋体" w:cs="Times New Roman"/>
                <w:color w:val="auto"/>
                <w:highlight w:val="none"/>
              </w:rPr>
              <w:t>厂界噪声预测结果与达标分析表</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3"/>
              <w:gridCol w:w="936"/>
              <w:gridCol w:w="816"/>
              <w:gridCol w:w="470"/>
              <w:gridCol w:w="949"/>
              <w:gridCol w:w="1186"/>
              <w:gridCol w:w="1157"/>
              <w:gridCol w:w="1334"/>
              <w:gridCol w:w="1170"/>
              <w:gridCol w:w="781"/>
            </w:tblGrid>
            <w:tr w14:paraId="63C2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0A72192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预测方位</w:t>
                  </w:r>
                </w:p>
              </w:tc>
              <w:tc>
                <w:tcPr>
                  <w:tcW w:w="1164" w:type="pct"/>
                  <w:gridSpan w:val="3"/>
                  <w:tcBorders>
                    <w:tl2br w:val="nil"/>
                    <w:tr2bl w:val="nil"/>
                  </w:tcBorders>
                  <w:shd w:val="clear" w:color="auto" w:fill="auto"/>
                  <w:vAlign w:val="center"/>
                </w:tcPr>
                <w:p w14:paraId="453A492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lang w:val="en-US" w:eastAsia="zh-CN"/>
                    </w:rPr>
                    <w:t>最大值点</w:t>
                  </w:r>
                  <w:r>
                    <w:rPr>
                      <w:rFonts w:hint="default" w:ascii="Times New Roman" w:hAnsi="Times New Roman" w:eastAsia="宋体" w:cs="Times New Roman"/>
                      <w:b/>
                      <w:color w:val="auto"/>
                      <w:sz w:val="21"/>
                      <w:szCs w:val="21"/>
                      <w:highlight w:val="none"/>
                    </w:rPr>
                    <w:t>空间相对位置/m</w:t>
                  </w:r>
                </w:p>
              </w:tc>
              <w:tc>
                <w:tcPr>
                  <w:tcW w:w="497" w:type="pct"/>
                  <w:vMerge w:val="restart"/>
                  <w:tcBorders>
                    <w:tl2br w:val="nil"/>
                    <w:tr2bl w:val="nil"/>
                  </w:tcBorders>
                  <w:shd w:val="clear" w:color="auto" w:fill="auto"/>
                  <w:vAlign w:val="center"/>
                </w:tcPr>
                <w:p w14:paraId="48A8BA3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时段</w:t>
                  </w:r>
                </w:p>
              </w:tc>
              <w:tc>
                <w:tcPr>
                  <w:tcW w:w="621" w:type="pct"/>
                  <w:vMerge w:val="restart"/>
                  <w:tcBorders>
                    <w:tl2br w:val="nil"/>
                    <w:tr2bl w:val="nil"/>
                  </w:tcBorders>
                  <w:shd w:val="clear" w:color="auto" w:fill="auto"/>
                  <w:vAlign w:val="center"/>
                </w:tcPr>
                <w:p w14:paraId="4864222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贡献值（dB(A)）</w:t>
                  </w:r>
                </w:p>
              </w:tc>
              <w:tc>
                <w:tcPr>
                  <w:tcW w:w="606" w:type="pct"/>
                  <w:vMerge w:val="restart"/>
                  <w:tcBorders>
                    <w:tl2br w:val="nil"/>
                    <w:tr2bl w:val="nil"/>
                  </w:tcBorders>
                  <w:shd w:val="clear" w:color="auto" w:fill="auto"/>
                  <w:vAlign w:val="center"/>
                </w:tcPr>
                <w:p w14:paraId="4DF8F0F2">
                  <w:pPr>
                    <w:spacing w:line="240" w:lineRule="auto"/>
                    <w:jc w:val="center"/>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背景</w:t>
                  </w:r>
                  <w:r>
                    <w:rPr>
                      <w:rFonts w:hint="default" w:ascii="Times New Roman" w:hAnsi="Times New Roman" w:eastAsia="宋体" w:cs="Times New Roman"/>
                      <w:b/>
                      <w:color w:val="auto"/>
                      <w:sz w:val="21"/>
                      <w:szCs w:val="21"/>
                      <w:highlight w:val="none"/>
                    </w:rPr>
                    <w:t>值（dB(A)）</w:t>
                  </w:r>
                </w:p>
              </w:tc>
              <w:tc>
                <w:tcPr>
                  <w:tcW w:w="699" w:type="pct"/>
                  <w:vMerge w:val="restart"/>
                  <w:tcBorders>
                    <w:tl2br w:val="nil"/>
                    <w:tr2bl w:val="nil"/>
                  </w:tcBorders>
                  <w:shd w:val="clear" w:color="auto" w:fill="auto"/>
                  <w:vAlign w:val="center"/>
                </w:tcPr>
                <w:p w14:paraId="07C625C1">
                  <w:pPr>
                    <w:spacing w:line="240" w:lineRule="auto"/>
                    <w:jc w:val="center"/>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预测</w:t>
                  </w:r>
                  <w:r>
                    <w:rPr>
                      <w:rFonts w:hint="default" w:ascii="Times New Roman" w:hAnsi="Times New Roman" w:eastAsia="宋体" w:cs="Times New Roman"/>
                      <w:b/>
                      <w:color w:val="auto"/>
                      <w:sz w:val="21"/>
                      <w:szCs w:val="21"/>
                      <w:highlight w:val="none"/>
                    </w:rPr>
                    <w:t>值（dB(A)）</w:t>
                  </w:r>
                </w:p>
              </w:tc>
              <w:tc>
                <w:tcPr>
                  <w:tcW w:w="613" w:type="pct"/>
                  <w:vMerge w:val="restart"/>
                  <w:tcBorders>
                    <w:tl2br w:val="nil"/>
                    <w:tr2bl w:val="nil"/>
                  </w:tcBorders>
                  <w:shd w:val="clear" w:color="auto" w:fill="auto"/>
                  <w:vAlign w:val="center"/>
                </w:tcPr>
                <w:p w14:paraId="6096C25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标准限值（dB(A)）</w:t>
                  </w:r>
                </w:p>
              </w:tc>
              <w:tc>
                <w:tcPr>
                  <w:tcW w:w="409" w:type="pct"/>
                  <w:vMerge w:val="restart"/>
                  <w:tcBorders>
                    <w:tl2br w:val="nil"/>
                    <w:tr2bl w:val="nil"/>
                  </w:tcBorders>
                  <w:shd w:val="clear" w:color="auto" w:fill="auto"/>
                  <w:vAlign w:val="center"/>
                </w:tcPr>
                <w:p w14:paraId="7808EC7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达标情况</w:t>
                  </w:r>
                </w:p>
              </w:tc>
            </w:tr>
            <w:tr w14:paraId="1CBF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tcBorders>
                    <w:tl2br w:val="nil"/>
                    <w:tr2bl w:val="nil"/>
                  </w:tcBorders>
                  <w:shd w:val="clear" w:color="auto" w:fill="auto"/>
                  <w:vAlign w:val="center"/>
                </w:tcPr>
                <w:p w14:paraId="2EA3F02E">
                  <w:pPr>
                    <w:spacing w:line="240" w:lineRule="auto"/>
                    <w:jc w:val="center"/>
                    <w:rPr>
                      <w:rFonts w:hint="default" w:ascii="Times New Roman" w:hAnsi="Times New Roman" w:eastAsia="宋体" w:cs="Times New Roman"/>
                      <w:color w:val="auto"/>
                      <w:sz w:val="21"/>
                      <w:szCs w:val="21"/>
                      <w:highlight w:val="none"/>
                    </w:rPr>
                  </w:pPr>
                </w:p>
              </w:tc>
              <w:tc>
                <w:tcPr>
                  <w:tcW w:w="490" w:type="pct"/>
                  <w:tcBorders>
                    <w:tl2br w:val="nil"/>
                    <w:tr2bl w:val="nil"/>
                  </w:tcBorders>
                  <w:shd w:val="clear" w:color="auto" w:fill="auto"/>
                  <w:vAlign w:val="center"/>
                </w:tcPr>
                <w:p w14:paraId="7203467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427" w:type="pct"/>
                  <w:tcBorders>
                    <w:tl2br w:val="nil"/>
                    <w:tr2bl w:val="nil"/>
                  </w:tcBorders>
                  <w:shd w:val="clear" w:color="auto" w:fill="auto"/>
                  <w:vAlign w:val="center"/>
                </w:tcPr>
                <w:p w14:paraId="773DFE46">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246" w:type="pct"/>
                  <w:tcBorders>
                    <w:tl2br w:val="nil"/>
                    <w:tr2bl w:val="nil"/>
                  </w:tcBorders>
                  <w:shd w:val="clear" w:color="auto" w:fill="auto"/>
                  <w:vAlign w:val="center"/>
                </w:tcPr>
                <w:p w14:paraId="5358658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497" w:type="pct"/>
                  <w:vMerge w:val="continue"/>
                  <w:tcBorders>
                    <w:tl2br w:val="nil"/>
                    <w:tr2bl w:val="nil"/>
                  </w:tcBorders>
                  <w:shd w:val="clear" w:color="auto" w:fill="auto"/>
                  <w:vAlign w:val="center"/>
                </w:tcPr>
                <w:p w14:paraId="76C540CF">
                  <w:pPr>
                    <w:spacing w:line="240" w:lineRule="auto"/>
                    <w:jc w:val="center"/>
                    <w:rPr>
                      <w:rFonts w:hint="default" w:ascii="Times New Roman" w:hAnsi="Times New Roman" w:eastAsia="宋体" w:cs="Times New Roman"/>
                      <w:color w:val="auto"/>
                      <w:sz w:val="21"/>
                      <w:szCs w:val="21"/>
                      <w:highlight w:val="none"/>
                    </w:rPr>
                  </w:pPr>
                </w:p>
              </w:tc>
              <w:tc>
                <w:tcPr>
                  <w:tcW w:w="621" w:type="pct"/>
                  <w:vMerge w:val="continue"/>
                  <w:tcBorders>
                    <w:tl2br w:val="nil"/>
                    <w:tr2bl w:val="nil"/>
                  </w:tcBorders>
                  <w:shd w:val="clear" w:color="auto" w:fill="auto"/>
                  <w:vAlign w:val="center"/>
                </w:tcPr>
                <w:p w14:paraId="4658DA60">
                  <w:pPr>
                    <w:spacing w:line="240" w:lineRule="auto"/>
                    <w:jc w:val="center"/>
                    <w:rPr>
                      <w:rFonts w:hint="default" w:ascii="Times New Roman" w:hAnsi="Times New Roman" w:eastAsia="宋体" w:cs="Times New Roman"/>
                      <w:color w:val="auto"/>
                      <w:sz w:val="21"/>
                      <w:szCs w:val="21"/>
                      <w:highlight w:val="none"/>
                    </w:rPr>
                  </w:pPr>
                </w:p>
              </w:tc>
              <w:tc>
                <w:tcPr>
                  <w:tcW w:w="606" w:type="pct"/>
                  <w:vMerge w:val="continue"/>
                  <w:tcBorders>
                    <w:tl2br w:val="nil"/>
                    <w:tr2bl w:val="nil"/>
                  </w:tcBorders>
                  <w:shd w:val="clear" w:color="auto" w:fill="auto"/>
                  <w:vAlign w:val="center"/>
                </w:tcPr>
                <w:p w14:paraId="30DF9CF4">
                  <w:pPr>
                    <w:spacing w:line="240" w:lineRule="auto"/>
                    <w:jc w:val="center"/>
                    <w:rPr>
                      <w:rFonts w:hint="default" w:ascii="Times New Roman" w:hAnsi="Times New Roman" w:eastAsia="宋体" w:cs="Times New Roman"/>
                      <w:color w:val="auto"/>
                      <w:sz w:val="21"/>
                      <w:szCs w:val="21"/>
                      <w:highlight w:val="none"/>
                    </w:rPr>
                  </w:pPr>
                </w:p>
              </w:tc>
              <w:tc>
                <w:tcPr>
                  <w:tcW w:w="699" w:type="pct"/>
                  <w:vMerge w:val="continue"/>
                  <w:tcBorders>
                    <w:tl2br w:val="nil"/>
                    <w:tr2bl w:val="nil"/>
                  </w:tcBorders>
                  <w:shd w:val="clear" w:color="auto" w:fill="auto"/>
                  <w:vAlign w:val="center"/>
                </w:tcPr>
                <w:p w14:paraId="4F98C3B7">
                  <w:pPr>
                    <w:spacing w:line="240" w:lineRule="auto"/>
                    <w:jc w:val="center"/>
                    <w:rPr>
                      <w:rFonts w:hint="default" w:ascii="Times New Roman" w:hAnsi="Times New Roman" w:eastAsia="宋体" w:cs="Times New Roman"/>
                      <w:color w:val="auto"/>
                      <w:sz w:val="21"/>
                      <w:szCs w:val="21"/>
                      <w:highlight w:val="none"/>
                    </w:rPr>
                  </w:pPr>
                </w:p>
              </w:tc>
              <w:tc>
                <w:tcPr>
                  <w:tcW w:w="613" w:type="pct"/>
                  <w:vMerge w:val="continue"/>
                  <w:tcBorders>
                    <w:tl2br w:val="nil"/>
                    <w:tr2bl w:val="nil"/>
                  </w:tcBorders>
                  <w:shd w:val="clear" w:color="auto" w:fill="auto"/>
                  <w:vAlign w:val="center"/>
                </w:tcPr>
                <w:p w14:paraId="6826798C">
                  <w:pPr>
                    <w:spacing w:line="240" w:lineRule="auto"/>
                    <w:jc w:val="center"/>
                    <w:rPr>
                      <w:rFonts w:hint="default" w:ascii="Times New Roman" w:hAnsi="Times New Roman" w:eastAsia="宋体" w:cs="Times New Roman"/>
                      <w:color w:val="auto"/>
                      <w:sz w:val="21"/>
                      <w:szCs w:val="21"/>
                      <w:highlight w:val="none"/>
                    </w:rPr>
                  </w:pPr>
                </w:p>
              </w:tc>
              <w:tc>
                <w:tcPr>
                  <w:tcW w:w="409" w:type="pct"/>
                  <w:vMerge w:val="continue"/>
                  <w:tcBorders>
                    <w:tl2br w:val="nil"/>
                    <w:tr2bl w:val="nil"/>
                  </w:tcBorders>
                  <w:shd w:val="clear" w:color="auto" w:fill="auto"/>
                  <w:vAlign w:val="center"/>
                </w:tcPr>
                <w:p w14:paraId="5CD3D6D3">
                  <w:pPr>
                    <w:spacing w:line="240" w:lineRule="auto"/>
                    <w:jc w:val="center"/>
                    <w:rPr>
                      <w:rFonts w:hint="default" w:ascii="Times New Roman" w:hAnsi="Times New Roman" w:eastAsia="宋体" w:cs="Times New Roman"/>
                      <w:color w:val="auto"/>
                      <w:sz w:val="21"/>
                      <w:szCs w:val="21"/>
                      <w:highlight w:val="none"/>
                    </w:rPr>
                  </w:pPr>
                </w:p>
              </w:tc>
            </w:tr>
            <w:tr w14:paraId="7617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7EE2C15F">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0"/>
                      <w:highlight w:val="none"/>
                    </w:rPr>
                    <w:t>西侧</w:t>
                  </w:r>
                </w:p>
              </w:tc>
              <w:tc>
                <w:tcPr>
                  <w:tcW w:w="490" w:type="pct"/>
                  <w:tcBorders>
                    <w:tl2br w:val="nil"/>
                    <w:tr2bl w:val="nil"/>
                  </w:tcBorders>
                  <w:shd w:val="clear" w:color="auto" w:fill="auto"/>
                  <w:vAlign w:val="center"/>
                </w:tcPr>
                <w:p w14:paraId="65D94F56">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-6.02</w:t>
                  </w:r>
                </w:p>
              </w:tc>
              <w:tc>
                <w:tcPr>
                  <w:tcW w:w="427" w:type="pct"/>
                  <w:tcBorders>
                    <w:tl2br w:val="nil"/>
                    <w:tr2bl w:val="nil"/>
                  </w:tcBorders>
                  <w:shd w:val="clear" w:color="auto" w:fill="auto"/>
                  <w:vAlign w:val="center"/>
                </w:tcPr>
                <w:p w14:paraId="6394BA96">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190.04</w:t>
                  </w:r>
                </w:p>
              </w:tc>
              <w:tc>
                <w:tcPr>
                  <w:tcW w:w="246" w:type="pct"/>
                  <w:tcBorders>
                    <w:tl2br w:val="nil"/>
                    <w:tr2bl w:val="nil"/>
                  </w:tcBorders>
                  <w:shd w:val="clear" w:color="auto" w:fill="auto"/>
                  <w:vAlign w:val="center"/>
                </w:tcPr>
                <w:p w14:paraId="3B01B1C4">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5E59E52F">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昼间</w:t>
                  </w:r>
                </w:p>
              </w:tc>
              <w:tc>
                <w:tcPr>
                  <w:tcW w:w="621" w:type="pct"/>
                  <w:tcBorders>
                    <w:tl2br w:val="nil"/>
                    <w:tr2bl w:val="nil"/>
                  </w:tcBorders>
                  <w:shd w:val="clear" w:color="auto" w:fill="auto"/>
                  <w:vAlign w:val="center"/>
                </w:tcPr>
                <w:p w14:paraId="648113A6">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54 </w:t>
                  </w:r>
                </w:p>
              </w:tc>
              <w:tc>
                <w:tcPr>
                  <w:tcW w:w="606" w:type="pct"/>
                  <w:tcBorders>
                    <w:tl2br w:val="nil"/>
                    <w:tr2bl w:val="nil"/>
                  </w:tcBorders>
                  <w:shd w:val="clear" w:color="auto" w:fill="auto"/>
                  <w:vAlign w:val="center"/>
                </w:tcPr>
                <w:p w14:paraId="3F4F600B">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048E2D1B">
                  <w:pPr>
                    <w:spacing w:line="240" w:lineRule="auto"/>
                    <w:jc w:val="center"/>
                    <w:rPr>
                      <w:rFonts w:hint="default" w:ascii="Times New Roman" w:hAnsi="Times New Roman" w:eastAsia="宋体" w:cs="Times New Roman"/>
                      <w:color w:val="auto"/>
                      <w:sz w:val="20"/>
                      <w:highlight w:val="none"/>
                      <w:lang w:val="en-US" w:eastAsia="zh-CN"/>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43A6509C">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60</w:t>
                  </w:r>
                </w:p>
              </w:tc>
              <w:tc>
                <w:tcPr>
                  <w:tcW w:w="409" w:type="pct"/>
                  <w:tcBorders>
                    <w:tl2br w:val="nil"/>
                    <w:tr2bl w:val="nil"/>
                  </w:tcBorders>
                  <w:shd w:val="clear" w:color="auto" w:fill="auto"/>
                  <w:vAlign w:val="center"/>
                </w:tcPr>
                <w:p w14:paraId="64D76A06">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081D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continue"/>
                  <w:tcBorders>
                    <w:tl2br w:val="nil"/>
                    <w:tr2bl w:val="nil"/>
                  </w:tcBorders>
                  <w:shd w:val="clear" w:color="auto" w:fill="auto"/>
                  <w:vAlign w:val="center"/>
                </w:tcPr>
                <w:p w14:paraId="5445F1EC">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0"/>
                      <w:highlight w:val="none"/>
                    </w:rPr>
                    <w:t>东侧</w:t>
                  </w:r>
                </w:p>
              </w:tc>
              <w:tc>
                <w:tcPr>
                  <w:tcW w:w="490" w:type="pct"/>
                  <w:tcBorders>
                    <w:tl2br w:val="nil"/>
                    <w:tr2bl w:val="nil"/>
                  </w:tcBorders>
                  <w:shd w:val="clear" w:color="auto" w:fill="auto"/>
                  <w:vAlign w:val="center"/>
                </w:tcPr>
                <w:p w14:paraId="24F7B8E1">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-6.02</w:t>
                  </w:r>
                </w:p>
              </w:tc>
              <w:tc>
                <w:tcPr>
                  <w:tcW w:w="427" w:type="pct"/>
                  <w:tcBorders>
                    <w:tl2br w:val="nil"/>
                    <w:tr2bl w:val="nil"/>
                  </w:tcBorders>
                  <w:shd w:val="clear" w:color="auto" w:fill="auto"/>
                  <w:vAlign w:val="center"/>
                </w:tcPr>
                <w:p w14:paraId="5E7DD56F">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190.04</w:t>
                  </w:r>
                </w:p>
              </w:tc>
              <w:tc>
                <w:tcPr>
                  <w:tcW w:w="246" w:type="pct"/>
                  <w:tcBorders>
                    <w:tl2br w:val="nil"/>
                    <w:tr2bl w:val="nil"/>
                  </w:tcBorders>
                  <w:shd w:val="clear" w:color="auto" w:fill="auto"/>
                  <w:vAlign w:val="center"/>
                </w:tcPr>
                <w:p w14:paraId="00445F3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256F73B3">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夜间</w:t>
                  </w:r>
                </w:p>
              </w:tc>
              <w:tc>
                <w:tcPr>
                  <w:tcW w:w="621" w:type="pct"/>
                  <w:tcBorders>
                    <w:tl2br w:val="nil"/>
                    <w:tr2bl w:val="nil"/>
                  </w:tcBorders>
                  <w:shd w:val="clear" w:color="auto" w:fill="auto"/>
                  <w:vAlign w:val="center"/>
                </w:tcPr>
                <w:p w14:paraId="27A8E5CA">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46 </w:t>
                  </w:r>
                </w:p>
              </w:tc>
              <w:tc>
                <w:tcPr>
                  <w:tcW w:w="606" w:type="pct"/>
                  <w:tcBorders>
                    <w:tl2br w:val="nil"/>
                    <w:tr2bl w:val="nil"/>
                  </w:tcBorders>
                  <w:shd w:val="clear" w:color="auto" w:fill="auto"/>
                  <w:vAlign w:val="center"/>
                </w:tcPr>
                <w:p w14:paraId="0FEC55F2">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5DF22441">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36B1914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50</w:t>
                  </w:r>
                </w:p>
              </w:tc>
              <w:tc>
                <w:tcPr>
                  <w:tcW w:w="409" w:type="pct"/>
                  <w:tcBorders>
                    <w:tl2br w:val="nil"/>
                    <w:tr2bl w:val="nil"/>
                  </w:tcBorders>
                  <w:shd w:val="clear" w:color="auto" w:fill="auto"/>
                  <w:vAlign w:val="center"/>
                </w:tcPr>
                <w:p w14:paraId="10D5CF34">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774F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1B083FCD">
                  <w:pPr>
                    <w:spacing w:line="240" w:lineRule="auto"/>
                    <w:jc w:val="center"/>
                    <w:rPr>
                      <w:rFonts w:hint="default" w:ascii="Times New Roman" w:hAnsi="Times New Roman" w:eastAsia="宋体" w:cs="Times New Roman"/>
                      <w:color w:val="auto"/>
                      <w:highlight w:val="none"/>
                    </w:rPr>
                  </w:pPr>
                  <w:r>
                    <w:rPr>
                      <w:rFonts w:hint="eastAsia" w:eastAsia="宋体" w:cs="Times New Roman"/>
                      <w:color w:val="auto"/>
                      <w:sz w:val="20"/>
                      <w:highlight w:val="none"/>
                      <w:lang w:val="en-US" w:eastAsia="zh-CN"/>
                    </w:rPr>
                    <w:t>北</w:t>
                  </w:r>
                  <w:r>
                    <w:rPr>
                      <w:rFonts w:hint="default" w:ascii="Times New Roman" w:hAnsi="Times New Roman" w:eastAsia="宋体" w:cs="Times New Roman"/>
                      <w:color w:val="auto"/>
                      <w:sz w:val="20"/>
                      <w:highlight w:val="none"/>
                    </w:rPr>
                    <w:t>侧</w:t>
                  </w:r>
                </w:p>
              </w:tc>
              <w:tc>
                <w:tcPr>
                  <w:tcW w:w="490" w:type="pct"/>
                  <w:tcBorders>
                    <w:tl2br w:val="nil"/>
                    <w:tr2bl w:val="nil"/>
                  </w:tcBorders>
                  <w:shd w:val="clear" w:color="auto" w:fill="auto"/>
                  <w:vAlign w:val="center"/>
                </w:tcPr>
                <w:p w14:paraId="1C1E26A1">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88.93</w:t>
                  </w:r>
                </w:p>
              </w:tc>
              <w:tc>
                <w:tcPr>
                  <w:tcW w:w="427" w:type="pct"/>
                  <w:tcBorders>
                    <w:tl2br w:val="nil"/>
                    <w:tr2bl w:val="nil"/>
                  </w:tcBorders>
                  <w:shd w:val="clear" w:color="auto" w:fill="auto"/>
                  <w:vAlign w:val="center"/>
                </w:tcPr>
                <w:p w14:paraId="7FE6BE11">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342.46</w:t>
                  </w:r>
                </w:p>
              </w:tc>
              <w:tc>
                <w:tcPr>
                  <w:tcW w:w="246" w:type="pct"/>
                  <w:tcBorders>
                    <w:tl2br w:val="nil"/>
                    <w:tr2bl w:val="nil"/>
                  </w:tcBorders>
                  <w:shd w:val="clear" w:color="auto" w:fill="auto"/>
                  <w:vAlign w:val="center"/>
                </w:tcPr>
                <w:p w14:paraId="2FE5FE3E">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19CBF37E">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昼间</w:t>
                  </w:r>
                </w:p>
              </w:tc>
              <w:tc>
                <w:tcPr>
                  <w:tcW w:w="621" w:type="pct"/>
                  <w:tcBorders>
                    <w:tl2br w:val="nil"/>
                    <w:tr2bl w:val="nil"/>
                  </w:tcBorders>
                  <w:shd w:val="clear" w:color="auto" w:fill="auto"/>
                  <w:vAlign w:val="center"/>
                </w:tcPr>
                <w:p w14:paraId="0C10345D">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40 </w:t>
                  </w:r>
                </w:p>
              </w:tc>
              <w:tc>
                <w:tcPr>
                  <w:tcW w:w="606" w:type="pct"/>
                  <w:tcBorders>
                    <w:tl2br w:val="nil"/>
                    <w:tr2bl w:val="nil"/>
                  </w:tcBorders>
                  <w:shd w:val="clear" w:color="auto" w:fill="auto"/>
                  <w:vAlign w:val="center"/>
                </w:tcPr>
                <w:p w14:paraId="1E0A0AEE">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3D219F6C">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23F3A960">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60</w:t>
                  </w:r>
                </w:p>
              </w:tc>
              <w:tc>
                <w:tcPr>
                  <w:tcW w:w="409" w:type="pct"/>
                  <w:tcBorders>
                    <w:tl2br w:val="nil"/>
                    <w:tr2bl w:val="nil"/>
                  </w:tcBorders>
                  <w:shd w:val="clear" w:color="auto" w:fill="auto"/>
                  <w:vAlign w:val="center"/>
                </w:tcPr>
                <w:p w14:paraId="2A242FFC">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1F65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continue"/>
                  <w:tcBorders>
                    <w:tl2br w:val="nil"/>
                    <w:tr2bl w:val="nil"/>
                  </w:tcBorders>
                  <w:shd w:val="clear" w:color="auto" w:fill="auto"/>
                  <w:vAlign w:val="center"/>
                </w:tcPr>
                <w:p w14:paraId="2CC5E1A1">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0"/>
                      <w:highlight w:val="none"/>
                    </w:rPr>
                    <w:t>南侧</w:t>
                  </w:r>
                </w:p>
              </w:tc>
              <w:tc>
                <w:tcPr>
                  <w:tcW w:w="490" w:type="pct"/>
                  <w:tcBorders>
                    <w:tl2br w:val="nil"/>
                    <w:tr2bl w:val="nil"/>
                  </w:tcBorders>
                  <w:shd w:val="clear" w:color="auto" w:fill="auto"/>
                  <w:vAlign w:val="center"/>
                </w:tcPr>
                <w:p w14:paraId="0CC13B8F">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88.93</w:t>
                  </w:r>
                </w:p>
              </w:tc>
              <w:tc>
                <w:tcPr>
                  <w:tcW w:w="427" w:type="pct"/>
                  <w:tcBorders>
                    <w:tl2br w:val="nil"/>
                    <w:tr2bl w:val="nil"/>
                  </w:tcBorders>
                  <w:shd w:val="clear" w:color="auto" w:fill="auto"/>
                  <w:vAlign w:val="center"/>
                </w:tcPr>
                <w:p w14:paraId="7BDF335E">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342.46</w:t>
                  </w:r>
                </w:p>
              </w:tc>
              <w:tc>
                <w:tcPr>
                  <w:tcW w:w="246" w:type="pct"/>
                  <w:tcBorders>
                    <w:tl2br w:val="nil"/>
                    <w:tr2bl w:val="nil"/>
                  </w:tcBorders>
                  <w:shd w:val="clear" w:color="auto" w:fill="auto"/>
                  <w:vAlign w:val="center"/>
                </w:tcPr>
                <w:p w14:paraId="7C9C056C">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443E1269">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夜间</w:t>
                  </w:r>
                </w:p>
              </w:tc>
              <w:tc>
                <w:tcPr>
                  <w:tcW w:w="621" w:type="pct"/>
                  <w:tcBorders>
                    <w:tl2br w:val="nil"/>
                    <w:tr2bl w:val="nil"/>
                  </w:tcBorders>
                  <w:shd w:val="clear" w:color="auto" w:fill="auto"/>
                  <w:vAlign w:val="center"/>
                </w:tcPr>
                <w:p w14:paraId="7FCD5AB8">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32 </w:t>
                  </w:r>
                </w:p>
              </w:tc>
              <w:tc>
                <w:tcPr>
                  <w:tcW w:w="606" w:type="pct"/>
                  <w:tcBorders>
                    <w:tl2br w:val="nil"/>
                    <w:tr2bl w:val="nil"/>
                  </w:tcBorders>
                  <w:shd w:val="clear" w:color="auto" w:fill="auto"/>
                  <w:vAlign w:val="center"/>
                </w:tcPr>
                <w:p w14:paraId="4B51A57C">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78DD650C">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039CD430">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50</w:t>
                  </w:r>
                </w:p>
              </w:tc>
              <w:tc>
                <w:tcPr>
                  <w:tcW w:w="409" w:type="pct"/>
                  <w:tcBorders>
                    <w:tl2br w:val="nil"/>
                    <w:tr2bl w:val="nil"/>
                  </w:tcBorders>
                  <w:shd w:val="clear" w:color="auto" w:fill="auto"/>
                  <w:vAlign w:val="center"/>
                </w:tcPr>
                <w:p w14:paraId="7820EB49">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1879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574A1775">
                  <w:pPr>
                    <w:spacing w:line="240" w:lineRule="auto"/>
                    <w:jc w:val="center"/>
                    <w:rPr>
                      <w:rFonts w:hint="default" w:ascii="Times New Roman" w:hAnsi="Times New Roman" w:eastAsia="宋体" w:cs="Times New Roman"/>
                      <w:color w:val="auto"/>
                      <w:highlight w:val="none"/>
                    </w:rPr>
                  </w:pPr>
                  <w:r>
                    <w:rPr>
                      <w:rFonts w:hint="eastAsia" w:eastAsia="宋体" w:cs="Times New Roman"/>
                      <w:color w:val="auto"/>
                      <w:sz w:val="20"/>
                      <w:highlight w:val="none"/>
                      <w:lang w:val="en-US" w:eastAsia="zh-CN"/>
                    </w:rPr>
                    <w:t>东</w:t>
                  </w:r>
                  <w:r>
                    <w:rPr>
                      <w:rFonts w:hint="default" w:ascii="Times New Roman" w:hAnsi="Times New Roman" w:eastAsia="宋体" w:cs="Times New Roman"/>
                      <w:color w:val="auto"/>
                      <w:sz w:val="20"/>
                      <w:highlight w:val="none"/>
                    </w:rPr>
                    <w:t>侧</w:t>
                  </w:r>
                </w:p>
              </w:tc>
              <w:tc>
                <w:tcPr>
                  <w:tcW w:w="490" w:type="pct"/>
                  <w:tcBorders>
                    <w:tl2br w:val="nil"/>
                    <w:tr2bl w:val="nil"/>
                  </w:tcBorders>
                  <w:shd w:val="clear" w:color="auto" w:fill="auto"/>
                  <w:vAlign w:val="center"/>
                </w:tcPr>
                <w:p w14:paraId="520875D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177.37</w:t>
                  </w:r>
                </w:p>
              </w:tc>
              <w:tc>
                <w:tcPr>
                  <w:tcW w:w="427" w:type="pct"/>
                  <w:tcBorders>
                    <w:tl2br w:val="nil"/>
                    <w:tr2bl w:val="nil"/>
                  </w:tcBorders>
                  <w:shd w:val="clear" w:color="auto" w:fill="auto"/>
                  <w:vAlign w:val="center"/>
                </w:tcPr>
                <w:p w14:paraId="1F85E53C">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125.06</w:t>
                  </w:r>
                </w:p>
              </w:tc>
              <w:tc>
                <w:tcPr>
                  <w:tcW w:w="246" w:type="pct"/>
                  <w:tcBorders>
                    <w:tl2br w:val="nil"/>
                    <w:tr2bl w:val="nil"/>
                  </w:tcBorders>
                  <w:shd w:val="clear" w:color="auto" w:fill="auto"/>
                  <w:vAlign w:val="center"/>
                </w:tcPr>
                <w:p w14:paraId="71B0275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734BD9F4">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昼间</w:t>
                  </w:r>
                </w:p>
              </w:tc>
              <w:tc>
                <w:tcPr>
                  <w:tcW w:w="621" w:type="pct"/>
                  <w:tcBorders>
                    <w:tl2br w:val="nil"/>
                    <w:tr2bl w:val="nil"/>
                  </w:tcBorders>
                  <w:shd w:val="clear" w:color="auto" w:fill="auto"/>
                  <w:vAlign w:val="center"/>
                </w:tcPr>
                <w:p w14:paraId="4F16BAB4">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28 </w:t>
                  </w:r>
                </w:p>
              </w:tc>
              <w:tc>
                <w:tcPr>
                  <w:tcW w:w="606" w:type="pct"/>
                  <w:tcBorders>
                    <w:tl2br w:val="nil"/>
                    <w:tr2bl w:val="nil"/>
                  </w:tcBorders>
                  <w:shd w:val="clear" w:color="auto" w:fill="auto"/>
                  <w:vAlign w:val="center"/>
                </w:tcPr>
                <w:p w14:paraId="2175C35A">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49AB1695">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7E8BF766">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60</w:t>
                  </w:r>
                </w:p>
              </w:tc>
              <w:tc>
                <w:tcPr>
                  <w:tcW w:w="409" w:type="pct"/>
                  <w:tcBorders>
                    <w:tl2br w:val="nil"/>
                    <w:tr2bl w:val="nil"/>
                  </w:tcBorders>
                  <w:shd w:val="clear" w:color="auto" w:fill="auto"/>
                  <w:vAlign w:val="center"/>
                </w:tcPr>
                <w:p w14:paraId="73864635">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2F60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continue"/>
                  <w:tcBorders>
                    <w:tl2br w:val="nil"/>
                    <w:tr2bl w:val="nil"/>
                  </w:tcBorders>
                  <w:shd w:val="clear" w:color="auto" w:fill="auto"/>
                  <w:vAlign w:val="center"/>
                </w:tcPr>
                <w:p w14:paraId="5AB91AEC">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0"/>
                      <w:highlight w:val="none"/>
                    </w:rPr>
                    <w:t>西侧</w:t>
                  </w:r>
                </w:p>
              </w:tc>
              <w:tc>
                <w:tcPr>
                  <w:tcW w:w="490" w:type="pct"/>
                  <w:tcBorders>
                    <w:tl2br w:val="nil"/>
                    <w:tr2bl w:val="nil"/>
                  </w:tcBorders>
                  <w:shd w:val="clear" w:color="auto" w:fill="auto"/>
                  <w:vAlign w:val="center"/>
                </w:tcPr>
                <w:p w14:paraId="479BFDA3">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177.37</w:t>
                  </w:r>
                </w:p>
              </w:tc>
              <w:tc>
                <w:tcPr>
                  <w:tcW w:w="427" w:type="pct"/>
                  <w:tcBorders>
                    <w:tl2br w:val="nil"/>
                    <w:tr2bl w:val="nil"/>
                  </w:tcBorders>
                  <w:shd w:val="clear" w:color="auto" w:fill="auto"/>
                  <w:vAlign w:val="center"/>
                </w:tcPr>
                <w:p w14:paraId="427E4EBC">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125.06</w:t>
                  </w:r>
                </w:p>
              </w:tc>
              <w:tc>
                <w:tcPr>
                  <w:tcW w:w="246" w:type="pct"/>
                  <w:tcBorders>
                    <w:tl2br w:val="nil"/>
                    <w:tr2bl w:val="nil"/>
                  </w:tcBorders>
                  <w:shd w:val="clear" w:color="auto" w:fill="auto"/>
                  <w:vAlign w:val="center"/>
                </w:tcPr>
                <w:p w14:paraId="682029D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4BC783FF">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夜间</w:t>
                  </w:r>
                </w:p>
              </w:tc>
              <w:tc>
                <w:tcPr>
                  <w:tcW w:w="621" w:type="pct"/>
                  <w:tcBorders>
                    <w:tl2br w:val="nil"/>
                    <w:tr2bl w:val="nil"/>
                  </w:tcBorders>
                  <w:shd w:val="clear" w:color="auto" w:fill="auto"/>
                  <w:vAlign w:val="center"/>
                </w:tcPr>
                <w:p w14:paraId="476F7BF5">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21 </w:t>
                  </w:r>
                </w:p>
              </w:tc>
              <w:tc>
                <w:tcPr>
                  <w:tcW w:w="606" w:type="pct"/>
                  <w:tcBorders>
                    <w:tl2br w:val="nil"/>
                    <w:tr2bl w:val="nil"/>
                  </w:tcBorders>
                  <w:shd w:val="clear" w:color="auto" w:fill="auto"/>
                  <w:vAlign w:val="center"/>
                </w:tcPr>
                <w:p w14:paraId="00C411BB">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5DCDAB4D">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68926277">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50</w:t>
                  </w:r>
                </w:p>
              </w:tc>
              <w:tc>
                <w:tcPr>
                  <w:tcW w:w="409" w:type="pct"/>
                  <w:tcBorders>
                    <w:tl2br w:val="nil"/>
                    <w:tr2bl w:val="nil"/>
                  </w:tcBorders>
                  <w:shd w:val="clear" w:color="auto" w:fill="auto"/>
                  <w:vAlign w:val="center"/>
                </w:tcPr>
                <w:p w14:paraId="1F8E07BD">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093B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5EB3CBF9">
                  <w:pPr>
                    <w:spacing w:line="240" w:lineRule="auto"/>
                    <w:jc w:val="center"/>
                    <w:rPr>
                      <w:rFonts w:hint="default" w:ascii="Times New Roman" w:hAnsi="Times New Roman" w:eastAsia="宋体" w:cs="Times New Roman"/>
                      <w:color w:val="auto"/>
                      <w:highlight w:val="none"/>
                    </w:rPr>
                  </w:pPr>
                  <w:r>
                    <w:rPr>
                      <w:rFonts w:hint="eastAsia" w:eastAsia="宋体" w:cs="Times New Roman"/>
                      <w:color w:val="auto"/>
                      <w:sz w:val="20"/>
                      <w:highlight w:val="none"/>
                      <w:lang w:val="en-US" w:eastAsia="zh-CN"/>
                    </w:rPr>
                    <w:t>南</w:t>
                  </w:r>
                  <w:r>
                    <w:rPr>
                      <w:rFonts w:hint="default" w:ascii="Times New Roman" w:hAnsi="Times New Roman" w:eastAsia="宋体" w:cs="Times New Roman"/>
                      <w:color w:val="auto"/>
                      <w:sz w:val="20"/>
                      <w:highlight w:val="none"/>
                    </w:rPr>
                    <w:t>侧</w:t>
                  </w:r>
                </w:p>
              </w:tc>
              <w:tc>
                <w:tcPr>
                  <w:tcW w:w="490" w:type="pct"/>
                  <w:tcBorders>
                    <w:tl2br w:val="nil"/>
                    <w:tr2bl w:val="nil"/>
                  </w:tcBorders>
                  <w:shd w:val="clear" w:color="auto" w:fill="auto"/>
                  <w:vAlign w:val="center"/>
                </w:tcPr>
                <w:p w14:paraId="2F3D8858">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47.14</w:t>
                  </w:r>
                </w:p>
              </w:tc>
              <w:tc>
                <w:tcPr>
                  <w:tcW w:w="427" w:type="pct"/>
                  <w:tcBorders>
                    <w:tl2br w:val="nil"/>
                    <w:tr2bl w:val="nil"/>
                  </w:tcBorders>
                  <w:shd w:val="clear" w:color="auto" w:fill="auto"/>
                  <w:vAlign w:val="center"/>
                </w:tcPr>
                <w:p w14:paraId="384BF456">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lang w:val="en-US" w:eastAsia="zh-CN"/>
                    </w:rPr>
                    <w:t>-7.77</w:t>
                  </w:r>
                </w:p>
              </w:tc>
              <w:tc>
                <w:tcPr>
                  <w:tcW w:w="246" w:type="pct"/>
                  <w:tcBorders>
                    <w:tl2br w:val="nil"/>
                    <w:tr2bl w:val="nil"/>
                  </w:tcBorders>
                  <w:shd w:val="clear" w:color="auto" w:fill="auto"/>
                  <w:vAlign w:val="center"/>
                </w:tcPr>
                <w:p w14:paraId="1C370EF2">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2A33229D">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昼间</w:t>
                  </w:r>
                </w:p>
              </w:tc>
              <w:tc>
                <w:tcPr>
                  <w:tcW w:w="621" w:type="pct"/>
                  <w:tcBorders>
                    <w:tl2br w:val="nil"/>
                    <w:tr2bl w:val="nil"/>
                  </w:tcBorders>
                  <w:shd w:val="clear" w:color="auto" w:fill="auto"/>
                  <w:vAlign w:val="center"/>
                </w:tcPr>
                <w:p w14:paraId="2BA256FF">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31 </w:t>
                  </w:r>
                </w:p>
              </w:tc>
              <w:tc>
                <w:tcPr>
                  <w:tcW w:w="606" w:type="pct"/>
                  <w:tcBorders>
                    <w:tl2br w:val="nil"/>
                    <w:tr2bl w:val="nil"/>
                  </w:tcBorders>
                  <w:shd w:val="clear" w:color="auto" w:fill="auto"/>
                  <w:vAlign w:val="center"/>
                </w:tcPr>
                <w:p w14:paraId="07968DF5">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59CC4923">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0ACEC117">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rPr>
                    <w:t>60</w:t>
                  </w:r>
                </w:p>
              </w:tc>
              <w:tc>
                <w:tcPr>
                  <w:tcW w:w="409" w:type="pct"/>
                  <w:tcBorders>
                    <w:tl2br w:val="nil"/>
                    <w:tr2bl w:val="nil"/>
                  </w:tcBorders>
                  <w:shd w:val="clear" w:color="auto" w:fill="auto"/>
                  <w:vAlign w:val="center"/>
                </w:tcPr>
                <w:p w14:paraId="11449057">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3A2A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continue"/>
                  <w:tcBorders>
                    <w:tl2br w:val="nil"/>
                    <w:tr2bl w:val="nil"/>
                  </w:tcBorders>
                  <w:shd w:val="clear" w:color="auto" w:fill="auto"/>
                  <w:vAlign w:val="center"/>
                </w:tcPr>
                <w:p w14:paraId="11D213DE">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0"/>
                      <w:highlight w:val="none"/>
                    </w:rPr>
                    <w:t>北侧</w:t>
                  </w:r>
                </w:p>
              </w:tc>
              <w:tc>
                <w:tcPr>
                  <w:tcW w:w="490" w:type="pct"/>
                  <w:tcBorders>
                    <w:tl2br w:val="nil"/>
                    <w:tr2bl w:val="nil"/>
                  </w:tcBorders>
                  <w:shd w:val="clear" w:color="auto" w:fill="auto"/>
                  <w:vAlign w:val="center"/>
                </w:tcPr>
                <w:p w14:paraId="26A6767E">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47.14</w:t>
                  </w:r>
                </w:p>
              </w:tc>
              <w:tc>
                <w:tcPr>
                  <w:tcW w:w="427" w:type="pct"/>
                  <w:tcBorders>
                    <w:tl2br w:val="nil"/>
                    <w:tr2bl w:val="nil"/>
                  </w:tcBorders>
                  <w:shd w:val="clear" w:color="auto" w:fill="auto"/>
                  <w:vAlign w:val="center"/>
                </w:tcPr>
                <w:p w14:paraId="36F56615">
                  <w:pPr>
                    <w:spacing w:line="240" w:lineRule="auto"/>
                    <w:jc w:val="center"/>
                    <w:rPr>
                      <w:rFonts w:hint="default" w:ascii="Times New Roman" w:hAnsi="Times New Roman" w:eastAsia="宋体" w:cs="Times New Roman"/>
                      <w:color w:val="auto"/>
                      <w:sz w:val="20"/>
                      <w:highlight w:val="none"/>
                      <w:lang w:eastAsia="zh-CN"/>
                    </w:rPr>
                  </w:pPr>
                  <w:r>
                    <w:rPr>
                      <w:rFonts w:hint="default" w:ascii="Times New Roman" w:hAnsi="Times New Roman" w:eastAsia="宋体" w:cs="Times New Roman"/>
                      <w:color w:val="auto"/>
                      <w:sz w:val="20"/>
                      <w:highlight w:val="none"/>
                      <w:lang w:val="en-US" w:eastAsia="zh-CN"/>
                    </w:rPr>
                    <w:t>-7.77</w:t>
                  </w:r>
                </w:p>
              </w:tc>
              <w:tc>
                <w:tcPr>
                  <w:tcW w:w="246" w:type="pct"/>
                  <w:tcBorders>
                    <w:tl2br w:val="nil"/>
                    <w:tr2bl w:val="nil"/>
                  </w:tcBorders>
                  <w:shd w:val="clear" w:color="auto" w:fill="auto"/>
                  <w:vAlign w:val="center"/>
                </w:tcPr>
                <w:p w14:paraId="3D114707">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278FABCD">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夜间</w:t>
                  </w:r>
                </w:p>
              </w:tc>
              <w:tc>
                <w:tcPr>
                  <w:tcW w:w="621" w:type="pct"/>
                  <w:tcBorders>
                    <w:tl2br w:val="nil"/>
                    <w:tr2bl w:val="nil"/>
                  </w:tcBorders>
                  <w:shd w:val="clear" w:color="auto" w:fill="auto"/>
                  <w:vAlign w:val="center"/>
                </w:tcPr>
                <w:p w14:paraId="5209CF58">
                  <w:pPr>
                    <w:keepNext w:val="0"/>
                    <w:keepLines w:val="0"/>
                    <w:widowControl/>
                    <w:suppressLineNumbers w:val="0"/>
                    <w:jc w:val="center"/>
                    <w:textAlignment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 </w:t>
                  </w:r>
                </w:p>
              </w:tc>
              <w:tc>
                <w:tcPr>
                  <w:tcW w:w="606" w:type="pct"/>
                  <w:tcBorders>
                    <w:tl2br w:val="nil"/>
                    <w:tr2bl w:val="nil"/>
                  </w:tcBorders>
                  <w:shd w:val="clear" w:color="auto" w:fill="auto"/>
                  <w:vAlign w:val="center"/>
                </w:tcPr>
                <w:p w14:paraId="3CDC5139">
                  <w:pPr>
                    <w:spacing w:line="240" w:lineRule="auto"/>
                    <w:jc w:val="center"/>
                    <w:rPr>
                      <w:rFonts w:hint="default"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w:t>
                  </w:r>
                </w:p>
              </w:tc>
              <w:tc>
                <w:tcPr>
                  <w:tcW w:w="699" w:type="pct"/>
                  <w:tcBorders>
                    <w:tl2br w:val="nil"/>
                    <w:tr2bl w:val="nil"/>
                  </w:tcBorders>
                  <w:shd w:val="clear" w:color="auto" w:fill="auto"/>
                  <w:vAlign w:val="center"/>
                </w:tcPr>
                <w:p w14:paraId="4D443DBA">
                  <w:pPr>
                    <w:spacing w:line="240" w:lineRule="auto"/>
                    <w:jc w:val="center"/>
                    <w:rPr>
                      <w:rFonts w:hint="default" w:ascii="Times New Roman" w:hAnsi="Times New Roman" w:eastAsia="宋体" w:cs="Times New Roman"/>
                      <w:color w:val="auto"/>
                      <w:sz w:val="20"/>
                      <w:highlight w:val="none"/>
                    </w:rPr>
                  </w:pPr>
                  <w:r>
                    <w:rPr>
                      <w:rFonts w:hint="eastAsia" w:eastAsia="宋体" w:cs="Times New Roman"/>
                      <w:color w:val="auto"/>
                      <w:sz w:val="20"/>
                      <w:highlight w:val="none"/>
                      <w:lang w:val="en-US" w:eastAsia="zh-CN"/>
                    </w:rPr>
                    <w:t>/</w:t>
                  </w:r>
                </w:p>
              </w:tc>
              <w:tc>
                <w:tcPr>
                  <w:tcW w:w="613" w:type="pct"/>
                  <w:tcBorders>
                    <w:tl2br w:val="nil"/>
                    <w:tr2bl w:val="nil"/>
                  </w:tcBorders>
                  <w:shd w:val="clear" w:color="auto" w:fill="auto"/>
                  <w:vAlign w:val="center"/>
                </w:tcPr>
                <w:p w14:paraId="4934E36F">
                  <w:pPr>
                    <w:spacing w:line="240" w:lineRule="auto"/>
                    <w:jc w:val="center"/>
                    <w:rPr>
                      <w:rFonts w:hint="default" w:ascii="Times New Roman" w:hAnsi="Times New Roman" w:eastAsia="宋体" w:cs="Times New Roman"/>
                      <w:color w:val="auto"/>
                      <w:sz w:val="20"/>
                      <w:highlight w:val="none"/>
                      <w:lang w:val="en-US" w:eastAsia="zh-CN"/>
                    </w:rPr>
                  </w:pPr>
                  <w:r>
                    <w:rPr>
                      <w:rFonts w:hint="default" w:ascii="Times New Roman" w:hAnsi="Times New Roman" w:eastAsia="宋体" w:cs="Times New Roman"/>
                      <w:color w:val="auto"/>
                      <w:sz w:val="20"/>
                      <w:highlight w:val="none"/>
                    </w:rPr>
                    <w:t>50</w:t>
                  </w:r>
                </w:p>
              </w:tc>
              <w:tc>
                <w:tcPr>
                  <w:tcW w:w="409" w:type="pct"/>
                  <w:tcBorders>
                    <w:tl2br w:val="nil"/>
                    <w:tr2bl w:val="nil"/>
                  </w:tcBorders>
                  <w:shd w:val="clear" w:color="auto" w:fill="auto"/>
                  <w:vAlign w:val="center"/>
                </w:tcPr>
                <w:p w14:paraId="46F219EA">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359D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restart"/>
                  <w:tcBorders>
                    <w:tl2br w:val="nil"/>
                    <w:tr2bl w:val="nil"/>
                  </w:tcBorders>
                  <w:shd w:val="clear" w:color="auto" w:fill="auto"/>
                  <w:vAlign w:val="center"/>
                </w:tcPr>
                <w:p w14:paraId="6CF7B0EE">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新民庄村东庄</w:t>
                  </w:r>
                </w:p>
              </w:tc>
              <w:tc>
                <w:tcPr>
                  <w:tcW w:w="490" w:type="pct"/>
                  <w:tcBorders>
                    <w:tl2br w:val="nil"/>
                    <w:tr2bl w:val="nil"/>
                  </w:tcBorders>
                  <w:shd w:val="clear" w:color="auto" w:fill="auto"/>
                  <w:vAlign w:val="center"/>
                </w:tcPr>
                <w:p w14:paraId="64AFC8F5">
                  <w:pPr>
                    <w:keepNext w:val="0"/>
                    <w:keepLines w:val="0"/>
                    <w:widowControl/>
                    <w:suppressLineNumbers w:val="0"/>
                    <w:jc w:val="left"/>
                    <w:rPr>
                      <w:rFonts w:hint="default" w:ascii="Times New Roman" w:hAnsi="Times New Roman" w:eastAsia="宋体" w:cs="Times New Roman"/>
                      <w:color w:val="auto"/>
                      <w:sz w:val="20"/>
                      <w:highlight w:val="none"/>
                      <w:lang w:val="en-US" w:eastAsia="zh-CN"/>
                    </w:rPr>
                  </w:pPr>
                  <w:r>
                    <w:rPr>
                      <w:rFonts w:ascii="宋体" w:hAnsi="宋体" w:eastAsia="宋体" w:cs="宋体"/>
                      <w:color w:val="auto"/>
                      <w:kern w:val="0"/>
                      <w:sz w:val="24"/>
                      <w:szCs w:val="24"/>
                      <w:highlight w:val="none"/>
                      <w:lang w:val="en-US" w:eastAsia="zh-CN" w:bidi="ar"/>
                    </w:rPr>
                    <w:t>179.96</w:t>
                  </w:r>
                </w:p>
              </w:tc>
              <w:tc>
                <w:tcPr>
                  <w:tcW w:w="427" w:type="pct"/>
                  <w:tcBorders>
                    <w:tl2br w:val="nil"/>
                    <w:tr2bl w:val="nil"/>
                  </w:tcBorders>
                  <w:shd w:val="clear" w:color="auto" w:fill="auto"/>
                  <w:vAlign w:val="center"/>
                </w:tcPr>
                <w:p w14:paraId="1300EEAB">
                  <w:pPr>
                    <w:keepNext w:val="0"/>
                    <w:keepLines w:val="0"/>
                    <w:widowControl/>
                    <w:suppressLineNumbers w:val="0"/>
                    <w:jc w:val="left"/>
                    <w:rPr>
                      <w:rFonts w:hint="default" w:ascii="Times New Roman" w:hAnsi="Times New Roman" w:eastAsia="宋体" w:cs="Times New Roman"/>
                      <w:color w:val="auto"/>
                      <w:sz w:val="20"/>
                      <w:highlight w:val="none"/>
                      <w:lang w:val="en-US" w:eastAsia="zh-CN"/>
                    </w:rPr>
                  </w:pPr>
                  <w:r>
                    <w:rPr>
                      <w:rFonts w:ascii="宋体" w:hAnsi="宋体" w:eastAsia="宋体" w:cs="宋体"/>
                      <w:color w:val="auto"/>
                      <w:kern w:val="0"/>
                      <w:sz w:val="24"/>
                      <w:szCs w:val="24"/>
                      <w:highlight w:val="none"/>
                      <w:lang w:val="en-US" w:eastAsia="zh-CN" w:bidi="ar"/>
                    </w:rPr>
                    <w:t>31.28</w:t>
                  </w:r>
                </w:p>
              </w:tc>
              <w:tc>
                <w:tcPr>
                  <w:tcW w:w="246" w:type="pct"/>
                  <w:tcBorders>
                    <w:tl2br w:val="nil"/>
                    <w:tr2bl w:val="nil"/>
                  </w:tcBorders>
                  <w:shd w:val="clear" w:color="auto" w:fill="auto"/>
                  <w:vAlign w:val="center"/>
                </w:tcPr>
                <w:p w14:paraId="498C6802">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433AE0CA">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昼间</w:t>
                  </w:r>
                </w:p>
              </w:tc>
              <w:tc>
                <w:tcPr>
                  <w:tcW w:w="621" w:type="pct"/>
                  <w:tcBorders>
                    <w:tl2br w:val="nil"/>
                    <w:tr2bl w:val="nil"/>
                  </w:tcBorders>
                  <w:shd w:val="clear" w:color="auto" w:fill="auto"/>
                  <w:vAlign w:val="center"/>
                </w:tcPr>
                <w:p w14:paraId="72F96811">
                  <w:pPr>
                    <w:spacing w:line="240" w:lineRule="auto"/>
                    <w:jc w:val="center"/>
                    <w:rPr>
                      <w:rFonts w:hint="default" w:eastAsia="宋体" w:cs="Times New Roman"/>
                      <w:color w:val="auto"/>
                      <w:sz w:val="20"/>
                      <w:highlight w:val="none"/>
                      <w:lang w:val="en-US" w:eastAsia="zh-CN"/>
                    </w:rPr>
                  </w:pPr>
                  <w:r>
                    <w:rPr>
                      <w:rFonts w:hint="eastAsia" w:eastAsia="宋体" w:cs="Times New Roman"/>
                      <w:color w:val="auto"/>
                      <w:sz w:val="20"/>
                      <w:highlight w:val="none"/>
                      <w:lang w:val="en-US" w:eastAsia="zh-CN"/>
                    </w:rPr>
                    <w:t>28</w:t>
                  </w:r>
                </w:p>
              </w:tc>
              <w:tc>
                <w:tcPr>
                  <w:tcW w:w="606" w:type="pct"/>
                  <w:tcBorders>
                    <w:tl2br w:val="nil"/>
                    <w:tr2bl w:val="nil"/>
                  </w:tcBorders>
                  <w:shd w:val="clear" w:color="auto" w:fill="auto"/>
                  <w:vAlign w:val="center"/>
                </w:tcPr>
                <w:p w14:paraId="162540FE">
                  <w:pPr>
                    <w:spacing w:line="240" w:lineRule="auto"/>
                    <w:jc w:val="center"/>
                    <w:rPr>
                      <w:rFonts w:hint="eastAsia"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43</w:t>
                  </w:r>
                </w:p>
              </w:tc>
              <w:tc>
                <w:tcPr>
                  <w:tcW w:w="699" w:type="pct"/>
                  <w:tcBorders>
                    <w:tl2br w:val="nil"/>
                    <w:tr2bl w:val="nil"/>
                  </w:tcBorders>
                  <w:shd w:val="clear" w:color="auto" w:fill="auto"/>
                  <w:vAlign w:val="center"/>
                </w:tcPr>
                <w:p w14:paraId="3A03AFCB">
                  <w:pPr>
                    <w:spacing w:line="240" w:lineRule="auto"/>
                    <w:jc w:val="center"/>
                    <w:rPr>
                      <w:rFonts w:hint="default" w:ascii="Times New Roman" w:hAnsi="Times New Roman" w:eastAsia="宋体" w:cs="Times New Roman"/>
                      <w:color w:val="auto"/>
                      <w:sz w:val="20"/>
                      <w:highlight w:val="none"/>
                      <w:lang w:val="en-US"/>
                    </w:rPr>
                  </w:pPr>
                  <w:r>
                    <w:rPr>
                      <w:rFonts w:hint="eastAsia" w:eastAsia="宋体" w:cs="Times New Roman"/>
                      <w:color w:val="auto"/>
                      <w:sz w:val="20"/>
                      <w:highlight w:val="none"/>
                      <w:lang w:val="en-US" w:eastAsia="zh-CN"/>
                    </w:rPr>
                    <w:t>43</w:t>
                  </w:r>
                </w:p>
              </w:tc>
              <w:tc>
                <w:tcPr>
                  <w:tcW w:w="613" w:type="pct"/>
                  <w:tcBorders>
                    <w:tl2br w:val="nil"/>
                    <w:tr2bl w:val="nil"/>
                  </w:tcBorders>
                  <w:shd w:val="clear" w:color="auto" w:fill="auto"/>
                  <w:vAlign w:val="center"/>
                </w:tcPr>
                <w:p w14:paraId="5FAB26BD">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60</w:t>
                  </w:r>
                </w:p>
              </w:tc>
              <w:tc>
                <w:tcPr>
                  <w:tcW w:w="409" w:type="pct"/>
                  <w:tcBorders>
                    <w:tl2br w:val="nil"/>
                    <w:tr2bl w:val="nil"/>
                  </w:tcBorders>
                  <w:shd w:val="clear" w:color="auto" w:fill="auto"/>
                  <w:vAlign w:val="center"/>
                </w:tcPr>
                <w:p w14:paraId="5141B668">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r w14:paraId="5475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89" w:type="pct"/>
                  <w:vMerge w:val="continue"/>
                  <w:tcBorders>
                    <w:tl2br w:val="nil"/>
                    <w:tr2bl w:val="nil"/>
                  </w:tcBorders>
                  <w:shd w:val="clear" w:color="auto" w:fill="auto"/>
                  <w:vAlign w:val="center"/>
                </w:tcPr>
                <w:p w14:paraId="685695C5">
                  <w:pPr>
                    <w:spacing w:line="240" w:lineRule="auto"/>
                    <w:jc w:val="center"/>
                    <w:rPr>
                      <w:rFonts w:hint="default" w:ascii="Times New Roman" w:hAnsi="Times New Roman" w:eastAsia="宋体" w:cs="Times New Roman"/>
                      <w:color w:val="auto"/>
                      <w:sz w:val="20"/>
                      <w:highlight w:val="none"/>
                    </w:rPr>
                  </w:pPr>
                </w:p>
              </w:tc>
              <w:tc>
                <w:tcPr>
                  <w:tcW w:w="490" w:type="pct"/>
                  <w:tcBorders>
                    <w:tl2br w:val="nil"/>
                    <w:tr2bl w:val="nil"/>
                  </w:tcBorders>
                  <w:shd w:val="clear" w:color="auto" w:fill="auto"/>
                  <w:vAlign w:val="center"/>
                </w:tcPr>
                <w:p w14:paraId="2E41C2E9">
                  <w:pPr>
                    <w:keepNext w:val="0"/>
                    <w:keepLines w:val="0"/>
                    <w:widowControl/>
                    <w:suppressLineNumbers w:val="0"/>
                    <w:jc w:val="left"/>
                    <w:rPr>
                      <w:rFonts w:hint="default" w:ascii="Times New Roman" w:hAnsi="Times New Roman" w:eastAsia="宋体" w:cs="Times New Roman"/>
                      <w:color w:val="auto"/>
                      <w:sz w:val="20"/>
                      <w:highlight w:val="none"/>
                      <w:lang w:val="en-US" w:eastAsia="zh-CN"/>
                    </w:rPr>
                  </w:pPr>
                  <w:r>
                    <w:rPr>
                      <w:rFonts w:ascii="宋体" w:hAnsi="宋体" w:eastAsia="宋体" w:cs="宋体"/>
                      <w:color w:val="auto"/>
                      <w:kern w:val="0"/>
                      <w:sz w:val="24"/>
                      <w:szCs w:val="24"/>
                      <w:highlight w:val="none"/>
                      <w:lang w:val="en-US" w:eastAsia="zh-CN" w:bidi="ar"/>
                    </w:rPr>
                    <w:t>179.96</w:t>
                  </w:r>
                </w:p>
              </w:tc>
              <w:tc>
                <w:tcPr>
                  <w:tcW w:w="427" w:type="pct"/>
                  <w:tcBorders>
                    <w:tl2br w:val="nil"/>
                    <w:tr2bl w:val="nil"/>
                  </w:tcBorders>
                  <w:shd w:val="clear" w:color="auto" w:fill="auto"/>
                  <w:vAlign w:val="center"/>
                </w:tcPr>
                <w:p w14:paraId="6C0E7665">
                  <w:pPr>
                    <w:keepNext w:val="0"/>
                    <w:keepLines w:val="0"/>
                    <w:widowControl/>
                    <w:suppressLineNumbers w:val="0"/>
                    <w:jc w:val="left"/>
                    <w:rPr>
                      <w:rFonts w:hint="default" w:ascii="Times New Roman" w:hAnsi="Times New Roman" w:eastAsia="宋体" w:cs="Times New Roman"/>
                      <w:color w:val="auto"/>
                      <w:sz w:val="20"/>
                      <w:highlight w:val="none"/>
                      <w:lang w:val="en-US" w:eastAsia="zh-CN"/>
                    </w:rPr>
                  </w:pPr>
                  <w:r>
                    <w:rPr>
                      <w:rFonts w:ascii="宋体" w:hAnsi="宋体" w:eastAsia="宋体" w:cs="宋体"/>
                      <w:color w:val="auto"/>
                      <w:kern w:val="0"/>
                      <w:sz w:val="24"/>
                      <w:szCs w:val="24"/>
                      <w:highlight w:val="none"/>
                      <w:lang w:val="en-US" w:eastAsia="zh-CN" w:bidi="ar"/>
                    </w:rPr>
                    <w:t>31.28</w:t>
                  </w:r>
                </w:p>
              </w:tc>
              <w:tc>
                <w:tcPr>
                  <w:tcW w:w="246" w:type="pct"/>
                  <w:tcBorders>
                    <w:tl2br w:val="nil"/>
                    <w:tr2bl w:val="nil"/>
                  </w:tcBorders>
                  <w:shd w:val="clear" w:color="auto" w:fill="auto"/>
                  <w:vAlign w:val="center"/>
                </w:tcPr>
                <w:p w14:paraId="7F078950">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1.2</w:t>
                  </w:r>
                </w:p>
              </w:tc>
              <w:tc>
                <w:tcPr>
                  <w:tcW w:w="497" w:type="pct"/>
                  <w:tcBorders>
                    <w:tl2br w:val="nil"/>
                    <w:tr2bl w:val="nil"/>
                  </w:tcBorders>
                  <w:shd w:val="clear" w:color="auto" w:fill="auto"/>
                  <w:vAlign w:val="center"/>
                </w:tcPr>
                <w:p w14:paraId="124D73EF">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夜间</w:t>
                  </w:r>
                </w:p>
              </w:tc>
              <w:tc>
                <w:tcPr>
                  <w:tcW w:w="621" w:type="pct"/>
                  <w:tcBorders>
                    <w:tl2br w:val="nil"/>
                    <w:tr2bl w:val="nil"/>
                  </w:tcBorders>
                  <w:shd w:val="clear" w:color="auto" w:fill="auto"/>
                  <w:vAlign w:val="center"/>
                </w:tcPr>
                <w:p w14:paraId="2B52FC5F">
                  <w:pPr>
                    <w:spacing w:line="240" w:lineRule="auto"/>
                    <w:jc w:val="center"/>
                    <w:rPr>
                      <w:rFonts w:hint="default" w:eastAsia="宋体" w:cs="Times New Roman"/>
                      <w:color w:val="auto"/>
                      <w:sz w:val="20"/>
                      <w:highlight w:val="none"/>
                      <w:lang w:val="en-US" w:eastAsia="zh-CN"/>
                    </w:rPr>
                  </w:pPr>
                  <w:r>
                    <w:rPr>
                      <w:rFonts w:hint="eastAsia" w:eastAsia="宋体" w:cs="Times New Roman"/>
                      <w:color w:val="auto"/>
                      <w:sz w:val="20"/>
                      <w:highlight w:val="none"/>
                      <w:lang w:val="en-US" w:eastAsia="zh-CN"/>
                    </w:rPr>
                    <w:t>21</w:t>
                  </w:r>
                </w:p>
              </w:tc>
              <w:tc>
                <w:tcPr>
                  <w:tcW w:w="606" w:type="pct"/>
                  <w:tcBorders>
                    <w:tl2br w:val="nil"/>
                    <w:tr2bl w:val="nil"/>
                  </w:tcBorders>
                  <w:shd w:val="clear" w:color="auto" w:fill="auto"/>
                  <w:vAlign w:val="center"/>
                </w:tcPr>
                <w:p w14:paraId="0417C44B">
                  <w:pPr>
                    <w:spacing w:line="240" w:lineRule="auto"/>
                    <w:jc w:val="center"/>
                    <w:rPr>
                      <w:rFonts w:hint="eastAsia" w:ascii="Times New Roman" w:hAnsi="Times New Roman" w:eastAsia="宋体" w:cs="Times New Roman"/>
                      <w:color w:val="auto"/>
                      <w:kern w:val="2"/>
                      <w:sz w:val="20"/>
                      <w:szCs w:val="22"/>
                      <w:highlight w:val="none"/>
                      <w:lang w:val="en-US" w:eastAsia="zh-CN" w:bidi="ar-SA"/>
                    </w:rPr>
                  </w:pPr>
                  <w:r>
                    <w:rPr>
                      <w:rFonts w:hint="eastAsia" w:eastAsia="宋体" w:cs="Times New Roman"/>
                      <w:color w:val="auto"/>
                      <w:sz w:val="20"/>
                      <w:highlight w:val="none"/>
                      <w:lang w:val="en-US" w:eastAsia="zh-CN"/>
                    </w:rPr>
                    <w:t>41</w:t>
                  </w:r>
                </w:p>
              </w:tc>
              <w:tc>
                <w:tcPr>
                  <w:tcW w:w="699" w:type="pct"/>
                  <w:tcBorders>
                    <w:tl2br w:val="nil"/>
                    <w:tr2bl w:val="nil"/>
                  </w:tcBorders>
                  <w:shd w:val="clear" w:color="auto" w:fill="auto"/>
                  <w:vAlign w:val="center"/>
                </w:tcPr>
                <w:p w14:paraId="62D9BCAC">
                  <w:pPr>
                    <w:spacing w:line="240" w:lineRule="auto"/>
                    <w:jc w:val="center"/>
                    <w:rPr>
                      <w:rFonts w:hint="default" w:ascii="Times New Roman" w:hAnsi="Times New Roman" w:eastAsia="宋体" w:cs="Times New Roman"/>
                      <w:color w:val="auto"/>
                      <w:sz w:val="20"/>
                      <w:highlight w:val="none"/>
                      <w:lang w:val="en-US" w:eastAsia="zh-CN"/>
                    </w:rPr>
                  </w:pPr>
                  <w:r>
                    <w:rPr>
                      <w:rFonts w:hint="eastAsia" w:eastAsia="宋体" w:cs="Times New Roman"/>
                      <w:color w:val="auto"/>
                      <w:sz w:val="20"/>
                      <w:highlight w:val="none"/>
                      <w:lang w:val="en-US" w:eastAsia="zh-CN"/>
                    </w:rPr>
                    <w:t>41</w:t>
                  </w:r>
                </w:p>
              </w:tc>
              <w:tc>
                <w:tcPr>
                  <w:tcW w:w="613" w:type="pct"/>
                  <w:tcBorders>
                    <w:tl2br w:val="nil"/>
                    <w:tr2bl w:val="nil"/>
                  </w:tcBorders>
                  <w:shd w:val="clear" w:color="auto" w:fill="auto"/>
                  <w:vAlign w:val="center"/>
                </w:tcPr>
                <w:p w14:paraId="3F5DBC5D">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50</w:t>
                  </w:r>
                </w:p>
              </w:tc>
              <w:tc>
                <w:tcPr>
                  <w:tcW w:w="409" w:type="pct"/>
                  <w:tcBorders>
                    <w:tl2br w:val="nil"/>
                    <w:tr2bl w:val="nil"/>
                  </w:tcBorders>
                  <w:shd w:val="clear" w:color="auto" w:fill="auto"/>
                  <w:vAlign w:val="center"/>
                </w:tcPr>
                <w:p w14:paraId="6B396AB1">
                  <w:pPr>
                    <w:spacing w:line="240" w:lineRule="auto"/>
                    <w:jc w:val="center"/>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达标</w:t>
                  </w:r>
                </w:p>
              </w:tc>
            </w:tr>
          </w:tbl>
          <w:p w14:paraId="79E9D974">
            <w:pPr>
              <w:pStyle w:val="52"/>
              <w:ind w:firstLine="210" w:firstLineChars="100"/>
              <w:jc w:val="left"/>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highlight w:val="none"/>
              </w:rPr>
              <w:t>注：表中坐标以厂界</w:t>
            </w:r>
            <w:r>
              <w:rPr>
                <w:rFonts w:hint="eastAsia" w:eastAsia="宋体" w:cs="Times New Roman"/>
                <w:b w:val="0"/>
                <w:bCs/>
                <w:color w:val="auto"/>
                <w:highlight w:val="none"/>
                <w:lang w:val="en-US" w:eastAsia="zh-CN"/>
              </w:rPr>
              <w:t>西南角</w:t>
            </w:r>
            <w:r>
              <w:rPr>
                <w:rFonts w:hint="default" w:ascii="Times New Roman" w:hAnsi="Times New Roman" w:eastAsia="宋体" w:cs="Times New Roman"/>
                <w:b w:val="0"/>
                <w:bCs/>
                <w:color w:val="auto"/>
                <w:highlight w:val="none"/>
              </w:rPr>
              <w:t>为坐标原点，正东向为X轴正方向，正北向为Y轴正方向。</w:t>
            </w:r>
          </w:p>
          <w:p w14:paraId="48A0DA2C">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根据以上预测结果可以看出，</w:t>
            </w:r>
            <w:r>
              <w:rPr>
                <w:rFonts w:hint="default" w:ascii="Times New Roman" w:hAnsi="Times New Roman" w:eastAsia="宋体" w:cs="Times New Roman"/>
                <w:color w:val="auto"/>
                <w:highlight w:val="none"/>
                <w:lang w:val="en-US" w:eastAsia="zh-CN"/>
              </w:rPr>
              <w:t>本项目</w:t>
            </w:r>
            <w:r>
              <w:rPr>
                <w:rFonts w:hint="default" w:ascii="Times New Roman" w:hAnsi="Times New Roman" w:eastAsia="宋体" w:cs="Times New Roman"/>
                <w:color w:val="auto"/>
                <w:highlight w:val="none"/>
              </w:rPr>
              <w:t>主要噪声源通过采取</w:t>
            </w:r>
            <w:r>
              <w:rPr>
                <w:rFonts w:hint="eastAsia" w:eastAsia="宋体" w:cs="Times New Roman"/>
                <w:color w:val="auto"/>
                <w:highlight w:val="none"/>
                <w:lang w:val="en-US" w:eastAsia="zh-CN"/>
              </w:rPr>
              <w:t>选用低噪声设备、</w:t>
            </w:r>
            <w:r>
              <w:rPr>
                <w:rFonts w:hint="default" w:ascii="Times New Roman" w:hAnsi="Times New Roman" w:eastAsia="宋体" w:cs="Times New Roman"/>
                <w:color w:val="auto"/>
                <w:highlight w:val="none"/>
              </w:rPr>
              <w:t>基础减振、厂房隔声等措施后，本项目的各生产设备在正常工况运行状态下，</w:t>
            </w:r>
            <w:r>
              <w:rPr>
                <w:rFonts w:hint="eastAsia" w:eastAsia="宋体" w:cs="Times New Roman"/>
                <w:color w:val="auto"/>
                <w:highlight w:val="none"/>
                <w:lang w:val="en-US" w:eastAsia="zh-CN"/>
              </w:rPr>
              <w:t>厂界四周噪声贡献值</w:t>
            </w:r>
            <w:r>
              <w:rPr>
                <w:rFonts w:hint="eastAsia" w:ascii="Times New Roman" w:hAnsi="Times New Roman" w:cs="Times New Roman"/>
                <w:color w:val="auto"/>
                <w:sz w:val="24"/>
                <w:highlight w:val="none"/>
                <w:lang w:val="en-US" w:eastAsia="zh-CN"/>
              </w:rPr>
              <w:t>均</w:t>
            </w:r>
            <w:r>
              <w:rPr>
                <w:rFonts w:hint="default" w:ascii="Times New Roman" w:hAnsi="Times New Roman" w:cs="Times New Roman"/>
                <w:color w:val="auto"/>
                <w:sz w:val="24"/>
                <w:highlight w:val="none"/>
              </w:rPr>
              <w:t>符</w:t>
            </w:r>
            <w:r>
              <w:rPr>
                <w:rFonts w:hint="eastAsia" w:ascii="Times New Roman" w:hAnsi="Times New Roman" w:cs="Times New Roman"/>
                <w:color w:val="auto"/>
                <w:sz w:val="24"/>
                <w:highlight w:val="none"/>
                <w:lang w:val="en-US" w:eastAsia="zh-CN"/>
              </w:rPr>
              <w:t>合</w:t>
            </w:r>
            <w:r>
              <w:rPr>
                <w:rFonts w:hint="default" w:ascii="Times New Roman" w:hAnsi="Times New Roman" w:eastAsia="宋体" w:cs="Times New Roman"/>
                <w:color w:val="auto"/>
                <w:highlight w:val="none"/>
              </w:rPr>
              <w:t>《工业企业厂界环境噪声排放标准》（GB</w:t>
            </w:r>
            <w:r>
              <w:rPr>
                <w:rFonts w:hint="eastAsia"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12348-2008）2类标准要求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敏感点</w:t>
            </w:r>
            <w:r>
              <w:rPr>
                <w:rFonts w:hint="eastAsia" w:ascii="Times New Roman" w:hAnsi="Times New Roman" w:cs="Times New Roman"/>
                <w:color w:val="auto"/>
                <w:sz w:val="24"/>
                <w:highlight w:val="none"/>
                <w:lang w:eastAsia="zh-CN"/>
              </w:rPr>
              <w:t>噪声</w:t>
            </w:r>
            <w:r>
              <w:rPr>
                <w:rFonts w:hint="eastAsia" w:ascii="Times New Roman" w:hAnsi="Times New Roman" w:cs="Times New Roman"/>
                <w:color w:val="auto"/>
                <w:sz w:val="24"/>
                <w:highlight w:val="none"/>
                <w:lang w:val="en-US" w:eastAsia="zh-CN"/>
              </w:rPr>
              <w:t>预测</w:t>
            </w:r>
            <w:r>
              <w:rPr>
                <w:rFonts w:hint="eastAsia" w:ascii="Times New Roman" w:hAnsi="Times New Roman" w:cs="Times New Roman"/>
                <w:color w:val="auto"/>
                <w:sz w:val="24"/>
                <w:highlight w:val="none"/>
                <w:lang w:eastAsia="zh-CN"/>
              </w:rPr>
              <w:t>结果符合《声环境质量标准》（GB3096—2008）中的2类标准</w:t>
            </w:r>
            <w:r>
              <w:rPr>
                <w:rFonts w:hint="eastAsia" w:ascii="Times New Roman" w:hAnsi="Times New Roman" w:cs="Times New Roman"/>
                <w:color w:val="auto"/>
                <w:sz w:val="24"/>
                <w:highlight w:val="none"/>
                <w:lang w:val="en-US" w:eastAsia="zh-CN"/>
              </w:rPr>
              <w:t>限值要求</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因此，项目运营期噪声对周围环境的影响较小</w:t>
            </w:r>
            <w:r>
              <w:rPr>
                <w:rFonts w:hint="default" w:ascii="Times New Roman" w:hAnsi="Times New Roman" w:eastAsia="宋体" w:cs="Times New Roman"/>
                <w:color w:val="auto"/>
                <w:highlight w:val="none"/>
              </w:rPr>
              <w:t>。</w:t>
            </w:r>
          </w:p>
          <w:p w14:paraId="42C55878">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为进一步减小项目运营期噪声对周围环境的影响，要求建设单位采取以下噪声防治措施：</w:t>
            </w:r>
          </w:p>
          <w:p w14:paraId="2C26B59C">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A、</w:t>
            </w:r>
            <w:r>
              <w:rPr>
                <w:rFonts w:hint="default" w:ascii="Times New Roman" w:hAnsi="Times New Roman" w:eastAsia="宋体" w:cs="Times New Roman"/>
                <w:color w:val="auto"/>
                <w:highlight w:val="none"/>
              </w:rPr>
              <w:t>加强设备管理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加强设备的维护，确保设备处于良好的运转状态，杜绝因设备不正常运转时产生的高噪声现象；同时，规范生产过程中设备操作，避免操作设备不当产生的高噪声现象。</w:t>
            </w:r>
          </w:p>
          <w:p w14:paraId="2EEC4E13">
            <w:pPr>
              <w:adjustRightInd w:val="0"/>
              <w:snapToGrid w:val="0"/>
              <w:ind w:firstLine="480" w:firstLineChars="200"/>
              <w:rPr>
                <w:rFonts w:cs="Times New Roman"/>
                <w:color w:val="auto"/>
                <w:highlight w:val="none"/>
              </w:rPr>
            </w:pPr>
            <w:r>
              <w:rPr>
                <w:rFonts w:hint="default" w:ascii="Times New Roman" w:hAnsi="Times New Roman" w:eastAsia="宋体" w:cs="Times New Roman"/>
                <w:color w:val="auto"/>
                <w:highlight w:val="none"/>
                <w:lang w:val="en-US" w:eastAsia="zh-CN"/>
              </w:rPr>
              <w:t>B、</w:t>
            </w:r>
            <w:r>
              <w:rPr>
                <w:rFonts w:hint="default" w:ascii="Times New Roman" w:hAnsi="Times New Roman" w:eastAsia="宋体" w:cs="Times New Roman"/>
                <w:color w:val="auto"/>
                <w:highlight w:val="none"/>
              </w:rPr>
              <w:t>运输车辆进</w:t>
            </w:r>
            <w:r>
              <w:rPr>
                <w:rFonts w:hint="default" w:ascii="Times New Roman" w:hAnsi="Times New Roman" w:eastAsia="宋体" w:cs="Times New Roman"/>
                <w:color w:val="auto"/>
                <w:highlight w:val="none"/>
                <w:lang w:eastAsia="zh-CN"/>
              </w:rPr>
              <w:t>出厂区</w:t>
            </w:r>
            <w:r>
              <w:rPr>
                <w:rFonts w:hint="default" w:ascii="Times New Roman" w:hAnsi="Times New Roman" w:eastAsia="宋体" w:cs="Times New Roman"/>
                <w:color w:val="auto"/>
                <w:highlight w:val="none"/>
              </w:rPr>
              <w:t>时减速行驶、禁止鸣笛</w:t>
            </w:r>
            <w:r>
              <w:rPr>
                <w:rFonts w:hint="eastAsia" w:eastAsia="宋体" w:cs="Times New Roman"/>
                <w:color w:val="auto"/>
                <w:highlight w:val="none"/>
                <w:lang w:eastAsia="zh-CN"/>
              </w:rPr>
              <w:t>；</w:t>
            </w:r>
            <w:r>
              <w:rPr>
                <w:rFonts w:hint="eastAsia" w:eastAsia="宋体" w:cs="Times New Roman"/>
                <w:color w:val="auto"/>
                <w:highlight w:val="none"/>
                <w:lang w:val="en-US" w:eastAsia="zh-CN"/>
              </w:rPr>
              <w:t>尽量避免多辆车辆同时</w:t>
            </w:r>
            <w:r>
              <w:rPr>
                <w:rFonts w:hint="default" w:ascii="Times New Roman" w:hAnsi="Times New Roman" w:eastAsia="宋体" w:cs="Times New Roman"/>
                <w:color w:val="auto"/>
                <w:highlight w:val="none"/>
              </w:rPr>
              <w:t>行驶。</w:t>
            </w:r>
          </w:p>
        </w:tc>
      </w:tr>
      <w:tr w14:paraId="0CE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3" w:hRule="atLeast"/>
          <w:jc w:val="center"/>
        </w:trPr>
        <w:tc>
          <w:tcPr>
            <w:tcW w:w="252" w:type="pct"/>
            <w:gridSpan w:val="3"/>
            <w:shd w:val="clear" w:color="auto" w:fill="auto"/>
            <w:vAlign w:val="center"/>
          </w:tcPr>
          <w:p w14:paraId="6E6B4D9E">
            <w:pPr>
              <w:adjustRightInd w:val="0"/>
              <w:snapToGrid w:val="0"/>
              <w:spacing w:line="240" w:lineRule="auto"/>
              <w:jc w:val="center"/>
              <w:rPr>
                <w:rFonts w:hint="default" w:ascii="Times New Roman" w:hAnsi="Times New Roman" w:eastAsia="宋体" w:cs="Times New Roman"/>
                <w:color w:val="auto"/>
                <w:kern w:val="21"/>
                <w:szCs w:val="24"/>
                <w:highlight w:val="none"/>
              </w:rPr>
            </w:pPr>
            <w:r>
              <w:rPr>
                <w:rFonts w:hint="default" w:ascii="Times New Roman" w:hAnsi="Times New Roman" w:eastAsia="宋体" w:cs="Times New Roman"/>
                <w:color w:val="auto"/>
                <w:kern w:val="21"/>
                <w:szCs w:val="24"/>
                <w:highlight w:val="none"/>
              </w:rPr>
              <w:t>运营</w:t>
            </w:r>
          </w:p>
          <w:p w14:paraId="45881D94">
            <w:pPr>
              <w:adjustRightInd w:val="0"/>
              <w:snapToGrid w:val="0"/>
              <w:spacing w:line="240" w:lineRule="auto"/>
              <w:jc w:val="center"/>
              <w:rPr>
                <w:rFonts w:hint="default" w:ascii="Times New Roman" w:hAnsi="Times New Roman" w:eastAsia="宋体" w:cs="Times New Roman"/>
                <w:color w:val="auto"/>
                <w:kern w:val="21"/>
                <w:szCs w:val="24"/>
                <w:highlight w:val="none"/>
              </w:rPr>
            </w:pPr>
            <w:r>
              <w:rPr>
                <w:rFonts w:hint="default" w:ascii="Times New Roman" w:hAnsi="Times New Roman" w:eastAsia="宋体" w:cs="Times New Roman"/>
                <w:color w:val="auto"/>
                <w:kern w:val="21"/>
                <w:szCs w:val="24"/>
                <w:highlight w:val="none"/>
              </w:rPr>
              <w:t>期环</w:t>
            </w:r>
          </w:p>
          <w:p w14:paraId="2889F508">
            <w:pPr>
              <w:adjustRightInd w:val="0"/>
              <w:snapToGrid w:val="0"/>
              <w:spacing w:line="240" w:lineRule="auto"/>
              <w:jc w:val="center"/>
              <w:rPr>
                <w:rFonts w:hint="default" w:ascii="Times New Roman" w:hAnsi="Times New Roman" w:eastAsia="宋体" w:cs="Times New Roman"/>
                <w:color w:val="auto"/>
                <w:kern w:val="21"/>
                <w:szCs w:val="24"/>
                <w:highlight w:val="none"/>
              </w:rPr>
            </w:pPr>
            <w:r>
              <w:rPr>
                <w:rFonts w:hint="default" w:ascii="Times New Roman" w:hAnsi="Times New Roman" w:eastAsia="宋体" w:cs="Times New Roman"/>
                <w:color w:val="auto"/>
                <w:kern w:val="21"/>
                <w:szCs w:val="24"/>
                <w:highlight w:val="none"/>
              </w:rPr>
              <w:t>境影</w:t>
            </w:r>
          </w:p>
          <w:p w14:paraId="7B566A23">
            <w:pPr>
              <w:adjustRightInd w:val="0"/>
              <w:snapToGrid w:val="0"/>
              <w:spacing w:line="240" w:lineRule="auto"/>
              <w:jc w:val="center"/>
              <w:rPr>
                <w:rFonts w:hint="default" w:ascii="Times New Roman" w:hAnsi="Times New Roman" w:eastAsia="宋体" w:cs="Times New Roman"/>
                <w:color w:val="auto"/>
                <w:kern w:val="21"/>
                <w:szCs w:val="24"/>
                <w:highlight w:val="none"/>
              </w:rPr>
            </w:pPr>
            <w:r>
              <w:rPr>
                <w:rFonts w:hint="default" w:ascii="Times New Roman" w:hAnsi="Times New Roman" w:eastAsia="宋体" w:cs="Times New Roman"/>
                <w:color w:val="auto"/>
                <w:kern w:val="21"/>
                <w:szCs w:val="24"/>
                <w:highlight w:val="none"/>
              </w:rPr>
              <w:t>响和</w:t>
            </w:r>
          </w:p>
          <w:p w14:paraId="41B90132">
            <w:pPr>
              <w:adjustRightInd w:val="0"/>
              <w:snapToGrid w:val="0"/>
              <w:spacing w:line="240" w:lineRule="auto"/>
              <w:jc w:val="center"/>
              <w:rPr>
                <w:rFonts w:hint="default" w:ascii="Times New Roman" w:hAnsi="Times New Roman" w:eastAsia="宋体" w:cs="Times New Roman"/>
                <w:color w:val="auto"/>
                <w:kern w:val="21"/>
                <w:szCs w:val="24"/>
                <w:highlight w:val="none"/>
              </w:rPr>
            </w:pPr>
            <w:r>
              <w:rPr>
                <w:rFonts w:hint="default" w:ascii="Times New Roman" w:hAnsi="Times New Roman" w:eastAsia="宋体" w:cs="Times New Roman"/>
                <w:color w:val="auto"/>
                <w:kern w:val="21"/>
                <w:szCs w:val="24"/>
                <w:highlight w:val="none"/>
              </w:rPr>
              <w:t>保护</w:t>
            </w:r>
          </w:p>
          <w:p w14:paraId="503A41B2">
            <w:pPr>
              <w:adjustRightInd w:val="0"/>
              <w:snapToGrid w:val="0"/>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1"/>
                <w:szCs w:val="24"/>
                <w:highlight w:val="none"/>
              </w:rPr>
              <w:t>措施</w:t>
            </w:r>
          </w:p>
        </w:tc>
        <w:tc>
          <w:tcPr>
            <w:tcW w:w="4747" w:type="pct"/>
            <w:gridSpan w:val="2"/>
            <w:shd w:val="clear" w:color="auto" w:fill="auto"/>
          </w:tcPr>
          <w:p w14:paraId="1859AE5F">
            <w:pPr>
              <w:adjustRightInd w:val="0"/>
              <w:snapToGrid w:val="0"/>
              <w:ind w:firstLine="480" w:firstLineChars="200"/>
              <w:rPr>
                <w:rFonts w:hint="eastAsia"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C、</w:t>
            </w:r>
            <w:r>
              <w:rPr>
                <w:rFonts w:hint="eastAsia" w:eastAsia="宋体" w:cs="Times New Roman"/>
                <w:color w:val="auto"/>
                <w:highlight w:val="none"/>
                <w:lang w:val="en-US" w:eastAsia="zh-CN"/>
              </w:rPr>
              <w:t>运输车辆经过周边居民区时低速行驶。</w:t>
            </w:r>
          </w:p>
          <w:p w14:paraId="490023DA">
            <w:pPr>
              <w:adjustRightInd w:val="0"/>
              <w:snapToGrid w:val="0"/>
              <w:ind w:firstLine="480" w:firstLineChars="200"/>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D</w:t>
            </w:r>
            <w:r>
              <w:rPr>
                <w:rFonts w:hint="default" w:ascii="Times New Roman" w:hAnsi="Times New Roman" w:eastAsia="宋体" w:cs="Times New Roman"/>
                <w:color w:val="auto"/>
                <w:highlight w:val="none"/>
                <w:lang w:val="en-US" w:eastAsia="zh-CN"/>
              </w:rPr>
              <w:t>、</w:t>
            </w:r>
            <w:r>
              <w:rPr>
                <w:rFonts w:hint="eastAsia" w:eastAsia="宋体" w:cs="Times New Roman"/>
                <w:color w:val="auto"/>
                <w:highlight w:val="none"/>
                <w:lang w:val="en-US" w:eastAsia="zh-CN"/>
              </w:rPr>
              <w:t>夜间货车装卸时，在厂房内进行装卸，严禁露天装卸；装卸过程中进行规范化管理，避免产生不必要的噪声</w:t>
            </w:r>
            <w:r>
              <w:rPr>
                <w:rFonts w:hint="eastAsia" w:ascii="Times New Roman" w:hAnsi="Times New Roman" w:eastAsia="宋体" w:cs="Times New Roman"/>
                <w:color w:val="auto"/>
                <w:highlight w:val="none"/>
                <w:lang w:eastAsia="zh-CN"/>
              </w:rPr>
              <w:t>。</w:t>
            </w:r>
          </w:p>
          <w:p w14:paraId="6986A9AF">
            <w:pPr>
              <w:adjustRightInd w:val="0"/>
              <w:snapToGrid w:val="0"/>
              <w:ind w:firstLine="480" w:firstLineChars="200"/>
              <w:rPr>
                <w:rFonts w:hint="eastAsia" w:eastAsia="宋体" w:cs="Times New Roman"/>
                <w:b/>
                <w:bCs/>
                <w:color w:val="auto"/>
                <w:highlight w:val="none"/>
                <w:lang w:val="en-US" w:eastAsia="zh-CN"/>
              </w:rPr>
            </w:pPr>
            <w:r>
              <w:rPr>
                <w:rFonts w:hint="eastAsia" w:eastAsia="宋体" w:cs="Times New Roman"/>
                <w:color w:val="auto"/>
                <w:highlight w:val="none"/>
                <w:lang w:val="en-US" w:eastAsia="zh-CN"/>
              </w:rPr>
              <w:t>E</w:t>
            </w:r>
            <w:r>
              <w:rPr>
                <w:rFonts w:hint="default" w:ascii="Times New Roman" w:hAnsi="Times New Roman" w:eastAsia="宋体" w:cs="Times New Roman"/>
                <w:color w:val="auto"/>
                <w:highlight w:val="none"/>
                <w:lang w:val="en-US" w:eastAsia="zh-CN"/>
              </w:rPr>
              <w:t>、根据企业相关资料，项目风机等产噪设备均安装于厂房内；若项目建成后，风机等产噪设备安装于厂房外的需对产噪设备进行隔音处理。</w:t>
            </w:r>
          </w:p>
          <w:p w14:paraId="31B25E1E">
            <w:pPr>
              <w:adjustRightInd w:val="0"/>
              <w:snapToGrid w:val="0"/>
              <w:ind w:firstLine="482" w:firstLineChars="200"/>
              <w:rPr>
                <w:rFonts w:hint="eastAsia"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3、</w:t>
            </w:r>
            <w:r>
              <w:rPr>
                <w:rFonts w:hint="default" w:ascii="Times New Roman" w:hAnsi="Times New Roman" w:eastAsia="宋体" w:cs="Times New Roman"/>
                <w:b/>
                <w:bCs/>
                <w:color w:val="auto"/>
                <w:highlight w:val="none"/>
              </w:rPr>
              <w:t>噪声环境监测</w:t>
            </w:r>
            <w:r>
              <w:rPr>
                <w:rFonts w:hint="eastAsia" w:eastAsia="宋体" w:cs="Times New Roman"/>
                <w:b/>
                <w:bCs/>
                <w:color w:val="auto"/>
                <w:highlight w:val="none"/>
                <w:lang w:val="en-US" w:eastAsia="zh-CN"/>
              </w:rPr>
              <w:t>计划</w:t>
            </w:r>
          </w:p>
          <w:p w14:paraId="49447459">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根据本项目运营期的噪声环境污染特点，企业应自觉接受当地环保部门的监督与管理。根据《排污单位自行监测技术指南 总则》（HJ</w:t>
            </w:r>
            <w:r>
              <w:rPr>
                <w:rFonts w:hint="eastAsia"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819-2017）</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本项目应针对厂界噪声排放情况开展监测计划。本项目监测计划见下表4-</w:t>
            </w:r>
            <w:r>
              <w:rPr>
                <w:rFonts w:hint="eastAsia" w:eastAsia="宋体" w:cs="Times New Roman"/>
                <w:color w:val="auto"/>
                <w:highlight w:val="none"/>
                <w:lang w:val="en-US" w:eastAsia="zh-CN"/>
              </w:rPr>
              <w:t>7</w:t>
            </w:r>
            <w:r>
              <w:rPr>
                <w:rFonts w:hint="default" w:ascii="Times New Roman" w:hAnsi="Times New Roman" w:eastAsia="宋体" w:cs="Times New Roman"/>
                <w:color w:val="auto"/>
                <w:highlight w:val="none"/>
              </w:rPr>
              <w:t>。</w:t>
            </w:r>
          </w:p>
          <w:p w14:paraId="6ACE1AB7">
            <w:pPr>
              <w:pStyle w:val="5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表4-</w:t>
            </w:r>
            <w:r>
              <w:rPr>
                <w:rFonts w:hint="eastAsia" w:eastAsia="宋体" w:cs="Times New Roman"/>
                <w:color w:val="auto"/>
                <w:highlight w:val="none"/>
                <w:lang w:val="en-US" w:eastAsia="zh-CN"/>
              </w:rPr>
              <w:t xml:space="preserve">7 </w:t>
            </w:r>
            <w:r>
              <w:rPr>
                <w:rFonts w:hint="default" w:ascii="Times New Roman" w:hAnsi="Times New Roman" w:eastAsia="宋体" w:cs="Times New Roman"/>
                <w:color w:val="auto"/>
                <w:highlight w:val="none"/>
              </w:rPr>
              <w:t>本项目噪声监测计划一览表</w:t>
            </w:r>
          </w:p>
          <w:tbl>
            <w:tblPr>
              <w:tblStyle w:val="2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87"/>
              <w:gridCol w:w="1272"/>
              <w:gridCol w:w="1098"/>
              <w:gridCol w:w="1935"/>
              <w:gridCol w:w="3168"/>
            </w:tblGrid>
            <w:tr w14:paraId="52A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7" w:type="pct"/>
                  <w:tcBorders>
                    <w:tl2br w:val="nil"/>
                    <w:tr2bl w:val="nil"/>
                  </w:tcBorders>
                  <w:vAlign w:val="center"/>
                </w:tcPr>
                <w:p w14:paraId="0105D83E">
                  <w:pPr>
                    <w:spacing w:line="240" w:lineRule="exac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污染源</w:t>
                  </w:r>
                </w:p>
                <w:p w14:paraId="3C82A911">
                  <w:pPr>
                    <w:pStyle w:val="30"/>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bCs/>
                      <w:color w:val="auto"/>
                      <w:szCs w:val="21"/>
                      <w:highlight w:val="none"/>
                    </w:rPr>
                    <w:t>名称</w:t>
                  </w:r>
                </w:p>
              </w:tc>
              <w:tc>
                <w:tcPr>
                  <w:tcW w:w="614" w:type="pct"/>
                  <w:tcBorders>
                    <w:tl2br w:val="nil"/>
                    <w:tr2bl w:val="nil"/>
                  </w:tcBorders>
                  <w:vAlign w:val="center"/>
                </w:tcPr>
                <w:p w14:paraId="363C98AB">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658" w:type="pct"/>
                  <w:tcBorders>
                    <w:tl2br w:val="nil"/>
                    <w:tr2bl w:val="nil"/>
                  </w:tcBorders>
                  <w:vAlign w:val="center"/>
                </w:tcPr>
                <w:p w14:paraId="6BD0A2AB">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监测点位置</w:t>
                  </w:r>
                </w:p>
              </w:tc>
              <w:tc>
                <w:tcPr>
                  <w:tcW w:w="568" w:type="pct"/>
                  <w:tcBorders>
                    <w:tl2br w:val="nil"/>
                    <w:tr2bl w:val="nil"/>
                  </w:tcBorders>
                  <w:vAlign w:val="center"/>
                </w:tcPr>
                <w:p w14:paraId="251201E6">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w:t>
                  </w:r>
                </w:p>
                <w:p w14:paraId="306A81A9">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频次</w:t>
                  </w:r>
                </w:p>
              </w:tc>
              <w:tc>
                <w:tcPr>
                  <w:tcW w:w="1001" w:type="pct"/>
                  <w:tcBorders>
                    <w:tl2br w:val="nil"/>
                    <w:tr2bl w:val="nil"/>
                  </w:tcBorders>
                  <w:vAlign w:val="center"/>
                </w:tcPr>
                <w:p w14:paraId="3A50AF80">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标准限值</w:t>
                  </w:r>
                </w:p>
              </w:tc>
              <w:tc>
                <w:tcPr>
                  <w:tcW w:w="1639" w:type="pct"/>
                  <w:tcBorders>
                    <w:tl2br w:val="nil"/>
                    <w:tr2bl w:val="nil"/>
                  </w:tcBorders>
                  <w:vAlign w:val="center"/>
                </w:tcPr>
                <w:p w14:paraId="1C9405F8">
                  <w:pPr>
                    <w:pStyle w:val="3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3B1F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17" w:type="pct"/>
                  <w:tcBorders>
                    <w:tl2br w:val="nil"/>
                    <w:tr2bl w:val="nil"/>
                  </w:tcBorders>
                  <w:vAlign w:val="center"/>
                </w:tcPr>
                <w:p w14:paraId="40767E94">
                  <w:pPr>
                    <w:pStyle w:val="3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生产</w:t>
                  </w:r>
                </w:p>
                <w:p w14:paraId="04FA9A68">
                  <w:pPr>
                    <w:pStyle w:val="30"/>
                    <w:rPr>
                      <w:rFonts w:hint="default" w:ascii="Times New Roman" w:hAnsi="Times New Roman" w:eastAsia="宋体" w:cs="Times New Roman"/>
                      <w:color w:val="auto"/>
                      <w:spacing w:val="-20"/>
                      <w:sz w:val="21"/>
                      <w:szCs w:val="21"/>
                      <w:highlight w:val="none"/>
                    </w:rPr>
                  </w:pPr>
                  <w:r>
                    <w:rPr>
                      <w:rFonts w:hint="default" w:ascii="Times New Roman" w:hAnsi="Times New Roman" w:cs="Times New Roman"/>
                      <w:color w:val="auto"/>
                      <w:szCs w:val="21"/>
                      <w:highlight w:val="none"/>
                      <w:lang w:val="en-US" w:eastAsia="zh-CN"/>
                    </w:rPr>
                    <w:t>设备</w:t>
                  </w:r>
                </w:p>
              </w:tc>
              <w:tc>
                <w:tcPr>
                  <w:tcW w:w="614" w:type="pct"/>
                  <w:tcBorders>
                    <w:tl2br w:val="nil"/>
                    <w:tr2bl w:val="nil"/>
                  </w:tcBorders>
                  <w:vAlign w:val="center"/>
                </w:tcPr>
                <w:p w14:paraId="27A03A61">
                  <w:pPr>
                    <w:pStyle w:val="3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等效连续A声级</w:t>
                  </w:r>
                </w:p>
              </w:tc>
              <w:tc>
                <w:tcPr>
                  <w:tcW w:w="658" w:type="pct"/>
                  <w:tcBorders>
                    <w:tl2br w:val="nil"/>
                    <w:tr2bl w:val="nil"/>
                  </w:tcBorders>
                  <w:vAlign w:val="center"/>
                </w:tcPr>
                <w:p w14:paraId="449F1E32">
                  <w:pPr>
                    <w:pStyle w:val="30"/>
                    <w:rPr>
                      <w:rFonts w:hint="default" w:ascii="Times New Roman" w:hAnsi="Times New Roman" w:eastAsia="宋体" w:cs="Times New Roman"/>
                      <w:color w:val="auto"/>
                      <w:spacing w:val="-20"/>
                      <w:sz w:val="21"/>
                      <w:szCs w:val="21"/>
                      <w:highlight w:val="none"/>
                      <w:lang w:val="en-US" w:eastAsia="zh-CN"/>
                    </w:rPr>
                  </w:pPr>
                  <w:r>
                    <w:rPr>
                      <w:rFonts w:hint="default" w:ascii="Times New Roman" w:hAnsi="Times New Roman" w:eastAsia="宋体" w:cs="Times New Roman"/>
                      <w:color w:val="auto"/>
                      <w:spacing w:val="-20"/>
                      <w:sz w:val="21"/>
                      <w:szCs w:val="21"/>
                      <w:highlight w:val="none"/>
                    </w:rPr>
                    <w:t>厂界</w:t>
                  </w:r>
                  <w:r>
                    <w:rPr>
                      <w:rFonts w:hint="eastAsia" w:cs="Times New Roman"/>
                      <w:color w:val="auto"/>
                      <w:spacing w:val="-20"/>
                      <w:sz w:val="21"/>
                      <w:szCs w:val="21"/>
                      <w:highlight w:val="none"/>
                      <w:lang w:val="en-US" w:eastAsia="zh-CN"/>
                    </w:rPr>
                    <w:t>四周</w:t>
                  </w:r>
                </w:p>
              </w:tc>
              <w:tc>
                <w:tcPr>
                  <w:tcW w:w="568" w:type="pct"/>
                  <w:tcBorders>
                    <w:tl2br w:val="nil"/>
                    <w:tr2bl w:val="nil"/>
                  </w:tcBorders>
                  <w:vAlign w:val="center"/>
                </w:tcPr>
                <w:p w14:paraId="0F4C1CE8">
                  <w:pPr>
                    <w:pStyle w:val="30"/>
                    <w:rPr>
                      <w:rFonts w:hint="default" w:ascii="Times New Roman" w:hAnsi="Times New Roman" w:eastAsia="宋体" w:cs="Times New Roman"/>
                      <w:color w:val="auto"/>
                      <w:spacing w:val="-20"/>
                      <w:sz w:val="21"/>
                      <w:szCs w:val="21"/>
                      <w:highlight w:val="none"/>
                    </w:rPr>
                  </w:pPr>
                  <w:r>
                    <w:rPr>
                      <w:rFonts w:hint="default" w:ascii="Times New Roman" w:hAnsi="Times New Roman" w:eastAsia="宋体" w:cs="Times New Roman"/>
                      <w:color w:val="auto"/>
                      <w:sz w:val="21"/>
                      <w:szCs w:val="21"/>
                      <w:highlight w:val="none"/>
                      <w:lang w:bidi="ar"/>
                    </w:rPr>
                    <w:t>1次/季度</w:t>
                  </w:r>
                </w:p>
              </w:tc>
              <w:tc>
                <w:tcPr>
                  <w:tcW w:w="1001" w:type="pct"/>
                  <w:tcBorders>
                    <w:tl2br w:val="nil"/>
                    <w:tr2bl w:val="nil"/>
                  </w:tcBorders>
                  <w:vAlign w:val="center"/>
                </w:tcPr>
                <w:p w14:paraId="2829F34D">
                  <w:pPr>
                    <w:pStyle w:val="3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昼间：60dB（A）</w:t>
                  </w:r>
                </w:p>
                <w:p w14:paraId="39E6AA59">
                  <w:pPr>
                    <w:pStyle w:val="3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夜间：50</w:t>
                  </w:r>
                  <w:r>
                    <w:rPr>
                      <w:rFonts w:hint="default" w:ascii="Times New Roman" w:hAnsi="Times New Roman" w:eastAsia="宋体" w:cs="Times New Roman"/>
                      <w:color w:val="auto"/>
                      <w:sz w:val="21"/>
                      <w:szCs w:val="21"/>
                      <w:highlight w:val="none"/>
                    </w:rPr>
                    <w:t>dB（A）</w:t>
                  </w:r>
                </w:p>
              </w:tc>
              <w:tc>
                <w:tcPr>
                  <w:tcW w:w="1639" w:type="pct"/>
                  <w:tcBorders>
                    <w:tl2br w:val="nil"/>
                    <w:tr2bl w:val="nil"/>
                  </w:tcBorders>
                  <w:vAlign w:val="center"/>
                </w:tcPr>
                <w:p w14:paraId="44C74429">
                  <w:pPr>
                    <w:pStyle w:val="30"/>
                    <w:rPr>
                      <w:rFonts w:hint="default" w:ascii="Times New Roman" w:hAnsi="Times New Roman" w:eastAsia="宋体" w:cs="Times New Roman"/>
                      <w:color w:val="auto"/>
                      <w:spacing w:val="-20"/>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《工业企业厂界环境噪声排放标准》（GB12348-2008）2类</w:t>
                  </w:r>
                </w:p>
              </w:tc>
            </w:tr>
          </w:tbl>
          <w:p w14:paraId="5BEDB252">
            <w:pPr>
              <w:keepNext w:val="0"/>
              <w:keepLines w:val="0"/>
              <w:pageBreakBefore w:val="0"/>
              <w:widowControl w:val="0"/>
              <w:kinsoku/>
              <w:wordWrap/>
              <w:overflowPunct/>
              <w:topLinePunct w:val="0"/>
              <w:autoSpaceDE/>
              <w:autoSpaceDN/>
              <w:bidi w:val="0"/>
              <w:adjustRightInd w:val="0"/>
              <w:snapToGrid w:val="0"/>
              <w:spacing w:before="157" w:beforeLines="50"/>
              <w:ind w:firstLine="482" w:firstLineChars="200"/>
              <w:textAlignment w:val="auto"/>
              <w:rPr>
                <w:rFonts w:hint="default" w:ascii="Times New Roman" w:hAnsi="Times New Roman" w:eastAsia="宋体" w:cs="Times New Roman"/>
                <w:b/>
                <w:color w:val="auto"/>
                <w:highlight w:val="none"/>
              </w:rPr>
            </w:pPr>
            <w:r>
              <w:rPr>
                <w:rFonts w:hint="eastAsia" w:eastAsia="宋体" w:cs="Times New Roman"/>
                <w:b/>
                <w:color w:val="auto"/>
                <w:highlight w:val="none"/>
                <w:lang w:eastAsia="zh-CN"/>
              </w:rPr>
              <w:t>（</w:t>
            </w:r>
            <w:r>
              <w:rPr>
                <w:rFonts w:hint="eastAsia" w:eastAsia="宋体" w:cs="Times New Roman"/>
                <w:b/>
                <w:color w:val="auto"/>
                <w:highlight w:val="none"/>
                <w:lang w:val="en-US" w:eastAsia="zh-CN"/>
              </w:rPr>
              <w:t>四</w:t>
            </w:r>
            <w:r>
              <w:rPr>
                <w:rFonts w:hint="eastAsia" w:eastAsia="宋体" w:cs="Times New Roman"/>
                <w:b/>
                <w:color w:val="auto"/>
                <w:highlight w:val="none"/>
                <w:lang w:eastAsia="zh-CN"/>
              </w:rPr>
              <w:t>）</w:t>
            </w:r>
            <w:r>
              <w:rPr>
                <w:rFonts w:hint="default" w:ascii="Times New Roman" w:hAnsi="Times New Roman" w:eastAsia="宋体" w:cs="Times New Roman"/>
                <w:b/>
                <w:color w:val="auto"/>
                <w:highlight w:val="none"/>
              </w:rPr>
              <w:t>固体废物影响分析</w:t>
            </w:r>
          </w:p>
          <w:p w14:paraId="13E6E620">
            <w:pPr>
              <w:spacing w:line="348" w:lineRule="auto"/>
              <w:ind w:firstLine="472" w:firstLineChars="200"/>
              <w:jc w:val="left"/>
              <w:rPr>
                <w:rFonts w:hint="default" w:ascii="Times New Roman" w:hAnsi="Times New Roman" w:eastAsia="宋体" w:cs="Times New Roman"/>
                <w:color w:val="auto"/>
                <w:spacing w:val="-2"/>
                <w:sz w:val="24"/>
                <w:highlight w:val="none"/>
              </w:rPr>
            </w:pPr>
            <w:r>
              <w:rPr>
                <w:rFonts w:hint="default" w:ascii="Times New Roman" w:hAnsi="Times New Roman" w:eastAsia="宋体" w:cs="Times New Roman"/>
                <w:color w:val="auto"/>
                <w:spacing w:val="-2"/>
                <w:sz w:val="24"/>
                <w:highlight w:val="none"/>
              </w:rPr>
              <w:t>本项目营运期生产过程中产生的固废主要为</w:t>
            </w:r>
            <w:r>
              <w:rPr>
                <w:rFonts w:hint="eastAsia" w:ascii="Times New Roman" w:hAnsi="Times New Roman" w:eastAsia="宋体" w:cs="Times New Roman"/>
                <w:color w:val="auto"/>
                <w:spacing w:val="-2"/>
                <w:sz w:val="24"/>
                <w:highlight w:val="none"/>
                <w:lang w:eastAsia="zh-CN"/>
              </w:rPr>
              <w:t>一般工业固体废物（</w:t>
            </w:r>
            <w:r>
              <w:rPr>
                <w:rFonts w:hint="eastAsia" w:ascii="Times New Roman" w:hAnsi="Times New Roman" w:eastAsia="宋体" w:cs="Times New Roman"/>
                <w:color w:val="auto"/>
                <w:spacing w:val="-2"/>
                <w:sz w:val="24"/>
                <w:highlight w:val="none"/>
                <w:lang w:val="en-US" w:eastAsia="zh-CN"/>
              </w:rPr>
              <w:t>除尘器收尘、沉淀池沉渣</w:t>
            </w:r>
            <w:r>
              <w:rPr>
                <w:rFonts w:hint="eastAsia" w:eastAsia="宋体" w:cs="Times New Roman"/>
                <w:color w:val="auto"/>
                <w:spacing w:val="-2"/>
                <w:sz w:val="24"/>
                <w:highlight w:val="none"/>
                <w:lang w:val="en-US" w:eastAsia="zh-CN"/>
              </w:rPr>
              <w:t>、杂质</w:t>
            </w:r>
            <w:r>
              <w:rPr>
                <w:rFonts w:hint="eastAsia" w:ascii="Times New Roman" w:hAnsi="Times New Roman" w:eastAsia="宋体" w:cs="Times New Roman"/>
                <w:color w:val="auto"/>
                <w:spacing w:val="-2"/>
                <w:sz w:val="24"/>
                <w:highlight w:val="none"/>
                <w:lang w:eastAsia="zh-CN"/>
              </w:rPr>
              <w:t>）、</w:t>
            </w:r>
            <w:r>
              <w:rPr>
                <w:rFonts w:hint="default" w:ascii="Times New Roman" w:hAnsi="Times New Roman" w:eastAsia="宋体" w:cs="Times New Roman"/>
                <w:color w:val="auto"/>
                <w:spacing w:val="-2"/>
                <w:sz w:val="24"/>
                <w:highlight w:val="none"/>
              </w:rPr>
              <w:t>危险废物</w:t>
            </w:r>
            <w:r>
              <w:rPr>
                <w:rFonts w:hint="default" w:ascii="Times New Roman" w:hAnsi="Times New Roman" w:eastAsia="宋体" w:cs="Times New Roman"/>
                <w:color w:val="auto"/>
                <w:spacing w:val="-2"/>
                <w:sz w:val="24"/>
                <w:highlight w:val="none"/>
                <w:lang w:eastAsia="zh-CN"/>
              </w:rPr>
              <w:t>（</w:t>
            </w:r>
            <w:r>
              <w:rPr>
                <w:rFonts w:hint="eastAsia" w:ascii="Times New Roman" w:hAnsi="Times New Roman" w:eastAsia="宋体" w:cs="Times New Roman"/>
                <w:color w:val="auto"/>
                <w:spacing w:val="-2"/>
                <w:sz w:val="24"/>
                <w:highlight w:val="none"/>
                <w:lang w:val="en-US" w:eastAsia="zh-CN"/>
              </w:rPr>
              <w:t>废机油、废油桶、含油手套抹布</w:t>
            </w:r>
            <w:r>
              <w:rPr>
                <w:rFonts w:hint="default" w:ascii="Times New Roman" w:hAnsi="Times New Roman" w:eastAsia="宋体" w:cs="Times New Roman"/>
                <w:color w:val="auto"/>
                <w:spacing w:val="-2"/>
                <w:sz w:val="24"/>
                <w:highlight w:val="none"/>
                <w:lang w:eastAsia="zh-CN"/>
              </w:rPr>
              <w:t>）</w:t>
            </w:r>
            <w:r>
              <w:rPr>
                <w:rFonts w:hint="default" w:ascii="Times New Roman" w:hAnsi="Times New Roman" w:eastAsia="宋体" w:cs="Times New Roman"/>
                <w:color w:val="auto"/>
                <w:spacing w:val="-2"/>
                <w:sz w:val="24"/>
                <w:highlight w:val="none"/>
              </w:rPr>
              <w:t>以及职工生活垃圾。</w:t>
            </w:r>
          </w:p>
          <w:p w14:paraId="5C1DE0C7">
            <w:pPr>
              <w:spacing w:line="348" w:lineRule="auto"/>
              <w:ind w:firstLine="480" w:firstLineChars="200"/>
              <w:jc w:val="left"/>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1、一般工业固体废物</w:t>
            </w:r>
          </w:p>
          <w:p w14:paraId="741B9D79">
            <w:pPr>
              <w:spacing w:line="348" w:lineRule="auto"/>
              <w:ind w:firstLine="472" w:firstLineChars="200"/>
              <w:jc w:val="left"/>
              <w:rPr>
                <w:rFonts w:hint="eastAsia" w:ascii="Times New Roman" w:hAnsi="Times New Roman" w:eastAsia="宋体" w:cs="Times New Roman"/>
                <w:color w:val="auto"/>
                <w:spacing w:val="-2"/>
                <w:sz w:val="24"/>
                <w:highlight w:val="none"/>
              </w:rPr>
            </w:pPr>
            <w:r>
              <w:rPr>
                <w:rFonts w:hint="eastAsia" w:ascii="Times New Roman" w:hAnsi="Times New Roman" w:eastAsia="宋体" w:cs="Times New Roman"/>
                <w:color w:val="auto"/>
                <w:spacing w:val="-2"/>
                <w:sz w:val="24"/>
                <w:highlight w:val="none"/>
              </w:rPr>
              <w:t>①除尘器收集的粉尘</w:t>
            </w:r>
          </w:p>
          <w:p w14:paraId="59EA43DB">
            <w:pPr>
              <w:numPr>
                <w:ilvl w:val="0"/>
                <w:numId w:val="0"/>
              </w:numPr>
              <w:spacing w:line="348" w:lineRule="auto"/>
              <w:ind w:firstLine="472" w:firstLineChars="200"/>
              <w:jc w:val="left"/>
              <w:rPr>
                <w:rFonts w:hint="default" w:eastAsia="宋体" w:cs="Times New Roman"/>
                <w:b w:val="0"/>
                <w:bCs w:val="0"/>
                <w:color w:val="auto"/>
                <w:highlight w:val="none"/>
                <w:lang w:val="en-US" w:eastAsia="zh-CN"/>
              </w:rPr>
            </w:pPr>
            <w:r>
              <w:rPr>
                <w:rFonts w:hint="eastAsia" w:ascii="Times New Roman" w:hAnsi="Times New Roman" w:eastAsia="宋体" w:cs="Times New Roman"/>
                <w:color w:val="auto"/>
                <w:spacing w:val="-2"/>
                <w:sz w:val="24"/>
                <w:highlight w:val="none"/>
                <w:lang w:val="en-US" w:eastAsia="zh-CN"/>
              </w:rPr>
              <w:t>本项目除尘装置收集的粉尘主要在破碎、筛分工序采用袋式除尘器处理、搅拌工序配备的袋式除尘器、水泥筒仓配备的袋式除尘器。根据废气污染物核算，</w:t>
            </w:r>
            <w:r>
              <w:rPr>
                <w:rFonts w:hint="eastAsia" w:eastAsia="宋体" w:cs="Times New Roman"/>
                <w:color w:val="auto"/>
                <w:spacing w:val="-2"/>
                <w:sz w:val="24"/>
                <w:highlight w:val="none"/>
                <w:lang w:val="en-US" w:eastAsia="zh-CN"/>
              </w:rPr>
              <w:t>破碎筛分</w:t>
            </w:r>
            <w:r>
              <w:rPr>
                <w:rFonts w:hint="eastAsia" w:ascii="Times New Roman" w:hAnsi="Times New Roman" w:eastAsia="宋体" w:cs="Times New Roman"/>
                <w:color w:val="auto"/>
                <w:spacing w:val="-2"/>
                <w:sz w:val="24"/>
                <w:highlight w:val="none"/>
                <w:lang w:val="en-US" w:eastAsia="zh-CN"/>
              </w:rPr>
              <w:t>工序袋式除尘器收集的粉尘量约</w:t>
            </w:r>
            <w:r>
              <w:rPr>
                <w:rFonts w:hint="eastAsia" w:eastAsia="宋体" w:cs="Times New Roman"/>
                <w:color w:val="auto"/>
                <w:spacing w:val="-2"/>
                <w:sz w:val="24"/>
                <w:highlight w:val="none"/>
                <w:lang w:val="en-US" w:eastAsia="zh-CN"/>
              </w:rPr>
              <w:t>为332.001</w:t>
            </w:r>
            <w:r>
              <w:rPr>
                <w:rFonts w:hint="eastAsia" w:ascii="Times New Roman" w:hAnsi="Times New Roman" w:eastAsia="宋体" w:cs="Times New Roman"/>
                <w:color w:val="auto"/>
                <w:spacing w:val="-2"/>
                <w:sz w:val="24"/>
                <w:highlight w:val="none"/>
                <w:lang w:val="en-US" w:eastAsia="zh-CN"/>
              </w:rPr>
              <w:t>t/a</w:t>
            </w:r>
            <w:r>
              <w:rPr>
                <w:rFonts w:hint="eastAsia" w:eastAsia="宋体" w:cs="Times New Roman"/>
                <w:color w:val="auto"/>
                <w:spacing w:val="-2"/>
                <w:sz w:val="24"/>
                <w:highlight w:val="none"/>
                <w:lang w:val="en-US" w:eastAsia="zh-CN"/>
              </w:rPr>
              <w:t>，</w:t>
            </w:r>
            <w:r>
              <w:rPr>
                <w:rFonts w:hint="eastAsia" w:ascii="Times New Roman" w:hAnsi="Times New Roman" w:eastAsia="宋体" w:cs="Times New Roman"/>
                <w:color w:val="auto"/>
                <w:spacing w:val="-2"/>
                <w:sz w:val="24"/>
                <w:highlight w:val="none"/>
                <w:lang w:val="en-US" w:eastAsia="zh-CN"/>
              </w:rPr>
              <w:t>本项目搅拌工序袋式除尘器收集的粉尘量约为</w:t>
            </w:r>
            <w:r>
              <w:rPr>
                <w:rFonts w:hint="eastAsia" w:eastAsia="宋体" w:cs="Times New Roman"/>
                <w:color w:val="auto"/>
                <w:spacing w:val="-2"/>
                <w:sz w:val="24"/>
                <w:highlight w:val="none"/>
                <w:lang w:val="en-US" w:eastAsia="zh-CN"/>
              </w:rPr>
              <w:t>140.79</w:t>
            </w:r>
            <w:r>
              <w:rPr>
                <w:rFonts w:hint="eastAsia" w:ascii="Times New Roman" w:hAnsi="Times New Roman" w:eastAsia="宋体" w:cs="Times New Roman"/>
                <w:color w:val="auto"/>
                <w:spacing w:val="-2"/>
                <w:sz w:val="24"/>
                <w:highlight w:val="none"/>
                <w:lang w:val="en-US" w:eastAsia="zh-CN"/>
              </w:rPr>
              <w:t>t/a，筒仓脉冲式除尘器收集的粉尘量约</w:t>
            </w:r>
            <w:r>
              <w:rPr>
                <w:rFonts w:hint="eastAsia" w:eastAsia="宋体" w:cs="Times New Roman"/>
                <w:color w:val="auto"/>
                <w:spacing w:val="-2"/>
                <w:sz w:val="24"/>
                <w:highlight w:val="none"/>
                <w:lang w:val="en-US" w:eastAsia="zh-CN"/>
              </w:rPr>
              <w:t>1.426</w:t>
            </w:r>
            <w:r>
              <w:rPr>
                <w:rFonts w:hint="eastAsia" w:ascii="Times New Roman" w:hAnsi="Times New Roman" w:eastAsia="宋体" w:cs="Times New Roman"/>
                <w:color w:val="auto"/>
                <w:spacing w:val="-2"/>
                <w:sz w:val="24"/>
                <w:highlight w:val="none"/>
                <w:lang w:val="en-US" w:eastAsia="zh-CN"/>
              </w:rPr>
              <w:t>t/a。故本项目除尘装置收集的粉尘量为</w:t>
            </w:r>
            <w:r>
              <w:rPr>
                <w:rFonts w:hint="eastAsia" w:eastAsia="宋体" w:cs="Times New Roman"/>
                <w:color w:val="auto"/>
                <w:spacing w:val="-2"/>
                <w:sz w:val="24"/>
                <w:highlight w:val="none"/>
                <w:lang w:val="en-US" w:eastAsia="zh-CN"/>
              </w:rPr>
              <w:t>474.217</w:t>
            </w:r>
            <w:r>
              <w:rPr>
                <w:rFonts w:hint="eastAsia" w:ascii="Times New Roman" w:hAnsi="Times New Roman" w:eastAsia="宋体" w:cs="Times New Roman"/>
                <w:color w:val="auto"/>
                <w:spacing w:val="-2"/>
                <w:sz w:val="24"/>
                <w:highlight w:val="none"/>
                <w:lang w:val="en-US" w:eastAsia="zh-CN"/>
              </w:rPr>
              <w:t>t/a，定期清出后回用于生产。</w:t>
            </w:r>
          </w:p>
          <w:p w14:paraId="03F4A287">
            <w:pPr>
              <w:numPr>
                <w:ilvl w:val="0"/>
                <w:numId w:val="0"/>
              </w:numPr>
              <w:adjustRightInd w:val="0"/>
              <w:snapToGrid w:val="0"/>
              <w:ind w:firstLine="480" w:firstLineChars="200"/>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②破碎、筒仓和搅拌机布袋除尘器产生的废布袋产生量约1.2t/a，收集后由厂家回收。</w:t>
            </w:r>
          </w:p>
          <w:p w14:paraId="6B1B6F7D">
            <w:pPr>
              <w:numPr>
                <w:ilvl w:val="0"/>
                <w:numId w:val="0"/>
              </w:numPr>
              <w:adjustRightInd w:val="0"/>
              <w:snapToGrid w:val="0"/>
              <w:ind w:firstLine="480" w:firstLineChars="200"/>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③沉淀池沉渣</w:t>
            </w:r>
          </w:p>
          <w:p w14:paraId="5EF8F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eastAsia="宋体" w:cs="Times New Roman"/>
                <w:color w:val="auto"/>
                <w:highlight w:val="none"/>
                <w:lang w:eastAsia="zh-CN"/>
              </w:rPr>
            </w:pPr>
            <w:r>
              <w:rPr>
                <w:rFonts w:hint="default" w:ascii="Times New Roman" w:hAnsi="Times New Roman" w:eastAsia="宋体" w:cs="Times New Roman"/>
                <w:color w:val="auto"/>
                <w:highlight w:val="none"/>
              </w:rPr>
              <w:t>道路、车辆冲洗废水经沉淀池沉淀后会产生一定量的沉渣，</w:t>
            </w:r>
            <w:r>
              <w:rPr>
                <w:rFonts w:hint="eastAsia" w:eastAsia="宋体" w:cs="Times New Roman"/>
                <w:color w:val="auto"/>
                <w:highlight w:val="none"/>
                <w:lang w:val="en-US" w:eastAsia="zh-CN"/>
              </w:rPr>
              <w:t>需</w:t>
            </w:r>
            <w:r>
              <w:rPr>
                <w:rFonts w:hint="default" w:ascii="Times New Roman" w:hAnsi="Times New Roman" w:eastAsia="宋体" w:cs="Times New Roman"/>
                <w:color w:val="auto"/>
                <w:highlight w:val="none"/>
              </w:rPr>
              <w:t>定期对沉淀池底泥进行清</w:t>
            </w:r>
            <w:r>
              <w:rPr>
                <w:rFonts w:hint="eastAsia" w:eastAsia="宋体" w:cs="Times New Roman"/>
                <w:color w:val="auto"/>
                <w:highlight w:val="none"/>
                <w:lang w:val="en-US" w:eastAsia="zh-CN"/>
              </w:rPr>
              <w:t>理</w:t>
            </w:r>
            <w:r>
              <w:rPr>
                <w:rFonts w:hint="default" w:ascii="Times New Roman" w:hAnsi="Times New Roman" w:eastAsia="宋体" w:cs="Times New Roman"/>
                <w:color w:val="auto"/>
                <w:highlight w:val="none"/>
              </w:rPr>
              <w:t>。根据建设单位提供资料，本项目沉淀池沉渣产生量约为</w:t>
            </w:r>
            <w:r>
              <w:rPr>
                <w:rFonts w:hint="eastAsia" w:eastAsia="宋体" w:cs="Times New Roman"/>
                <w:color w:val="auto"/>
                <w:highlight w:val="none"/>
                <w:lang w:val="en-US" w:eastAsia="zh-CN"/>
              </w:rPr>
              <w:t>5.0</w:t>
            </w:r>
            <w:r>
              <w:rPr>
                <w:rFonts w:hint="default" w:ascii="Times New Roman" w:hAnsi="Times New Roman" w:eastAsia="宋体" w:cs="Times New Roman"/>
                <w:color w:val="auto"/>
                <w:highlight w:val="none"/>
              </w:rPr>
              <w:t>t/a。该部分沉渣主要成分主要为砂石，</w:t>
            </w:r>
            <w:r>
              <w:rPr>
                <w:rFonts w:hint="eastAsia" w:eastAsia="宋体" w:cs="Times New Roman"/>
                <w:color w:val="auto"/>
                <w:highlight w:val="none"/>
                <w:lang w:val="en-US" w:eastAsia="zh-CN"/>
              </w:rPr>
              <w:t>定期清出，回用于生产</w:t>
            </w:r>
            <w:r>
              <w:rPr>
                <w:rFonts w:hint="eastAsia" w:eastAsia="宋体" w:cs="Times New Roman"/>
                <w:color w:val="auto"/>
                <w:highlight w:val="none"/>
                <w:lang w:eastAsia="zh-CN"/>
              </w:rPr>
              <w:t>。</w:t>
            </w:r>
          </w:p>
          <w:p w14:paraId="39F52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eastAsia="宋体" w:cs="Times New Roman"/>
                <w:color w:val="auto"/>
                <w:highlight w:val="none"/>
                <w:lang w:val="en-US" w:eastAsia="zh-CN"/>
              </w:rPr>
            </w:pPr>
            <w:r>
              <w:rPr>
                <w:rFonts w:hint="eastAsia" w:eastAsia="宋体" w:cs="Times New Roman"/>
                <w:color w:val="auto"/>
                <w:highlight w:val="none"/>
                <w:lang w:val="en-US" w:eastAsia="zh-CN"/>
              </w:rPr>
              <w:t>④分拣杂质</w:t>
            </w:r>
          </w:p>
          <w:p w14:paraId="33B50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eastAsia="宋体" w:cs="Times New Roman"/>
                <w:color w:val="auto"/>
                <w:highlight w:val="none"/>
                <w:lang w:val="en-US" w:eastAsia="zh-CN"/>
              </w:rPr>
            </w:pPr>
            <w:r>
              <w:rPr>
                <w:rFonts w:hint="default" w:eastAsia="宋体" w:cs="Times New Roman"/>
                <w:color w:val="auto"/>
                <w:highlight w:val="none"/>
                <w:lang w:val="en-US" w:eastAsia="zh-CN"/>
              </w:rPr>
              <w:t>根据企业提供经验数据，分拣固废包括</w:t>
            </w:r>
            <w:r>
              <w:rPr>
                <w:rFonts w:hint="eastAsia" w:eastAsia="宋体" w:cs="Times New Roman"/>
                <w:color w:val="auto"/>
                <w:highlight w:val="none"/>
                <w:lang w:val="en-US" w:eastAsia="zh-CN"/>
              </w:rPr>
              <w:t>废钢筋、</w:t>
            </w:r>
            <w:r>
              <w:rPr>
                <w:rFonts w:hint="default" w:eastAsia="宋体" w:cs="Times New Roman"/>
                <w:color w:val="auto"/>
                <w:highlight w:val="none"/>
                <w:lang w:val="en-US" w:eastAsia="zh-CN"/>
              </w:rPr>
              <w:t>废纸塑类、废纺织类、废木材类</w:t>
            </w:r>
            <w:r>
              <w:rPr>
                <w:rFonts w:hint="eastAsia" w:eastAsia="宋体" w:cs="Times New Roman"/>
                <w:color w:val="auto"/>
                <w:highlight w:val="none"/>
                <w:lang w:val="en-US" w:eastAsia="zh-CN"/>
              </w:rPr>
              <w:t>等杂质215</w:t>
            </w:r>
            <w:r>
              <w:rPr>
                <w:rFonts w:hint="default" w:eastAsia="宋体" w:cs="Times New Roman"/>
                <w:color w:val="auto"/>
                <w:highlight w:val="none"/>
                <w:lang w:val="en-US" w:eastAsia="zh-CN"/>
              </w:rPr>
              <w:t>t/a</w:t>
            </w:r>
            <w:r>
              <w:rPr>
                <w:rFonts w:hint="eastAsia" w:eastAsia="宋体" w:cs="Times New Roman"/>
                <w:color w:val="auto"/>
                <w:highlight w:val="none"/>
                <w:lang w:val="en-US" w:eastAsia="zh-CN"/>
              </w:rPr>
              <w:t>，</w:t>
            </w:r>
            <w:r>
              <w:rPr>
                <w:rFonts w:hint="default" w:eastAsia="宋体" w:cs="Times New Roman"/>
                <w:color w:val="auto"/>
                <w:highlight w:val="none"/>
                <w:lang w:val="en-US" w:eastAsia="zh-CN"/>
              </w:rPr>
              <w:t>暂存于</w:t>
            </w:r>
            <w:r>
              <w:rPr>
                <w:rFonts w:hint="eastAsia" w:eastAsia="宋体" w:cs="Times New Roman"/>
                <w:color w:val="auto"/>
                <w:highlight w:val="none"/>
                <w:lang w:val="en-US" w:eastAsia="zh-CN"/>
              </w:rPr>
              <w:t>杂质</w:t>
            </w:r>
            <w:r>
              <w:rPr>
                <w:rFonts w:hint="default" w:eastAsia="宋体" w:cs="Times New Roman"/>
                <w:color w:val="auto"/>
                <w:highlight w:val="none"/>
                <w:lang w:val="en-US" w:eastAsia="zh-CN"/>
              </w:rPr>
              <w:t>暂存库，集中收集外售</w:t>
            </w:r>
            <w:r>
              <w:rPr>
                <w:rFonts w:hint="eastAsia" w:eastAsia="宋体" w:cs="Times New Roman"/>
                <w:color w:val="auto"/>
                <w:highlight w:val="none"/>
                <w:lang w:val="en-US" w:eastAsia="zh-CN"/>
              </w:rPr>
              <w:t>至</w:t>
            </w:r>
            <w:r>
              <w:rPr>
                <w:rFonts w:hint="default" w:eastAsia="宋体" w:cs="Times New Roman"/>
                <w:color w:val="auto"/>
                <w:highlight w:val="none"/>
                <w:lang w:val="en-US" w:eastAsia="zh-CN"/>
              </w:rPr>
              <w:t>西安龙创建筑科技有限公司</w:t>
            </w:r>
            <w:r>
              <w:rPr>
                <w:rFonts w:hint="eastAsia" w:eastAsia="宋体" w:cs="Times New Roman"/>
                <w:color w:val="auto"/>
                <w:highlight w:val="none"/>
                <w:lang w:val="en-US" w:eastAsia="zh-CN"/>
              </w:rPr>
              <w:t>。</w:t>
            </w:r>
          </w:p>
          <w:p w14:paraId="5CA6A257">
            <w:pPr>
              <w:spacing w:line="348" w:lineRule="auto"/>
              <w:ind w:firstLine="480" w:firstLineChars="200"/>
              <w:jc w:val="left"/>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2、危险废物</w:t>
            </w:r>
          </w:p>
          <w:p w14:paraId="6BF3BC4C">
            <w:pPr>
              <w:spacing w:line="348" w:lineRule="auto"/>
              <w:ind w:firstLine="472" w:firstLineChars="200"/>
              <w:jc w:val="left"/>
              <w:rPr>
                <w:rFonts w:hint="eastAsia" w:ascii="Times New Roman" w:hAnsi="Times New Roman" w:eastAsia="宋体" w:cs="Times New Roman"/>
                <w:color w:val="auto"/>
                <w:spacing w:val="-2"/>
                <w:sz w:val="24"/>
                <w:highlight w:val="none"/>
                <w:lang w:eastAsia="zh-CN"/>
              </w:rPr>
            </w:pPr>
            <w:r>
              <w:rPr>
                <w:rFonts w:hint="eastAsia" w:ascii="Times New Roman" w:hAnsi="Times New Roman" w:eastAsia="宋体" w:cs="Times New Roman"/>
                <w:color w:val="auto"/>
                <w:spacing w:val="-2"/>
                <w:sz w:val="24"/>
                <w:highlight w:val="none"/>
              </w:rPr>
              <w:t>①</w:t>
            </w:r>
            <w:r>
              <w:rPr>
                <w:rFonts w:hint="eastAsia" w:ascii="Times New Roman" w:hAnsi="Times New Roman" w:eastAsia="宋体" w:cs="Times New Roman"/>
                <w:color w:val="auto"/>
                <w:spacing w:val="-2"/>
                <w:sz w:val="24"/>
                <w:highlight w:val="none"/>
                <w:lang w:val="en-US" w:eastAsia="zh-CN"/>
              </w:rPr>
              <w:t>废机油</w:t>
            </w:r>
          </w:p>
          <w:p w14:paraId="24B26137">
            <w:pPr>
              <w:numPr>
                <w:ilvl w:val="0"/>
                <w:numId w:val="0"/>
              </w:numPr>
              <w:spacing w:line="348" w:lineRule="auto"/>
              <w:ind w:firstLine="472" w:firstLineChars="200"/>
              <w:jc w:val="left"/>
              <w:rPr>
                <w:rFonts w:hint="eastAsia" w:ascii="Times New Roman" w:hAnsi="Times New Roman" w:eastAsia="宋体" w:cs="Times New Roman"/>
                <w:color w:val="auto"/>
                <w:spacing w:val="-2"/>
                <w:sz w:val="24"/>
                <w:highlight w:val="none"/>
                <w:lang w:val="en-US" w:eastAsia="zh-CN"/>
              </w:rPr>
            </w:pPr>
            <w:r>
              <w:rPr>
                <w:rFonts w:hint="eastAsia" w:ascii="Times New Roman" w:hAnsi="Times New Roman" w:eastAsia="宋体" w:cs="Times New Roman"/>
                <w:color w:val="auto"/>
                <w:spacing w:val="-2"/>
                <w:sz w:val="24"/>
                <w:highlight w:val="none"/>
                <w:lang w:val="en-US" w:eastAsia="zh-CN"/>
              </w:rPr>
              <w:t>项目设备运行及生产过程中，需对厂内设备机械进行保养维护，过程中会产生少量废机油，约0.</w:t>
            </w:r>
            <w:r>
              <w:rPr>
                <w:rFonts w:hint="eastAsia" w:eastAsia="宋体" w:cs="Times New Roman"/>
                <w:color w:val="auto"/>
                <w:spacing w:val="-2"/>
                <w:sz w:val="24"/>
                <w:highlight w:val="none"/>
                <w:lang w:val="en-US" w:eastAsia="zh-CN"/>
              </w:rPr>
              <w:t>20</w:t>
            </w:r>
            <w:r>
              <w:rPr>
                <w:rFonts w:hint="eastAsia" w:ascii="Times New Roman" w:hAnsi="Times New Roman" w:eastAsia="宋体" w:cs="Times New Roman"/>
                <w:color w:val="auto"/>
                <w:spacing w:val="-2"/>
                <w:sz w:val="24"/>
                <w:highlight w:val="none"/>
                <w:lang w:val="en-US" w:eastAsia="zh-CN"/>
              </w:rPr>
              <w:t>t/a。根据《国家危险废物名录》（202</w:t>
            </w:r>
            <w:r>
              <w:rPr>
                <w:rFonts w:hint="eastAsia" w:eastAsia="宋体" w:cs="Times New Roman"/>
                <w:color w:val="auto"/>
                <w:spacing w:val="-2"/>
                <w:sz w:val="24"/>
                <w:highlight w:val="none"/>
                <w:lang w:val="en-US" w:eastAsia="zh-CN"/>
              </w:rPr>
              <w:t>5</w:t>
            </w:r>
            <w:r>
              <w:rPr>
                <w:rFonts w:hint="eastAsia" w:ascii="Times New Roman" w:hAnsi="Times New Roman" w:eastAsia="宋体" w:cs="Times New Roman"/>
                <w:color w:val="auto"/>
                <w:spacing w:val="-2"/>
                <w:sz w:val="24"/>
                <w:highlight w:val="none"/>
                <w:lang w:val="en-US" w:eastAsia="zh-CN"/>
              </w:rPr>
              <w:t>年</w:t>
            </w:r>
            <w:r>
              <w:rPr>
                <w:rFonts w:hint="eastAsia" w:eastAsia="宋体" w:cs="Times New Roman"/>
                <w:color w:val="auto"/>
                <w:spacing w:val="-2"/>
                <w:sz w:val="24"/>
                <w:highlight w:val="none"/>
                <w:lang w:val="en-US" w:eastAsia="zh-CN"/>
              </w:rPr>
              <w:t>版</w:t>
            </w:r>
            <w:r>
              <w:rPr>
                <w:rFonts w:hint="eastAsia" w:ascii="Times New Roman" w:hAnsi="Times New Roman" w:eastAsia="宋体" w:cs="Times New Roman"/>
                <w:color w:val="auto"/>
                <w:spacing w:val="-2"/>
                <w:sz w:val="24"/>
                <w:highlight w:val="none"/>
                <w:lang w:val="en-US" w:eastAsia="zh-CN"/>
              </w:rPr>
              <w:t>），此类废物属于危险废物，其危废类别为HW08，900-214-08，收集后暂存于厂区内危险废物贮存</w:t>
            </w:r>
            <w:r>
              <w:rPr>
                <w:rFonts w:hint="eastAsia" w:eastAsia="宋体" w:cs="Times New Roman"/>
                <w:color w:val="auto"/>
                <w:spacing w:val="-2"/>
                <w:sz w:val="24"/>
                <w:highlight w:val="none"/>
                <w:lang w:val="en-US" w:eastAsia="zh-CN"/>
              </w:rPr>
              <w:t>点</w:t>
            </w:r>
            <w:r>
              <w:rPr>
                <w:rFonts w:hint="eastAsia" w:ascii="Times New Roman" w:hAnsi="Times New Roman" w:eastAsia="宋体" w:cs="Times New Roman"/>
                <w:color w:val="auto"/>
                <w:spacing w:val="-2"/>
                <w:sz w:val="24"/>
                <w:highlight w:val="none"/>
                <w:lang w:val="en-US" w:eastAsia="zh-CN"/>
              </w:rPr>
              <w:t>内，</w:t>
            </w:r>
            <w:r>
              <w:rPr>
                <w:rFonts w:hint="default" w:ascii="Times New Roman" w:hAnsi="Times New Roman" w:eastAsia="宋体" w:cs="Times New Roman"/>
                <w:color w:val="auto"/>
                <w:spacing w:val="-2"/>
                <w:sz w:val="24"/>
                <w:highlight w:val="none"/>
                <w:lang w:val="en-US" w:eastAsia="zh-CN"/>
              </w:rPr>
              <w:t>定期委托有资质单位处置</w:t>
            </w:r>
            <w:r>
              <w:rPr>
                <w:rFonts w:hint="eastAsia" w:ascii="Times New Roman" w:hAnsi="Times New Roman" w:eastAsia="宋体" w:cs="Times New Roman"/>
                <w:color w:val="auto"/>
                <w:spacing w:val="-2"/>
                <w:sz w:val="24"/>
                <w:highlight w:val="none"/>
                <w:lang w:val="en-US" w:eastAsia="zh-CN"/>
              </w:rPr>
              <w:t>。</w:t>
            </w:r>
          </w:p>
          <w:p w14:paraId="64A2D343">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②废机油桶</w:t>
            </w:r>
          </w:p>
          <w:p w14:paraId="6A10765F">
            <w:pPr>
              <w:spacing w:line="348" w:lineRule="auto"/>
              <w:ind w:firstLine="480" w:firstLineChars="200"/>
              <w:jc w:val="left"/>
              <w:rPr>
                <w:rFonts w:hint="eastAsia" w:ascii="Times New Roman" w:hAnsi="Times New Roman" w:eastAsia="宋体" w:cs="Times New Roman"/>
                <w:color w:val="auto"/>
                <w:spacing w:val="-2"/>
                <w:sz w:val="24"/>
                <w:highlight w:val="none"/>
                <w:lang w:eastAsia="zh-CN"/>
              </w:rPr>
            </w:pPr>
            <w:r>
              <w:rPr>
                <w:rFonts w:hint="default" w:ascii="Times New Roman" w:hAnsi="Times New Roman" w:eastAsia="宋体" w:cs="Times New Roman"/>
                <w:color w:val="auto"/>
                <w:highlight w:val="none"/>
              </w:rPr>
              <w:t>本项目</w:t>
            </w:r>
            <w:r>
              <w:rPr>
                <w:rFonts w:hint="eastAsia" w:eastAsia="宋体" w:cs="Times New Roman"/>
                <w:color w:val="auto"/>
                <w:highlight w:val="none"/>
                <w:lang w:val="en-US" w:eastAsia="zh-CN"/>
              </w:rPr>
              <w:t>设备保养维护使用机油0.6t/a，为20kg/桶装，则</w:t>
            </w:r>
            <w:r>
              <w:rPr>
                <w:rFonts w:hint="default" w:ascii="Times New Roman" w:hAnsi="Times New Roman" w:eastAsia="宋体" w:cs="Times New Roman"/>
                <w:color w:val="auto"/>
                <w:highlight w:val="none"/>
              </w:rPr>
              <w:t>废机油桶</w:t>
            </w:r>
            <w:r>
              <w:rPr>
                <w:rFonts w:hint="eastAsia" w:eastAsia="宋体" w:cs="Times New Roman"/>
                <w:color w:val="auto"/>
                <w:highlight w:val="none"/>
                <w:lang w:val="en-US" w:eastAsia="zh-CN"/>
              </w:rPr>
              <w:t>产生量</w:t>
            </w:r>
            <w:r>
              <w:rPr>
                <w:rFonts w:hint="default" w:ascii="Times New Roman" w:hAnsi="Times New Roman" w:eastAsia="宋体" w:cs="Times New Roman"/>
                <w:color w:val="auto"/>
                <w:highlight w:val="none"/>
              </w:rPr>
              <w:t>约</w:t>
            </w:r>
            <w:r>
              <w:rPr>
                <w:rFonts w:hint="eastAsia" w:eastAsia="宋体" w:cs="Times New Roman"/>
                <w:color w:val="auto"/>
                <w:highlight w:val="none"/>
                <w:lang w:val="en-US" w:eastAsia="zh-CN"/>
              </w:rPr>
              <w:t>30</w:t>
            </w:r>
            <w:r>
              <w:rPr>
                <w:rFonts w:hint="default" w:ascii="Times New Roman" w:hAnsi="Times New Roman" w:eastAsia="宋体" w:cs="Times New Roman"/>
                <w:color w:val="auto"/>
                <w:highlight w:val="none"/>
              </w:rPr>
              <w:t>个/a，</w:t>
            </w:r>
            <w:r>
              <w:rPr>
                <w:rFonts w:hint="eastAsia" w:ascii="Times New Roman" w:hAnsi="Times New Roman" w:eastAsia="宋体" w:cs="Times New Roman"/>
                <w:color w:val="auto"/>
                <w:spacing w:val="-2"/>
                <w:sz w:val="24"/>
                <w:highlight w:val="none"/>
                <w:lang w:val="en-US" w:eastAsia="zh-CN"/>
              </w:rPr>
              <w:t>一个空油</w:t>
            </w:r>
            <w:r>
              <w:rPr>
                <w:rFonts w:hint="eastAsia" w:ascii="Times New Roman" w:hAnsi="Times New Roman" w:eastAsia="宋体" w:cs="Times New Roman"/>
                <w:color w:val="auto"/>
                <w:spacing w:val="-2"/>
                <w:sz w:val="24"/>
                <w:highlight w:val="none"/>
              </w:rPr>
              <w:t>桶</w:t>
            </w:r>
            <w:r>
              <w:rPr>
                <w:rFonts w:hint="eastAsia" w:ascii="Times New Roman" w:hAnsi="Times New Roman" w:eastAsia="宋体" w:cs="Times New Roman"/>
                <w:color w:val="auto"/>
                <w:spacing w:val="-2"/>
                <w:sz w:val="24"/>
                <w:highlight w:val="none"/>
                <w:lang w:val="en-US" w:eastAsia="zh-CN"/>
              </w:rPr>
              <w:t>0.8~1.0kg，以0.9kg/个计，故</w:t>
            </w:r>
            <w:r>
              <w:rPr>
                <w:rFonts w:hint="eastAsia" w:ascii="Times New Roman" w:hAnsi="Times New Roman" w:eastAsia="宋体" w:cs="Times New Roman"/>
                <w:color w:val="auto"/>
                <w:spacing w:val="-2"/>
                <w:sz w:val="24"/>
                <w:highlight w:val="none"/>
                <w:lang w:eastAsia="zh-CN"/>
              </w:rPr>
              <w:t>废</w:t>
            </w:r>
            <w:r>
              <w:rPr>
                <w:rFonts w:hint="eastAsia" w:ascii="Times New Roman" w:hAnsi="Times New Roman" w:eastAsia="宋体" w:cs="Times New Roman"/>
                <w:color w:val="auto"/>
                <w:spacing w:val="-2"/>
                <w:sz w:val="24"/>
                <w:highlight w:val="none"/>
                <w:lang w:val="en-US" w:eastAsia="zh-CN"/>
              </w:rPr>
              <w:t>机油</w:t>
            </w:r>
            <w:r>
              <w:rPr>
                <w:rFonts w:hint="eastAsia" w:ascii="Times New Roman" w:hAnsi="Times New Roman" w:eastAsia="宋体" w:cs="Times New Roman"/>
                <w:color w:val="auto"/>
                <w:spacing w:val="-2"/>
                <w:sz w:val="24"/>
                <w:highlight w:val="none"/>
                <w:lang w:eastAsia="zh-CN"/>
              </w:rPr>
              <w:t>桶</w:t>
            </w:r>
            <w:r>
              <w:rPr>
                <w:rFonts w:hint="eastAsia" w:ascii="Times New Roman" w:hAnsi="Times New Roman" w:eastAsia="宋体" w:cs="Times New Roman"/>
                <w:color w:val="auto"/>
                <w:spacing w:val="-2"/>
                <w:sz w:val="24"/>
                <w:highlight w:val="none"/>
                <w:lang w:val="en-US" w:eastAsia="zh-CN"/>
              </w:rPr>
              <w:t>产生量约0.0</w:t>
            </w:r>
            <w:r>
              <w:rPr>
                <w:rFonts w:hint="eastAsia" w:eastAsia="宋体" w:cs="Times New Roman"/>
                <w:color w:val="auto"/>
                <w:spacing w:val="-2"/>
                <w:sz w:val="24"/>
                <w:highlight w:val="none"/>
                <w:lang w:val="en-US" w:eastAsia="zh-CN"/>
              </w:rPr>
              <w:t>27</w:t>
            </w:r>
            <w:r>
              <w:rPr>
                <w:rFonts w:hint="eastAsia" w:ascii="Times New Roman" w:hAnsi="Times New Roman" w:eastAsia="宋体" w:cs="Times New Roman"/>
                <w:color w:val="auto"/>
                <w:spacing w:val="-2"/>
                <w:sz w:val="24"/>
                <w:highlight w:val="none"/>
                <w:lang w:val="en-US" w:eastAsia="zh-CN"/>
              </w:rPr>
              <w:t>t/a</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spacing w:val="-2"/>
                <w:sz w:val="24"/>
                <w:highlight w:val="none"/>
                <w:lang w:eastAsia="zh-CN"/>
              </w:rPr>
              <w:t>废</w:t>
            </w:r>
            <w:r>
              <w:rPr>
                <w:rFonts w:hint="eastAsia" w:ascii="Times New Roman" w:hAnsi="Times New Roman" w:eastAsia="宋体" w:cs="Times New Roman"/>
                <w:color w:val="auto"/>
                <w:spacing w:val="-2"/>
                <w:sz w:val="24"/>
                <w:highlight w:val="none"/>
                <w:lang w:val="en-US" w:eastAsia="zh-CN"/>
              </w:rPr>
              <w:t>机油</w:t>
            </w:r>
            <w:r>
              <w:rPr>
                <w:rFonts w:hint="eastAsia" w:ascii="Times New Roman" w:hAnsi="Times New Roman" w:eastAsia="宋体" w:cs="Times New Roman"/>
                <w:color w:val="auto"/>
                <w:spacing w:val="-2"/>
                <w:sz w:val="24"/>
                <w:highlight w:val="none"/>
                <w:lang w:eastAsia="zh-CN"/>
              </w:rPr>
              <w:t>桶</w:t>
            </w:r>
            <w:r>
              <w:rPr>
                <w:rFonts w:hint="default" w:ascii="Times New Roman" w:hAnsi="Times New Roman" w:eastAsia="宋体" w:cs="Times New Roman"/>
                <w:color w:val="auto"/>
                <w:spacing w:val="-2"/>
                <w:sz w:val="24"/>
                <w:highlight w:val="none"/>
              </w:rPr>
              <w:t>属于《国家危险废物名录》（</w:t>
            </w:r>
            <w:r>
              <w:rPr>
                <w:rFonts w:hint="eastAsia" w:ascii="Times New Roman" w:hAnsi="Times New Roman" w:eastAsia="宋体" w:cs="Times New Roman"/>
                <w:color w:val="auto"/>
                <w:spacing w:val="-2"/>
                <w:sz w:val="24"/>
                <w:highlight w:val="none"/>
                <w:lang w:val="en-US" w:eastAsia="zh-CN"/>
              </w:rPr>
              <w:t>202</w:t>
            </w:r>
            <w:r>
              <w:rPr>
                <w:rFonts w:hint="eastAsia" w:eastAsia="宋体" w:cs="Times New Roman"/>
                <w:color w:val="auto"/>
                <w:spacing w:val="-2"/>
                <w:sz w:val="24"/>
                <w:highlight w:val="none"/>
                <w:lang w:val="en-US" w:eastAsia="zh-CN"/>
              </w:rPr>
              <w:t>5</w:t>
            </w:r>
            <w:r>
              <w:rPr>
                <w:rFonts w:hint="eastAsia" w:ascii="Times New Roman" w:hAnsi="Times New Roman" w:eastAsia="宋体" w:cs="Times New Roman"/>
                <w:color w:val="auto"/>
                <w:spacing w:val="-2"/>
                <w:sz w:val="24"/>
                <w:highlight w:val="none"/>
                <w:lang w:val="en-US" w:eastAsia="zh-CN"/>
              </w:rPr>
              <w:t>年</w:t>
            </w:r>
            <w:r>
              <w:rPr>
                <w:rFonts w:hint="eastAsia" w:eastAsia="宋体" w:cs="Times New Roman"/>
                <w:color w:val="auto"/>
                <w:spacing w:val="-2"/>
                <w:sz w:val="24"/>
                <w:highlight w:val="none"/>
                <w:lang w:val="en-US" w:eastAsia="zh-CN"/>
              </w:rPr>
              <w:t>版</w:t>
            </w:r>
            <w:r>
              <w:rPr>
                <w:rFonts w:hint="default" w:ascii="Times New Roman" w:hAnsi="Times New Roman" w:eastAsia="宋体" w:cs="Times New Roman"/>
                <w:color w:val="auto"/>
                <w:spacing w:val="-2"/>
                <w:sz w:val="24"/>
                <w:highlight w:val="none"/>
              </w:rPr>
              <w:t>）代号HW49中的900-041-49。</w:t>
            </w:r>
            <w:r>
              <w:rPr>
                <w:rFonts w:hint="eastAsia" w:ascii="Times New Roman" w:hAnsi="Times New Roman" w:eastAsia="宋体" w:cs="Times New Roman"/>
                <w:color w:val="auto"/>
                <w:spacing w:val="-2"/>
                <w:sz w:val="24"/>
                <w:highlight w:val="none"/>
                <w:lang w:val="en-US" w:eastAsia="zh-CN"/>
              </w:rPr>
              <w:t>本</w:t>
            </w:r>
            <w:r>
              <w:rPr>
                <w:rFonts w:hint="eastAsia" w:ascii="Times New Roman" w:hAnsi="Times New Roman" w:eastAsia="宋体" w:cs="Times New Roman"/>
                <w:color w:val="auto"/>
                <w:spacing w:val="-2"/>
                <w:sz w:val="24"/>
                <w:highlight w:val="none"/>
                <w:lang w:eastAsia="zh-CN"/>
              </w:rPr>
              <w:t>项目产生的废桶暂存于</w:t>
            </w:r>
            <w:r>
              <w:rPr>
                <w:rFonts w:hint="eastAsia" w:ascii="Times New Roman" w:hAnsi="Times New Roman" w:eastAsia="宋体" w:cs="Times New Roman"/>
                <w:color w:val="auto"/>
                <w:spacing w:val="-2"/>
                <w:sz w:val="24"/>
                <w:highlight w:val="none"/>
                <w:lang w:val="en-US" w:eastAsia="zh-CN"/>
              </w:rPr>
              <w:t>厂区内危险废物贮存</w:t>
            </w:r>
            <w:r>
              <w:rPr>
                <w:rFonts w:hint="eastAsia" w:eastAsia="宋体" w:cs="Times New Roman"/>
                <w:color w:val="auto"/>
                <w:spacing w:val="-2"/>
                <w:sz w:val="24"/>
                <w:highlight w:val="none"/>
                <w:lang w:val="en-US" w:eastAsia="zh-CN"/>
              </w:rPr>
              <w:t>点</w:t>
            </w:r>
            <w:r>
              <w:rPr>
                <w:rFonts w:hint="eastAsia" w:ascii="Times New Roman" w:hAnsi="Times New Roman" w:eastAsia="宋体" w:cs="Times New Roman"/>
                <w:color w:val="auto"/>
                <w:spacing w:val="-2"/>
                <w:sz w:val="24"/>
                <w:highlight w:val="none"/>
                <w:lang w:val="en-US" w:eastAsia="zh-CN"/>
              </w:rPr>
              <w:t>内，</w:t>
            </w:r>
            <w:r>
              <w:rPr>
                <w:rFonts w:hint="default" w:ascii="Times New Roman" w:hAnsi="Times New Roman" w:eastAsia="宋体" w:cs="Times New Roman"/>
                <w:color w:val="auto"/>
                <w:spacing w:val="-2"/>
                <w:sz w:val="24"/>
                <w:highlight w:val="none"/>
                <w:lang w:val="en-US" w:eastAsia="zh-CN"/>
              </w:rPr>
              <w:t>定期委托有资质单位处置。</w:t>
            </w:r>
          </w:p>
          <w:p w14:paraId="123E2104">
            <w:pPr>
              <w:adjustRightInd w:val="0"/>
              <w:snapToGrid w:val="0"/>
              <w:ind w:firstLine="480" w:firstLineChars="200"/>
              <w:rPr>
                <w:rFonts w:hint="eastAsia" w:eastAsia="宋体" w:cs="Times New Roman"/>
                <w:color w:val="auto"/>
                <w:kern w:val="0"/>
                <w:sz w:val="24"/>
                <w:szCs w:val="24"/>
                <w:highlight w:val="none"/>
                <w:lang w:val="en-US" w:eastAsia="zh-CN"/>
              </w:rPr>
            </w:pPr>
            <w:r>
              <w:rPr>
                <w:rFonts w:hint="default" w:ascii="Times New Roman" w:hAnsi="Times New Roman" w:eastAsia="宋体" w:cs="Times New Roman"/>
                <w:color w:val="auto"/>
                <w:highlight w:val="none"/>
              </w:rPr>
              <w:t>③废</w:t>
            </w:r>
            <w:r>
              <w:rPr>
                <w:rFonts w:hint="eastAsia" w:eastAsia="宋体" w:cs="Times New Roman"/>
                <w:color w:val="auto"/>
                <w:highlight w:val="none"/>
                <w:lang w:val="en-US" w:eastAsia="zh-CN"/>
              </w:rPr>
              <w:t>含</w:t>
            </w:r>
            <w:r>
              <w:rPr>
                <w:rFonts w:hint="default" w:ascii="Times New Roman" w:hAnsi="Times New Roman" w:eastAsia="宋体" w:cs="Times New Roman"/>
                <w:color w:val="auto"/>
                <w:highlight w:val="none"/>
              </w:rPr>
              <w:t>油手套</w:t>
            </w:r>
            <w:r>
              <w:rPr>
                <w:rFonts w:hint="eastAsia" w:eastAsia="宋体" w:cs="Times New Roman"/>
                <w:color w:val="auto"/>
                <w:highlight w:val="none"/>
                <w:lang w:val="en-US" w:eastAsia="zh-CN"/>
              </w:rPr>
              <w:t>抹布</w:t>
            </w:r>
          </w:p>
          <w:p w14:paraId="08709D85">
            <w:pPr>
              <w:numPr>
                <w:ilvl w:val="0"/>
                <w:numId w:val="0"/>
              </w:numPr>
              <w:adjustRightInd w:val="0"/>
              <w:snapToGrid w:val="0"/>
              <w:ind w:firstLine="480" w:firstLineChars="200"/>
              <w:rPr>
                <w:rFonts w:hint="eastAsia" w:eastAsia="宋体" w:cs="Times New Roman"/>
                <w:color w:val="auto"/>
                <w:kern w:val="0"/>
                <w:sz w:val="24"/>
                <w:szCs w:val="24"/>
                <w:highlight w:val="none"/>
                <w:lang w:val="en-US" w:eastAsia="zh-CN"/>
              </w:rPr>
            </w:pPr>
            <w:r>
              <w:rPr>
                <w:rFonts w:hint="eastAsia" w:eastAsia="宋体" w:cs="Times New Roman"/>
                <w:color w:val="auto"/>
                <w:highlight w:val="none"/>
                <w:lang w:eastAsia="zh-CN"/>
              </w:rPr>
              <w:t>本项目生产过程中</w:t>
            </w:r>
            <w:r>
              <w:rPr>
                <w:rFonts w:hint="eastAsia" w:eastAsia="宋体" w:cs="Times New Roman"/>
                <w:color w:val="auto"/>
                <w:highlight w:val="none"/>
                <w:lang w:val="en-US" w:eastAsia="zh-CN"/>
              </w:rPr>
              <w:t>设备维护保养</w:t>
            </w:r>
            <w:r>
              <w:rPr>
                <w:rFonts w:hint="eastAsia" w:eastAsia="宋体" w:cs="Times New Roman"/>
                <w:color w:val="auto"/>
                <w:highlight w:val="none"/>
                <w:lang w:eastAsia="zh-CN"/>
              </w:rPr>
              <w:t>产生的</w:t>
            </w:r>
            <w:r>
              <w:rPr>
                <w:rFonts w:hint="eastAsia" w:eastAsia="宋体" w:cs="Times New Roman"/>
                <w:color w:val="auto"/>
                <w:highlight w:val="none"/>
                <w:lang w:val="en-US" w:eastAsia="zh-CN"/>
              </w:rPr>
              <w:t>含</w:t>
            </w:r>
            <w:r>
              <w:rPr>
                <w:rFonts w:hint="default" w:ascii="Times New Roman" w:hAnsi="Times New Roman" w:eastAsia="宋体" w:cs="Times New Roman"/>
                <w:color w:val="auto"/>
                <w:highlight w:val="none"/>
              </w:rPr>
              <w:t>油手套</w:t>
            </w:r>
            <w:r>
              <w:rPr>
                <w:rFonts w:hint="eastAsia" w:ascii="Times New Roman" w:hAnsi="Times New Roman" w:eastAsia="宋体" w:cs="Times New Roman"/>
                <w:color w:val="auto"/>
                <w:highlight w:val="none"/>
                <w:lang w:eastAsia="zh-CN"/>
              </w:rPr>
              <w:t>、</w:t>
            </w:r>
            <w:r>
              <w:rPr>
                <w:rFonts w:hint="eastAsia" w:eastAsia="宋体" w:cs="Times New Roman"/>
                <w:color w:val="auto"/>
                <w:highlight w:val="none"/>
                <w:lang w:val="en-US" w:eastAsia="zh-CN"/>
              </w:rPr>
              <w:t>抹布</w:t>
            </w:r>
            <w:r>
              <w:rPr>
                <w:rFonts w:hint="eastAsia" w:eastAsia="宋体" w:cs="Times New Roman"/>
                <w:color w:val="auto"/>
                <w:highlight w:val="none"/>
                <w:lang w:eastAsia="zh-CN"/>
              </w:rPr>
              <w:t>约0.0</w:t>
            </w:r>
            <w:r>
              <w:rPr>
                <w:rFonts w:hint="eastAsia" w:eastAsia="宋体" w:cs="Times New Roman"/>
                <w:color w:val="auto"/>
                <w:highlight w:val="none"/>
                <w:lang w:val="en-US" w:eastAsia="zh-CN"/>
              </w:rPr>
              <w:t>1</w:t>
            </w:r>
            <w:r>
              <w:rPr>
                <w:rFonts w:hint="eastAsia" w:eastAsia="宋体" w:cs="Times New Roman"/>
                <w:color w:val="auto"/>
                <w:highlight w:val="none"/>
                <w:lang w:eastAsia="zh-CN"/>
              </w:rPr>
              <w:t>t/a。</w:t>
            </w:r>
            <w:r>
              <w:rPr>
                <w:rFonts w:hint="default" w:ascii="Times New Roman" w:hAnsi="Times New Roman" w:eastAsia="宋体" w:cs="Times New Roman"/>
                <w:color w:val="auto"/>
                <w:highlight w:val="none"/>
              </w:rPr>
              <w:t>废</w:t>
            </w:r>
            <w:r>
              <w:rPr>
                <w:rFonts w:hint="eastAsia" w:eastAsia="宋体" w:cs="Times New Roman"/>
                <w:color w:val="auto"/>
                <w:highlight w:val="none"/>
                <w:lang w:val="en-US" w:eastAsia="zh-CN"/>
              </w:rPr>
              <w:t>含</w:t>
            </w:r>
            <w:r>
              <w:rPr>
                <w:rFonts w:hint="default" w:ascii="Times New Roman" w:hAnsi="Times New Roman" w:eastAsia="宋体" w:cs="Times New Roman"/>
                <w:color w:val="auto"/>
                <w:highlight w:val="none"/>
              </w:rPr>
              <w:t>油手套</w:t>
            </w:r>
            <w:r>
              <w:rPr>
                <w:rFonts w:hint="eastAsia" w:ascii="Times New Roman" w:hAnsi="Times New Roman" w:eastAsia="宋体" w:cs="Times New Roman"/>
                <w:color w:val="auto"/>
                <w:highlight w:val="none"/>
                <w:lang w:eastAsia="zh-CN"/>
              </w:rPr>
              <w:t>、</w:t>
            </w:r>
            <w:r>
              <w:rPr>
                <w:rFonts w:hint="eastAsia" w:eastAsia="宋体" w:cs="Times New Roman"/>
                <w:color w:val="auto"/>
                <w:highlight w:val="none"/>
                <w:lang w:val="en-US" w:eastAsia="zh-CN"/>
              </w:rPr>
              <w:t>抹布</w:t>
            </w:r>
            <w:r>
              <w:rPr>
                <w:rFonts w:hint="eastAsia" w:eastAsia="宋体" w:cs="Times New Roman"/>
                <w:color w:val="auto"/>
                <w:highlight w:val="none"/>
                <w:lang w:eastAsia="zh-CN"/>
              </w:rPr>
              <w:t>属于《国家危险废物名录》（202</w:t>
            </w:r>
            <w:r>
              <w:rPr>
                <w:rFonts w:hint="eastAsia" w:eastAsia="宋体" w:cs="Times New Roman"/>
                <w:color w:val="auto"/>
                <w:highlight w:val="none"/>
                <w:lang w:val="en-US" w:eastAsia="zh-CN"/>
              </w:rPr>
              <w:t>5</w:t>
            </w:r>
            <w:r>
              <w:rPr>
                <w:rFonts w:hint="eastAsia" w:eastAsia="宋体" w:cs="Times New Roman"/>
                <w:color w:val="auto"/>
                <w:highlight w:val="none"/>
                <w:lang w:eastAsia="zh-CN"/>
              </w:rPr>
              <w:t>年版）规定的“HW49”</w:t>
            </w:r>
            <w:r>
              <w:rPr>
                <w:rFonts w:hint="eastAsia" w:eastAsia="宋体" w:cs="Times New Roman"/>
                <w:color w:val="auto"/>
                <w:highlight w:val="none"/>
                <w:lang w:val="en-US" w:eastAsia="zh-CN"/>
              </w:rPr>
              <w:t>中的</w:t>
            </w:r>
            <w:r>
              <w:rPr>
                <w:rFonts w:hint="eastAsia" w:eastAsia="宋体" w:cs="Times New Roman"/>
                <w:color w:val="auto"/>
                <w:highlight w:val="none"/>
                <w:lang w:eastAsia="zh-CN"/>
              </w:rPr>
              <w:t>900-041-49，收集后</w:t>
            </w:r>
            <w:r>
              <w:rPr>
                <w:rFonts w:hint="eastAsia" w:eastAsia="宋体" w:cs="Times New Roman"/>
                <w:color w:val="auto"/>
                <w:highlight w:val="none"/>
                <w:lang w:val="en-US" w:eastAsia="zh-CN"/>
              </w:rPr>
              <w:t>暂存于危险废物贮存点内，定期</w:t>
            </w:r>
            <w:r>
              <w:rPr>
                <w:rFonts w:hint="eastAsia" w:eastAsia="宋体" w:cs="Times New Roman"/>
                <w:color w:val="auto"/>
                <w:highlight w:val="none"/>
                <w:lang w:eastAsia="zh-CN"/>
              </w:rPr>
              <w:t>交由有危废资质单位</w:t>
            </w:r>
            <w:r>
              <w:rPr>
                <w:rFonts w:hint="eastAsia" w:eastAsia="宋体" w:cs="Times New Roman"/>
                <w:color w:val="auto"/>
                <w:highlight w:val="none"/>
                <w:lang w:val="en-US" w:eastAsia="zh-CN"/>
              </w:rPr>
              <w:t>外运</w:t>
            </w:r>
            <w:r>
              <w:rPr>
                <w:rFonts w:hint="eastAsia" w:eastAsia="宋体" w:cs="Times New Roman"/>
                <w:color w:val="auto"/>
                <w:highlight w:val="none"/>
                <w:lang w:eastAsia="zh-CN"/>
              </w:rPr>
              <w:t>处置。</w:t>
            </w:r>
          </w:p>
          <w:p w14:paraId="2657A58D">
            <w:pPr>
              <w:spacing w:line="348" w:lineRule="auto"/>
              <w:ind w:firstLine="480" w:firstLineChars="200"/>
              <w:jc w:val="left"/>
              <w:rPr>
                <w:rFonts w:hint="eastAsia" w:eastAsia="宋体" w:cs="Times New Roman"/>
                <w:b w:val="0"/>
                <w:bCs w:val="0"/>
                <w:color w:val="auto"/>
                <w:highlight w:val="none"/>
                <w:lang w:val="en-US" w:eastAsia="zh-CN"/>
              </w:rPr>
            </w:pPr>
            <w:r>
              <w:rPr>
                <w:rFonts w:hint="eastAsia"/>
                <w:color w:val="auto"/>
                <w:highlight w:val="none"/>
                <w:lang w:val="en-US" w:eastAsia="zh-CN"/>
              </w:rPr>
              <w:t xml:space="preserve"> </w:t>
            </w:r>
            <w:r>
              <w:rPr>
                <w:rFonts w:hint="eastAsia" w:eastAsia="宋体" w:cs="Times New Roman"/>
                <w:b w:val="0"/>
                <w:bCs w:val="0"/>
                <w:color w:val="auto"/>
                <w:highlight w:val="none"/>
                <w:lang w:val="en-US" w:eastAsia="zh-CN"/>
              </w:rPr>
              <w:t>3、生活垃圾</w:t>
            </w:r>
          </w:p>
          <w:p w14:paraId="334D7A79">
            <w:pPr>
              <w:numPr>
                <w:ilvl w:val="0"/>
                <w:numId w:val="0"/>
              </w:numPr>
              <w:adjustRightInd w:val="0"/>
              <w:snapToGrid w:val="0"/>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项目劳动定员</w:t>
            </w:r>
            <w:r>
              <w:rPr>
                <w:rFonts w:hint="eastAsia" w:eastAsia="宋体" w:cs="Times New Roman"/>
                <w:color w:val="auto"/>
                <w:highlight w:val="none"/>
                <w:lang w:val="en-US" w:eastAsia="zh-CN"/>
              </w:rPr>
              <w:t>50</w:t>
            </w:r>
            <w:r>
              <w:rPr>
                <w:rFonts w:hint="default" w:ascii="Times New Roman" w:hAnsi="Times New Roman" w:eastAsia="宋体" w:cs="Times New Roman"/>
                <w:color w:val="auto"/>
                <w:highlight w:val="none"/>
                <w:lang w:eastAsia="zh-CN"/>
              </w:rPr>
              <w:t>人，年工作日</w:t>
            </w:r>
            <w:r>
              <w:rPr>
                <w:rFonts w:hint="eastAsia" w:eastAsia="宋体" w:cs="Times New Roman"/>
                <w:color w:val="auto"/>
                <w:highlight w:val="none"/>
                <w:lang w:val="en-US" w:eastAsia="zh-CN"/>
              </w:rPr>
              <w:t>30</w:t>
            </w:r>
            <w:r>
              <w:rPr>
                <w:rFonts w:hint="eastAsia" w:ascii="Times New Roman" w:hAnsi="Times New Roman" w:eastAsia="宋体" w:cs="Times New Roman"/>
                <w:color w:val="auto"/>
                <w:highlight w:val="none"/>
                <w:lang w:val="en-US" w:eastAsia="zh-CN"/>
              </w:rPr>
              <w:t>0</w:t>
            </w:r>
            <w:r>
              <w:rPr>
                <w:rFonts w:hint="default" w:ascii="Times New Roman" w:hAnsi="Times New Roman" w:eastAsia="宋体" w:cs="Times New Roman"/>
                <w:color w:val="auto"/>
                <w:highlight w:val="none"/>
                <w:lang w:eastAsia="zh-CN"/>
              </w:rPr>
              <w:t>天，参考《第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lang w:eastAsia="zh-CN"/>
              </w:rPr>
              <w:t>次全国污染源普查城镇生活源产排污系数手册》，生活垃圾产生量按0.5kg/d·人计，项目生活垃圾产生量为</w:t>
            </w:r>
            <w:r>
              <w:rPr>
                <w:rFonts w:hint="eastAsia" w:eastAsia="宋体" w:cs="Times New Roman"/>
                <w:color w:val="auto"/>
                <w:highlight w:val="none"/>
                <w:lang w:val="en-US" w:eastAsia="zh-CN"/>
              </w:rPr>
              <w:t>7.5</w:t>
            </w:r>
            <w:r>
              <w:rPr>
                <w:rFonts w:hint="default" w:ascii="Times New Roman" w:hAnsi="Times New Roman" w:eastAsia="宋体" w:cs="Times New Roman"/>
                <w:color w:val="auto"/>
                <w:highlight w:val="none"/>
                <w:lang w:eastAsia="zh-CN"/>
              </w:rPr>
              <w:t>t/a。</w:t>
            </w:r>
            <w:r>
              <w:rPr>
                <w:rFonts w:hint="eastAsia" w:ascii="Times New Roman" w:hAnsi="Times New Roman" w:eastAsia="宋体" w:cs="Times New Roman"/>
                <w:color w:val="auto"/>
                <w:highlight w:val="none"/>
                <w:lang w:eastAsia="zh-CN"/>
              </w:rPr>
              <w:t>生活垃圾分类收集后交由环卫部门清运处置</w:t>
            </w:r>
            <w:r>
              <w:rPr>
                <w:rFonts w:hint="eastAsia" w:ascii="Times New Roman" w:hAnsi="Times New Roman" w:eastAsia="宋体" w:cs="Times New Roman"/>
                <w:color w:val="auto"/>
                <w:highlight w:val="none"/>
                <w:lang w:val="en-US" w:eastAsia="zh-CN"/>
              </w:rPr>
              <w:t>。</w:t>
            </w:r>
          </w:p>
          <w:p w14:paraId="279DC3A3">
            <w:pPr>
              <w:numPr>
                <w:ilvl w:val="0"/>
                <w:numId w:val="0"/>
              </w:numPr>
              <w:adjustRightInd w:val="0"/>
              <w:snapToGrid w:val="0"/>
              <w:ind w:firstLine="480" w:firstLineChars="200"/>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rPr>
              <w:t>本项目固体废物产生情况详见下表。</w:t>
            </w:r>
            <w:r>
              <w:rPr>
                <w:rFonts w:hint="default" w:ascii="Times New Roman" w:hAnsi="Times New Roman" w:eastAsia="宋体" w:cs="Times New Roman"/>
                <w:bCs/>
                <w:color w:val="auto"/>
                <w:highlight w:val="none"/>
                <w:lang w:val="en-US" w:eastAsia="zh-CN"/>
              </w:rPr>
              <w:t xml:space="preserve">                                                                                                                                                                                                                                                                                                                                                                                                                                                                                                                                                                                  </w:t>
            </w:r>
          </w:p>
          <w:p w14:paraId="7F795584">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表4-</w:t>
            </w:r>
            <w:r>
              <w:rPr>
                <w:rFonts w:hint="eastAsia" w:eastAsia="宋体" w:cs="Times New Roman"/>
                <w:b/>
                <w:color w:val="auto"/>
                <w:sz w:val="21"/>
                <w:szCs w:val="21"/>
                <w:highlight w:val="none"/>
                <w:lang w:val="en-US" w:eastAsia="zh-CN"/>
              </w:rPr>
              <w:t xml:space="preserve">8 </w:t>
            </w:r>
            <w:r>
              <w:rPr>
                <w:rFonts w:hint="default" w:ascii="Times New Roman" w:hAnsi="Times New Roman" w:eastAsia="宋体" w:cs="Times New Roman"/>
                <w:b/>
                <w:color w:val="auto"/>
                <w:sz w:val="21"/>
                <w:szCs w:val="21"/>
                <w:highlight w:val="none"/>
              </w:rPr>
              <w:t>项目运营期固体废物产生情况一览表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355"/>
              <w:gridCol w:w="1355"/>
              <w:gridCol w:w="713"/>
              <w:gridCol w:w="1398"/>
              <w:gridCol w:w="713"/>
              <w:gridCol w:w="941"/>
              <w:gridCol w:w="942"/>
              <w:gridCol w:w="1609"/>
            </w:tblGrid>
            <w:tr w14:paraId="07D6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4CDDFA67">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序号</w:t>
                  </w:r>
                </w:p>
              </w:tc>
              <w:tc>
                <w:tcPr>
                  <w:tcW w:w="701" w:type="pct"/>
                  <w:shd w:val="clear" w:color="auto" w:fill="auto"/>
                  <w:vAlign w:val="center"/>
                </w:tcPr>
                <w:p w14:paraId="6806A7F7">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固体废物</w:t>
                  </w:r>
                </w:p>
                <w:p w14:paraId="2A5B1C36">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名称</w:t>
                  </w:r>
                </w:p>
              </w:tc>
              <w:tc>
                <w:tcPr>
                  <w:tcW w:w="701" w:type="pct"/>
                  <w:shd w:val="clear" w:color="auto" w:fill="auto"/>
                  <w:vAlign w:val="center"/>
                </w:tcPr>
                <w:p w14:paraId="6E7F19A1">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产生环节</w:t>
                  </w:r>
                </w:p>
              </w:tc>
              <w:tc>
                <w:tcPr>
                  <w:tcW w:w="369" w:type="pct"/>
                  <w:shd w:val="clear" w:color="auto" w:fill="auto"/>
                  <w:vAlign w:val="center"/>
                </w:tcPr>
                <w:p w14:paraId="33072AAD">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固废</w:t>
                  </w:r>
                </w:p>
                <w:p w14:paraId="532D1C24">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属性</w:t>
                  </w:r>
                </w:p>
              </w:tc>
              <w:tc>
                <w:tcPr>
                  <w:tcW w:w="723" w:type="pct"/>
                  <w:shd w:val="clear" w:color="auto" w:fill="auto"/>
                  <w:vAlign w:val="center"/>
                </w:tcPr>
                <w:p w14:paraId="36F1467C">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废物类别</w:t>
                  </w:r>
                </w:p>
                <w:p w14:paraId="2B10D238">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及代码</w:t>
                  </w:r>
                </w:p>
              </w:tc>
              <w:tc>
                <w:tcPr>
                  <w:tcW w:w="369" w:type="pct"/>
                  <w:shd w:val="clear" w:color="auto" w:fill="auto"/>
                  <w:vAlign w:val="center"/>
                </w:tcPr>
                <w:p w14:paraId="277C4162">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危险</w:t>
                  </w:r>
                </w:p>
                <w:p w14:paraId="0088A0BD">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特性</w:t>
                  </w:r>
                </w:p>
              </w:tc>
              <w:tc>
                <w:tcPr>
                  <w:tcW w:w="487" w:type="pct"/>
                  <w:shd w:val="clear" w:color="auto" w:fill="auto"/>
                  <w:vAlign w:val="center"/>
                </w:tcPr>
                <w:p w14:paraId="7FAC1AF1">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物理</w:t>
                  </w:r>
                </w:p>
                <w:p w14:paraId="5CB96841">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性状</w:t>
                  </w:r>
                </w:p>
              </w:tc>
              <w:tc>
                <w:tcPr>
                  <w:tcW w:w="487" w:type="pct"/>
                  <w:shd w:val="clear" w:color="auto" w:fill="auto"/>
                  <w:vAlign w:val="center"/>
                </w:tcPr>
                <w:p w14:paraId="1F2BBA3D">
                  <w:pPr>
                    <w:adjustRightInd w:val="0"/>
                    <w:snapToGrid w:val="0"/>
                    <w:spacing w:line="240" w:lineRule="auto"/>
                    <w:jc w:val="center"/>
                    <w:rPr>
                      <w:rFonts w:hint="eastAsia" w:ascii="Times New Roman" w:hAnsi="Times New Roman" w:eastAsia="宋体" w:cs="Times New Roman"/>
                      <w:b/>
                      <w:bCs/>
                      <w:color w:val="auto"/>
                      <w:spacing w:val="-1"/>
                      <w:kern w:val="0"/>
                      <w:sz w:val="21"/>
                      <w:szCs w:val="21"/>
                      <w:highlight w:val="none"/>
                      <w:lang w:val="en-US" w:eastAsia="zh-CN"/>
                    </w:rPr>
                  </w:pPr>
                  <w:r>
                    <w:rPr>
                      <w:rFonts w:hint="default" w:ascii="Times New Roman" w:hAnsi="Times New Roman" w:eastAsia="宋体" w:cs="Times New Roman"/>
                      <w:b/>
                      <w:bCs/>
                      <w:color w:val="auto"/>
                      <w:spacing w:val="-1"/>
                      <w:kern w:val="0"/>
                      <w:sz w:val="21"/>
                      <w:szCs w:val="21"/>
                      <w:highlight w:val="none"/>
                    </w:rPr>
                    <w:t>产生量</w:t>
                  </w:r>
                  <w:r>
                    <w:rPr>
                      <w:rFonts w:hint="eastAsia" w:eastAsia="宋体" w:cs="Times New Roman"/>
                      <w:b/>
                      <w:bCs/>
                      <w:color w:val="auto"/>
                      <w:spacing w:val="-1"/>
                      <w:kern w:val="0"/>
                      <w:sz w:val="21"/>
                      <w:szCs w:val="21"/>
                      <w:highlight w:val="none"/>
                      <w:lang w:val="en-US" w:eastAsia="zh-CN"/>
                    </w:rPr>
                    <w:t>t/a</w:t>
                  </w:r>
                </w:p>
              </w:tc>
              <w:tc>
                <w:tcPr>
                  <w:tcW w:w="832" w:type="pct"/>
                  <w:shd w:val="clear" w:color="auto" w:fill="auto"/>
                  <w:vAlign w:val="center"/>
                </w:tcPr>
                <w:p w14:paraId="5BB20D6F">
                  <w:pPr>
                    <w:adjustRightInd w:val="0"/>
                    <w:snapToGrid w:val="0"/>
                    <w:spacing w:line="240" w:lineRule="auto"/>
                    <w:jc w:val="center"/>
                    <w:rPr>
                      <w:rFonts w:hint="default" w:ascii="Times New Roman" w:hAnsi="Times New Roman" w:eastAsia="宋体" w:cs="Times New Roman"/>
                      <w:b/>
                      <w:bCs/>
                      <w:color w:val="auto"/>
                      <w:spacing w:val="-1"/>
                      <w:kern w:val="0"/>
                      <w:sz w:val="21"/>
                      <w:szCs w:val="21"/>
                      <w:highlight w:val="none"/>
                    </w:rPr>
                  </w:pPr>
                  <w:r>
                    <w:rPr>
                      <w:rFonts w:hint="default" w:ascii="Times New Roman" w:hAnsi="Times New Roman" w:eastAsia="宋体" w:cs="Times New Roman"/>
                      <w:b/>
                      <w:bCs/>
                      <w:color w:val="auto"/>
                      <w:spacing w:val="-1"/>
                      <w:kern w:val="0"/>
                      <w:sz w:val="21"/>
                      <w:szCs w:val="21"/>
                      <w:highlight w:val="none"/>
                    </w:rPr>
                    <w:t>处置措施</w:t>
                  </w:r>
                </w:p>
              </w:tc>
            </w:tr>
            <w:tr w14:paraId="7B74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27221E5B">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1</w:t>
                  </w:r>
                </w:p>
              </w:tc>
              <w:tc>
                <w:tcPr>
                  <w:tcW w:w="701" w:type="pct"/>
                  <w:shd w:val="clear" w:color="auto" w:fill="auto"/>
                  <w:vAlign w:val="center"/>
                </w:tcPr>
                <w:p w14:paraId="00902938">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lang w:val="en-US" w:eastAsia="zh-CN"/>
                    </w:rPr>
                    <w:t>生活垃圾</w:t>
                  </w:r>
                </w:p>
              </w:tc>
              <w:tc>
                <w:tcPr>
                  <w:tcW w:w="701" w:type="pct"/>
                  <w:shd w:val="clear" w:color="auto" w:fill="auto"/>
                  <w:vAlign w:val="center"/>
                </w:tcPr>
                <w:p w14:paraId="48CF0FF6">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办公生活</w:t>
                  </w:r>
                </w:p>
              </w:tc>
              <w:tc>
                <w:tcPr>
                  <w:tcW w:w="369" w:type="pct"/>
                  <w:shd w:val="clear" w:color="auto" w:fill="auto"/>
                  <w:vAlign w:val="center"/>
                </w:tcPr>
                <w:p w14:paraId="02206DB9">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b w:val="0"/>
                      <w:bCs w:val="0"/>
                      <w:color w:val="auto"/>
                      <w:spacing w:val="-1"/>
                      <w:kern w:val="0"/>
                      <w:sz w:val="21"/>
                      <w:szCs w:val="21"/>
                      <w:highlight w:val="none"/>
                      <w:lang w:val="en-US" w:eastAsia="zh-CN" w:bidi="ar-SA"/>
                    </w:rPr>
                    <w:t>/</w:t>
                  </w:r>
                </w:p>
              </w:tc>
              <w:tc>
                <w:tcPr>
                  <w:tcW w:w="723" w:type="pct"/>
                  <w:shd w:val="clear" w:color="auto" w:fill="auto"/>
                  <w:vAlign w:val="center"/>
                </w:tcPr>
                <w:p w14:paraId="412D7FA3">
                  <w:pPr>
                    <w:pStyle w:val="44"/>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lang w:val="en-US"/>
                    </w:rPr>
                  </w:pPr>
                  <w:r>
                    <w:rPr>
                      <w:rFonts w:hint="default" w:ascii="Times New Roman" w:hAnsi="Times New Roman" w:eastAsia="宋体" w:cs="Times New Roman"/>
                      <w:color w:val="auto"/>
                      <w:spacing w:val="-1"/>
                      <w:sz w:val="21"/>
                      <w:szCs w:val="21"/>
                      <w:highlight w:val="none"/>
                      <w:lang w:val="en-US" w:eastAsia="zh-CN"/>
                    </w:rPr>
                    <w:t>/</w:t>
                  </w:r>
                </w:p>
              </w:tc>
              <w:tc>
                <w:tcPr>
                  <w:tcW w:w="369" w:type="pct"/>
                  <w:shd w:val="clear" w:color="auto" w:fill="auto"/>
                  <w:vAlign w:val="center"/>
                </w:tcPr>
                <w:p w14:paraId="51E665E7">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63632CC5">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3935DEBC">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7.5</w:t>
                  </w:r>
                </w:p>
              </w:tc>
              <w:tc>
                <w:tcPr>
                  <w:tcW w:w="832" w:type="pct"/>
                  <w:shd w:val="clear" w:color="auto" w:fill="auto"/>
                  <w:vAlign w:val="center"/>
                </w:tcPr>
                <w:p w14:paraId="7EAD33D8">
                  <w:pPr>
                    <w:pStyle w:val="44"/>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240" w:lineRule="auto"/>
                    <w:ind w:left="0" w:leftChars="0" w:right="0" w:rightChars="0" w:firstLine="0" w:firstLineChars="0"/>
                    <w:contextualSpacing/>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eastAsia="zh-CN"/>
                    </w:rPr>
                    <w:t>分类</w:t>
                  </w:r>
                  <w:r>
                    <w:rPr>
                      <w:rFonts w:hint="default" w:ascii="Times New Roman" w:hAnsi="Times New Roman" w:eastAsia="宋体" w:cs="Times New Roman"/>
                      <w:color w:val="auto"/>
                      <w:spacing w:val="-1"/>
                      <w:sz w:val="21"/>
                      <w:szCs w:val="21"/>
                      <w:highlight w:val="none"/>
                    </w:rPr>
                    <w:t>收集</w:t>
                  </w:r>
                  <w:r>
                    <w:rPr>
                      <w:rFonts w:hint="default" w:ascii="Times New Roman" w:hAnsi="Times New Roman" w:eastAsia="宋体" w:cs="Times New Roman"/>
                      <w:color w:val="auto"/>
                      <w:spacing w:val="-1"/>
                      <w:sz w:val="21"/>
                      <w:szCs w:val="21"/>
                      <w:highlight w:val="none"/>
                      <w:lang w:eastAsia="zh-CN"/>
                    </w:rPr>
                    <w:t>，</w:t>
                  </w:r>
                  <w:r>
                    <w:rPr>
                      <w:rFonts w:hint="default" w:ascii="Times New Roman" w:hAnsi="Times New Roman" w:eastAsia="宋体" w:cs="Times New Roman"/>
                      <w:color w:val="auto"/>
                      <w:spacing w:val="-1"/>
                      <w:sz w:val="21"/>
                      <w:szCs w:val="21"/>
                      <w:highlight w:val="none"/>
                    </w:rPr>
                    <w:t>环卫部门外运处置</w:t>
                  </w:r>
                </w:p>
              </w:tc>
            </w:tr>
            <w:tr w14:paraId="3BC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vMerge w:val="restart"/>
                  <w:shd w:val="clear" w:color="auto" w:fill="auto"/>
                  <w:vAlign w:val="center"/>
                </w:tcPr>
                <w:p w14:paraId="73B54576">
                  <w:pPr>
                    <w:pStyle w:val="44"/>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2</w:t>
                  </w:r>
                </w:p>
              </w:tc>
              <w:tc>
                <w:tcPr>
                  <w:tcW w:w="701" w:type="pct"/>
                  <w:vMerge w:val="restart"/>
                  <w:shd w:val="clear" w:color="auto" w:fill="auto"/>
                  <w:vAlign w:val="center"/>
                </w:tcPr>
                <w:p w14:paraId="11376F3B">
                  <w:pPr>
                    <w:adjustRightInd w:val="0"/>
                    <w:snapToGrid w:val="0"/>
                    <w:spacing w:line="240" w:lineRule="auto"/>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除尘装置收集的粉尘</w:t>
                  </w:r>
                </w:p>
              </w:tc>
              <w:tc>
                <w:tcPr>
                  <w:tcW w:w="701" w:type="pct"/>
                  <w:shd w:val="clear" w:color="auto" w:fill="auto"/>
                  <w:vAlign w:val="center"/>
                </w:tcPr>
                <w:p w14:paraId="45003D5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r>
                    <w:rPr>
                      <w:rFonts w:hint="eastAsia" w:ascii="Times New Roman" w:hAnsi="Times New Roman" w:eastAsia="宋体" w:cs="Times New Roman"/>
                      <w:color w:val="auto"/>
                      <w:spacing w:val="-1"/>
                      <w:sz w:val="21"/>
                      <w:szCs w:val="21"/>
                      <w:highlight w:val="none"/>
                      <w:lang w:val="en-US" w:eastAsia="zh-CN"/>
                    </w:rPr>
                    <w:t>破碎、筛分工序除尘器收尘</w:t>
                  </w:r>
                </w:p>
              </w:tc>
              <w:tc>
                <w:tcPr>
                  <w:tcW w:w="369" w:type="pct"/>
                  <w:vMerge w:val="restart"/>
                  <w:shd w:val="clear" w:color="auto" w:fill="auto"/>
                  <w:vAlign w:val="center"/>
                </w:tcPr>
                <w:p w14:paraId="54A96A6F">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一般固废</w:t>
                  </w:r>
                </w:p>
              </w:tc>
              <w:tc>
                <w:tcPr>
                  <w:tcW w:w="723" w:type="pct"/>
                  <w:shd w:val="clear" w:color="auto" w:fill="auto"/>
                  <w:vAlign w:val="center"/>
                </w:tcPr>
                <w:p w14:paraId="24093EF5">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SW59</w:t>
                  </w:r>
                </w:p>
                <w:p w14:paraId="4CBC3DC6">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kern w:val="2"/>
                      <w:sz w:val="21"/>
                      <w:szCs w:val="21"/>
                      <w:highlight w:val="none"/>
                      <w:lang w:val="en-US" w:eastAsia="zh-CN" w:bidi="ar"/>
                    </w:rPr>
                    <w:t>900-099-S59</w:t>
                  </w:r>
                </w:p>
              </w:tc>
              <w:tc>
                <w:tcPr>
                  <w:tcW w:w="369" w:type="pct"/>
                  <w:shd w:val="clear" w:color="auto" w:fill="auto"/>
                  <w:vAlign w:val="center"/>
                </w:tcPr>
                <w:p w14:paraId="6D4A662A">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21661F2E">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0A630BD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332.001</w:t>
                  </w:r>
                </w:p>
              </w:tc>
              <w:tc>
                <w:tcPr>
                  <w:tcW w:w="832" w:type="pct"/>
                  <w:vMerge w:val="restart"/>
                  <w:shd w:val="clear" w:color="auto" w:fill="auto"/>
                  <w:vAlign w:val="center"/>
                </w:tcPr>
                <w:p w14:paraId="114F47D7">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定期清出</w:t>
                  </w:r>
                  <w:r>
                    <w:rPr>
                      <w:rFonts w:hint="eastAsia" w:ascii="Times New Roman" w:hAnsi="Times New Roman" w:eastAsia="宋体" w:cs="Times New Roman"/>
                      <w:color w:val="auto"/>
                      <w:spacing w:val="-1"/>
                      <w:sz w:val="21"/>
                      <w:szCs w:val="21"/>
                      <w:highlight w:val="none"/>
                      <w:lang w:val="en-US" w:eastAsia="zh-CN"/>
                    </w:rPr>
                    <w:t>回用</w:t>
                  </w:r>
                </w:p>
              </w:tc>
            </w:tr>
            <w:tr w14:paraId="2D70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vMerge w:val="continue"/>
                  <w:shd w:val="clear" w:color="auto" w:fill="auto"/>
                  <w:vAlign w:val="center"/>
                </w:tcPr>
                <w:p w14:paraId="2D09A86A">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01" w:type="pct"/>
                  <w:vMerge w:val="continue"/>
                  <w:shd w:val="clear" w:color="auto" w:fill="auto"/>
                  <w:vAlign w:val="center"/>
                </w:tcPr>
                <w:p w14:paraId="05F33E3F">
                  <w:pPr>
                    <w:adjustRightInd w:val="0"/>
                    <w:snapToGrid w:val="0"/>
                    <w:spacing w:line="240" w:lineRule="auto"/>
                    <w:jc w:val="center"/>
                    <w:rPr>
                      <w:rFonts w:hint="default" w:ascii="Times New Roman" w:hAnsi="Times New Roman" w:eastAsia="宋体" w:cs="Times New Roman"/>
                      <w:color w:val="auto"/>
                      <w:spacing w:val="-1"/>
                      <w:sz w:val="21"/>
                      <w:szCs w:val="21"/>
                      <w:highlight w:val="none"/>
                      <w:lang w:val="en-US" w:eastAsia="zh-CN"/>
                    </w:rPr>
                  </w:pPr>
                </w:p>
              </w:tc>
              <w:tc>
                <w:tcPr>
                  <w:tcW w:w="701" w:type="pct"/>
                  <w:shd w:val="clear" w:color="auto" w:fill="auto"/>
                  <w:vAlign w:val="center"/>
                </w:tcPr>
                <w:p w14:paraId="4598F75F">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仓顶除尘器收尘</w:t>
                  </w:r>
                </w:p>
              </w:tc>
              <w:tc>
                <w:tcPr>
                  <w:tcW w:w="369" w:type="pct"/>
                  <w:vMerge w:val="continue"/>
                  <w:shd w:val="clear" w:color="auto" w:fill="auto"/>
                  <w:vAlign w:val="center"/>
                </w:tcPr>
                <w:p w14:paraId="0BC541B3">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23" w:type="pct"/>
                  <w:shd w:val="clear" w:color="auto" w:fill="auto"/>
                  <w:vAlign w:val="center"/>
                </w:tcPr>
                <w:p w14:paraId="666C040C">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SW59</w:t>
                  </w:r>
                </w:p>
                <w:p w14:paraId="7C2CFF60">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900-099-S59</w:t>
                  </w:r>
                </w:p>
              </w:tc>
              <w:tc>
                <w:tcPr>
                  <w:tcW w:w="369" w:type="pct"/>
                  <w:shd w:val="clear" w:color="auto" w:fill="auto"/>
                  <w:vAlign w:val="center"/>
                </w:tcPr>
                <w:p w14:paraId="0E4D0564">
                  <w:pPr>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5323F8AF">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77F778F6">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1.426</w:t>
                  </w:r>
                </w:p>
              </w:tc>
              <w:tc>
                <w:tcPr>
                  <w:tcW w:w="832" w:type="pct"/>
                  <w:vMerge w:val="continue"/>
                  <w:shd w:val="clear" w:color="auto" w:fill="auto"/>
                  <w:vAlign w:val="center"/>
                </w:tcPr>
                <w:p w14:paraId="619E1B05">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p>
              </w:tc>
            </w:tr>
            <w:tr w14:paraId="474F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vMerge w:val="continue"/>
                  <w:shd w:val="clear" w:color="auto" w:fill="auto"/>
                  <w:vAlign w:val="center"/>
                </w:tcPr>
                <w:p w14:paraId="56EACC42">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01" w:type="pct"/>
                  <w:vMerge w:val="continue"/>
                  <w:shd w:val="clear" w:color="auto" w:fill="auto"/>
                  <w:vAlign w:val="center"/>
                </w:tcPr>
                <w:p w14:paraId="103D0E1B">
                  <w:pPr>
                    <w:adjustRightInd w:val="0"/>
                    <w:snapToGrid w:val="0"/>
                    <w:spacing w:line="240" w:lineRule="auto"/>
                    <w:jc w:val="center"/>
                    <w:rPr>
                      <w:rFonts w:hint="default" w:ascii="Times New Roman" w:hAnsi="Times New Roman" w:eastAsia="宋体" w:cs="Times New Roman"/>
                      <w:color w:val="auto"/>
                      <w:spacing w:val="-1"/>
                      <w:sz w:val="21"/>
                      <w:szCs w:val="21"/>
                      <w:highlight w:val="none"/>
                      <w:lang w:val="en-US" w:eastAsia="zh-CN"/>
                    </w:rPr>
                  </w:pPr>
                </w:p>
              </w:tc>
              <w:tc>
                <w:tcPr>
                  <w:tcW w:w="701" w:type="pct"/>
                  <w:shd w:val="clear" w:color="auto" w:fill="auto"/>
                  <w:vAlign w:val="center"/>
                </w:tcPr>
                <w:p w14:paraId="160347C9">
                  <w:pPr>
                    <w:pStyle w:val="44"/>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搅拌工序除尘器收尘</w:t>
                  </w:r>
                </w:p>
              </w:tc>
              <w:tc>
                <w:tcPr>
                  <w:tcW w:w="369" w:type="pct"/>
                  <w:vMerge w:val="continue"/>
                  <w:shd w:val="clear" w:color="auto" w:fill="auto"/>
                  <w:vAlign w:val="center"/>
                </w:tcPr>
                <w:p w14:paraId="78AD62E5">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23" w:type="pct"/>
                  <w:shd w:val="clear" w:color="auto" w:fill="auto"/>
                  <w:vAlign w:val="center"/>
                </w:tcPr>
                <w:p w14:paraId="1038A827">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SW59</w:t>
                  </w:r>
                </w:p>
                <w:p w14:paraId="64215AA1">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900-099-S59</w:t>
                  </w:r>
                </w:p>
              </w:tc>
              <w:tc>
                <w:tcPr>
                  <w:tcW w:w="369" w:type="pct"/>
                  <w:shd w:val="clear" w:color="auto" w:fill="auto"/>
                  <w:vAlign w:val="center"/>
                </w:tcPr>
                <w:p w14:paraId="73411E36">
                  <w:pPr>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28789293">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4C2744A2">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140.79</w:t>
                  </w:r>
                </w:p>
              </w:tc>
              <w:tc>
                <w:tcPr>
                  <w:tcW w:w="832" w:type="pct"/>
                  <w:vMerge w:val="continue"/>
                  <w:shd w:val="clear" w:color="auto" w:fill="auto"/>
                  <w:vAlign w:val="center"/>
                </w:tcPr>
                <w:p w14:paraId="42B5EB45">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p>
              </w:tc>
            </w:tr>
            <w:tr w14:paraId="6CF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1699DAC1">
                  <w:pPr>
                    <w:pStyle w:val="44"/>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3</w:t>
                  </w:r>
                </w:p>
              </w:tc>
              <w:tc>
                <w:tcPr>
                  <w:tcW w:w="701" w:type="pct"/>
                  <w:shd w:val="clear" w:color="auto" w:fill="auto"/>
                  <w:vAlign w:val="center"/>
                </w:tcPr>
                <w:p w14:paraId="559D9CEB">
                  <w:pPr>
                    <w:adjustRightInd w:val="0"/>
                    <w:snapToGrid w:val="0"/>
                    <w:spacing w:line="240" w:lineRule="auto"/>
                    <w:jc w:val="center"/>
                    <w:rPr>
                      <w:rFonts w:hint="default" w:ascii="Times New Roman" w:hAnsi="Times New Roman" w:eastAsia="宋体" w:cs="Times New Roman"/>
                      <w:color w:val="auto"/>
                      <w:spacing w:val="-1"/>
                      <w:sz w:val="21"/>
                      <w:szCs w:val="21"/>
                      <w:highlight w:val="none"/>
                      <w:lang w:val="en-US" w:eastAsia="zh-CN"/>
                    </w:rPr>
                  </w:pPr>
                  <w:r>
                    <w:rPr>
                      <w:rFonts w:hint="eastAsia" w:eastAsia="宋体" w:cs="Times New Roman"/>
                      <w:color w:val="auto"/>
                      <w:spacing w:val="-1"/>
                      <w:sz w:val="21"/>
                      <w:szCs w:val="21"/>
                      <w:highlight w:val="none"/>
                      <w:lang w:val="en-US" w:eastAsia="zh-CN"/>
                    </w:rPr>
                    <w:t>废布袋</w:t>
                  </w:r>
                </w:p>
              </w:tc>
              <w:tc>
                <w:tcPr>
                  <w:tcW w:w="701" w:type="pct"/>
                  <w:shd w:val="clear" w:color="auto" w:fill="auto"/>
                  <w:vAlign w:val="center"/>
                </w:tcPr>
                <w:p w14:paraId="5BC791C9">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除尘器收尘</w:t>
                  </w:r>
                </w:p>
              </w:tc>
              <w:tc>
                <w:tcPr>
                  <w:tcW w:w="369" w:type="pct"/>
                  <w:vMerge w:val="continue"/>
                  <w:shd w:val="clear" w:color="auto" w:fill="auto"/>
                  <w:vAlign w:val="center"/>
                </w:tcPr>
                <w:p w14:paraId="0977899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23" w:type="pct"/>
                  <w:shd w:val="clear" w:color="auto" w:fill="auto"/>
                  <w:vAlign w:val="center"/>
                </w:tcPr>
                <w:p w14:paraId="59151A74">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SW59</w:t>
                  </w:r>
                </w:p>
                <w:p w14:paraId="4D35756E">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900-099-S59</w:t>
                  </w:r>
                </w:p>
              </w:tc>
              <w:tc>
                <w:tcPr>
                  <w:tcW w:w="369" w:type="pct"/>
                  <w:shd w:val="clear" w:color="auto" w:fill="auto"/>
                  <w:vAlign w:val="center"/>
                </w:tcPr>
                <w:p w14:paraId="12C91713">
                  <w:pPr>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7E83F15F">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452609D7">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1.2</w:t>
                  </w:r>
                </w:p>
              </w:tc>
              <w:tc>
                <w:tcPr>
                  <w:tcW w:w="832" w:type="pct"/>
                  <w:shd w:val="clear" w:color="auto" w:fill="auto"/>
                  <w:vAlign w:val="center"/>
                </w:tcPr>
                <w:p w14:paraId="1FD6359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cs="Times New Roman"/>
                      <w:color w:val="auto"/>
                      <w:sz w:val="21"/>
                      <w:szCs w:val="20"/>
                      <w:highlight w:val="none"/>
                    </w:rPr>
                    <w:t>由厂家回收</w:t>
                  </w:r>
                </w:p>
              </w:tc>
            </w:tr>
            <w:tr w14:paraId="739E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77B084F0">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4</w:t>
                  </w:r>
                </w:p>
              </w:tc>
              <w:tc>
                <w:tcPr>
                  <w:tcW w:w="701" w:type="pct"/>
                  <w:shd w:val="clear" w:color="auto" w:fill="auto"/>
                  <w:vAlign w:val="center"/>
                </w:tcPr>
                <w:p w14:paraId="5632E347">
                  <w:pPr>
                    <w:adjustRightInd w:val="0"/>
                    <w:snapToGrid w:val="0"/>
                    <w:spacing w:line="240" w:lineRule="auto"/>
                    <w:jc w:val="center"/>
                    <w:rPr>
                      <w:rFonts w:hint="default" w:ascii="Times New Roman" w:hAnsi="Times New Roman" w:eastAsia="宋体" w:cs="Times New Roman"/>
                      <w:color w:val="auto"/>
                      <w:spacing w:val="-1"/>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沉淀池沉渣</w:t>
                  </w:r>
                </w:p>
              </w:tc>
              <w:tc>
                <w:tcPr>
                  <w:tcW w:w="701" w:type="pct"/>
                  <w:shd w:val="clear" w:color="auto" w:fill="auto"/>
                  <w:vAlign w:val="center"/>
                </w:tcPr>
                <w:p w14:paraId="139B880B">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r>
                    <w:rPr>
                      <w:rFonts w:hint="default" w:ascii="Times New Roman" w:hAnsi="Times New Roman" w:eastAsia="宋体" w:cs="Times New Roman"/>
                      <w:color w:val="auto"/>
                      <w:spacing w:val="-1"/>
                      <w:sz w:val="21"/>
                      <w:szCs w:val="21"/>
                      <w:highlight w:val="none"/>
                    </w:rPr>
                    <w:t>车辆冲洗</w:t>
                  </w:r>
                </w:p>
              </w:tc>
              <w:tc>
                <w:tcPr>
                  <w:tcW w:w="369" w:type="pct"/>
                  <w:vMerge w:val="continue"/>
                  <w:shd w:val="clear" w:color="auto" w:fill="auto"/>
                  <w:vAlign w:val="center"/>
                </w:tcPr>
                <w:p w14:paraId="33217088">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p>
              </w:tc>
              <w:tc>
                <w:tcPr>
                  <w:tcW w:w="723" w:type="pct"/>
                  <w:shd w:val="clear" w:color="auto" w:fill="auto"/>
                  <w:vAlign w:val="center"/>
                </w:tcPr>
                <w:p w14:paraId="3EBEB67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SW07</w:t>
                  </w:r>
                </w:p>
                <w:p w14:paraId="6C6E5A3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r>
                    <w:rPr>
                      <w:rFonts w:hint="default" w:ascii="Times New Roman" w:hAnsi="Times New Roman" w:eastAsia="宋体" w:cs="Times New Roman"/>
                      <w:color w:val="auto"/>
                      <w:spacing w:val="-1"/>
                      <w:sz w:val="21"/>
                      <w:szCs w:val="21"/>
                      <w:highlight w:val="none"/>
                      <w:lang w:val="en-US" w:eastAsia="zh-CN"/>
                    </w:rPr>
                    <w:t>900-099-S07</w:t>
                  </w:r>
                </w:p>
              </w:tc>
              <w:tc>
                <w:tcPr>
                  <w:tcW w:w="369" w:type="pct"/>
                  <w:shd w:val="clear" w:color="auto" w:fill="auto"/>
                  <w:vAlign w:val="center"/>
                </w:tcPr>
                <w:p w14:paraId="3FC9711E">
                  <w:pPr>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r>
                    <w:rPr>
                      <w:rFonts w:hint="default" w:ascii="Times New Roman" w:hAnsi="Times New Roman" w:eastAsia="宋体" w:cs="Times New Roman"/>
                      <w:color w:val="auto"/>
                      <w:spacing w:val="-1"/>
                      <w:sz w:val="21"/>
                      <w:szCs w:val="21"/>
                      <w:highlight w:val="none"/>
                      <w:lang w:val="en-US" w:eastAsia="zh-CN"/>
                    </w:rPr>
                    <w:t>/</w:t>
                  </w:r>
                </w:p>
              </w:tc>
              <w:tc>
                <w:tcPr>
                  <w:tcW w:w="487" w:type="pct"/>
                  <w:shd w:val="clear" w:color="auto" w:fill="auto"/>
                  <w:vAlign w:val="center"/>
                </w:tcPr>
                <w:p w14:paraId="6F31DB0C">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r>
                    <w:rPr>
                      <w:rFonts w:hint="default" w:ascii="Times New Roman" w:hAnsi="Times New Roman" w:eastAsia="宋体" w:cs="Times New Roman"/>
                      <w:color w:val="auto"/>
                      <w:spacing w:val="-1"/>
                      <w:sz w:val="21"/>
                      <w:szCs w:val="21"/>
                      <w:highlight w:val="none"/>
                    </w:rPr>
                    <w:t>半固态</w:t>
                  </w:r>
                </w:p>
              </w:tc>
              <w:tc>
                <w:tcPr>
                  <w:tcW w:w="487" w:type="pct"/>
                  <w:shd w:val="clear" w:color="auto" w:fill="auto"/>
                  <w:vAlign w:val="center"/>
                </w:tcPr>
                <w:p w14:paraId="515E3B0C">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5</w:t>
                  </w:r>
                </w:p>
              </w:tc>
              <w:tc>
                <w:tcPr>
                  <w:tcW w:w="832" w:type="pct"/>
                  <w:shd w:val="clear" w:color="auto" w:fill="auto"/>
                  <w:vAlign w:val="center"/>
                </w:tcPr>
                <w:p w14:paraId="6117A239">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定期清出，</w:t>
                  </w:r>
                  <w:r>
                    <w:rPr>
                      <w:rFonts w:hint="eastAsia" w:ascii="Times New Roman" w:hAnsi="Times New Roman" w:eastAsia="宋体" w:cs="Times New Roman"/>
                      <w:color w:val="auto"/>
                      <w:spacing w:val="-1"/>
                      <w:sz w:val="21"/>
                      <w:szCs w:val="21"/>
                      <w:highlight w:val="none"/>
                      <w:lang w:val="en-US" w:eastAsia="zh-CN"/>
                    </w:rPr>
                    <w:t>回用于生产</w:t>
                  </w:r>
                </w:p>
              </w:tc>
            </w:tr>
            <w:tr w14:paraId="0B11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4CFEE3AE">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5</w:t>
                  </w:r>
                </w:p>
              </w:tc>
              <w:tc>
                <w:tcPr>
                  <w:tcW w:w="701" w:type="pct"/>
                  <w:shd w:val="clear" w:color="auto" w:fill="auto"/>
                  <w:vAlign w:val="center"/>
                </w:tcPr>
                <w:p w14:paraId="1FCFBA90">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分拣杂质</w:t>
                  </w:r>
                </w:p>
              </w:tc>
              <w:tc>
                <w:tcPr>
                  <w:tcW w:w="701" w:type="pct"/>
                  <w:shd w:val="clear" w:color="auto" w:fill="auto"/>
                  <w:vAlign w:val="center"/>
                </w:tcPr>
                <w:p w14:paraId="2C68A2D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eastAsia" w:ascii="Times New Roman" w:hAnsi="Times New Roman" w:eastAsia="宋体" w:cs="Times New Roman"/>
                      <w:color w:val="auto"/>
                      <w:spacing w:val="-1"/>
                      <w:sz w:val="21"/>
                      <w:szCs w:val="21"/>
                      <w:highlight w:val="none"/>
                      <w:lang w:val="en-US" w:eastAsia="zh-CN"/>
                    </w:rPr>
                    <w:t>建筑垃圾分拣</w:t>
                  </w:r>
                  <w:r>
                    <w:rPr>
                      <w:rFonts w:hint="default" w:ascii="Times New Roman" w:hAnsi="Times New Roman" w:eastAsia="宋体" w:cs="Times New Roman"/>
                      <w:color w:val="auto"/>
                      <w:spacing w:val="-1"/>
                      <w:sz w:val="21"/>
                      <w:szCs w:val="21"/>
                      <w:highlight w:val="none"/>
                      <w:lang w:val="en-US" w:eastAsia="zh-CN"/>
                    </w:rPr>
                    <w:t>固废</w:t>
                  </w:r>
                </w:p>
              </w:tc>
              <w:tc>
                <w:tcPr>
                  <w:tcW w:w="369" w:type="pct"/>
                  <w:vMerge w:val="continue"/>
                  <w:shd w:val="clear" w:color="auto" w:fill="auto"/>
                  <w:vAlign w:val="center"/>
                </w:tcPr>
                <w:p w14:paraId="6DFD7777">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23" w:type="pct"/>
                  <w:shd w:val="clear" w:color="auto" w:fill="auto"/>
                  <w:vAlign w:val="center"/>
                </w:tcPr>
                <w:p w14:paraId="247E5DF2">
                  <w:pPr>
                    <w:pStyle w:val="44"/>
                    <w:keepNext w:val="0"/>
                    <w:keepLines w:val="0"/>
                    <w:widowControl/>
                    <w:suppressLineNumbers w:val="0"/>
                    <w:kinsoku w:val="0"/>
                    <w:overflowPunct w:val="0"/>
                    <w:adjustRightInd w:val="0"/>
                    <w:snapToGrid w:val="0"/>
                    <w:spacing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ar"/>
                    </w:rPr>
                  </w:pPr>
                  <w:r>
                    <w:rPr>
                      <w:rFonts w:hint="default" w:ascii="Times New Roman" w:hAnsi="Times New Roman" w:eastAsia="宋体" w:cs="Times New Roman"/>
                      <w:color w:val="auto"/>
                      <w:spacing w:val="-1"/>
                      <w:kern w:val="2"/>
                      <w:sz w:val="21"/>
                      <w:szCs w:val="21"/>
                      <w:highlight w:val="none"/>
                      <w:lang w:val="en-US" w:eastAsia="zh-CN" w:bidi="ar"/>
                    </w:rPr>
                    <w:t>SW59</w:t>
                  </w:r>
                </w:p>
                <w:p w14:paraId="4E4FF0B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900-009-S17</w:t>
                  </w:r>
                </w:p>
              </w:tc>
              <w:tc>
                <w:tcPr>
                  <w:tcW w:w="369" w:type="pct"/>
                  <w:shd w:val="clear" w:color="auto" w:fill="auto"/>
                  <w:vAlign w:val="center"/>
                </w:tcPr>
                <w:p w14:paraId="77744FA2">
                  <w:pPr>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eastAsia="宋体" w:cs="Times New Roman"/>
                      <w:color w:val="auto"/>
                      <w:spacing w:val="-1"/>
                      <w:sz w:val="21"/>
                      <w:szCs w:val="21"/>
                      <w:highlight w:val="none"/>
                      <w:lang w:val="en-US" w:eastAsia="zh-CN"/>
                    </w:rPr>
                    <w:t>/</w:t>
                  </w:r>
                </w:p>
              </w:tc>
              <w:tc>
                <w:tcPr>
                  <w:tcW w:w="487" w:type="pct"/>
                  <w:shd w:val="clear" w:color="auto" w:fill="auto"/>
                  <w:vAlign w:val="center"/>
                </w:tcPr>
                <w:p w14:paraId="6064421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eastAsia="zh-CN"/>
                    </w:rPr>
                    <w:t>固态</w:t>
                  </w:r>
                </w:p>
              </w:tc>
              <w:tc>
                <w:tcPr>
                  <w:tcW w:w="487" w:type="pct"/>
                  <w:shd w:val="clear" w:color="auto" w:fill="auto"/>
                  <w:vAlign w:val="center"/>
                </w:tcPr>
                <w:p w14:paraId="6D555506">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215</w:t>
                  </w:r>
                </w:p>
              </w:tc>
              <w:tc>
                <w:tcPr>
                  <w:tcW w:w="832" w:type="pct"/>
                  <w:shd w:val="clear" w:color="auto" w:fill="auto"/>
                  <w:vAlign w:val="center"/>
                </w:tcPr>
                <w:p w14:paraId="35078F7F">
                  <w:pPr>
                    <w:pStyle w:val="44"/>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运至西安龙创建筑科技有限公司</w:t>
                  </w:r>
                </w:p>
              </w:tc>
            </w:tr>
            <w:tr w14:paraId="506C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44E13E4A">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6</w:t>
                  </w:r>
                </w:p>
              </w:tc>
              <w:tc>
                <w:tcPr>
                  <w:tcW w:w="701" w:type="pct"/>
                  <w:shd w:val="clear" w:color="auto" w:fill="auto"/>
                  <w:vAlign w:val="center"/>
                </w:tcPr>
                <w:p w14:paraId="574E89F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zh-CN" w:eastAsia="zh-CN" w:bidi="zh-CN"/>
                    </w:rPr>
                  </w:pPr>
                  <w:r>
                    <w:rPr>
                      <w:rFonts w:hint="default" w:ascii="Times New Roman" w:hAnsi="Times New Roman" w:eastAsia="宋体" w:cs="Times New Roman"/>
                      <w:color w:val="auto"/>
                      <w:spacing w:val="-1"/>
                      <w:sz w:val="21"/>
                      <w:szCs w:val="21"/>
                      <w:highlight w:val="none"/>
                    </w:rPr>
                    <w:t>废机油</w:t>
                  </w:r>
                </w:p>
              </w:tc>
              <w:tc>
                <w:tcPr>
                  <w:tcW w:w="701" w:type="pct"/>
                  <w:shd w:val="clear" w:color="auto" w:fill="auto"/>
                  <w:vAlign w:val="center"/>
                </w:tcPr>
                <w:p w14:paraId="3F7BF3C3">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设备运维</w:t>
                  </w:r>
                </w:p>
              </w:tc>
              <w:tc>
                <w:tcPr>
                  <w:tcW w:w="369" w:type="pct"/>
                  <w:vMerge w:val="restart"/>
                  <w:shd w:val="clear" w:color="auto" w:fill="auto"/>
                  <w:vAlign w:val="center"/>
                </w:tcPr>
                <w:p w14:paraId="1CCD1548">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危险废物</w:t>
                  </w:r>
                </w:p>
              </w:tc>
              <w:tc>
                <w:tcPr>
                  <w:tcW w:w="723" w:type="pct"/>
                  <w:shd w:val="clear" w:color="auto" w:fill="auto"/>
                  <w:vAlign w:val="center"/>
                </w:tcPr>
                <w:p w14:paraId="0B11A135">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rPr>
                    <w:t>HW08 900-214-08</w:t>
                  </w:r>
                </w:p>
              </w:tc>
              <w:tc>
                <w:tcPr>
                  <w:tcW w:w="369" w:type="pct"/>
                  <w:shd w:val="clear" w:color="auto" w:fill="auto"/>
                  <w:vAlign w:val="center"/>
                </w:tcPr>
                <w:p w14:paraId="35E3EEDF">
                  <w:pPr>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T，I</w:t>
                  </w:r>
                </w:p>
              </w:tc>
              <w:tc>
                <w:tcPr>
                  <w:tcW w:w="487" w:type="pct"/>
                  <w:shd w:val="clear" w:color="auto" w:fill="auto"/>
                  <w:vAlign w:val="center"/>
                </w:tcPr>
                <w:p w14:paraId="7B432CFE">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液态</w:t>
                  </w:r>
                </w:p>
              </w:tc>
              <w:tc>
                <w:tcPr>
                  <w:tcW w:w="487" w:type="pct"/>
                  <w:shd w:val="clear" w:color="auto" w:fill="auto"/>
                  <w:vAlign w:val="center"/>
                </w:tcPr>
                <w:p w14:paraId="633D05A4">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0.20</w:t>
                  </w:r>
                </w:p>
              </w:tc>
              <w:tc>
                <w:tcPr>
                  <w:tcW w:w="832" w:type="pct"/>
                  <w:vMerge w:val="restart"/>
                  <w:shd w:val="clear" w:color="auto" w:fill="auto"/>
                  <w:vAlign w:val="center"/>
                </w:tcPr>
                <w:p w14:paraId="27F936EE">
                  <w:pPr>
                    <w:pStyle w:val="44"/>
                    <w:kinsoku w:val="0"/>
                    <w:overflowPunct w:val="0"/>
                    <w:adjustRightInd w:val="0"/>
                    <w:snapToGrid w:val="0"/>
                    <w:spacing w:before="0" w:line="240" w:lineRule="auto"/>
                    <w:contextualSpacing/>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在危废贮存点暂存，</w:t>
                  </w:r>
                </w:p>
                <w:p w14:paraId="085F0255">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eastAsia" w:ascii="Times New Roman" w:hAnsi="Times New Roman" w:eastAsia="宋体" w:cs="Times New Roman"/>
                      <w:color w:val="auto"/>
                      <w:spacing w:val="-1"/>
                      <w:sz w:val="21"/>
                      <w:szCs w:val="21"/>
                      <w:highlight w:val="none"/>
                      <w:lang w:val="en-US" w:eastAsia="zh-CN"/>
                    </w:rPr>
                    <w:t>定期交由有资质单位处置</w:t>
                  </w:r>
                </w:p>
              </w:tc>
            </w:tr>
            <w:tr w14:paraId="1BBA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56D7DB74">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7</w:t>
                  </w:r>
                </w:p>
              </w:tc>
              <w:tc>
                <w:tcPr>
                  <w:tcW w:w="701" w:type="pct"/>
                  <w:shd w:val="clear" w:color="auto" w:fill="auto"/>
                  <w:vAlign w:val="center"/>
                </w:tcPr>
                <w:p w14:paraId="6ADFD0A7">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default" w:ascii="Times New Roman" w:hAnsi="Times New Roman" w:eastAsia="宋体" w:cs="Times New Roman"/>
                      <w:color w:val="auto"/>
                      <w:spacing w:val="-1"/>
                      <w:sz w:val="21"/>
                      <w:szCs w:val="21"/>
                      <w:highlight w:val="none"/>
                    </w:rPr>
                    <w:t>废机油桶</w:t>
                  </w:r>
                </w:p>
              </w:tc>
              <w:tc>
                <w:tcPr>
                  <w:tcW w:w="701" w:type="pct"/>
                  <w:shd w:val="clear" w:color="auto" w:fill="auto"/>
                  <w:vAlign w:val="center"/>
                </w:tcPr>
                <w:p w14:paraId="165B5092">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设备运维</w:t>
                  </w:r>
                </w:p>
              </w:tc>
              <w:tc>
                <w:tcPr>
                  <w:tcW w:w="369" w:type="pct"/>
                  <w:vMerge w:val="continue"/>
                  <w:shd w:val="clear" w:color="auto" w:fill="auto"/>
                  <w:vAlign w:val="center"/>
                </w:tcPr>
                <w:p w14:paraId="0723309E">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c>
                <w:tcPr>
                  <w:tcW w:w="723" w:type="pct"/>
                  <w:shd w:val="clear" w:color="auto" w:fill="auto"/>
                  <w:vAlign w:val="center"/>
                </w:tcPr>
                <w:p w14:paraId="7A31998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lang w:val="en-US"/>
                    </w:rPr>
                    <w:t>HW49 900-041-49</w:t>
                  </w:r>
                </w:p>
              </w:tc>
              <w:tc>
                <w:tcPr>
                  <w:tcW w:w="369" w:type="pct"/>
                  <w:shd w:val="clear" w:color="auto" w:fill="auto"/>
                  <w:vAlign w:val="center"/>
                </w:tcPr>
                <w:p w14:paraId="6FFD80C9">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T，I</w:t>
                  </w:r>
                </w:p>
              </w:tc>
              <w:tc>
                <w:tcPr>
                  <w:tcW w:w="487" w:type="pct"/>
                  <w:shd w:val="clear" w:color="auto" w:fill="auto"/>
                  <w:vAlign w:val="center"/>
                </w:tcPr>
                <w:p w14:paraId="6E51D284">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固态</w:t>
                  </w:r>
                </w:p>
              </w:tc>
              <w:tc>
                <w:tcPr>
                  <w:tcW w:w="487" w:type="pct"/>
                  <w:shd w:val="clear" w:color="auto" w:fill="auto"/>
                  <w:vAlign w:val="center"/>
                </w:tcPr>
                <w:p w14:paraId="40E0792B">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0.027</w:t>
                  </w:r>
                </w:p>
              </w:tc>
              <w:tc>
                <w:tcPr>
                  <w:tcW w:w="832" w:type="pct"/>
                  <w:vMerge w:val="continue"/>
                  <w:shd w:val="clear" w:color="auto" w:fill="auto"/>
                  <w:vAlign w:val="center"/>
                </w:tcPr>
                <w:p w14:paraId="54415EF1">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rPr>
                  </w:pPr>
                </w:p>
              </w:tc>
            </w:tr>
            <w:tr w14:paraId="14F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 w:type="pct"/>
                  <w:shd w:val="clear" w:color="auto" w:fill="auto"/>
                  <w:vAlign w:val="center"/>
                </w:tcPr>
                <w:p w14:paraId="23906570">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eastAsia" w:ascii="Times New Roman" w:hAnsi="Times New Roman" w:eastAsia="宋体" w:cs="Times New Roman"/>
                      <w:color w:val="auto"/>
                      <w:spacing w:val="-1"/>
                      <w:kern w:val="2"/>
                      <w:sz w:val="21"/>
                      <w:szCs w:val="21"/>
                      <w:highlight w:val="none"/>
                      <w:lang w:val="en-US" w:eastAsia="zh-CN" w:bidi="zh-CN"/>
                    </w:rPr>
                    <w:t>8</w:t>
                  </w:r>
                </w:p>
              </w:tc>
              <w:tc>
                <w:tcPr>
                  <w:tcW w:w="701" w:type="pct"/>
                  <w:shd w:val="clear" w:color="auto" w:fill="auto"/>
                  <w:vAlign w:val="center"/>
                </w:tcPr>
                <w:p w14:paraId="68E3E436">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kern w:val="2"/>
                      <w:sz w:val="21"/>
                      <w:szCs w:val="21"/>
                      <w:highlight w:val="none"/>
                      <w:lang w:val="en-US" w:eastAsia="zh-CN" w:bidi="zh-CN"/>
                    </w:rPr>
                  </w:pPr>
                  <w:r>
                    <w:rPr>
                      <w:rFonts w:hint="default" w:ascii="Times New Roman" w:hAnsi="Times New Roman" w:eastAsia="宋体" w:cs="Times New Roman"/>
                      <w:color w:val="auto"/>
                      <w:spacing w:val="-1"/>
                      <w:sz w:val="21"/>
                      <w:szCs w:val="21"/>
                      <w:highlight w:val="none"/>
                    </w:rPr>
                    <w:t>废油</w:t>
                  </w:r>
                  <w:r>
                    <w:rPr>
                      <w:rFonts w:hint="default" w:ascii="Times New Roman" w:hAnsi="Times New Roman" w:eastAsia="宋体" w:cs="Times New Roman"/>
                      <w:color w:val="auto"/>
                      <w:spacing w:val="-1"/>
                      <w:sz w:val="21"/>
                      <w:szCs w:val="21"/>
                      <w:highlight w:val="none"/>
                      <w:lang w:val="en-US" w:eastAsia="zh-CN"/>
                    </w:rPr>
                    <w:t>手套抹布</w:t>
                  </w:r>
                </w:p>
              </w:tc>
              <w:tc>
                <w:tcPr>
                  <w:tcW w:w="701" w:type="pct"/>
                  <w:shd w:val="clear" w:color="auto" w:fill="auto"/>
                  <w:vAlign w:val="center"/>
                </w:tcPr>
                <w:p w14:paraId="282BD7E0">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r>
                    <w:rPr>
                      <w:rFonts w:hint="default" w:ascii="Times New Roman" w:hAnsi="Times New Roman" w:eastAsia="宋体" w:cs="Times New Roman"/>
                      <w:color w:val="auto"/>
                      <w:spacing w:val="-1"/>
                      <w:sz w:val="21"/>
                      <w:szCs w:val="21"/>
                      <w:highlight w:val="none"/>
                    </w:rPr>
                    <w:t>设备运维</w:t>
                  </w:r>
                </w:p>
              </w:tc>
              <w:tc>
                <w:tcPr>
                  <w:tcW w:w="369" w:type="pct"/>
                  <w:vMerge w:val="continue"/>
                  <w:shd w:val="clear" w:color="auto" w:fill="auto"/>
                  <w:vAlign w:val="center"/>
                </w:tcPr>
                <w:p w14:paraId="30C38EF0">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p>
              </w:tc>
              <w:tc>
                <w:tcPr>
                  <w:tcW w:w="723" w:type="pct"/>
                  <w:shd w:val="clear" w:color="auto" w:fill="auto"/>
                  <w:vAlign w:val="center"/>
                </w:tcPr>
                <w:p w14:paraId="34375503">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r>
                    <w:rPr>
                      <w:rFonts w:hint="default" w:ascii="Times New Roman" w:hAnsi="Times New Roman" w:eastAsia="宋体" w:cs="Times New Roman"/>
                      <w:color w:val="auto"/>
                      <w:spacing w:val="-1"/>
                      <w:sz w:val="21"/>
                      <w:szCs w:val="21"/>
                      <w:highlight w:val="none"/>
                      <w:lang w:val="en-US"/>
                    </w:rPr>
                    <w:t>HW49 900-041-49</w:t>
                  </w:r>
                </w:p>
              </w:tc>
              <w:tc>
                <w:tcPr>
                  <w:tcW w:w="369" w:type="pct"/>
                  <w:shd w:val="clear" w:color="auto" w:fill="auto"/>
                  <w:vAlign w:val="center"/>
                </w:tcPr>
                <w:p w14:paraId="09FD33F6">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r>
                    <w:rPr>
                      <w:rFonts w:hint="default" w:ascii="Times New Roman" w:hAnsi="Times New Roman" w:eastAsia="宋体" w:cs="Times New Roman"/>
                      <w:color w:val="auto"/>
                      <w:spacing w:val="-1"/>
                      <w:sz w:val="21"/>
                      <w:szCs w:val="21"/>
                      <w:highlight w:val="none"/>
                      <w:lang w:val="en-US"/>
                    </w:rPr>
                    <w:t>T/In</w:t>
                  </w:r>
                </w:p>
              </w:tc>
              <w:tc>
                <w:tcPr>
                  <w:tcW w:w="487" w:type="pct"/>
                  <w:shd w:val="clear" w:color="auto" w:fill="auto"/>
                  <w:vAlign w:val="center"/>
                </w:tcPr>
                <w:p w14:paraId="1ADF12A6">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r>
                    <w:rPr>
                      <w:rFonts w:hint="default" w:ascii="Times New Roman" w:hAnsi="Times New Roman" w:eastAsia="宋体" w:cs="Times New Roman"/>
                      <w:color w:val="auto"/>
                      <w:spacing w:val="-1"/>
                      <w:sz w:val="21"/>
                      <w:szCs w:val="21"/>
                      <w:highlight w:val="none"/>
                    </w:rPr>
                    <w:t>固态</w:t>
                  </w:r>
                </w:p>
              </w:tc>
              <w:tc>
                <w:tcPr>
                  <w:tcW w:w="487" w:type="pct"/>
                  <w:shd w:val="clear" w:color="auto" w:fill="auto"/>
                  <w:vAlign w:val="center"/>
                </w:tcPr>
                <w:p w14:paraId="423FA97D">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0.01</w:t>
                  </w:r>
                </w:p>
              </w:tc>
              <w:tc>
                <w:tcPr>
                  <w:tcW w:w="832" w:type="pct"/>
                  <w:vMerge w:val="continue"/>
                  <w:shd w:val="clear" w:color="auto" w:fill="auto"/>
                  <w:vAlign w:val="center"/>
                </w:tcPr>
                <w:p w14:paraId="07939B93">
                  <w:pPr>
                    <w:pStyle w:val="44"/>
                    <w:kinsoku w:val="0"/>
                    <w:overflowPunct w:val="0"/>
                    <w:adjustRightInd w:val="0"/>
                    <w:snapToGrid w:val="0"/>
                    <w:spacing w:before="0" w:line="240" w:lineRule="auto"/>
                    <w:contextualSpacing/>
                    <w:jc w:val="center"/>
                    <w:rPr>
                      <w:rFonts w:hint="default" w:ascii="Times New Roman" w:hAnsi="Times New Roman" w:eastAsia="宋体" w:cs="Times New Roman"/>
                      <w:color w:val="auto"/>
                      <w:spacing w:val="-1"/>
                      <w:sz w:val="21"/>
                      <w:szCs w:val="21"/>
                      <w:highlight w:val="none"/>
                      <w:lang w:val="en-US"/>
                    </w:rPr>
                  </w:pPr>
                </w:p>
              </w:tc>
            </w:tr>
          </w:tbl>
          <w:p w14:paraId="564DCA37">
            <w:pPr>
              <w:spacing w:line="360" w:lineRule="auto"/>
              <w:ind w:firstLine="480" w:firstLineChars="200"/>
              <w:rPr>
                <w:rFonts w:hint="default"/>
                <w:b w:val="0"/>
                <w:bCs w:val="0"/>
                <w:color w:val="auto"/>
                <w:highlight w:val="none"/>
                <w:lang w:val="en-US" w:eastAsia="zh-CN"/>
              </w:rPr>
            </w:pPr>
            <w:r>
              <w:rPr>
                <w:rFonts w:hint="default" w:ascii="Times New Roman" w:hAnsi="Times New Roman" w:cs="Times New Roman"/>
                <w:bCs/>
                <w:color w:val="auto"/>
                <w:sz w:val="24"/>
                <w:szCs w:val="32"/>
                <w:highlight w:val="none"/>
                <w:lang w:val="de-DE" w:eastAsia="zh-CN"/>
              </w:rPr>
              <w:t>综上所述，固废均有合理的处置去向，对外环境影响不大</w:t>
            </w:r>
            <w:r>
              <w:rPr>
                <w:rFonts w:hint="eastAsia" w:ascii="Times New Roman" w:hAnsi="Times New Roman"/>
                <w:b w:val="0"/>
                <w:bCs w:val="0"/>
                <w:color w:val="auto"/>
                <w:highlight w:val="none"/>
                <w:lang w:val="en-US" w:eastAsia="zh-CN"/>
              </w:rPr>
              <w:t>。</w:t>
            </w:r>
          </w:p>
          <w:p w14:paraId="6B5DA9CB">
            <w:pPr>
              <w:spacing w:line="360" w:lineRule="auto"/>
              <w:ind w:firstLine="482" w:firstLineChars="200"/>
              <w:jc w:val="both"/>
              <w:rPr>
                <w:rFonts w:hint="default" w:ascii="Times New Roman" w:hAnsi="Times New Roman" w:cs="Times New Roman"/>
                <w:b/>
                <w:bCs/>
                <w:color w:val="auto"/>
                <w:kern w:val="0"/>
                <w:sz w:val="24"/>
                <w:szCs w:val="20"/>
                <w:highlight w:val="none"/>
              </w:rPr>
            </w:pPr>
            <w:r>
              <w:rPr>
                <w:rFonts w:hint="eastAsia" w:ascii="Times New Roman" w:hAnsi="Times New Roman" w:cs="Times New Roman"/>
                <w:b/>
                <w:bCs/>
                <w:color w:val="auto"/>
                <w:kern w:val="0"/>
                <w:sz w:val="24"/>
                <w:szCs w:val="20"/>
                <w:highlight w:val="none"/>
                <w:lang w:eastAsia="zh-CN"/>
              </w:rPr>
              <w:t>危废管理</w:t>
            </w:r>
            <w:r>
              <w:rPr>
                <w:rFonts w:hint="default" w:ascii="Times New Roman" w:hAnsi="Times New Roman" w:cs="Times New Roman"/>
                <w:b/>
                <w:bCs/>
                <w:color w:val="auto"/>
                <w:kern w:val="0"/>
                <w:sz w:val="24"/>
                <w:szCs w:val="20"/>
                <w:highlight w:val="none"/>
              </w:rPr>
              <w:t>要求：</w:t>
            </w:r>
          </w:p>
          <w:p w14:paraId="653A6B2D">
            <w:pPr>
              <w:numPr>
                <w:ilvl w:val="0"/>
                <w:numId w:val="6"/>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eastAsia="宋体" w:cs="Times New Roman"/>
                <w:bCs/>
                <w:color w:val="auto"/>
                <w:sz w:val="24"/>
                <w:szCs w:val="32"/>
                <w:highlight w:val="none"/>
                <w:lang w:val="en-US" w:eastAsia="zh-CN"/>
              </w:rPr>
              <w:t>危险废物</w:t>
            </w:r>
            <w:r>
              <w:rPr>
                <w:rFonts w:hint="eastAsia" w:ascii="Times New Roman" w:hAnsi="Times New Roman" w:eastAsia="宋体" w:cs="Times New Roman"/>
                <w:bCs/>
                <w:color w:val="auto"/>
                <w:sz w:val="24"/>
                <w:szCs w:val="32"/>
                <w:highlight w:val="none"/>
                <w:lang w:val="de-DE" w:eastAsia="zh-CN"/>
              </w:rPr>
              <w:t>的收集</w:t>
            </w:r>
          </w:p>
          <w:p w14:paraId="1A5466D4">
            <w:pPr>
              <w:numPr>
                <w:ilvl w:val="0"/>
                <w:numId w:val="7"/>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de-DE" w:eastAsia="zh-CN"/>
              </w:rPr>
              <w:t>根据《危险废物收集贮存运输技术规范》（HJ2025-2012）要求，项目产生的各类危废应分类收集，采用专用容器收集；盛装危险废物的容器在醒目位置必须粘贴</w:t>
            </w:r>
            <w:r>
              <w:rPr>
                <w:rFonts w:hint="eastAsia" w:eastAsia="宋体" w:cs="Times New Roman"/>
                <w:bCs/>
                <w:color w:val="auto"/>
                <w:sz w:val="24"/>
                <w:szCs w:val="32"/>
                <w:highlight w:val="none"/>
                <w:lang w:val="en-US" w:eastAsia="zh-CN"/>
              </w:rPr>
              <w:t>危废标签，</w:t>
            </w:r>
            <w:r>
              <w:rPr>
                <w:rFonts w:hint="eastAsia" w:ascii="Times New Roman" w:hAnsi="Times New Roman" w:eastAsia="宋体" w:cs="Times New Roman"/>
                <w:bCs/>
                <w:color w:val="auto"/>
                <w:sz w:val="24"/>
                <w:szCs w:val="32"/>
                <w:highlight w:val="none"/>
                <w:lang w:val="de-DE" w:eastAsia="zh-CN"/>
              </w:rPr>
              <w:t>参照执行《危险废物识别标志设置技术规范》（HJ 1276—2022）所示的标签，在标签上详细标明危险废物名称、废物类别、废物代码、废物形态、危险特性、成分、废物重量以及产生/收集单位名称、联系人和联系方式等；</w:t>
            </w:r>
          </w:p>
          <w:p w14:paraId="0C92B7AD">
            <w:pPr>
              <w:numPr>
                <w:ilvl w:val="0"/>
                <w:numId w:val="7"/>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de-DE" w:eastAsia="zh-CN"/>
              </w:rPr>
              <w:t>危险废物的收集和厂内转运过程中，应采取防泄漏、防飞扬、防雨等防止污染环境的措施；</w:t>
            </w:r>
          </w:p>
          <w:p w14:paraId="24C18436">
            <w:pPr>
              <w:numPr>
                <w:ilvl w:val="0"/>
                <w:numId w:val="0"/>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de-DE" w:eastAsia="zh-CN"/>
              </w:rPr>
              <w:t>C.危险废物内部转运应采用专用工具，同时按照《危险废物收集贮存 运输技术规范》（HJ2025-2012）填写相关记录表格；</w:t>
            </w:r>
          </w:p>
          <w:p w14:paraId="6D14ACF9">
            <w:pPr>
              <w:numPr>
                <w:ilvl w:val="0"/>
                <w:numId w:val="0"/>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de-DE" w:eastAsia="zh-CN"/>
              </w:rPr>
              <w:t>D.危险废物内部转运结束后，应对转运路线进行检查和清理，确保无危险废物遗失在转运路线上。</w:t>
            </w:r>
          </w:p>
          <w:p w14:paraId="19D784F8">
            <w:pPr>
              <w:numPr>
                <w:ilvl w:val="0"/>
                <w:numId w:val="6"/>
              </w:numPr>
              <w:spacing w:line="360" w:lineRule="auto"/>
              <w:ind w:firstLine="480" w:firstLineChars="200"/>
              <w:rPr>
                <w:rFonts w:hint="eastAsia"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de-DE" w:eastAsia="zh-CN"/>
              </w:rPr>
              <w:t>危险废物的贮存</w:t>
            </w:r>
          </w:p>
          <w:p w14:paraId="511D4A3E">
            <w:pPr>
              <w:numPr>
                <w:ilvl w:val="0"/>
                <w:numId w:val="0"/>
              </w:numPr>
              <w:spacing w:line="360" w:lineRule="auto"/>
              <w:ind w:firstLine="480" w:firstLineChars="200"/>
              <w:rPr>
                <w:rFonts w:hint="default" w:ascii="Times New Roman" w:hAnsi="Times New Roman" w:eastAsia="宋体" w:cs="Times New Roman"/>
                <w:bCs/>
                <w:color w:val="auto"/>
                <w:sz w:val="24"/>
                <w:szCs w:val="32"/>
                <w:highlight w:val="none"/>
                <w:lang w:val="de-DE" w:eastAsia="zh-CN"/>
              </w:rPr>
            </w:pPr>
            <w:r>
              <w:rPr>
                <w:rFonts w:hint="default" w:ascii="Times New Roman" w:hAnsi="Times New Roman" w:eastAsia="宋体" w:cs="Times New Roman"/>
                <w:bCs/>
                <w:color w:val="auto"/>
                <w:sz w:val="24"/>
                <w:szCs w:val="32"/>
                <w:highlight w:val="none"/>
                <w:lang w:val="de-DE" w:eastAsia="zh-CN"/>
              </w:rPr>
              <w:t>本次环评要求建设单位必须按照《危险废物贮存污染控制标准》（GB18597-20</w:t>
            </w:r>
            <w:r>
              <w:rPr>
                <w:rFonts w:hint="eastAsia" w:ascii="Times New Roman" w:hAnsi="Times New Roman" w:eastAsia="宋体" w:cs="Times New Roman"/>
                <w:bCs/>
                <w:color w:val="auto"/>
                <w:sz w:val="24"/>
                <w:szCs w:val="32"/>
                <w:highlight w:val="none"/>
                <w:lang w:val="en-US" w:eastAsia="zh-CN"/>
              </w:rPr>
              <w:t>23</w:t>
            </w:r>
            <w:r>
              <w:rPr>
                <w:rFonts w:hint="default" w:ascii="Times New Roman" w:hAnsi="Times New Roman" w:eastAsia="宋体" w:cs="Times New Roman"/>
                <w:bCs/>
                <w:color w:val="auto"/>
                <w:sz w:val="24"/>
                <w:szCs w:val="32"/>
                <w:highlight w:val="none"/>
                <w:lang w:val="de-DE" w:eastAsia="zh-CN"/>
              </w:rPr>
              <w:t>）</w:t>
            </w:r>
            <w:r>
              <w:rPr>
                <w:rFonts w:hint="eastAsia" w:ascii="Times New Roman" w:hAnsi="Times New Roman" w:eastAsia="宋体" w:cs="Times New Roman"/>
                <w:bCs/>
                <w:color w:val="auto"/>
                <w:sz w:val="24"/>
                <w:szCs w:val="32"/>
                <w:highlight w:val="none"/>
                <w:lang w:val="de-DE" w:eastAsia="zh-CN"/>
              </w:rPr>
              <w:t>的</w:t>
            </w:r>
            <w:r>
              <w:rPr>
                <w:rFonts w:hint="default" w:ascii="Times New Roman" w:hAnsi="Times New Roman" w:eastAsia="宋体" w:cs="Times New Roman"/>
                <w:bCs/>
                <w:color w:val="auto"/>
                <w:sz w:val="24"/>
                <w:szCs w:val="32"/>
                <w:highlight w:val="none"/>
                <w:lang w:val="de-DE" w:eastAsia="zh-CN"/>
              </w:rPr>
              <w:t>要求</w:t>
            </w:r>
            <w:r>
              <w:rPr>
                <w:rFonts w:hint="eastAsia" w:eastAsia="宋体" w:cs="Times New Roman"/>
                <w:bCs/>
                <w:color w:val="auto"/>
                <w:sz w:val="24"/>
                <w:szCs w:val="32"/>
                <w:highlight w:val="none"/>
                <w:lang w:val="en-US" w:eastAsia="zh-CN"/>
              </w:rPr>
              <w:t>完善整改</w:t>
            </w:r>
            <w:r>
              <w:rPr>
                <w:rFonts w:hint="default" w:ascii="Times New Roman" w:hAnsi="Times New Roman" w:eastAsia="宋体" w:cs="Times New Roman"/>
                <w:bCs/>
                <w:color w:val="auto"/>
                <w:sz w:val="24"/>
                <w:szCs w:val="32"/>
                <w:highlight w:val="none"/>
                <w:lang w:val="de-DE" w:eastAsia="zh-CN"/>
              </w:rPr>
              <w:t>危险废物</w:t>
            </w:r>
            <w:r>
              <w:rPr>
                <w:rFonts w:hint="eastAsia" w:eastAsia="宋体" w:cs="Times New Roman"/>
                <w:bCs/>
                <w:color w:val="auto"/>
                <w:sz w:val="24"/>
                <w:szCs w:val="32"/>
                <w:highlight w:val="none"/>
                <w:lang w:val="en-US" w:eastAsia="zh-CN"/>
              </w:rPr>
              <w:t>贮存点</w:t>
            </w:r>
            <w:r>
              <w:rPr>
                <w:rFonts w:hint="default" w:ascii="Times New Roman" w:hAnsi="Times New Roman" w:eastAsia="宋体" w:cs="Times New Roman"/>
                <w:bCs/>
                <w:color w:val="auto"/>
                <w:sz w:val="24"/>
                <w:szCs w:val="32"/>
                <w:highlight w:val="none"/>
                <w:lang w:val="de-DE" w:eastAsia="zh-CN"/>
              </w:rPr>
              <w:t>，并委托有危险废物处置资质的单位进行处置，严禁私自处理处置。</w:t>
            </w:r>
          </w:p>
          <w:p w14:paraId="5B940188">
            <w:pPr>
              <w:spacing w:line="360" w:lineRule="auto"/>
              <w:ind w:firstLine="480" w:firstLineChars="200"/>
              <w:rPr>
                <w:rFonts w:hint="default" w:ascii="Times New Roman" w:hAnsi="Times New Roman" w:eastAsia="宋体" w:cs="Times New Roman"/>
                <w:bCs/>
                <w:color w:val="auto"/>
                <w:sz w:val="24"/>
                <w:szCs w:val="32"/>
                <w:highlight w:val="none"/>
                <w:lang w:val="de-DE" w:eastAsia="zh-CN"/>
              </w:rPr>
            </w:pPr>
            <w:r>
              <w:rPr>
                <w:rFonts w:hint="eastAsia" w:ascii="Times New Roman" w:hAnsi="Times New Roman" w:eastAsia="宋体" w:cs="Times New Roman"/>
                <w:bCs/>
                <w:color w:val="auto"/>
                <w:sz w:val="24"/>
                <w:szCs w:val="32"/>
                <w:highlight w:val="none"/>
                <w:lang w:val="en-US" w:eastAsia="zh-CN"/>
              </w:rPr>
              <w:t>本项目</w:t>
            </w:r>
            <w:r>
              <w:rPr>
                <w:rFonts w:hint="eastAsia" w:eastAsia="宋体" w:cs="Times New Roman"/>
                <w:bCs/>
                <w:color w:val="auto"/>
                <w:sz w:val="24"/>
                <w:szCs w:val="32"/>
                <w:highlight w:val="none"/>
                <w:lang w:val="en-US" w:eastAsia="zh-CN"/>
              </w:rPr>
              <w:t>依托原有</w:t>
            </w:r>
            <w:r>
              <w:rPr>
                <w:rFonts w:hint="default" w:ascii="Times New Roman" w:hAnsi="Times New Roman" w:eastAsia="宋体" w:cs="Times New Roman"/>
                <w:bCs/>
                <w:color w:val="auto"/>
                <w:sz w:val="24"/>
                <w:szCs w:val="32"/>
                <w:highlight w:val="none"/>
                <w:lang w:val="de-DE" w:eastAsia="zh-CN"/>
              </w:rPr>
              <w:t>1座危险废物</w:t>
            </w:r>
            <w:r>
              <w:rPr>
                <w:rFonts w:hint="eastAsia" w:ascii="Times New Roman" w:hAnsi="Times New Roman" w:eastAsia="宋体" w:cs="Times New Roman"/>
                <w:bCs/>
                <w:color w:val="auto"/>
                <w:sz w:val="24"/>
                <w:szCs w:val="32"/>
                <w:highlight w:val="none"/>
                <w:lang w:val="en-US" w:eastAsia="zh-CN"/>
              </w:rPr>
              <w:t>贮存</w:t>
            </w:r>
            <w:r>
              <w:rPr>
                <w:rFonts w:hint="eastAsia" w:eastAsia="宋体" w:cs="Times New Roman"/>
                <w:bCs/>
                <w:color w:val="auto"/>
                <w:sz w:val="24"/>
                <w:szCs w:val="32"/>
                <w:highlight w:val="none"/>
                <w:lang w:val="en-US" w:eastAsia="zh-CN"/>
              </w:rPr>
              <w:t>点</w:t>
            </w:r>
            <w:r>
              <w:rPr>
                <w:rFonts w:hint="default" w:ascii="Times New Roman" w:hAnsi="Times New Roman" w:eastAsia="宋体" w:cs="Times New Roman"/>
                <w:bCs/>
                <w:color w:val="auto"/>
                <w:sz w:val="24"/>
                <w:szCs w:val="32"/>
                <w:highlight w:val="none"/>
                <w:lang w:val="de-DE" w:eastAsia="zh-CN"/>
              </w:rPr>
              <w:t>对危险废物进行暂存处理，</w:t>
            </w:r>
            <w:r>
              <w:rPr>
                <w:rFonts w:hint="eastAsia" w:eastAsia="宋体" w:cs="Times New Roman"/>
                <w:bCs/>
                <w:color w:val="auto"/>
                <w:sz w:val="24"/>
                <w:szCs w:val="32"/>
                <w:highlight w:val="none"/>
                <w:lang w:val="en-US" w:eastAsia="zh-CN"/>
              </w:rPr>
              <w:t>位于厂区北</w:t>
            </w:r>
            <w:r>
              <w:rPr>
                <w:rFonts w:hint="eastAsia" w:ascii="Times New Roman" w:hAnsi="Times New Roman" w:eastAsia="宋体" w:cs="Times New Roman"/>
                <w:bCs/>
                <w:color w:val="auto"/>
                <w:sz w:val="24"/>
                <w:szCs w:val="32"/>
                <w:highlight w:val="none"/>
                <w:lang w:val="en-US" w:eastAsia="zh-CN"/>
              </w:rPr>
              <w:t>侧，建筑面积约</w:t>
            </w:r>
            <w:r>
              <w:rPr>
                <w:rFonts w:hint="eastAsia" w:eastAsia="宋体" w:cs="Times New Roman"/>
                <w:bCs/>
                <w:color w:val="auto"/>
                <w:sz w:val="24"/>
                <w:szCs w:val="32"/>
                <w:highlight w:val="none"/>
                <w:lang w:val="en-US" w:eastAsia="zh-CN"/>
              </w:rPr>
              <w:t>10</w:t>
            </w:r>
            <w:r>
              <w:rPr>
                <w:rFonts w:hint="eastAsia" w:ascii="Times New Roman" w:hAnsi="Times New Roman" w:eastAsia="宋体" w:cs="Times New Roman"/>
                <w:bCs/>
                <w:color w:val="auto"/>
                <w:sz w:val="24"/>
                <w:szCs w:val="32"/>
                <w:highlight w:val="none"/>
                <w:lang w:val="en-US" w:eastAsia="zh-CN"/>
              </w:rPr>
              <w:t>m</w:t>
            </w:r>
            <w:r>
              <w:rPr>
                <w:rFonts w:hint="eastAsia" w:ascii="Times New Roman" w:hAnsi="Times New Roman" w:eastAsia="宋体" w:cs="Times New Roman"/>
                <w:bCs/>
                <w:color w:val="auto"/>
                <w:sz w:val="24"/>
                <w:szCs w:val="32"/>
                <w:highlight w:val="none"/>
                <w:vertAlign w:val="superscript"/>
                <w:lang w:val="en-US" w:eastAsia="zh-CN"/>
              </w:rPr>
              <w:t>3</w:t>
            </w:r>
            <w:r>
              <w:rPr>
                <w:rFonts w:hint="default" w:ascii="Times New Roman" w:hAnsi="Times New Roman" w:eastAsia="宋体" w:cs="Times New Roman"/>
                <w:bCs/>
                <w:color w:val="auto"/>
                <w:sz w:val="24"/>
                <w:szCs w:val="32"/>
                <w:highlight w:val="none"/>
                <w:lang w:val="de-DE" w:eastAsia="zh-CN"/>
              </w:rPr>
              <w:t>。</w:t>
            </w:r>
            <w:r>
              <w:rPr>
                <w:rFonts w:hint="eastAsia" w:eastAsia="宋体" w:cs="Times New Roman"/>
                <w:bCs/>
                <w:color w:val="auto"/>
                <w:sz w:val="24"/>
                <w:szCs w:val="32"/>
                <w:highlight w:val="none"/>
                <w:lang w:val="en-US" w:eastAsia="zh-CN"/>
              </w:rPr>
              <w:t>根据建设单位提供资料及现场调查，</w:t>
            </w:r>
            <w:r>
              <w:rPr>
                <w:rFonts w:hint="default" w:ascii="Times New Roman" w:hAnsi="Times New Roman" w:eastAsia="宋体" w:cs="Times New Roman"/>
                <w:bCs/>
                <w:color w:val="auto"/>
                <w:sz w:val="24"/>
                <w:szCs w:val="32"/>
                <w:highlight w:val="none"/>
                <w:lang w:val="de-DE" w:eastAsia="zh-CN"/>
              </w:rPr>
              <w:t>危险废物</w:t>
            </w:r>
            <w:r>
              <w:rPr>
                <w:rFonts w:hint="eastAsia" w:ascii="Times New Roman" w:hAnsi="Times New Roman" w:eastAsia="宋体" w:cs="Times New Roman"/>
                <w:bCs/>
                <w:color w:val="auto"/>
                <w:sz w:val="24"/>
                <w:szCs w:val="32"/>
                <w:highlight w:val="none"/>
                <w:lang w:val="en-US" w:eastAsia="zh-CN"/>
              </w:rPr>
              <w:t>贮存</w:t>
            </w:r>
            <w:r>
              <w:rPr>
                <w:rFonts w:hint="eastAsia" w:eastAsia="宋体" w:cs="Times New Roman"/>
                <w:bCs/>
                <w:color w:val="auto"/>
                <w:sz w:val="24"/>
                <w:szCs w:val="32"/>
                <w:highlight w:val="none"/>
                <w:lang w:val="en-US" w:eastAsia="zh-CN"/>
              </w:rPr>
              <w:t>点已采用混凝土防渗，环评要求</w:t>
            </w:r>
            <w:r>
              <w:rPr>
                <w:rFonts w:hint="default" w:ascii="Times New Roman" w:hAnsi="Times New Roman" w:eastAsia="宋体" w:cs="Times New Roman"/>
                <w:bCs/>
                <w:color w:val="auto"/>
                <w:sz w:val="24"/>
                <w:szCs w:val="32"/>
                <w:highlight w:val="none"/>
                <w:lang w:val="de-DE" w:eastAsia="zh-CN"/>
              </w:rPr>
              <w:t>危险废物</w:t>
            </w:r>
            <w:r>
              <w:rPr>
                <w:rFonts w:hint="eastAsia" w:ascii="Times New Roman" w:hAnsi="Times New Roman" w:eastAsia="宋体" w:cs="Times New Roman"/>
                <w:bCs/>
                <w:color w:val="auto"/>
                <w:sz w:val="24"/>
                <w:szCs w:val="32"/>
                <w:highlight w:val="none"/>
                <w:lang w:val="en-US" w:eastAsia="zh-CN"/>
              </w:rPr>
              <w:t>贮存点还需要整改达到以下</w:t>
            </w:r>
            <w:r>
              <w:rPr>
                <w:rFonts w:hint="default" w:ascii="Times New Roman" w:hAnsi="Times New Roman" w:eastAsia="宋体" w:cs="Times New Roman"/>
                <w:bCs/>
                <w:color w:val="auto"/>
                <w:sz w:val="24"/>
                <w:szCs w:val="32"/>
                <w:highlight w:val="none"/>
                <w:lang w:val="de-DE" w:eastAsia="zh-CN"/>
              </w:rPr>
              <w:t>要求</w:t>
            </w:r>
            <w:r>
              <w:rPr>
                <w:rFonts w:hint="eastAsia" w:ascii="Times New Roman" w:hAnsi="Times New Roman" w:eastAsia="宋体" w:cs="Times New Roman"/>
                <w:bCs/>
                <w:color w:val="auto"/>
                <w:sz w:val="24"/>
                <w:szCs w:val="32"/>
                <w:highlight w:val="none"/>
                <w:lang w:val="de-DE" w:eastAsia="zh-CN"/>
              </w:rPr>
              <w:t>：</w:t>
            </w:r>
          </w:p>
          <w:p w14:paraId="224F76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①贮存</w:t>
            </w:r>
            <w:r>
              <w:rPr>
                <w:rFonts w:hint="eastAsia" w:eastAsia="宋体" w:cs="Times New Roman"/>
                <w:b w:val="0"/>
                <w:bCs w:val="0"/>
                <w:color w:val="auto"/>
                <w:sz w:val="24"/>
                <w:szCs w:val="24"/>
                <w:highlight w:val="none"/>
                <w:lang w:val="en-US" w:eastAsia="zh-CN"/>
              </w:rPr>
              <w:t>点</w:t>
            </w:r>
            <w:r>
              <w:rPr>
                <w:rFonts w:hint="default" w:ascii="Times New Roman" w:hAnsi="Times New Roman" w:eastAsia="宋体" w:cs="Times New Roman"/>
                <w:b w:val="0"/>
                <w:bCs w:val="0"/>
                <w:color w:val="auto"/>
                <w:sz w:val="24"/>
                <w:szCs w:val="24"/>
                <w:highlight w:val="none"/>
                <w:lang w:val="en-US" w:eastAsia="zh-CN"/>
              </w:rPr>
              <w:t>应根据危险废物的形态、物理化学性质、包装形式和污染物迁移途径，采取必要的防漏、防渗措施，</w:t>
            </w:r>
            <w:r>
              <w:rPr>
                <w:rFonts w:hint="eastAsia" w:eastAsia="宋体" w:cs="Times New Roman"/>
                <w:b w:val="0"/>
                <w:bCs w:val="0"/>
                <w:color w:val="auto"/>
                <w:sz w:val="24"/>
                <w:szCs w:val="24"/>
                <w:highlight w:val="none"/>
                <w:lang w:val="en-US" w:eastAsia="zh-CN"/>
              </w:rPr>
              <w:t>如增设托盘</w:t>
            </w:r>
            <w:r>
              <w:rPr>
                <w:rFonts w:hint="default" w:ascii="Times New Roman" w:hAnsi="Times New Roman" w:eastAsia="宋体" w:cs="Times New Roman"/>
                <w:b w:val="0"/>
                <w:bCs w:val="0"/>
                <w:color w:val="auto"/>
                <w:sz w:val="24"/>
                <w:szCs w:val="24"/>
                <w:highlight w:val="none"/>
                <w:lang w:val="en-US" w:eastAsia="zh-CN"/>
              </w:rPr>
              <w:t>。</w:t>
            </w:r>
          </w:p>
          <w:p w14:paraId="22A88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②贮存</w:t>
            </w:r>
            <w:r>
              <w:rPr>
                <w:rFonts w:hint="eastAsia" w:eastAsia="宋体" w:cs="Times New Roman"/>
                <w:b w:val="0"/>
                <w:bCs w:val="0"/>
                <w:color w:val="auto"/>
                <w:sz w:val="24"/>
                <w:szCs w:val="24"/>
                <w:highlight w:val="none"/>
                <w:lang w:val="en-US" w:eastAsia="zh-CN"/>
              </w:rPr>
              <w:t>点</w:t>
            </w:r>
            <w:r>
              <w:rPr>
                <w:rFonts w:hint="default" w:ascii="Times New Roman" w:hAnsi="Times New Roman" w:eastAsia="宋体" w:cs="Times New Roman"/>
                <w:b w:val="0"/>
                <w:bCs w:val="0"/>
                <w:color w:val="auto"/>
                <w:sz w:val="24"/>
                <w:szCs w:val="24"/>
                <w:highlight w:val="none"/>
                <w:lang w:val="en-US" w:eastAsia="zh-CN"/>
              </w:rPr>
              <w:t>应根据危险废物的类别、数量、形态、物理化学性质和污染防治等要求设置必要的贮存分区，避免不相容的危险废物接触、混合。</w:t>
            </w:r>
          </w:p>
          <w:p w14:paraId="6B3573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③贮存</w:t>
            </w:r>
            <w:r>
              <w:rPr>
                <w:rFonts w:hint="eastAsia" w:eastAsia="宋体" w:cs="Times New Roman"/>
                <w:b w:val="0"/>
                <w:bCs w:val="0"/>
                <w:color w:val="auto"/>
                <w:sz w:val="24"/>
                <w:szCs w:val="24"/>
                <w:highlight w:val="none"/>
                <w:lang w:val="en-US" w:eastAsia="zh-CN"/>
              </w:rPr>
              <w:t>点</w:t>
            </w:r>
            <w:r>
              <w:rPr>
                <w:rFonts w:hint="default" w:ascii="Times New Roman" w:hAnsi="Times New Roman" w:eastAsia="宋体" w:cs="Times New Roman"/>
                <w:b w:val="0"/>
                <w:bCs w:val="0"/>
                <w:color w:val="auto"/>
                <w:sz w:val="24"/>
                <w:szCs w:val="24"/>
                <w:highlight w:val="none"/>
                <w:lang w:val="en-US" w:eastAsia="zh-CN"/>
              </w:rPr>
              <w:t>应采取技术和管理措施防止无关人员进入。</w:t>
            </w:r>
          </w:p>
          <w:p w14:paraId="1E52DF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④</w:t>
            </w:r>
            <w:r>
              <w:rPr>
                <w:rFonts w:hint="default" w:ascii="Times New Roman" w:hAnsi="Times New Roman" w:eastAsia="宋体" w:cs="Times New Roman"/>
                <w:b w:val="0"/>
                <w:bCs w:val="0"/>
                <w:color w:val="auto"/>
                <w:sz w:val="24"/>
                <w:szCs w:val="24"/>
                <w:highlight w:val="none"/>
                <w:lang w:val="en-US" w:eastAsia="zh-CN"/>
              </w:rPr>
              <w:t>贮存</w:t>
            </w:r>
            <w:r>
              <w:rPr>
                <w:rFonts w:hint="eastAsia" w:eastAsia="宋体" w:cs="Times New Roman"/>
                <w:b w:val="0"/>
                <w:bCs w:val="0"/>
                <w:color w:val="auto"/>
                <w:sz w:val="24"/>
                <w:szCs w:val="24"/>
                <w:highlight w:val="none"/>
                <w:lang w:val="en-US" w:eastAsia="zh-CN"/>
              </w:rPr>
              <w:t>点</w:t>
            </w:r>
            <w:r>
              <w:rPr>
                <w:rFonts w:hint="default" w:ascii="Times New Roman" w:hAnsi="Times New Roman" w:eastAsia="宋体" w:cs="Times New Roman"/>
                <w:b w:val="0"/>
                <w:bCs w:val="0"/>
                <w:color w:val="auto"/>
                <w:sz w:val="24"/>
                <w:szCs w:val="24"/>
                <w:highlight w:val="none"/>
                <w:lang w:val="en-US" w:eastAsia="zh-CN"/>
              </w:rPr>
              <w:t>内不同贮存分区之间应采取隔离措施。隔离措施可根据危险废物特性采用过道、隔板或隔墙等方式。</w:t>
            </w:r>
          </w:p>
          <w:p w14:paraId="26FF76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Cs/>
                <w:color w:val="auto"/>
                <w:sz w:val="24"/>
                <w:szCs w:val="32"/>
                <w:highlight w:val="none"/>
                <w:lang w:val="en-US" w:eastAsia="zh-CN"/>
              </w:rPr>
            </w:pPr>
            <w:r>
              <w:rPr>
                <w:rFonts w:hint="eastAsia" w:eastAsia="宋体" w:cs="Times New Roman"/>
                <w:b w:val="0"/>
                <w:bCs w:val="0"/>
                <w:color w:val="auto"/>
                <w:sz w:val="24"/>
                <w:szCs w:val="24"/>
                <w:highlight w:val="none"/>
                <w:lang w:val="en-US" w:eastAsia="zh-CN"/>
              </w:rPr>
              <w:t>⑤</w:t>
            </w:r>
            <w:r>
              <w:rPr>
                <w:rFonts w:hint="default" w:ascii="Times New Roman" w:hAnsi="Times New Roman" w:eastAsia="宋体" w:cs="Times New Roman"/>
                <w:b w:val="0"/>
                <w:bCs w:val="0"/>
                <w:color w:val="auto"/>
                <w:sz w:val="24"/>
                <w:szCs w:val="24"/>
                <w:highlight w:val="none"/>
                <w:lang w:val="en-US" w:eastAsia="zh-CN"/>
              </w:rPr>
              <w:t>在贮存</w:t>
            </w:r>
            <w:r>
              <w:rPr>
                <w:rFonts w:hint="eastAsia" w:eastAsia="宋体" w:cs="Times New Roman"/>
                <w:b w:val="0"/>
                <w:bCs w:val="0"/>
                <w:color w:val="auto"/>
                <w:sz w:val="24"/>
                <w:szCs w:val="24"/>
                <w:highlight w:val="none"/>
                <w:lang w:val="en-US" w:eastAsia="zh-CN"/>
              </w:rPr>
              <w:t>点</w:t>
            </w:r>
            <w:r>
              <w:rPr>
                <w:rFonts w:hint="default" w:ascii="Times New Roman" w:hAnsi="Times New Roman" w:eastAsia="宋体" w:cs="Times New Roman"/>
                <w:b w:val="0"/>
                <w:bCs w:val="0"/>
                <w:color w:val="auto"/>
                <w:sz w:val="24"/>
                <w:szCs w:val="24"/>
                <w:highlight w:val="none"/>
                <w:lang w:val="en-US" w:eastAsia="zh-CN"/>
              </w:rPr>
              <w:t>内或通过贮存分区方式贮存液态危险废物的，应具有液体泄漏堵截设施，堵截设施最小容积不应低于对应贮存区域最大液态废物容器容积或液态废物总储量 1/10（二者取较大者）</w:t>
            </w:r>
            <w:r>
              <w:rPr>
                <w:rFonts w:hint="default" w:ascii="Times New Roman" w:hAnsi="Times New Roman" w:eastAsia="宋体" w:cs="Times New Roman"/>
                <w:b w:val="0"/>
                <w:bCs w:val="0"/>
                <w:color w:val="auto"/>
                <w:sz w:val="24"/>
                <w:szCs w:val="24"/>
                <w:highlight w:val="none"/>
              </w:rPr>
              <w:t>。</w:t>
            </w:r>
          </w:p>
          <w:p w14:paraId="51C6D34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危险废物的处置</w:t>
            </w:r>
          </w:p>
          <w:p w14:paraId="2B9C3DF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对于危废，企业应履行申报的登记制度、建立危险废物台帐制度，认真、仔细记录危险废物产生、贮存、转移处置或利用情况，对每批出入暂存场所的废物要进行清点计量。台帐应留存备查，台帐应至少保留</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年。</w:t>
            </w:r>
          </w:p>
          <w:p w14:paraId="1EDEFF3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B.</w:t>
            </w:r>
            <w:r>
              <w:rPr>
                <w:rFonts w:hint="default" w:ascii="Times New Roman" w:hAnsi="Times New Roman" w:eastAsia="宋体" w:cs="Times New Roman"/>
                <w:color w:val="auto"/>
                <w:sz w:val="24"/>
                <w:szCs w:val="24"/>
                <w:highlight w:val="none"/>
              </w:rPr>
              <w:t>危险废物委托有资质和处置能力的单位进行处置。</w:t>
            </w:r>
          </w:p>
          <w:p w14:paraId="0FAB723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C.</w:t>
            </w:r>
            <w:r>
              <w:rPr>
                <w:rFonts w:hint="default" w:ascii="Times New Roman" w:hAnsi="Times New Roman" w:eastAsia="宋体" w:cs="Times New Roman"/>
                <w:color w:val="auto"/>
                <w:sz w:val="24"/>
                <w:szCs w:val="24"/>
                <w:highlight w:val="none"/>
              </w:rPr>
              <w:t>要严格执行危险废物转移报批制度，按照国家有关规定报批危险废物转移计划。</w:t>
            </w:r>
          </w:p>
          <w:p w14:paraId="38B2D26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highlight w:val="none"/>
              </w:rPr>
              <w:t>要严格执行危险废物转移联单制度。每转移一车（次）同类危险废物均要认真填写转移五联单，并必须按规定委托有盖有道路危险货物运输专用章的《道路运输经营许可证》和《道路运输营运证》的单位运输。</w:t>
            </w:r>
          </w:p>
          <w:p w14:paraId="43CC3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pacing w:val="0"/>
                <w:sz w:val="24"/>
                <w:szCs w:val="24"/>
                <w:highlight w:val="none"/>
              </w:rPr>
            </w:pPr>
            <w:r>
              <w:rPr>
                <w:rFonts w:hint="default" w:ascii="Times New Roman" w:hAnsi="Times New Roman" w:eastAsia="宋体" w:cs="Times New Roman"/>
                <w:color w:val="auto"/>
                <w:sz w:val="24"/>
                <w:szCs w:val="24"/>
                <w:highlight w:val="none"/>
                <w:lang w:val="en-US" w:eastAsia="zh-CN"/>
              </w:rPr>
              <w:t>E.</w:t>
            </w:r>
            <w:r>
              <w:rPr>
                <w:rFonts w:hint="default" w:ascii="Times New Roman" w:hAnsi="Times New Roman" w:eastAsia="宋体" w:cs="Times New Roman"/>
                <w:color w:val="auto"/>
                <w:sz w:val="24"/>
                <w:szCs w:val="24"/>
                <w:highlight w:val="none"/>
              </w:rPr>
              <w:t>企业要加强对危险废物的日常管理，配备专职管理人员，明确岗位职责，健全危险废物管理制度和管理台帐；定期对危险废物收集、贮存、利用、转移、处置等环节的安全防范措施进行检查，防止散、洒、滴、漏等现象发生</w:t>
            </w:r>
            <w:r>
              <w:rPr>
                <w:rFonts w:hint="default" w:ascii="Times New Roman" w:hAnsi="Times New Roman" w:cs="Times New Roman"/>
                <w:bCs/>
                <w:color w:val="auto"/>
                <w:spacing w:val="0"/>
                <w:sz w:val="24"/>
                <w:szCs w:val="24"/>
                <w:highlight w:val="none"/>
                <w:lang w:val="en-US" w:eastAsia="zh-CN"/>
              </w:rPr>
              <w:t>。</w:t>
            </w:r>
          </w:p>
          <w:p w14:paraId="135E59E3">
            <w:pPr>
              <w:adjustRightInd w:val="0"/>
              <w:snapToGrid w:val="0"/>
              <w:ind w:firstLine="482" w:firstLineChars="200"/>
              <w:rPr>
                <w:rFonts w:hint="default" w:ascii="Times New Roman" w:hAnsi="Times New Roman" w:eastAsia="宋体" w:cs="Times New Roman"/>
                <w:b/>
                <w:bCs/>
                <w:color w:val="auto"/>
                <w:highlight w:val="none"/>
              </w:rPr>
            </w:pPr>
            <w:r>
              <w:rPr>
                <w:rFonts w:hint="eastAsia" w:eastAsia="宋体" w:cs="Times New Roman"/>
                <w:b/>
                <w:bCs/>
                <w:color w:val="auto"/>
                <w:highlight w:val="none"/>
                <w:lang w:eastAsia="zh-CN"/>
              </w:rPr>
              <w:t>（</w:t>
            </w:r>
            <w:r>
              <w:rPr>
                <w:rFonts w:hint="eastAsia" w:eastAsia="宋体" w:cs="Times New Roman"/>
                <w:b/>
                <w:bCs/>
                <w:color w:val="auto"/>
                <w:highlight w:val="none"/>
                <w:lang w:val="en-US" w:eastAsia="zh-CN"/>
              </w:rPr>
              <w:t>五</w:t>
            </w:r>
            <w:r>
              <w:rPr>
                <w:rFonts w:hint="eastAsia" w:eastAsia="宋体" w:cs="Times New Roman"/>
                <w:b/>
                <w:bCs/>
                <w:color w:val="auto"/>
                <w:highlight w:val="none"/>
                <w:lang w:eastAsia="zh-CN"/>
              </w:rPr>
              <w:t>）</w:t>
            </w:r>
            <w:r>
              <w:rPr>
                <w:rFonts w:hint="default" w:ascii="Times New Roman" w:hAnsi="Times New Roman" w:eastAsia="宋体" w:cs="Times New Roman"/>
                <w:b/>
                <w:bCs/>
                <w:color w:val="auto"/>
                <w:highlight w:val="none"/>
              </w:rPr>
              <w:t>土壤和地下水环境影响分析</w:t>
            </w:r>
          </w:p>
          <w:p w14:paraId="6EB4FD8C">
            <w:pPr>
              <w:adjustRightInd w:val="0"/>
              <w:snapToGrid/>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项目产生的废水均可得到合理处置</w:t>
            </w:r>
            <w:r>
              <w:rPr>
                <w:rFonts w:hint="eastAsia" w:cs="Times New Roman"/>
                <w:color w:val="auto"/>
                <w:sz w:val="24"/>
                <w:szCs w:val="24"/>
                <w:highlight w:val="none"/>
                <w:lang w:val="en-US" w:eastAsia="zh-CN"/>
              </w:rPr>
              <w:t>。厂区地面做硬化处理，</w:t>
            </w:r>
            <w:r>
              <w:rPr>
                <w:rFonts w:hint="default" w:ascii="Times New Roman" w:hAnsi="Times New Roman" w:eastAsia="宋体" w:cs="Times New Roman"/>
                <w:color w:val="auto"/>
                <w:sz w:val="24"/>
                <w:szCs w:val="24"/>
                <w:highlight w:val="none"/>
                <w:lang w:val="en-US" w:eastAsia="zh-CN"/>
              </w:rPr>
              <w:t>化粪池</w:t>
            </w:r>
            <w:r>
              <w:rPr>
                <w:rFonts w:hint="eastAsia" w:cs="Times New Roman"/>
                <w:color w:val="auto"/>
                <w:sz w:val="24"/>
                <w:szCs w:val="24"/>
                <w:highlight w:val="none"/>
                <w:lang w:val="en-US" w:eastAsia="zh-CN"/>
              </w:rPr>
              <w:t>、沉淀池、危废点等区域均</w:t>
            </w:r>
            <w:r>
              <w:rPr>
                <w:rFonts w:hint="default" w:ascii="Times New Roman" w:hAnsi="Times New Roman" w:eastAsia="宋体" w:cs="Times New Roman"/>
                <w:color w:val="auto"/>
                <w:sz w:val="24"/>
                <w:szCs w:val="24"/>
                <w:highlight w:val="none"/>
                <w:lang w:val="en-US" w:eastAsia="zh-CN"/>
              </w:rPr>
              <w:t>做防渗处理，不会导致污染物的地表漫流及垂直入渗。</w:t>
            </w:r>
            <w:r>
              <w:rPr>
                <w:rFonts w:hint="eastAsia" w:cs="Times New Roman"/>
                <w:color w:val="auto"/>
                <w:sz w:val="24"/>
                <w:szCs w:val="24"/>
                <w:highlight w:val="none"/>
                <w:lang w:val="en-US" w:eastAsia="zh-CN"/>
              </w:rPr>
              <w:t>因此废水和固体废弃物均不存在土壤、地下水污染途径。</w:t>
            </w:r>
          </w:p>
          <w:p w14:paraId="118E2E24">
            <w:pPr>
              <w:adjustRightInd w:val="0"/>
              <w:snapToGrid/>
              <w:spacing w:line="360" w:lineRule="auto"/>
              <w:ind w:firstLine="480" w:firstLineChars="200"/>
              <w:rPr>
                <w:rFonts w:hint="eastAsia" w:cs="Times New Roman"/>
                <w:color w:val="auto"/>
                <w:sz w:val="24"/>
                <w:szCs w:val="24"/>
                <w:highlight w:val="none"/>
                <w:lang w:val="en-US" w:eastAsia="zh-CN"/>
              </w:rPr>
            </w:pPr>
            <w:r>
              <w:rPr>
                <w:rFonts w:cs="Times New Roman"/>
                <w:color w:val="auto"/>
                <w:highlight w:val="none"/>
              </w:rPr>
              <w:t>本项目所在地周边有裸露地表，</w:t>
            </w: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大气</w:t>
            </w:r>
            <w:r>
              <w:rPr>
                <w:rFonts w:hint="default" w:ascii="Times New Roman" w:hAnsi="Times New Roman" w:eastAsia="宋体" w:cs="Times New Roman"/>
                <w:color w:val="auto"/>
                <w:sz w:val="24"/>
                <w:szCs w:val="24"/>
                <w:highlight w:val="none"/>
                <w:lang w:val="en-US" w:eastAsia="zh-CN"/>
              </w:rPr>
              <w:t>污染</w:t>
            </w:r>
            <w:r>
              <w:rPr>
                <w:rFonts w:hint="eastAsia" w:cs="Times New Roman"/>
                <w:color w:val="auto"/>
                <w:sz w:val="24"/>
                <w:szCs w:val="24"/>
                <w:highlight w:val="none"/>
                <w:lang w:val="en-US" w:eastAsia="zh-CN"/>
              </w:rPr>
              <w:t>物</w:t>
            </w:r>
            <w:r>
              <w:rPr>
                <w:rFonts w:hint="default" w:ascii="Times New Roman" w:hAnsi="Times New Roman" w:eastAsia="宋体" w:cs="Times New Roman"/>
                <w:color w:val="auto"/>
                <w:sz w:val="24"/>
                <w:szCs w:val="24"/>
                <w:highlight w:val="none"/>
                <w:lang w:val="en-US" w:eastAsia="zh-CN"/>
              </w:rPr>
              <w:t>主要为破碎、</w:t>
            </w:r>
            <w:r>
              <w:rPr>
                <w:rFonts w:hint="eastAsia" w:eastAsia="宋体" w:cs="Times New Roman"/>
                <w:color w:val="auto"/>
                <w:sz w:val="24"/>
                <w:szCs w:val="24"/>
                <w:highlight w:val="none"/>
                <w:lang w:val="en-US" w:eastAsia="zh-CN"/>
              </w:rPr>
              <w:t>筛分、</w:t>
            </w:r>
            <w:r>
              <w:rPr>
                <w:rFonts w:hint="default" w:ascii="Times New Roman" w:hAnsi="Times New Roman" w:eastAsia="宋体" w:cs="Times New Roman"/>
                <w:color w:val="auto"/>
                <w:sz w:val="24"/>
                <w:szCs w:val="24"/>
                <w:highlight w:val="none"/>
                <w:lang w:val="en-US" w:eastAsia="zh-CN"/>
              </w:rPr>
              <w:t>搅拌、物料运输等过程中产生的</w:t>
            </w:r>
            <w:r>
              <w:rPr>
                <w:rFonts w:hint="eastAsia" w:cs="Times New Roman"/>
                <w:color w:val="auto"/>
                <w:sz w:val="24"/>
                <w:szCs w:val="24"/>
                <w:highlight w:val="none"/>
                <w:lang w:val="en-US" w:eastAsia="zh-CN"/>
              </w:rPr>
              <w:t>颗粒物，不属于土壤污染因子。物料堆存及生产作业均在封闭式厂房内进行，</w:t>
            </w:r>
            <w:r>
              <w:rPr>
                <w:rFonts w:hint="default" w:ascii="Times New Roman" w:hAnsi="Times New Roman" w:eastAsia="宋体" w:cs="Times New Roman"/>
                <w:color w:val="auto"/>
                <w:sz w:val="24"/>
                <w:szCs w:val="24"/>
                <w:highlight w:val="none"/>
                <w:lang w:val="en-US" w:eastAsia="zh-CN"/>
              </w:rPr>
              <w:t>且</w:t>
            </w:r>
            <w:r>
              <w:rPr>
                <w:rFonts w:hint="eastAsia" w:eastAsia="宋体" w:cs="Times New Roman"/>
                <w:color w:val="auto"/>
                <w:sz w:val="24"/>
                <w:szCs w:val="24"/>
                <w:highlight w:val="none"/>
                <w:lang w:val="en-US" w:eastAsia="zh-CN"/>
              </w:rPr>
              <w:t>厂房顶部</w:t>
            </w:r>
            <w:r>
              <w:rPr>
                <w:rFonts w:hint="default" w:ascii="Times New Roman" w:hAnsi="Times New Roman" w:cs="Times New Roman"/>
                <w:color w:val="auto"/>
                <w:sz w:val="24"/>
                <w:szCs w:val="24"/>
                <w:highlight w:val="none"/>
                <w:lang w:val="en-US" w:eastAsia="zh-CN"/>
              </w:rPr>
              <w:t>装配有</w:t>
            </w:r>
            <w:r>
              <w:rPr>
                <w:rFonts w:hint="eastAsia" w:eastAsia="宋体" w:cs="Times New Roman"/>
                <w:color w:val="auto"/>
                <w:sz w:val="24"/>
                <w:szCs w:val="24"/>
                <w:highlight w:val="none"/>
                <w:lang w:val="en-US" w:eastAsia="zh-CN"/>
              </w:rPr>
              <w:t>雾化喷淋装置</w:t>
            </w:r>
            <w:r>
              <w:rPr>
                <w:rFonts w:hint="default" w:ascii="Times New Roman" w:hAnsi="Times New Roman" w:eastAsia="宋体" w:cs="Times New Roman"/>
                <w:color w:val="auto"/>
                <w:sz w:val="24"/>
                <w:szCs w:val="24"/>
                <w:highlight w:val="none"/>
                <w:lang w:val="en-US" w:eastAsia="zh-CN"/>
              </w:rPr>
              <w:t>；</w:t>
            </w:r>
            <w:r>
              <w:rPr>
                <w:rFonts w:hint="eastAsia" w:eastAsia="宋体" w:cs="Times New Roman"/>
                <w:color w:val="auto"/>
                <w:sz w:val="24"/>
                <w:szCs w:val="24"/>
                <w:highlight w:val="none"/>
                <w:lang w:val="en-US" w:eastAsia="zh-CN"/>
              </w:rPr>
              <w:t>破碎、筛分粉尘由集气罩收集后经袋式除尘器处理后厂房内无组织排放；</w:t>
            </w:r>
            <w:r>
              <w:rPr>
                <w:rFonts w:hint="eastAsia" w:cs="Times New Roman"/>
                <w:color w:val="auto"/>
                <w:sz w:val="24"/>
                <w:szCs w:val="24"/>
                <w:highlight w:val="none"/>
                <w:lang w:val="en-US" w:eastAsia="zh-CN"/>
              </w:rPr>
              <w:t>水泥筒仓粉尘经脉冲式袋式除尘器处理后厂房内无组织排放；</w:t>
            </w:r>
            <w:r>
              <w:rPr>
                <w:rFonts w:hint="default" w:ascii="Times New Roman" w:hAnsi="Times New Roman" w:eastAsia="宋体" w:cs="Times New Roman"/>
                <w:color w:val="auto"/>
                <w:sz w:val="24"/>
                <w:szCs w:val="24"/>
                <w:highlight w:val="none"/>
                <w:lang w:val="en-US" w:eastAsia="zh-CN"/>
              </w:rPr>
              <w:t>搅拌粉尘通过集气</w:t>
            </w:r>
            <w:r>
              <w:rPr>
                <w:rFonts w:hint="eastAsia" w:cs="Times New Roman"/>
                <w:color w:val="auto"/>
                <w:sz w:val="24"/>
                <w:szCs w:val="24"/>
                <w:highlight w:val="none"/>
                <w:lang w:val="en-US" w:eastAsia="zh-CN"/>
              </w:rPr>
              <w:t>设备</w:t>
            </w:r>
            <w:r>
              <w:rPr>
                <w:rFonts w:hint="default" w:ascii="Times New Roman" w:hAnsi="Times New Roman" w:eastAsia="宋体" w:cs="Times New Roman"/>
                <w:color w:val="auto"/>
                <w:sz w:val="24"/>
                <w:szCs w:val="24"/>
                <w:highlight w:val="none"/>
                <w:lang w:val="en-US" w:eastAsia="zh-CN"/>
              </w:rPr>
              <w:t>收集后经袋式除尘器处理</w:t>
            </w:r>
            <w:r>
              <w:rPr>
                <w:rFonts w:hint="eastAsia" w:eastAsia="宋体" w:cs="Times New Roman"/>
                <w:color w:val="auto"/>
                <w:sz w:val="24"/>
                <w:szCs w:val="24"/>
                <w:highlight w:val="none"/>
                <w:lang w:val="en-US" w:eastAsia="zh-CN"/>
              </w:rPr>
              <w:t>在厂房内无组织</w:t>
            </w:r>
            <w:r>
              <w:rPr>
                <w:rFonts w:hint="default" w:ascii="Times New Roman" w:hAnsi="Times New Roman" w:eastAsia="宋体" w:cs="Times New Roman"/>
                <w:color w:val="auto"/>
                <w:sz w:val="24"/>
                <w:szCs w:val="24"/>
                <w:highlight w:val="none"/>
                <w:lang w:val="en-US" w:eastAsia="zh-CN"/>
              </w:rPr>
              <w:t>排放</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运输车辆扬尘等经喷雾、洒水等治理后</w:t>
            </w:r>
            <w:r>
              <w:rPr>
                <w:rFonts w:hint="eastAsia"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颗粒物排放</w:t>
            </w:r>
            <w:r>
              <w:rPr>
                <w:rFonts w:hint="default" w:ascii="Times New Roman" w:hAnsi="Times New Roman" w:cs="Times New Roman"/>
                <w:color w:val="auto"/>
                <w:sz w:val="24"/>
                <w:szCs w:val="24"/>
                <w:highlight w:val="none"/>
                <w:lang w:val="en-US" w:eastAsia="zh-CN"/>
              </w:rPr>
              <w:t>可得到有效控制</w:t>
            </w:r>
            <w:r>
              <w:rPr>
                <w:rFonts w:hint="default" w:ascii="Times New Roman" w:hAnsi="Times New Roman" w:eastAsia="宋体" w:cs="Times New Roman"/>
                <w:color w:val="auto"/>
                <w:sz w:val="24"/>
                <w:szCs w:val="24"/>
                <w:highlight w:val="none"/>
                <w:lang w:val="en-US" w:eastAsia="zh-CN"/>
              </w:rPr>
              <w:t>。</w:t>
            </w:r>
          </w:p>
          <w:p w14:paraId="6B6C68DE">
            <w:pPr>
              <w:adjustRightInd w:val="0"/>
              <w:snapToGrid w:val="0"/>
              <w:ind w:firstLine="480" w:firstLineChars="200"/>
              <w:rPr>
                <w:rFonts w:hint="eastAsia" w:cs="Times New Roman" w:eastAsiaTheme="minorEastAsia"/>
                <w:color w:val="auto"/>
                <w:highlight w:val="none"/>
                <w:lang w:eastAsia="zh-CN"/>
              </w:rPr>
            </w:pPr>
            <w:r>
              <w:rPr>
                <w:rFonts w:cs="Times New Roman"/>
                <w:color w:val="auto"/>
                <w:highlight w:val="none"/>
              </w:rPr>
              <w:t>综上所述，建设单位在做好土壤和地下水污染防控措施和日常管理维护工作后，项目的运行不会对项目所在区域的土壤和地下水环境产生影响</w:t>
            </w:r>
            <w:r>
              <w:rPr>
                <w:rFonts w:hint="eastAsia" w:cs="Times New Roman"/>
                <w:color w:val="auto"/>
                <w:highlight w:val="none"/>
                <w:lang w:eastAsia="zh-CN"/>
              </w:rPr>
              <w:t>。</w:t>
            </w:r>
          </w:p>
          <w:p w14:paraId="18B05FAC">
            <w:pPr>
              <w:adjustRightInd w:val="0"/>
              <w:snapToGrid w:val="0"/>
              <w:ind w:firstLine="442" w:firstLineChars="200"/>
              <w:rPr>
                <w:rFonts w:hint="default" w:ascii="Times New Roman" w:hAnsi="Times New Roman" w:eastAsia="宋体" w:cs="Times New Roman"/>
                <w:b/>
                <w:bCs/>
                <w:color w:val="auto"/>
                <w:highlight w:val="none"/>
              </w:rPr>
            </w:pPr>
            <w:r>
              <w:rPr>
                <w:rFonts w:hint="eastAsia" w:ascii="Times New Roman" w:hAnsi="Times New Roman" w:cs="Times New Roman"/>
                <w:b/>
                <w:color w:val="auto"/>
                <w:spacing w:val="-10"/>
                <w:sz w:val="24"/>
                <w:highlight w:val="none"/>
                <w:lang w:eastAsia="zh-CN"/>
              </w:rPr>
              <w:t>（</w:t>
            </w:r>
            <w:r>
              <w:rPr>
                <w:rFonts w:hint="eastAsia" w:ascii="Times New Roman" w:hAnsi="Times New Roman" w:cs="Times New Roman"/>
                <w:b/>
                <w:color w:val="auto"/>
                <w:spacing w:val="-10"/>
                <w:sz w:val="24"/>
                <w:highlight w:val="none"/>
                <w:lang w:val="en-US" w:eastAsia="zh-CN"/>
              </w:rPr>
              <w:t>六</w:t>
            </w:r>
            <w:r>
              <w:rPr>
                <w:rFonts w:hint="eastAsia" w:ascii="Times New Roman" w:hAnsi="Times New Roman" w:cs="Times New Roman"/>
                <w:b/>
                <w:color w:val="auto"/>
                <w:spacing w:val="-10"/>
                <w:sz w:val="24"/>
                <w:highlight w:val="none"/>
                <w:lang w:eastAsia="zh-CN"/>
              </w:rPr>
              <w:t>）</w:t>
            </w:r>
            <w:r>
              <w:rPr>
                <w:rFonts w:hint="default" w:ascii="Times New Roman" w:hAnsi="Times New Roman" w:eastAsia="宋体" w:cs="Times New Roman"/>
                <w:b/>
                <w:bCs/>
                <w:color w:val="auto"/>
                <w:highlight w:val="none"/>
              </w:rPr>
              <w:t>环境风险影响分析</w:t>
            </w:r>
          </w:p>
          <w:p w14:paraId="7D874FFE">
            <w:pPr>
              <w:adjustRightInd w:val="0"/>
              <w:snapToGrid w:val="0"/>
              <w:ind w:firstLine="482" w:firstLineChars="200"/>
              <w:rPr>
                <w:rFonts w:hint="eastAsia" w:eastAsia="宋体" w:cs="Times New Roman"/>
                <w:color w:val="auto"/>
                <w:kern w:val="0"/>
                <w:sz w:val="24"/>
                <w:szCs w:val="24"/>
                <w:highlight w:val="none"/>
                <w:lang w:val="en-US" w:eastAsia="zh-CN"/>
              </w:rPr>
            </w:pPr>
            <w:r>
              <w:rPr>
                <w:rFonts w:hint="eastAsia" w:eastAsia="宋体" w:cs="Times New Roman"/>
                <w:b/>
                <w:bCs/>
                <w:color w:val="auto"/>
                <w:kern w:val="0"/>
                <w:sz w:val="24"/>
                <w:szCs w:val="24"/>
                <w:highlight w:val="none"/>
                <w:lang w:val="en-US" w:eastAsia="zh-CN"/>
              </w:rPr>
              <w:t>1、危险物质和风险源分布</w:t>
            </w:r>
          </w:p>
          <w:p w14:paraId="09CA53B5">
            <w:pPr>
              <w:adjustRightInd w:val="0"/>
              <w:snapToGrid w:val="0"/>
              <w:ind w:firstLine="480" w:firstLineChars="200"/>
              <w:rPr>
                <w:rFonts w:hint="default" w:ascii="Times New Roman" w:hAnsi="Times New Roman" w:eastAsia="宋体" w:cs="Times New Roman"/>
                <w:color w:val="auto"/>
                <w:highlight w:val="none"/>
                <w:lang w:val="zh-CN"/>
              </w:rPr>
            </w:pPr>
            <w:r>
              <w:rPr>
                <w:rFonts w:hint="eastAsia" w:eastAsia="宋体" w:cs="Times New Roman"/>
                <w:color w:val="auto"/>
                <w:kern w:val="0"/>
                <w:sz w:val="24"/>
                <w:szCs w:val="24"/>
                <w:highlight w:val="none"/>
                <w:lang w:val="en-US" w:eastAsia="zh-CN"/>
              </w:rPr>
              <w:t>本项目不设置机油储存设施，运输车辆保养依托项目周边汽修厂，</w:t>
            </w:r>
            <w:r>
              <w:rPr>
                <w:rFonts w:hint="default" w:ascii="Times New Roman" w:hAnsi="Times New Roman" w:eastAsia="宋体" w:cs="Times New Roman"/>
                <w:color w:val="auto"/>
                <w:kern w:val="0"/>
                <w:sz w:val="24"/>
                <w:szCs w:val="24"/>
                <w:highlight w:val="none"/>
                <w:lang w:val="zh-CN"/>
              </w:rPr>
              <w:t>项目设备运行及加工过程中对设备进行简单的保养，会用到机油，产生少量的废机油</w:t>
            </w:r>
            <w:r>
              <w:rPr>
                <w:rFonts w:hint="eastAsia" w:eastAsia="宋体" w:cs="Times New Roman"/>
                <w:color w:val="auto"/>
                <w:kern w:val="0"/>
                <w:sz w:val="24"/>
                <w:szCs w:val="24"/>
                <w:highlight w:val="none"/>
                <w:lang w:val="zh-CN"/>
              </w:rPr>
              <w:t>、</w:t>
            </w:r>
            <w:r>
              <w:rPr>
                <w:rFonts w:hint="eastAsia" w:eastAsia="宋体" w:cs="Times New Roman"/>
                <w:color w:val="auto"/>
                <w:kern w:val="0"/>
                <w:sz w:val="24"/>
                <w:szCs w:val="24"/>
                <w:highlight w:val="none"/>
                <w:lang w:val="en-US" w:eastAsia="zh-CN"/>
              </w:rPr>
              <w:t>废油桶、废含油抹布等</w:t>
            </w:r>
            <w:r>
              <w:rPr>
                <w:rFonts w:hint="default" w:ascii="Times New Roman" w:hAnsi="Times New Roman" w:eastAsia="宋体" w:cs="Times New Roman"/>
                <w:color w:val="auto"/>
                <w:kern w:val="0"/>
                <w:sz w:val="24"/>
                <w:szCs w:val="24"/>
                <w:highlight w:val="none"/>
                <w:lang w:val="zh-CN"/>
              </w:rPr>
              <w:t>。在储存和使用的过程中，如果管理操作不当或发生意外事故，存在</w:t>
            </w:r>
            <w:r>
              <w:rPr>
                <w:rFonts w:hint="eastAsia" w:eastAsia="宋体" w:cs="Times New Roman"/>
                <w:color w:val="auto"/>
                <w:kern w:val="0"/>
                <w:sz w:val="24"/>
                <w:szCs w:val="24"/>
                <w:highlight w:val="none"/>
                <w:lang w:val="zh-CN"/>
              </w:rPr>
              <w:t>着</w:t>
            </w:r>
            <w:r>
              <w:rPr>
                <w:rFonts w:hint="default" w:ascii="Times New Roman" w:hAnsi="Times New Roman" w:eastAsia="宋体" w:cs="Times New Roman"/>
                <w:color w:val="auto"/>
                <w:kern w:val="0"/>
                <w:sz w:val="24"/>
                <w:szCs w:val="24"/>
                <w:highlight w:val="none"/>
                <w:lang w:val="zh-CN"/>
              </w:rPr>
              <w:t>火、</w:t>
            </w:r>
            <w:r>
              <w:rPr>
                <w:rFonts w:hint="eastAsia" w:eastAsia="宋体" w:cs="Times New Roman"/>
                <w:color w:val="auto"/>
                <w:kern w:val="0"/>
                <w:sz w:val="24"/>
                <w:szCs w:val="24"/>
                <w:highlight w:val="none"/>
                <w:lang w:val="zh-CN"/>
              </w:rPr>
              <w:t>泄漏</w:t>
            </w:r>
            <w:r>
              <w:rPr>
                <w:rFonts w:hint="default" w:ascii="Times New Roman" w:hAnsi="Times New Roman" w:eastAsia="宋体" w:cs="Times New Roman"/>
                <w:color w:val="auto"/>
                <w:kern w:val="0"/>
                <w:sz w:val="24"/>
                <w:szCs w:val="24"/>
                <w:highlight w:val="none"/>
                <w:lang w:val="zh-CN"/>
              </w:rPr>
              <w:t>等事故风险。一旦发生这类事故，会对周围环境和人员的安全产生重大隐患。</w:t>
            </w:r>
          </w:p>
          <w:p w14:paraId="1752B0E8">
            <w:pPr>
              <w:adjustRightInd w:val="0"/>
              <w:snapToGrid w:val="0"/>
              <w:ind w:firstLine="480" w:firstLineChars="200"/>
              <w:rPr>
                <w:rFonts w:hint="default" w:ascii="Times New Roman" w:hAnsi="Times New Roman" w:eastAsia="宋体" w:cs="Times New Roman"/>
                <w:color w:val="auto"/>
                <w:highlight w:val="none"/>
                <w:lang w:val="zh-CN"/>
              </w:rPr>
            </w:pPr>
            <w:r>
              <w:rPr>
                <w:rFonts w:hint="default" w:ascii="Times New Roman" w:hAnsi="Times New Roman" w:eastAsia="宋体" w:cs="Times New Roman"/>
                <w:color w:val="auto"/>
                <w:highlight w:val="none"/>
                <w:lang w:val="zh-CN"/>
              </w:rPr>
              <w:t>根据建设项目危险物质数量和分布情况、生产工艺特点，以及参考《建设项目环境风险评价技术导则》（H</w:t>
            </w:r>
            <w:r>
              <w:rPr>
                <w:rFonts w:hint="eastAsia" w:eastAsia="宋体" w:cs="Times New Roman"/>
                <w:color w:val="auto"/>
                <w:highlight w:val="none"/>
                <w:lang w:val="en-US" w:eastAsia="zh-CN"/>
              </w:rPr>
              <w:t>J 1</w:t>
            </w:r>
            <w:r>
              <w:rPr>
                <w:rFonts w:hint="default" w:ascii="Times New Roman" w:hAnsi="Times New Roman" w:eastAsia="宋体" w:cs="Times New Roman"/>
                <w:color w:val="auto"/>
                <w:highlight w:val="none"/>
                <w:lang w:val="zh-CN"/>
              </w:rPr>
              <w:t>69-2018）可知本项目运营过程中投入和产出中涉及的危险物质为：废机油。</w:t>
            </w:r>
          </w:p>
          <w:p w14:paraId="2F951B94">
            <w:pPr>
              <w:adjustRightInd w:val="0"/>
              <w:snapToGrid w:val="0"/>
              <w:spacing w:line="240" w:lineRule="auto"/>
              <w:jc w:val="center"/>
              <w:rPr>
                <w:rFonts w:hint="default" w:ascii="Times New Roman" w:hAnsi="Times New Roman" w:eastAsia="宋体" w:cs="Times New Roman"/>
                <w:b/>
                <w:color w:val="auto"/>
                <w:sz w:val="22"/>
                <w:highlight w:val="none"/>
              </w:rPr>
            </w:pPr>
            <w:r>
              <w:rPr>
                <w:rFonts w:hint="default" w:ascii="Times New Roman" w:hAnsi="Times New Roman" w:eastAsia="宋体" w:cs="Times New Roman"/>
                <w:b/>
                <w:color w:val="auto"/>
                <w:sz w:val="22"/>
                <w:highlight w:val="none"/>
              </w:rPr>
              <w:t>表4-</w:t>
            </w:r>
            <w:r>
              <w:rPr>
                <w:rFonts w:hint="eastAsia" w:eastAsia="宋体" w:cs="Times New Roman"/>
                <w:b/>
                <w:color w:val="auto"/>
                <w:sz w:val="22"/>
                <w:highlight w:val="none"/>
                <w:lang w:val="en-US" w:eastAsia="zh-CN"/>
              </w:rPr>
              <w:t>9</w:t>
            </w:r>
            <w:r>
              <w:rPr>
                <w:rFonts w:hint="default" w:ascii="Times New Roman" w:hAnsi="Times New Roman" w:eastAsia="宋体" w:cs="Times New Roman"/>
                <w:b/>
                <w:color w:val="auto"/>
                <w:sz w:val="22"/>
                <w:highlight w:val="none"/>
              </w:rPr>
              <w:t xml:space="preserve"> 建设项目环境风险识别表</w:t>
            </w:r>
          </w:p>
          <w:tbl>
            <w:tblPr>
              <w:tblStyle w:val="24"/>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949"/>
              <w:gridCol w:w="1842"/>
              <w:gridCol w:w="1669"/>
              <w:gridCol w:w="1357"/>
              <w:gridCol w:w="1390"/>
            </w:tblGrid>
            <w:tr w14:paraId="091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shd w:val="clear" w:color="auto" w:fill="auto"/>
                  <w:vAlign w:val="center"/>
                </w:tcPr>
                <w:p w14:paraId="4415815E">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序号</w:t>
                  </w:r>
                </w:p>
              </w:tc>
              <w:tc>
                <w:tcPr>
                  <w:tcW w:w="1068" w:type="pct"/>
                  <w:shd w:val="clear" w:color="auto" w:fill="auto"/>
                  <w:vAlign w:val="center"/>
                </w:tcPr>
                <w:p w14:paraId="08EE4807">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风险源</w:t>
                  </w:r>
                </w:p>
              </w:tc>
              <w:tc>
                <w:tcPr>
                  <w:tcW w:w="1010" w:type="pct"/>
                  <w:shd w:val="clear" w:color="auto" w:fill="auto"/>
                  <w:vAlign w:val="center"/>
                </w:tcPr>
                <w:p w14:paraId="3B036067">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主要</w:t>
                  </w:r>
                  <w:r>
                    <w:rPr>
                      <w:rFonts w:hint="eastAsia" w:eastAsia="宋体" w:cs="Times New Roman"/>
                      <w:b/>
                      <w:bCs/>
                      <w:color w:val="auto"/>
                      <w:kern w:val="0"/>
                      <w:sz w:val="22"/>
                      <w:highlight w:val="none"/>
                      <w:lang w:val="en-US" w:eastAsia="zh-CN"/>
                    </w:rPr>
                    <w:t>风险</w:t>
                  </w:r>
                  <w:r>
                    <w:rPr>
                      <w:rFonts w:hint="default" w:ascii="Times New Roman" w:hAnsi="Times New Roman" w:eastAsia="宋体" w:cs="Times New Roman"/>
                      <w:b/>
                      <w:bCs/>
                      <w:color w:val="auto"/>
                      <w:kern w:val="0"/>
                      <w:sz w:val="22"/>
                      <w:highlight w:val="none"/>
                    </w:rPr>
                    <w:t>物质</w:t>
                  </w:r>
                </w:p>
              </w:tc>
              <w:tc>
                <w:tcPr>
                  <w:tcW w:w="915" w:type="pct"/>
                  <w:shd w:val="clear" w:color="auto" w:fill="auto"/>
                  <w:vAlign w:val="center"/>
                </w:tcPr>
                <w:p w14:paraId="2F345AB8">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最大储存量t/a</w:t>
                  </w:r>
                </w:p>
              </w:tc>
              <w:tc>
                <w:tcPr>
                  <w:tcW w:w="744" w:type="pct"/>
                  <w:shd w:val="clear" w:color="auto" w:fill="auto"/>
                  <w:vAlign w:val="center"/>
                </w:tcPr>
                <w:p w14:paraId="3CFA1877">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临界量t/a</w:t>
                  </w:r>
                </w:p>
              </w:tc>
              <w:tc>
                <w:tcPr>
                  <w:tcW w:w="762" w:type="pct"/>
                  <w:shd w:val="clear" w:color="auto" w:fill="auto"/>
                  <w:vAlign w:val="center"/>
                </w:tcPr>
                <w:p w14:paraId="6B19BC3D">
                  <w:pPr>
                    <w:adjustRightInd w:val="0"/>
                    <w:snapToGrid w:val="0"/>
                    <w:spacing w:line="240" w:lineRule="auto"/>
                    <w:jc w:val="center"/>
                    <w:rPr>
                      <w:rFonts w:hint="default" w:ascii="Times New Roman" w:hAnsi="Times New Roman" w:eastAsia="宋体" w:cs="Times New Roman"/>
                      <w:b/>
                      <w:bCs/>
                      <w:color w:val="auto"/>
                      <w:kern w:val="0"/>
                      <w:sz w:val="22"/>
                      <w:highlight w:val="none"/>
                    </w:rPr>
                  </w:pPr>
                  <w:r>
                    <w:rPr>
                      <w:rFonts w:hint="default" w:ascii="Times New Roman" w:hAnsi="Times New Roman" w:eastAsia="宋体" w:cs="Times New Roman"/>
                      <w:b/>
                      <w:bCs/>
                      <w:color w:val="auto"/>
                      <w:kern w:val="0"/>
                      <w:sz w:val="22"/>
                      <w:highlight w:val="none"/>
                    </w:rPr>
                    <w:t>Q值</w:t>
                  </w:r>
                </w:p>
              </w:tc>
            </w:tr>
            <w:tr w14:paraId="488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pct"/>
                  <w:shd w:val="clear" w:color="auto" w:fill="auto"/>
                  <w:vAlign w:val="center"/>
                </w:tcPr>
                <w:p w14:paraId="64B1E9AE">
                  <w:pPr>
                    <w:adjustRightInd w:val="0"/>
                    <w:snapToGrid w:val="0"/>
                    <w:spacing w:line="240" w:lineRule="auto"/>
                    <w:jc w:val="center"/>
                    <w:rPr>
                      <w:rFonts w:hint="default" w:ascii="Times New Roman" w:hAnsi="Times New Roman" w:eastAsia="宋体" w:cs="Times New Roman"/>
                      <w:color w:val="auto"/>
                      <w:kern w:val="0"/>
                      <w:sz w:val="22"/>
                      <w:highlight w:val="none"/>
                      <w:lang w:eastAsia="zh-CN"/>
                    </w:rPr>
                  </w:pPr>
                  <w:r>
                    <w:rPr>
                      <w:rFonts w:hint="eastAsia" w:eastAsia="宋体" w:cs="Times New Roman"/>
                      <w:color w:val="auto"/>
                      <w:kern w:val="0"/>
                      <w:sz w:val="22"/>
                      <w:highlight w:val="none"/>
                      <w:lang w:val="en-US" w:eastAsia="zh-CN"/>
                    </w:rPr>
                    <w:t>1</w:t>
                  </w:r>
                </w:p>
              </w:tc>
              <w:tc>
                <w:tcPr>
                  <w:tcW w:w="1068" w:type="pct"/>
                  <w:shd w:val="clear" w:color="auto" w:fill="auto"/>
                  <w:vAlign w:val="center"/>
                </w:tcPr>
                <w:p w14:paraId="336F4D86">
                  <w:pPr>
                    <w:adjustRightInd w:val="0"/>
                    <w:snapToGrid w:val="0"/>
                    <w:spacing w:line="240" w:lineRule="auto"/>
                    <w:jc w:val="center"/>
                    <w:rPr>
                      <w:rFonts w:hint="default" w:ascii="Times New Roman" w:hAnsi="Times New Roman" w:eastAsia="宋体" w:cs="Times New Roman"/>
                      <w:color w:val="auto"/>
                      <w:kern w:val="0"/>
                      <w:sz w:val="22"/>
                      <w:highlight w:val="none"/>
                      <w:lang w:eastAsia="zh-CN"/>
                    </w:rPr>
                  </w:pPr>
                  <w:r>
                    <w:rPr>
                      <w:rFonts w:hint="default" w:ascii="Times New Roman" w:hAnsi="Times New Roman" w:eastAsia="宋体" w:cs="Times New Roman"/>
                      <w:color w:val="auto"/>
                      <w:sz w:val="22"/>
                      <w:highlight w:val="none"/>
                      <w:lang w:eastAsia="zh-CN"/>
                    </w:rPr>
                    <w:t>危废贮存</w:t>
                  </w:r>
                  <w:r>
                    <w:rPr>
                      <w:rFonts w:hint="eastAsia" w:eastAsia="宋体" w:cs="Times New Roman"/>
                      <w:color w:val="auto"/>
                      <w:sz w:val="22"/>
                      <w:highlight w:val="none"/>
                      <w:lang w:val="en-US" w:eastAsia="zh-CN"/>
                    </w:rPr>
                    <w:t>点</w:t>
                  </w:r>
                </w:p>
              </w:tc>
              <w:tc>
                <w:tcPr>
                  <w:tcW w:w="1010" w:type="pct"/>
                  <w:shd w:val="clear" w:color="auto" w:fill="auto"/>
                  <w:vAlign w:val="center"/>
                </w:tcPr>
                <w:p w14:paraId="60E594B4">
                  <w:pPr>
                    <w:adjustRightInd w:val="0"/>
                    <w:snapToGrid w:val="0"/>
                    <w:spacing w:line="240"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废机油</w:t>
                  </w:r>
                </w:p>
              </w:tc>
              <w:tc>
                <w:tcPr>
                  <w:tcW w:w="915" w:type="pct"/>
                  <w:shd w:val="clear" w:color="auto" w:fill="auto"/>
                  <w:vAlign w:val="center"/>
                </w:tcPr>
                <w:p w14:paraId="6060C456">
                  <w:pPr>
                    <w:adjustRightInd w:val="0"/>
                    <w:snapToGrid w:val="0"/>
                    <w:spacing w:line="240" w:lineRule="auto"/>
                    <w:jc w:val="center"/>
                    <w:rPr>
                      <w:rFonts w:hint="default" w:ascii="Times New Roman" w:hAnsi="Times New Roman" w:eastAsia="宋体" w:cs="Times New Roman"/>
                      <w:color w:val="auto"/>
                      <w:sz w:val="22"/>
                      <w:highlight w:val="none"/>
                      <w:lang w:val="en-US" w:eastAsia="zh-CN"/>
                    </w:rPr>
                  </w:pPr>
                  <w:r>
                    <w:rPr>
                      <w:rFonts w:hint="eastAsia" w:eastAsia="宋体" w:cs="Times New Roman"/>
                      <w:color w:val="auto"/>
                      <w:sz w:val="22"/>
                      <w:highlight w:val="none"/>
                      <w:lang w:val="en-US" w:eastAsia="zh-CN"/>
                    </w:rPr>
                    <w:t>0.06</w:t>
                  </w:r>
                </w:p>
              </w:tc>
              <w:tc>
                <w:tcPr>
                  <w:tcW w:w="744" w:type="pct"/>
                  <w:shd w:val="clear" w:color="auto" w:fill="auto"/>
                  <w:vAlign w:val="center"/>
                </w:tcPr>
                <w:p w14:paraId="678DE195">
                  <w:pPr>
                    <w:adjustRightInd w:val="0"/>
                    <w:snapToGrid w:val="0"/>
                    <w:spacing w:line="240" w:lineRule="auto"/>
                    <w:jc w:val="center"/>
                    <w:rPr>
                      <w:rFonts w:hint="default" w:ascii="Times New Roman" w:hAnsi="Times New Roman" w:eastAsia="宋体" w:cs="Times New Roman"/>
                      <w:color w:val="auto"/>
                      <w:kern w:val="0"/>
                      <w:sz w:val="22"/>
                      <w:highlight w:val="none"/>
                      <w:lang w:val="en-US" w:eastAsia="zh-CN"/>
                    </w:rPr>
                  </w:pPr>
                  <w:r>
                    <w:rPr>
                      <w:rFonts w:hint="eastAsia" w:eastAsia="宋体" w:cs="Times New Roman"/>
                      <w:color w:val="auto"/>
                      <w:kern w:val="0"/>
                      <w:sz w:val="22"/>
                      <w:highlight w:val="none"/>
                      <w:lang w:val="en-US" w:eastAsia="zh-CN"/>
                    </w:rPr>
                    <w:t>50</w:t>
                  </w:r>
                </w:p>
              </w:tc>
              <w:tc>
                <w:tcPr>
                  <w:tcW w:w="762" w:type="pct"/>
                  <w:shd w:val="clear" w:color="auto" w:fill="auto"/>
                  <w:vAlign w:val="center"/>
                </w:tcPr>
                <w:p w14:paraId="355B37A6">
                  <w:pPr>
                    <w:adjustRightInd w:val="0"/>
                    <w:snapToGrid w:val="0"/>
                    <w:spacing w:line="240" w:lineRule="auto"/>
                    <w:jc w:val="center"/>
                    <w:rPr>
                      <w:rFonts w:hint="default" w:ascii="Times New Roman" w:hAnsi="Times New Roman" w:eastAsia="宋体" w:cs="Times New Roman"/>
                      <w:color w:val="auto"/>
                      <w:sz w:val="22"/>
                      <w:highlight w:val="none"/>
                      <w:lang w:val="en-US" w:eastAsia="zh-CN"/>
                    </w:rPr>
                  </w:pPr>
                  <w:r>
                    <w:rPr>
                      <w:rFonts w:hint="eastAsia" w:eastAsia="宋体" w:cs="Times New Roman"/>
                      <w:color w:val="auto"/>
                      <w:sz w:val="22"/>
                      <w:highlight w:val="none"/>
                      <w:lang w:val="en-US" w:eastAsia="zh-CN"/>
                    </w:rPr>
                    <w:t>0.0012</w:t>
                  </w:r>
                </w:p>
              </w:tc>
            </w:tr>
            <w:tr w14:paraId="6331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pct"/>
                  <w:gridSpan w:val="5"/>
                  <w:shd w:val="clear" w:color="auto" w:fill="auto"/>
                  <w:vAlign w:val="center"/>
                </w:tcPr>
                <w:p w14:paraId="779945EB">
                  <w:pPr>
                    <w:adjustRightInd w:val="0"/>
                    <w:snapToGrid w:val="0"/>
                    <w:spacing w:line="240" w:lineRule="auto"/>
                    <w:jc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合计</w:t>
                  </w:r>
                </w:p>
              </w:tc>
              <w:tc>
                <w:tcPr>
                  <w:tcW w:w="762" w:type="pct"/>
                  <w:shd w:val="clear" w:color="auto" w:fill="auto"/>
                  <w:vAlign w:val="center"/>
                </w:tcPr>
                <w:p w14:paraId="461BE103">
                  <w:pPr>
                    <w:adjustRightInd w:val="0"/>
                    <w:snapToGrid w:val="0"/>
                    <w:spacing w:line="240" w:lineRule="auto"/>
                    <w:jc w:val="center"/>
                    <w:rPr>
                      <w:rFonts w:hint="default" w:ascii="Times New Roman" w:hAnsi="Times New Roman" w:eastAsia="宋体" w:cs="Times New Roman"/>
                      <w:color w:val="auto"/>
                      <w:kern w:val="0"/>
                      <w:sz w:val="22"/>
                      <w:highlight w:val="none"/>
                      <w:lang w:val="en-US" w:eastAsia="zh-CN"/>
                    </w:rPr>
                  </w:pPr>
                  <w:r>
                    <w:rPr>
                      <w:rFonts w:hint="eastAsia" w:eastAsia="宋体" w:cs="Times New Roman"/>
                      <w:color w:val="auto"/>
                      <w:kern w:val="0"/>
                      <w:sz w:val="22"/>
                      <w:highlight w:val="none"/>
                      <w:lang w:val="en-US" w:eastAsia="zh-CN"/>
                    </w:rPr>
                    <w:t>0.0012</w:t>
                  </w:r>
                </w:p>
              </w:tc>
            </w:tr>
          </w:tbl>
          <w:p w14:paraId="516BB522">
            <w:pPr>
              <w:adjustRightInd w:val="0"/>
              <w:snapToGrid w:val="0"/>
              <w:ind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由上表可知，本项目</w:t>
            </w:r>
            <w:r>
              <w:rPr>
                <w:rFonts w:hint="eastAsia" w:ascii="Times New Roman" w:hAnsi="Times New Roman" w:eastAsia="宋体" w:cs="Times New Roman"/>
                <w:color w:val="auto"/>
                <w:highlight w:val="none"/>
                <w:lang w:val="en-US" w:eastAsia="zh-CN"/>
              </w:rPr>
              <w:t>Q小于1，</w:t>
            </w:r>
            <w:r>
              <w:rPr>
                <w:rFonts w:hint="eastAsia" w:ascii="Times New Roman" w:hAnsi="Times New Roman" w:eastAsia="宋体" w:cs="Times New Roman"/>
                <w:color w:val="auto"/>
                <w:highlight w:val="none"/>
                <w:lang w:eastAsia="zh-CN"/>
              </w:rPr>
              <w:t>根据《建设项目环境风险评价技术导则》(HJ 169-2018)附录B，项目危险物质与临界值的比值Q&lt;1，项目环境风险潜势划分为I级，</w:t>
            </w:r>
            <w:r>
              <w:rPr>
                <w:rFonts w:hint="eastAsia" w:ascii="Times New Roman" w:hAnsi="Times New Roman" w:eastAsia="宋体" w:cs="Times New Roman"/>
                <w:color w:val="auto"/>
                <w:highlight w:val="none"/>
                <w:lang w:val="en-US" w:eastAsia="zh-CN"/>
              </w:rPr>
              <w:t>风险评价等级为简单分析</w:t>
            </w:r>
            <w:r>
              <w:rPr>
                <w:rFonts w:hint="eastAsia" w:ascii="Times New Roman" w:hAnsi="Times New Roman" w:eastAsia="宋体" w:cs="Times New Roman"/>
                <w:color w:val="auto"/>
                <w:highlight w:val="none"/>
                <w:lang w:eastAsia="zh-CN"/>
              </w:rPr>
              <w:t>。</w:t>
            </w:r>
          </w:p>
          <w:p w14:paraId="4540E8BB">
            <w:pPr>
              <w:adjustRightInd w:val="0"/>
              <w:snapToGrid w:val="0"/>
              <w:ind w:firstLine="482" w:firstLineChars="200"/>
              <w:rPr>
                <w:rFonts w:hint="eastAsia" w:ascii="Times New Roman" w:hAnsi="Times New Roman" w:eastAsia="宋体" w:cs="Times New Roman"/>
                <w:b/>
                <w:bCs/>
                <w:color w:val="auto"/>
                <w:highlight w:val="none"/>
                <w:lang w:eastAsia="zh-CN"/>
              </w:rPr>
            </w:pPr>
            <w:r>
              <w:rPr>
                <w:rFonts w:hint="eastAsia" w:eastAsia="宋体" w:cs="Times New Roman"/>
                <w:b/>
                <w:bCs/>
                <w:color w:val="auto"/>
                <w:highlight w:val="none"/>
                <w:lang w:val="en-US" w:eastAsia="zh-CN"/>
              </w:rPr>
              <w:t>2、影响途径</w:t>
            </w:r>
          </w:p>
          <w:p w14:paraId="4B4419A9">
            <w:pPr>
              <w:adjustRightInd w:val="0"/>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4"/>
                <w:highlight w:val="none"/>
              </w:rPr>
              <w:t>本项目危险物质主要</w:t>
            </w:r>
            <w:r>
              <w:rPr>
                <w:rFonts w:hint="default" w:ascii="Times New Roman" w:hAnsi="Times New Roman" w:eastAsia="宋体" w:cs="Times New Roman"/>
                <w:bCs/>
                <w:color w:val="auto"/>
                <w:sz w:val="24"/>
                <w:highlight w:val="none"/>
                <w:lang w:val="en-US" w:eastAsia="zh-CN"/>
              </w:rPr>
              <w:t>为废机油</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根据它们的理化特性分析，属于危险</w:t>
            </w:r>
            <w:r>
              <w:rPr>
                <w:rFonts w:hint="eastAsia" w:ascii="Times New Roman" w:hAnsi="Times New Roman" w:eastAsia="宋体" w:cs="Times New Roman"/>
                <w:bCs/>
                <w:color w:val="auto"/>
                <w:sz w:val="24"/>
                <w:highlight w:val="none"/>
                <w:lang w:val="en-US" w:eastAsia="zh-CN"/>
              </w:rPr>
              <w:t>物质</w:t>
            </w:r>
            <w:r>
              <w:rPr>
                <w:rFonts w:hint="default" w:ascii="Times New Roman" w:hAnsi="Times New Roman" w:eastAsia="宋体" w:cs="Times New Roman"/>
                <w:bCs/>
                <w:color w:val="auto"/>
                <w:sz w:val="24"/>
                <w:highlight w:val="none"/>
                <w:lang w:val="en-US" w:eastAsia="zh-CN"/>
              </w:rPr>
              <w:t>，主要为</w:t>
            </w:r>
            <w:r>
              <w:rPr>
                <w:rFonts w:hint="default" w:ascii="Times New Roman" w:hAnsi="Times New Roman" w:eastAsia="宋体" w:cs="Times New Roman"/>
                <w:bCs/>
                <w:color w:val="auto"/>
                <w:sz w:val="24"/>
                <w:highlight w:val="none"/>
                <w:lang w:eastAsia="zh-CN"/>
              </w:rPr>
              <w:t>可燃、</w:t>
            </w:r>
            <w:r>
              <w:rPr>
                <w:rFonts w:hint="eastAsia" w:ascii="Times New Roman" w:hAnsi="Times New Roman" w:eastAsia="宋体" w:cs="Times New Roman"/>
                <w:bCs/>
                <w:color w:val="auto"/>
                <w:sz w:val="24"/>
                <w:highlight w:val="none"/>
                <w:lang w:eastAsia="zh-CN"/>
              </w:rPr>
              <w:t>有毒</w:t>
            </w:r>
            <w:r>
              <w:rPr>
                <w:rFonts w:hint="default" w:ascii="Times New Roman" w:hAnsi="Times New Roman" w:eastAsia="宋体" w:cs="Times New Roman"/>
                <w:bCs/>
                <w:color w:val="auto"/>
                <w:sz w:val="24"/>
                <w:highlight w:val="none"/>
                <w:lang w:eastAsia="zh-CN"/>
              </w:rPr>
              <w:t>有害物质</w:t>
            </w:r>
            <w:r>
              <w:rPr>
                <w:rFonts w:hint="default" w:ascii="Times New Roman" w:hAnsi="Times New Roman" w:eastAsia="宋体" w:cs="Times New Roman"/>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危险物质</w:t>
            </w:r>
            <w:r>
              <w:rPr>
                <w:rFonts w:hint="default" w:ascii="Times New Roman" w:hAnsi="Times New Roman" w:eastAsia="宋体" w:cs="Times New Roman"/>
                <w:bCs/>
                <w:color w:val="auto"/>
                <w:sz w:val="24"/>
                <w:highlight w:val="none"/>
                <w:lang w:val="en-US" w:eastAsia="zh-CN"/>
              </w:rPr>
              <w:t>在储存过程中可能</w:t>
            </w:r>
            <w:r>
              <w:rPr>
                <w:rFonts w:hint="default" w:ascii="Times New Roman" w:hAnsi="Times New Roman" w:eastAsia="宋体" w:cs="Times New Roman"/>
                <w:bCs/>
                <w:color w:val="auto"/>
                <w:sz w:val="24"/>
                <w:highlight w:val="none"/>
                <w:lang w:eastAsia="zh-CN"/>
              </w:rPr>
              <w:t>潜在泄漏、火灾等风险事故</w:t>
            </w:r>
            <w:r>
              <w:rPr>
                <w:rFonts w:hint="default" w:ascii="Times New Roman" w:hAnsi="Times New Roman" w:eastAsia="宋体" w:cs="Times New Roman"/>
                <w:color w:val="auto"/>
                <w:highlight w:val="none"/>
              </w:rPr>
              <w:t>。</w:t>
            </w:r>
          </w:p>
          <w:p w14:paraId="2E94EBC8">
            <w:pPr>
              <w:adjustRightInd w:val="0"/>
              <w:snapToGrid w:val="0"/>
              <w:ind w:firstLine="482" w:firstLineChars="200"/>
              <w:rPr>
                <w:rFonts w:hint="default" w:ascii="Times New Roman" w:hAnsi="Times New Roman" w:eastAsia="宋体" w:cs="Times New Roman"/>
                <w:b/>
                <w:bCs/>
                <w:color w:val="auto"/>
                <w:highlight w:val="none"/>
              </w:rPr>
            </w:pPr>
            <w:r>
              <w:rPr>
                <w:rFonts w:hint="eastAsia" w:eastAsia="宋体" w:cs="Times New Roman"/>
                <w:b/>
                <w:bCs/>
                <w:color w:val="auto"/>
                <w:highlight w:val="none"/>
                <w:lang w:val="en-US" w:eastAsia="zh-CN"/>
              </w:rPr>
              <w:t>3、</w:t>
            </w:r>
            <w:r>
              <w:rPr>
                <w:rFonts w:hint="default" w:ascii="Times New Roman" w:hAnsi="Times New Roman" w:eastAsia="宋体" w:cs="Times New Roman"/>
                <w:b/>
                <w:bCs/>
                <w:color w:val="auto"/>
                <w:highlight w:val="none"/>
              </w:rPr>
              <w:t>风险防范措施及应急措施</w:t>
            </w:r>
          </w:p>
          <w:p w14:paraId="290BFB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在危废贮存</w:t>
            </w:r>
            <w:r>
              <w:rPr>
                <w:rFonts w:hint="eastAsia" w:eastAsia="宋体" w:cs="Times New Roman"/>
                <w:color w:val="auto"/>
                <w:highlight w:val="none"/>
                <w:lang w:val="en-US" w:eastAsia="zh-CN"/>
              </w:rPr>
              <w:t>点</w:t>
            </w:r>
            <w:r>
              <w:rPr>
                <w:rFonts w:hint="default" w:ascii="Times New Roman" w:hAnsi="Times New Roman" w:eastAsia="宋体" w:cs="Times New Roman"/>
                <w:color w:val="auto"/>
                <w:highlight w:val="none"/>
                <w:lang w:eastAsia="zh-CN"/>
              </w:rPr>
              <w:t>地面设置有防渗层，废油收集桶下方设置有防渗托盘。针对厂区环境风险，建设单位应编制突发环境事件应急预案，并报环保局备案，且及时修正应急预案并加强演练。</w:t>
            </w:r>
          </w:p>
          <w:p w14:paraId="46144B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val="en-US" w:eastAsia="zh-CN"/>
              </w:rPr>
              <w:t>危废</w:t>
            </w:r>
            <w:r>
              <w:rPr>
                <w:rFonts w:hint="eastAsia" w:ascii="Times New Roman" w:hAnsi="Times New Roman" w:eastAsia="宋体" w:cs="Times New Roman"/>
                <w:bCs/>
                <w:color w:val="auto"/>
                <w:sz w:val="24"/>
                <w:highlight w:val="none"/>
                <w:lang w:val="en-US" w:eastAsia="zh-CN"/>
              </w:rPr>
              <w:t>贮存</w:t>
            </w:r>
            <w:r>
              <w:rPr>
                <w:rFonts w:hint="eastAsia" w:eastAsia="宋体" w:cs="Times New Roman"/>
                <w:bCs/>
                <w:color w:val="auto"/>
                <w:sz w:val="24"/>
                <w:highlight w:val="none"/>
                <w:lang w:val="en-US" w:eastAsia="zh-CN"/>
              </w:rPr>
              <w:t>点</w:t>
            </w:r>
            <w:r>
              <w:rPr>
                <w:rFonts w:hint="default" w:ascii="Times New Roman" w:hAnsi="Times New Roman" w:eastAsia="宋体" w:cs="Times New Roman"/>
                <w:bCs/>
                <w:color w:val="auto"/>
                <w:sz w:val="24"/>
                <w:highlight w:val="none"/>
              </w:rPr>
              <w:t>管理与风险防范措施</w:t>
            </w:r>
            <w:r>
              <w:rPr>
                <w:rFonts w:hint="default" w:ascii="Times New Roman" w:hAnsi="Times New Roman" w:eastAsia="宋体" w:cs="Times New Roman"/>
                <w:bCs/>
                <w:color w:val="auto"/>
                <w:sz w:val="24"/>
                <w:highlight w:val="none"/>
                <w:lang w:eastAsia="zh-CN"/>
              </w:rPr>
              <w:t>：</w:t>
            </w:r>
          </w:p>
          <w:p w14:paraId="14F6A5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①要建立一套领导监督负责、员工值日的安全检查制度。落实事故风险负责人，配备专职安全员检查排除事故风险隐患。</w:t>
            </w:r>
          </w:p>
          <w:p w14:paraId="635CA4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②设置手提式干粉灭火器，防汛消防沙，消防设施要及时检查其能正常使用。</w:t>
            </w:r>
          </w:p>
          <w:p w14:paraId="13A724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③</w:t>
            </w:r>
            <w:r>
              <w:rPr>
                <w:rFonts w:hint="eastAsia" w:ascii="Times New Roman" w:hAnsi="Times New Roman" w:eastAsia="宋体" w:cs="Times New Roman"/>
                <w:bCs/>
                <w:color w:val="auto"/>
                <w:sz w:val="24"/>
                <w:highlight w:val="none"/>
                <w:lang w:val="en-US" w:eastAsia="zh-CN"/>
              </w:rPr>
              <w:t>危废</w:t>
            </w:r>
            <w:r>
              <w:rPr>
                <w:rFonts w:hint="eastAsia" w:eastAsia="宋体" w:cs="Times New Roman"/>
                <w:bCs/>
                <w:color w:val="auto"/>
                <w:sz w:val="24"/>
                <w:highlight w:val="none"/>
                <w:lang w:val="en-US" w:eastAsia="zh-CN"/>
              </w:rPr>
              <w:t>贮存点</w:t>
            </w:r>
            <w:r>
              <w:rPr>
                <w:rFonts w:hint="default" w:ascii="Times New Roman" w:hAnsi="Times New Roman" w:eastAsia="宋体" w:cs="Times New Roman"/>
                <w:bCs/>
                <w:color w:val="auto"/>
                <w:sz w:val="24"/>
                <w:highlight w:val="none"/>
                <w:lang w:val="en-US" w:eastAsia="zh-CN"/>
              </w:rPr>
              <w:t>地面做重点防渗，并设置接油盘</w:t>
            </w:r>
            <w:r>
              <w:rPr>
                <w:rFonts w:hint="eastAsia" w:ascii="Times New Roman" w:hAnsi="Times New Roman" w:eastAsia="宋体" w:cs="Times New Roman"/>
                <w:bCs/>
                <w:color w:val="auto"/>
                <w:sz w:val="24"/>
                <w:highlight w:val="none"/>
                <w:lang w:val="en-US" w:eastAsia="zh-CN"/>
              </w:rPr>
              <w:t>和接油漆盘</w:t>
            </w:r>
            <w:r>
              <w:rPr>
                <w:rFonts w:hint="default" w:ascii="Times New Roman" w:hAnsi="Times New Roman" w:eastAsia="宋体" w:cs="Times New Roman"/>
                <w:bCs/>
                <w:color w:val="auto"/>
                <w:sz w:val="24"/>
                <w:highlight w:val="none"/>
                <w:lang w:val="en-US" w:eastAsia="zh-CN"/>
              </w:rPr>
              <w:t>，接油盘</w:t>
            </w:r>
            <w:r>
              <w:rPr>
                <w:rFonts w:hint="eastAsia" w:ascii="Times New Roman" w:hAnsi="Times New Roman" w:eastAsia="宋体" w:cs="Times New Roman"/>
                <w:bCs/>
                <w:color w:val="auto"/>
                <w:sz w:val="24"/>
                <w:highlight w:val="none"/>
                <w:lang w:val="en-US" w:eastAsia="zh-CN"/>
              </w:rPr>
              <w:t>和接油漆盘</w:t>
            </w:r>
            <w:r>
              <w:rPr>
                <w:rFonts w:hint="default" w:ascii="Times New Roman" w:hAnsi="Times New Roman" w:eastAsia="宋体" w:cs="Times New Roman"/>
                <w:bCs/>
                <w:color w:val="auto"/>
                <w:sz w:val="24"/>
                <w:highlight w:val="none"/>
                <w:lang w:val="en-US" w:eastAsia="zh-CN"/>
              </w:rPr>
              <w:t>容积不应小于单桶容积。</w:t>
            </w:r>
          </w:p>
          <w:p w14:paraId="08851772">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Cs/>
                <w:color w:val="auto"/>
                <w:sz w:val="24"/>
                <w:highlight w:val="none"/>
                <w:lang w:val="en-US" w:eastAsia="zh-CN"/>
              </w:rPr>
              <w:t>④定期对所贮存油品包装容器及贮存</w:t>
            </w:r>
            <w:r>
              <w:rPr>
                <w:rFonts w:hint="eastAsia" w:eastAsia="宋体" w:cs="Times New Roman"/>
                <w:bCs/>
                <w:color w:val="auto"/>
                <w:sz w:val="24"/>
                <w:highlight w:val="none"/>
                <w:lang w:val="en-US" w:eastAsia="zh-CN"/>
              </w:rPr>
              <w:t>点</w:t>
            </w:r>
            <w:r>
              <w:rPr>
                <w:rFonts w:hint="default" w:ascii="Times New Roman" w:hAnsi="Times New Roman" w:eastAsia="宋体" w:cs="Times New Roman"/>
                <w:bCs/>
                <w:color w:val="auto"/>
                <w:sz w:val="24"/>
                <w:highlight w:val="none"/>
                <w:lang w:val="en-US" w:eastAsia="zh-CN"/>
              </w:rPr>
              <w:t>进行检查，发现破损，应及时采取措施清理更换。</w:t>
            </w:r>
          </w:p>
          <w:p w14:paraId="47D1BA5E">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ascii="Times New Roman" w:hAnsi="Times New Roman" w:eastAsia="宋体" w:cs="Times New Roman"/>
                <w:b/>
                <w:bCs/>
                <w:color w:val="auto"/>
                <w:highlight w:val="none"/>
                <w:lang w:eastAsia="zh-CN"/>
              </w:rPr>
            </w:pPr>
            <w:r>
              <w:rPr>
                <w:rFonts w:hint="eastAsia" w:eastAsia="宋体" w:cs="Times New Roman"/>
                <w:b/>
                <w:bCs/>
                <w:color w:val="auto"/>
                <w:highlight w:val="none"/>
                <w:lang w:val="en-US" w:eastAsia="zh-CN"/>
              </w:rPr>
              <w:t>4、</w:t>
            </w:r>
            <w:r>
              <w:rPr>
                <w:rFonts w:hint="default" w:ascii="Times New Roman" w:hAnsi="Times New Roman" w:eastAsia="宋体" w:cs="Times New Roman"/>
                <w:b/>
                <w:bCs/>
                <w:color w:val="auto"/>
                <w:highlight w:val="none"/>
              </w:rPr>
              <w:t>风险</w:t>
            </w:r>
            <w:r>
              <w:rPr>
                <w:rFonts w:hint="eastAsia" w:ascii="Times New Roman" w:hAnsi="Times New Roman" w:eastAsia="宋体" w:cs="Times New Roman"/>
                <w:b/>
                <w:bCs/>
                <w:color w:val="auto"/>
                <w:highlight w:val="none"/>
                <w:lang w:val="en-US" w:eastAsia="zh-CN"/>
              </w:rPr>
              <w:t>结论</w:t>
            </w:r>
          </w:p>
          <w:p w14:paraId="683C9F0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本项目</w:t>
            </w:r>
            <w:r>
              <w:rPr>
                <w:rFonts w:hint="eastAsia" w:ascii="Times New Roman" w:hAnsi="Times New Roman" w:eastAsia="宋体" w:cs="Times New Roman"/>
                <w:bCs/>
                <w:color w:val="auto"/>
                <w:sz w:val="24"/>
                <w:highlight w:val="none"/>
                <w:lang w:val="en-US" w:eastAsia="zh-CN"/>
              </w:rPr>
              <w:t>风</w:t>
            </w:r>
            <w:r>
              <w:rPr>
                <w:rFonts w:hint="default" w:ascii="Times New Roman" w:hAnsi="Times New Roman" w:eastAsia="宋体" w:cs="Times New Roman"/>
                <w:bCs/>
                <w:color w:val="auto"/>
                <w:sz w:val="24"/>
                <w:highlight w:val="none"/>
              </w:rPr>
              <w:t>险物质主要</w:t>
            </w:r>
            <w:r>
              <w:rPr>
                <w:rFonts w:hint="default" w:ascii="Times New Roman" w:hAnsi="Times New Roman" w:eastAsia="宋体" w:cs="Times New Roman"/>
                <w:bCs/>
                <w:color w:val="auto"/>
                <w:sz w:val="24"/>
                <w:highlight w:val="none"/>
                <w:lang w:val="en-US" w:eastAsia="zh-CN"/>
              </w:rPr>
              <w:t>为废机油</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储存过程</w:t>
            </w:r>
            <w:r>
              <w:rPr>
                <w:rFonts w:hint="default" w:ascii="Times New Roman" w:hAnsi="Times New Roman" w:eastAsia="宋体" w:cs="Times New Roman"/>
                <w:bCs/>
                <w:color w:val="auto"/>
                <w:sz w:val="24"/>
                <w:highlight w:val="none"/>
              </w:rPr>
              <w:t>只要加强管理，</w:t>
            </w:r>
            <w:r>
              <w:rPr>
                <w:rFonts w:hint="default" w:ascii="Times New Roman" w:hAnsi="Times New Roman" w:eastAsia="宋体" w:cs="Times New Roman"/>
                <w:bCs/>
                <w:color w:val="auto"/>
                <w:sz w:val="24"/>
                <w:highlight w:val="none"/>
                <w:lang w:val="en-US" w:eastAsia="zh-CN"/>
              </w:rPr>
              <w:t>危废</w:t>
            </w:r>
            <w:r>
              <w:rPr>
                <w:rFonts w:hint="eastAsia" w:ascii="Times New Roman" w:hAnsi="Times New Roman" w:eastAsia="宋体" w:cs="Times New Roman"/>
                <w:bCs/>
                <w:color w:val="auto"/>
                <w:sz w:val="24"/>
                <w:highlight w:val="none"/>
                <w:lang w:val="en-US" w:eastAsia="zh-CN"/>
              </w:rPr>
              <w:t>贮存</w:t>
            </w:r>
            <w:r>
              <w:rPr>
                <w:rFonts w:hint="eastAsia" w:eastAsia="宋体" w:cs="Times New Roman"/>
                <w:bCs/>
                <w:color w:val="auto"/>
                <w:sz w:val="24"/>
                <w:highlight w:val="none"/>
                <w:lang w:val="en-US" w:eastAsia="zh-CN"/>
              </w:rPr>
              <w:t>点</w:t>
            </w:r>
            <w:r>
              <w:rPr>
                <w:rFonts w:hint="default" w:ascii="Times New Roman" w:hAnsi="Times New Roman" w:eastAsia="宋体" w:cs="Times New Roman"/>
                <w:bCs/>
                <w:color w:val="auto"/>
                <w:sz w:val="24"/>
                <w:highlight w:val="none"/>
                <w:lang w:val="en-US" w:eastAsia="zh-CN"/>
              </w:rPr>
              <w:t>按要求建设，</w:t>
            </w:r>
            <w:r>
              <w:rPr>
                <w:rFonts w:hint="eastAsia" w:ascii="Times New Roman" w:hAnsi="Times New Roman" w:eastAsia="宋体" w:cs="Times New Roman"/>
                <w:bCs/>
                <w:color w:val="auto"/>
                <w:sz w:val="24"/>
                <w:highlight w:val="none"/>
                <w:lang w:val="en-US" w:eastAsia="zh-CN"/>
              </w:rPr>
              <w:t>产生的危废</w:t>
            </w:r>
            <w:r>
              <w:rPr>
                <w:rFonts w:hint="default" w:ascii="Times New Roman" w:hAnsi="Times New Roman" w:eastAsia="宋体" w:cs="Times New Roman"/>
                <w:bCs/>
                <w:color w:val="auto"/>
                <w:sz w:val="24"/>
                <w:highlight w:val="none"/>
                <w:lang w:val="en-US" w:eastAsia="zh-CN"/>
              </w:rPr>
              <w:t>按要求存放</w:t>
            </w:r>
            <w:r>
              <w:rPr>
                <w:rFonts w:hint="default" w:ascii="Times New Roman" w:hAnsi="Times New Roman" w:eastAsia="宋体" w:cs="Times New Roman"/>
                <w:bCs/>
                <w:color w:val="auto"/>
                <w:sz w:val="24"/>
                <w:highlight w:val="none"/>
              </w:rPr>
              <w:t>，一般不会导致</w:t>
            </w:r>
            <w:r>
              <w:rPr>
                <w:rFonts w:hint="default" w:ascii="Times New Roman" w:hAnsi="Times New Roman" w:eastAsia="宋体" w:cs="Times New Roman"/>
                <w:bCs/>
                <w:color w:val="auto"/>
                <w:sz w:val="24"/>
                <w:highlight w:val="none"/>
                <w:lang w:eastAsia="zh-CN"/>
              </w:rPr>
              <w:t>泄漏、火灾等风险事故</w:t>
            </w:r>
            <w:r>
              <w:rPr>
                <w:rFonts w:hint="default" w:ascii="Times New Roman" w:hAnsi="Times New Roman" w:eastAsia="宋体" w:cs="Times New Roman"/>
                <w:bCs/>
                <w:color w:val="auto"/>
                <w:sz w:val="24"/>
                <w:highlight w:val="none"/>
              </w:rPr>
              <w:t>的发生，环境风险程度较小，是可以接受的</w:t>
            </w:r>
            <w:r>
              <w:rPr>
                <w:rFonts w:hint="eastAsia" w:ascii="Times New Roman" w:hAnsi="Times New Roman" w:eastAsia="宋体" w:cs="Times New Roman"/>
                <w:bCs/>
                <w:color w:val="auto"/>
                <w:sz w:val="24"/>
                <w:highlight w:val="none"/>
                <w:lang w:eastAsia="zh-CN"/>
              </w:rPr>
              <w:t>。</w:t>
            </w:r>
          </w:p>
          <w:p w14:paraId="36B4E041">
            <w:pPr>
              <w:adjustRightInd w:val="0"/>
              <w:snapToGrid w:val="0"/>
              <w:ind w:firstLine="482" w:firstLineChars="200"/>
              <w:rPr>
                <w:rFonts w:hint="default" w:ascii="Times New Roman" w:hAnsi="Times New Roman" w:eastAsia="宋体" w:cs="Times New Roman"/>
                <w:b/>
                <w:bCs/>
                <w:color w:val="auto"/>
                <w:highlight w:val="none"/>
              </w:rPr>
            </w:pPr>
            <w:r>
              <w:rPr>
                <w:rFonts w:hint="eastAsia" w:eastAsia="宋体" w:cs="Times New Roman"/>
                <w:b/>
                <w:bCs/>
                <w:color w:val="auto"/>
                <w:highlight w:val="none"/>
                <w:lang w:eastAsia="zh-CN"/>
              </w:rPr>
              <w:t>（</w:t>
            </w:r>
            <w:r>
              <w:rPr>
                <w:rFonts w:hint="eastAsia" w:eastAsia="宋体" w:cs="Times New Roman"/>
                <w:b/>
                <w:bCs/>
                <w:color w:val="auto"/>
                <w:highlight w:val="none"/>
                <w:lang w:val="en-US" w:eastAsia="zh-CN"/>
              </w:rPr>
              <w:t>七</w:t>
            </w:r>
            <w:r>
              <w:rPr>
                <w:rFonts w:hint="eastAsia" w:eastAsia="宋体" w:cs="Times New Roman"/>
                <w:b/>
                <w:bCs/>
                <w:color w:val="auto"/>
                <w:highlight w:val="none"/>
                <w:lang w:eastAsia="zh-CN"/>
              </w:rPr>
              <w:t>）</w:t>
            </w:r>
            <w:r>
              <w:rPr>
                <w:rFonts w:hint="default" w:ascii="Times New Roman" w:hAnsi="Times New Roman" w:eastAsia="宋体" w:cs="Times New Roman"/>
                <w:b/>
                <w:bCs/>
                <w:color w:val="auto"/>
                <w:highlight w:val="none"/>
              </w:rPr>
              <w:t>环保投资</w:t>
            </w:r>
          </w:p>
          <w:p w14:paraId="43397370">
            <w:pPr>
              <w:tabs>
                <w:tab w:val="left" w:pos="870"/>
              </w:tabs>
              <w:spacing w:line="360" w:lineRule="auto"/>
              <w:ind w:firstLine="480" w:firstLineChars="200"/>
              <w:rPr>
                <w:b/>
                <w:bCs/>
                <w:color w:val="auto"/>
                <w:highlight w:val="none"/>
              </w:rPr>
            </w:pPr>
            <w:r>
              <w:rPr>
                <w:color w:val="auto"/>
                <w:sz w:val="24"/>
                <w:highlight w:val="none"/>
              </w:rPr>
              <w:t>本项目总投资</w:t>
            </w:r>
            <w:r>
              <w:rPr>
                <w:rFonts w:hint="eastAsia"/>
                <w:color w:val="auto"/>
                <w:sz w:val="24"/>
                <w:highlight w:val="none"/>
                <w:lang w:val="en-US" w:eastAsia="zh-CN"/>
              </w:rPr>
              <w:t>5</w:t>
            </w:r>
            <w:r>
              <w:rPr>
                <w:rFonts w:hint="eastAsia"/>
                <w:color w:val="auto"/>
                <w:sz w:val="24"/>
                <w:highlight w:val="none"/>
              </w:rPr>
              <w:t>00</w:t>
            </w:r>
            <w:r>
              <w:rPr>
                <w:color w:val="auto"/>
                <w:sz w:val="24"/>
                <w:highlight w:val="none"/>
              </w:rPr>
              <w:t>万元，其中环保投资</w:t>
            </w:r>
            <w:r>
              <w:rPr>
                <w:rFonts w:hint="eastAsia"/>
                <w:color w:val="auto"/>
                <w:sz w:val="24"/>
                <w:highlight w:val="none"/>
                <w:lang w:val="en-US" w:eastAsia="zh-CN"/>
              </w:rPr>
              <w:t>20.8</w:t>
            </w:r>
            <w:r>
              <w:rPr>
                <w:color w:val="auto"/>
                <w:sz w:val="24"/>
                <w:highlight w:val="none"/>
              </w:rPr>
              <w:t>万元，占总投资比例的</w:t>
            </w:r>
            <w:r>
              <w:rPr>
                <w:rFonts w:hint="eastAsia"/>
                <w:color w:val="auto"/>
                <w:sz w:val="24"/>
                <w:highlight w:val="none"/>
                <w:lang w:val="en-US" w:eastAsia="zh-CN"/>
              </w:rPr>
              <w:t>4.16</w:t>
            </w:r>
            <w:r>
              <w:rPr>
                <w:color w:val="auto"/>
                <w:sz w:val="24"/>
                <w:highlight w:val="none"/>
              </w:rPr>
              <w:t>%。项目环保设施及投资估算详见表</w:t>
            </w:r>
            <w:r>
              <w:rPr>
                <w:rFonts w:hint="eastAsia"/>
                <w:color w:val="auto"/>
                <w:sz w:val="24"/>
                <w:highlight w:val="none"/>
              </w:rPr>
              <w:t>4-13</w:t>
            </w:r>
            <w:r>
              <w:rPr>
                <w:color w:val="auto"/>
                <w:sz w:val="24"/>
                <w:highlight w:val="none"/>
              </w:rPr>
              <w:t>。</w:t>
            </w:r>
          </w:p>
          <w:p w14:paraId="6D470B8E">
            <w:pPr>
              <w:jc w:val="center"/>
              <w:rPr>
                <w:rFonts w:hint="eastAsia"/>
                <w:b/>
                <w:bCs/>
                <w:color w:val="auto"/>
                <w:highlight w:val="none"/>
              </w:rPr>
            </w:pPr>
            <w:r>
              <w:rPr>
                <w:b/>
                <w:bCs/>
                <w:color w:val="auto"/>
                <w:highlight w:val="none"/>
              </w:rPr>
              <w:t>表</w:t>
            </w:r>
            <w:r>
              <w:rPr>
                <w:rFonts w:hint="eastAsia"/>
                <w:b/>
                <w:bCs/>
                <w:color w:val="auto"/>
                <w:highlight w:val="none"/>
              </w:rPr>
              <w:t>4</w:t>
            </w:r>
            <w:r>
              <w:rPr>
                <w:b/>
                <w:bCs/>
                <w:color w:val="auto"/>
                <w:highlight w:val="none"/>
              </w:rPr>
              <w:t>-</w:t>
            </w:r>
            <w:r>
              <w:rPr>
                <w:rFonts w:hint="eastAsia"/>
                <w:b/>
                <w:bCs/>
                <w:color w:val="auto"/>
                <w:highlight w:val="none"/>
              </w:rPr>
              <w:t xml:space="preserve">13    </w:t>
            </w:r>
            <w:r>
              <w:rPr>
                <w:b/>
                <w:bCs/>
                <w:color w:val="auto"/>
                <w:highlight w:val="none"/>
              </w:rPr>
              <w:t>环保设施及投资估算一览表</w:t>
            </w:r>
          </w:p>
          <w:tbl>
            <w:tblPr>
              <w:tblStyle w:val="24"/>
              <w:tblW w:w="49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924"/>
              <w:gridCol w:w="2192"/>
              <w:gridCol w:w="2837"/>
              <w:gridCol w:w="1215"/>
              <w:gridCol w:w="982"/>
              <w:gridCol w:w="982"/>
            </w:tblGrid>
            <w:tr w14:paraId="3C6CA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741" w:type="pct"/>
                  <w:gridSpan w:val="2"/>
                  <w:tcBorders>
                    <w:right w:val="single" w:color="auto" w:sz="4" w:space="0"/>
                  </w:tcBorders>
                  <w:noWrap w:val="0"/>
                  <w:vAlign w:val="center"/>
                </w:tcPr>
                <w:p w14:paraId="15EAEFDB">
                  <w:pPr>
                    <w:spacing w:line="320" w:lineRule="exact"/>
                    <w:jc w:val="center"/>
                    <w:rPr>
                      <w:rFonts w:hint="eastAsia"/>
                      <w:color w:val="auto"/>
                      <w:szCs w:val="21"/>
                      <w:highlight w:val="none"/>
                    </w:rPr>
                  </w:pPr>
                  <w:r>
                    <w:rPr>
                      <w:rFonts w:hint="eastAsia"/>
                      <w:color w:val="auto"/>
                      <w:szCs w:val="21"/>
                      <w:highlight w:val="none"/>
                    </w:rPr>
                    <w:t>要素</w:t>
                  </w:r>
                </w:p>
              </w:tc>
              <w:tc>
                <w:tcPr>
                  <w:tcW w:w="1137" w:type="pct"/>
                  <w:tcBorders>
                    <w:left w:val="single" w:color="auto" w:sz="4" w:space="0"/>
                  </w:tcBorders>
                  <w:noWrap w:val="0"/>
                  <w:vAlign w:val="center"/>
                </w:tcPr>
                <w:p w14:paraId="17907B2B">
                  <w:pPr>
                    <w:spacing w:line="320" w:lineRule="exact"/>
                    <w:jc w:val="center"/>
                    <w:rPr>
                      <w:color w:val="auto"/>
                      <w:szCs w:val="21"/>
                      <w:highlight w:val="none"/>
                    </w:rPr>
                  </w:pPr>
                  <w:r>
                    <w:rPr>
                      <w:color w:val="auto"/>
                      <w:szCs w:val="21"/>
                      <w:highlight w:val="none"/>
                    </w:rPr>
                    <w:t>污染种类</w:t>
                  </w:r>
                </w:p>
              </w:tc>
              <w:tc>
                <w:tcPr>
                  <w:tcW w:w="1472" w:type="pct"/>
                  <w:noWrap w:val="0"/>
                  <w:vAlign w:val="center"/>
                </w:tcPr>
                <w:p w14:paraId="40BADFE1">
                  <w:pPr>
                    <w:spacing w:line="320" w:lineRule="exact"/>
                    <w:jc w:val="center"/>
                    <w:rPr>
                      <w:color w:val="auto"/>
                      <w:szCs w:val="21"/>
                      <w:highlight w:val="none"/>
                    </w:rPr>
                  </w:pPr>
                  <w:r>
                    <w:rPr>
                      <w:color w:val="auto"/>
                      <w:szCs w:val="21"/>
                      <w:highlight w:val="none"/>
                    </w:rPr>
                    <w:t>设施名称</w:t>
                  </w:r>
                </w:p>
              </w:tc>
              <w:tc>
                <w:tcPr>
                  <w:tcW w:w="630" w:type="pct"/>
                  <w:noWrap w:val="0"/>
                  <w:vAlign w:val="center"/>
                </w:tcPr>
                <w:p w14:paraId="78BBCEF2">
                  <w:pPr>
                    <w:spacing w:line="320" w:lineRule="exact"/>
                    <w:ind w:firstLine="120" w:firstLineChars="50"/>
                    <w:jc w:val="center"/>
                    <w:rPr>
                      <w:color w:val="auto"/>
                      <w:szCs w:val="21"/>
                      <w:highlight w:val="none"/>
                    </w:rPr>
                  </w:pPr>
                  <w:r>
                    <w:rPr>
                      <w:color w:val="auto"/>
                      <w:szCs w:val="21"/>
                      <w:highlight w:val="none"/>
                    </w:rPr>
                    <w:t>数量</w:t>
                  </w:r>
                </w:p>
              </w:tc>
              <w:tc>
                <w:tcPr>
                  <w:tcW w:w="509" w:type="pct"/>
                  <w:noWrap w:val="0"/>
                  <w:vAlign w:val="center"/>
                </w:tcPr>
                <w:p w14:paraId="2033B794">
                  <w:pPr>
                    <w:spacing w:line="320" w:lineRule="exact"/>
                    <w:jc w:val="center"/>
                    <w:rPr>
                      <w:color w:val="auto"/>
                      <w:szCs w:val="21"/>
                      <w:highlight w:val="none"/>
                    </w:rPr>
                  </w:pPr>
                  <w:r>
                    <w:rPr>
                      <w:color w:val="auto"/>
                      <w:szCs w:val="21"/>
                      <w:highlight w:val="none"/>
                    </w:rPr>
                    <w:t>投资（万元）</w:t>
                  </w:r>
                </w:p>
              </w:tc>
              <w:tc>
                <w:tcPr>
                  <w:tcW w:w="509" w:type="pct"/>
                  <w:noWrap w:val="0"/>
                  <w:vAlign w:val="center"/>
                </w:tcPr>
                <w:p w14:paraId="759BEE78">
                  <w:pPr>
                    <w:spacing w:line="320" w:lineRule="exact"/>
                    <w:jc w:val="center"/>
                    <w:rPr>
                      <w:rFonts w:hint="eastAsia" w:eastAsiaTheme="minorEastAsia"/>
                      <w:color w:val="auto"/>
                      <w:szCs w:val="21"/>
                      <w:highlight w:val="none"/>
                      <w:lang w:eastAsia="zh-CN"/>
                    </w:rPr>
                  </w:pPr>
                  <w:r>
                    <w:rPr>
                      <w:rFonts w:hint="eastAsia"/>
                      <w:color w:val="auto"/>
                      <w:szCs w:val="21"/>
                      <w:highlight w:val="none"/>
                      <w:lang w:val="en-US" w:eastAsia="zh-CN"/>
                    </w:rPr>
                    <w:t>备注</w:t>
                  </w:r>
                </w:p>
              </w:tc>
            </w:tr>
            <w:tr w14:paraId="312A5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restart"/>
                  <w:noWrap w:val="0"/>
                  <w:vAlign w:val="center"/>
                </w:tcPr>
                <w:p w14:paraId="169327F0">
                  <w:pPr>
                    <w:adjustRightInd w:val="0"/>
                    <w:snapToGrid w:val="0"/>
                    <w:spacing w:line="320" w:lineRule="exact"/>
                    <w:jc w:val="center"/>
                    <w:rPr>
                      <w:color w:val="auto"/>
                      <w:szCs w:val="21"/>
                      <w:highlight w:val="none"/>
                    </w:rPr>
                  </w:pPr>
                  <w:r>
                    <w:rPr>
                      <w:color w:val="auto"/>
                      <w:szCs w:val="21"/>
                      <w:highlight w:val="none"/>
                    </w:rPr>
                    <w:t>运行期</w:t>
                  </w:r>
                </w:p>
              </w:tc>
              <w:tc>
                <w:tcPr>
                  <w:tcW w:w="479" w:type="pct"/>
                  <w:vMerge w:val="restart"/>
                  <w:tcBorders>
                    <w:right w:val="single" w:color="auto" w:sz="4" w:space="0"/>
                  </w:tcBorders>
                  <w:noWrap w:val="0"/>
                  <w:vAlign w:val="center"/>
                </w:tcPr>
                <w:p w14:paraId="479E32EB">
                  <w:pPr>
                    <w:spacing w:line="320" w:lineRule="exact"/>
                    <w:jc w:val="center"/>
                    <w:rPr>
                      <w:color w:val="auto"/>
                      <w:szCs w:val="21"/>
                      <w:highlight w:val="none"/>
                    </w:rPr>
                  </w:pPr>
                  <w:r>
                    <w:rPr>
                      <w:color w:val="auto"/>
                      <w:szCs w:val="21"/>
                      <w:highlight w:val="none"/>
                    </w:rPr>
                    <w:t>废气</w:t>
                  </w:r>
                </w:p>
              </w:tc>
              <w:tc>
                <w:tcPr>
                  <w:tcW w:w="1137" w:type="pct"/>
                  <w:tcBorders>
                    <w:left w:val="single" w:color="auto" w:sz="4" w:space="0"/>
                  </w:tcBorders>
                  <w:noWrap w:val="0"/>
                  <w:vAlign w:val="center"/>
                </w:tcPr>
                <w:p w14:paraId="50B38FDB">
                  <w:pPr>
                    <w:widowControl/>
                    <w:jc w:val="center"/>
                    <w:rPr>
                      <w:rFonts w:hint="eastAsia"/>
                      <w:color w:val="auto"/>
                      <w:szCs w:val="21"/>
                      <w:highlight w:val="none"/>
                    </w:rPr>
                  </w:pPr>
                  <w:r>
                    <w:rPr>
                      <w:rFonts w:hint="eastAsia"/>
                      <w:color w:val="auto"/>
                      <w:szCs w:val="21"/>
                      <w:highlight w:val="none"/>
                      <w:lang w:val="en-US" w:eastAsia="zh-CN"/>
                    </w:rPr>
                    <w:t>破碎筛分</w:t>
                  </w:r>
                  <w:r>
                    <w:rPr>
                      <w:rFonts w:hint="eastAsia"/>
                      <w:color w:val="auto"/>
                      <w:szCs w:val="21"/>
                      <w:highlight w:val="none"/>
                    </w:rPr>
                    <w:t>粉尘</w:t>
                  </w:r>
                </w:p>
              </w:tc>
              <w:tc>
                <w:tcPr>
                  <w:tcW w:w="1472" w:type="pct"/>
                  <w:noWrap w:val="0"/>
                  <w:vAlign w:val="center"/>
                </w:tcPr>
                <w:p w14:paraId="58E8CDB7">
                  <w:pPr>
                    <w:widowControl/>
                    <w:jc w:val="center"/>
                    <w:rPr>
                      <w:rFonts w:hint="eastAsia"/>
                      <w:color w:val="auto"/>
                      <w:kern w:val="0"/>
                      <w:highlight w:val="none"/>
                    </w:rPr>
                  </w:pPr>
                  <w:r>
                    <w:rPr>
                      <w:rFonts w:hint="eastAsia"/>
                      <w:color w:val="auto"/>
                      <w:szCs w:val="21"/>
                      <w:highlight w:val="none"/>
                    </w:rPr>
                    <w:t>布袋</w:t>
                  </w:r>
                  <w:r>
                    <w:rPr>
                      <w:color w:val="auto"/>
                      <w:szCs w:val="21"/>
                      <w:highlight w:val="none"/>
                    </w:rPr>
                    <w:t>除尘器</w:t>
                  </w:r>
                </w:p>
              </w:tc>
              <w:tc>
                <w:tcPr>
                  <w:tcW w:w="630" w:type="pct"/>
                  <w:noWrap w:val="0"/>
                  <w:vAlign w:val="center"/>
                </w:tcPr>
                <w:p w14:paraId="1439F339">
                  <w:pPr>
                    <w:spacing w:line="320" w:lineRule="exact"/>
                    <w:jc w:val="center"/>
                    <w:rPr>
                      <w:color w:val="auto"/>
                      <w:szCs w:val="21"/>
                      <w:highlight w:val="none"/>
                    </w:rPr>
                  </w:pPr>
                  <w:r>
                    <w:rPr>
                      <w:rFonts w:hint="eastAsia"/>
                      <w:color w:val="auto"/>
                      <w:szCs w:val="21"/>
                      <w:highlight w:val="none"/>
                    </w:rPr>
                    <w:t>1</w:t>
                  </w:r>
                  <w:r>
                    <w:rPr>
                      <w:color w:val="auto"/>
                      <w:szCs w:val="21"/>
                      <w:highlight w:val="none"/>
                    </w:rPr>
                    <w:t>套</w:t>
                  </w:r>
                </w:p>
              </w:tc>
              <w:tc>
                <w:tcPr>
                  <w:tcW w:w="509" w:type="pct"/>
                  <w:noWrap w:val="0"/>
                  <w:vAlign w:val="center"/>
                </w:tcPr>
                <w:p w14:paraId="54A7299D">
                  <w:pPr>
                    <w:spacing w:line="320" w:lineRule="exact"/>
                    <w:jc w:val="center"/>
                    <w:rPr>
                      <w:color w:val="auto"/>
                      <w:szCs w:val="21"/>
                      <w:highlight w:val="none"/>
                    </w:rPr>
                  </w:pPr>
                  <w:r>
                    <w:rPr>
                      <w:rFonts w:hint="eastAsia"/>
                      <w:color w:val="auto"/>
                      <w:szCs w:val="21"/>
                      <w:highlight w:val="none"/>
                    </w:rPr>
                    <w:t>8</w:t>
                  </w:r>
                </w:p>
              </w:tc>
              <w:tc>
                <w:tcPr>
                  <w:tcW w:w="509" w:type="pct"/>
                  <w:noWrap w:val="0"/>
                  <w:vAlign w:val="center"/>
                </w:tcPr>
                <w:p w14:paraId="07683805">
                  <w:pPr>
                    <w:spacing w:line="320" w:lineRule="exact"/>
                    <w:jc w:val="center"/>
                    <w:rPr>
                      <w:color w:val="auto"/>
                      <w:szCs w:val="21"/>
                      <w:highlight w:val="none"/>
                    </w:rPr>
                  </w:pPr>
                  <w:r>
                    <w:rPr>
                      <w:rFonts w:hint="eastAsia"/>
                      <w:color w:val="auto"/>
                      <w:szCs w:val="21"/>
                      <w:highlight w:val="none"/>
                    </w:rPr>
                    <w:t>/</w:t>
                  </w:r>
                </w:p>
              </w:tc>
            </w:tr>
            <w:tr w14:paraId="0F66D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00A25CA9">
                  <w:pPr>
                    <w:adjustRightInd w:val="0"/>
                    <w:snapToGrid w:val="0"/>
                    <w:spacing w:line="320" w:lineRule="exact"/>
                    <w:jc w:val="center"/>
                    <w:rPr>
                      <w:color w:val="auto"/>
                      <w:szCs w:val="21"/>
                      <w:highlight w:val="none"/>
                    </w:rPr>
                  </w:pPr>
                </w:p>
              </w:tc>
              <w:tc>
                <w:tcPr>
                  <w:tcW w:w="479" w:type="pct"/>
                  <w:vMerge w:val="continue"/>
                  <w:tcBorders>
                    <w:right w:val="single" w:color="auto" w:sz="4" w:space="0"/>
                  </w:tcBorders>
                  <w:noWrap w:val="0"/>
                  <w:vAlign w:val="center"/>
                </w:tcPr>
                <w:p w14:paraId="46497B0A">
                  <w:pPr>
                    <w:spacing w:line="320" w:lineRule="exact"/>
                    <w:jc w:val="center"/>
                    <w:rPr>
                      <w:color w:val="auto"/>
                      <w:szCs w:val="21"/>
                      <w:highlight w:val="none"/>
                    </w:rPr>
                  </w:pPr>
                </w:p>
              </w:tc>
              <w:tc>
                <w:tcPr>
                  <w:tcW w:w="1137" w:type="pct"/>
                  <w:noWrap w:val="0"/>
                  <w:vAlign w:val="center"/>
                </w:tcPr>
                <w:p w14:paraId="7F7F460F">
                  <w:pPr>
                    <w:snapToGrid w:val="0"/>
                    <w:spacing w:line="360" w:lineRule="exact"/>
                    <w:jc w:val="center"/>
                    <w:rPr>
                      <w:rFonts w:hint="eastAsia"/>
                      <w:color w:val="auto"/>
                      <w:szCs w:val="21"/>
                      <w:highlight w:val="none"/>
                    </w:rPr>
                  </w:pPr>
                  <w:r>
                    <w:rPr>
                      <w:rFonts w:hint="eastAsia"/>
                      <w:color w:val="auto"/>
                      <w:szCs w:val="21"/>
                      <w:highlight w:val="none"/>
                    </w:rPr>
                    <w:t>筒仓呼吸粉尘</w:t>
                  </w:r>
                </w:p>
              </w:tc>
              <w:tc>
                <w:tcPr>
                  <w:tcW w:w="1472" w:type="pct"/>
                  <w:noWrap w:val="0"/>
                  <w:vAlign w:val="center"/>
                </w:tcPr>
                <w:p w14:paraId="2D603718">
                  <w:pPr>
                    <w:adjustRightInd w:val="0"/>
                    <w:snapToGrid w:val="0"/>
                    <w:spacing w:line="360" w:lineRule="exact"/>
                    <w:jc w:val="center"/>
                    <w:rPr>
                      <w:color w:val="auto"/>
                      <w:szCs w:val="21"/>
                      <w:highlight w:val="none"/>
                    </w:rPr>
                  </w:pPr>
                  <w:r>
                    <w:rPr>
                      <w:rFonts w:hint="eastAsia"/>
                      <w:color w:val="auto"/>
                      <w:szCs w:val="21"/>
                      <w:highlight w:val="none"/>
                      <w:lang w:val="en-US" w:eastAsia="zh-CN"/>
                    </w:rPr>
                    <w:t>袋式</w:t>
                  </w:r>
                  <w:r>
                    <w:rPr>
                      <w:color w:val="auto"/>
                      <w:szCs w:val="21"/>
                      <w:highlight w:val="none"/>
                    </w:rPr>
                    <w:t>除尘器</w:t>
                  </w:r>
                </w:p>
              </w:tc>
              <w:tc>
                <w:tcPr>
                  <w:tcW w:w="630" w:type="pct"/>
                  <w:noWrap w:val="0"/>
                  <w:vAlign w:val="center"/>
                </w:tcPr>
                <w:p w14:paraId="245011E0">
                  <w:pPr>
                    <w:spacing w:line="320" w:lineRule="exact"/>
                    <w:jc w:val="center"/>
                    <w:rPr>
                      <w:color w:val="auto"/>
                      <w:szCs w:val="21"/>
                      <w:highlight w:val="none"/>
                    </w:rPr>
                  </w:pPr>
                  <w:r>
                    <w:rPr>
                      <w:rFonts w:hint="eastAsia"/>
                      <w:color w:val="auto"/>
                      <w:szCs w:val="21"/>
                      <w:highlight w:val="none"/>
                      <w:lang w:val="en-US" w:eastAsia="zh-CN"/>
                    </w:rPr>
                    <w:t>2</w:t>
                  </w:r>
                  <w:r>
                    <w:rPr>
                      <w:rFonts w:hint="eastAsia"/>
                      <w:color w:val="auto"/>
                      <w:szCs w:val="21"/>
                      <w:highlight w:val="none"/>
                    </w:rPr>
                    <w:t>套</w:t>
                  </w:r>
                </w:p>
              </w:tc>
              <w:tc>
                <w:tcPr>
                  <w:tcW w:w="509" w:type="pct"/>
                  <w:noWrap w:val="0"/>
                  <w:vAlign w:val="center"/>
                </w:tcPr>
                <w:p w14:paraId="3827EF0C">
                  <w:pPr>
                    <w:spacing w:line="320" w:lineRule="exact"/>
                    <w:jc w:val="center"/>
                    <w:rPr>
                      <w:rFonts w:hint="default" w:eastAsiaTheme="minorEastAsia"/>
                      <w:color w:val="auto"/>
                      <w:szCs w:val="21"/>
                      <w:highlight w:val="none"/>
                      <w:lang w:val="en-US" w:eastAsia="zh-CN"/>
                    </w:rPr>
                  </w:pPr>
                  <w:r>
                    <w:rPr>
                      <w:rFonts w:hint="eastAsia"/>
                      <w:color w:val="auto"/>
                      <w:szCs w:val="21"/>
                      <w:highlight w:val="none"/>
                    </w:rPr>
                    <w:t>/</w:t>
                  </w:r>
                </w:p>
              </w:tc>
              <w:tc>
                <w:tcPr>
                  <w:tcW w:w="509" w:type="pct"/>
                  <w:noWrap w:val="0"/>
                  <w:vAlign w:val="center"/>
                </w:tcPr>
                <w:p w14:paraId="4793F202">
                  <w:pPr>
                    <w:spacing w:line="320" w:lineRule="exact"/>
                    <w:jc w:val="center"/>
                    <w:rPr>
                      <w:color w:val="auto"/>
                      <w:szCs w:val="21"/>
                      <w:highlight w:val="none"/>
                    </w:rPr>
                  </w:pPr>
                  <w:r>
                    <w:rPr>
                      <w:rFonts w:hint="eastAsia"/>
                      <w:color w:val="auto"/>
                      <w:szCs w:val="21"/>
                      <w:highlight w:val="none"/>
                      <w:lang w:val="en-US" w:eastAsia="zh-CN"/>
                    </w:rPr>
                    <w:t>设备自带</w:t>
                  </w:r>
                </w:p>
              </w:tc>
            </w:tr>
            <w:tr w14:paraId="5DE02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07FFEB5B">
                  <w:pPr>
                    <w:adjustRightInd w:val="0"/>
                    <w:snapToGrid w:val="0"/>
                    <w:spacing w:line="320" w:lineRule="exact"/>
                    <w:jc w:val="center"/>
                    <w:rPr>
                      <w:color w:val="auto"/>
                      <w:szCs w:val="21"/>
                      <w:highlight w:val="none"/>
                    </w:rPr>
                  </w:pPr>
                </w:p>
              </w:tc>
              <w:tc>
                <w:tcPr>
                  <w:tcW w:w="479" w:type="pct"/>
                  <w:vMerge w:val="continue"/>
                  <w:tcBorders>
                    <w:right w:val="single" w:color="auto" w:sz="4" w:space="0"/>
                  </w:tcBorders>
                  <w:noWrap w:val="0"/>
                  <w:vAlign w:val="center"/>
                </w:tcPr>
                <w:p w14:paraId="3F33D170">
                  <w:pPr>
                    <w:spacing w:line="320" w:lineRule="exact"/>
                    <w:jc w:val="center"/>
                    <w:rPr>
                      <w:color w:val="auto"/>
                      <w:szCs w:val="21"/>
                      <w:highlight w:val="none"/>
                    </w:rPr>
                  </w:pPr>
                </w:p>
              </w:tc>
              <w:tc>
                <w:tcPr>
                  <w:tcW w:w="1137" w:type="pct"/>
                  <w:noWrap w:val="0"/>
                  <w:vAlign w:val="center"/>
                </w:tcPr>
                <w:p w14:paraId="7EC0768E">
                  <w:pPr>
                    <w:widowControl/>
                    <w:jc w:val="center"/>
                    <w:rPr>
                      <w:rFonts w:hint="eastAsia"/>
                      <w:color w:val="auto"/>
                      <w:highlight w:val="none"/>
                    </w:rPr>
                  </w:pPr>
                  <w:r>
                    <w:rPr>
                      <w:rFonts w:hint="eastAsia"/>
                      <w:color w:val="auto"/>
                      <w:szCs w:val="21"/>
                      <w:highlight w:val="none"/>
                    </w:rPr>
                    <w:t>场内道路</w:t>
                  </w:r>
                  <w:r>
                    <w:rPr>
                      <w:color w:val="auto"/>
                      <w:szCs w:val="21"/>
                      <w:highlight w:val="none"/>
                    </w:rPr>
                    <w:t>运输</w:t>
                  </w:r>
                  <w:r>
                    <w:rPr>
                      <w:rFonts w:hint="eastAsia"/>
                      <w:color w:val="auto"/>
                      <w:szCs w:val="21"/>
                      <w:highlight w:val="none"/>
                    </w:rPr>
                    <w:t>扬尘</w:t>
                  </w:r>
                </w:p>
              </w:tc>
              <w:tc>
                <w:tcPr>
                  <w:tcW w:w="1472" w:type="pct"/>
                  <w:noWrap w:val="0"/>
                  <w:vAlign w:val="center"/>
                </w:tcPr>
                <w:p w14:paraId="3B7A6325">
                  <w:pPr>
                    <w:widowControl/>
                    <w:jc w:val="center"/>
                    <w:rPr>
                      <w:color w:val="auto"/>
                      <w:kern w:val="0"/>
                      <w:highlight w:val="none"/>
                    </w:rPr>
                  </w:pPr>
                  <w:r>
                    <w:rPr>
                      <w:rFonts w:hint="eastAsia"/>
                      <w:color w:val="auto"/>
                      <w:szCs w:val="21"/>
                      <w:highlight w:val="none"/>
                    </w:rPr>
                    <w:t>洒水车、清扫车</w:t>
                  </w:r>
                </w:p>
              </w:tc>
              <w:tc>
                <w:tcPr>
                  <w:tcW w:w="630" w:type="pct"/>
                  <w:noWrap w:val="0"/>
                  <w:vAlign w:val="center"/>
                </w:tcPr>
                <w:p w14:paraId="3EEEA5BD">
                  <w:pPr>
                    <w:spacing w:line="320" w:lineRule="exact"/>
                    <w:jc w:val="center"/>
                    <w:rPr>
                      <w:rFonts w:hint="default" w:eastAsiaTheme="minorEastAsia"/>
                      <w:color w:val="auto"/>
                      <w:szCs w:val="21"/>
                      <w:highlight w:val="none"/>
                      <w:lang w:val="en-US" w:eastAsia="zh-CN"/>
                    </w:rPr>
                  </w:pPr>
                  <w:r>
                    <w:rPr>
                      <w:rFonts w:hint="eastAsia"/>
                      <w:color w:val="auto"/>
                      <w:szCs w:val="21"/>
                      <w:highlight w:val="none"/>
                      <w:lang w:val="en-US" w:eastAsia="zh-CN"/>
                    </w:rPr>
                    <w:t>2辆</w:t>
                  </w:r>
                </w:p>
              </w:tc>
              <w:tc>
                <w:tcPr>
                  <w:tcW w:w="509" w:type="pct"/>
                  <w:noWrap w:val="0"/>
                  <w:vAlign w:val="center"/>
                </w:tcPr>
                <w:p w14:paraId="5C151DA1">
                  <w:pPr>
                    <w:spacing w:line="320" w:lineRule="exact"/>
                    <w:jc w:val="center"/>
                    <w:rPr>
                      <w:color w:val="auto"/>
                      <w:szCs w:val="21"/>
                      <w:highlight w:val="none"/>
                    </w:rPr>
                  </w:pPr>
                  <w:r>
                    <w:rPr>
                      <w:rFonts w:hint="eastAsia"/>
                      <w:color w:val="auto"/>
                      <w:szCs w:val="21"/>
                      <w:highlight w:val="none"/>
                    </w:rPr>
                    <w:t>5</w:t>
                  </w:r>
                </w:p>
              </w:tc>
              <w:tc>
                <w:tcPr>
                  <w:tcW w:w="509" w:type="pct"/>
                  <w:noWrap w:val="0"/>
                  <w:vAlign w:val="center"/>
                </w:tcPr>
                <w:p w14:paraId="05B789BB">
                  <w:pPr>
                    <w:spacing w:line="320" w:lineRule="exact"/>
                    <w:jc w:val="center"/>
                    <w:rPr>
                      <w:color w:val="auto"/>
                      <w:szCs w:val="21"/>
                      <w:highlight w:val="none"/>
                    </w:rPr>
                  </w:pPr>
                  <w:r>
                    <w:rPr>
                      <w:rFonts w:hint="eastAsia"/>
                      <w:color w:val="auto"/>
                      <w:szCs w:val="21"/>
                      <w:highlight w:val="none"/>
                    </w:rPr>
                    <w:t>/</w:t>
                  </w:r>
                </w:p>
              </w:tc>
            </w:tr>
            <w:tr w14:paraId="1AEA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5F8A5689">
                  <w:pPr>
                    <w:adjustRightInd w:val="0"/>
                    <w:snapToGrid w:val="0"/>
                    <w:spacing w:line="320" w:lineRule="exact"/>
                    <w:jc w:val="center"/>
                    <w:rPr>
                      <w:color w:val="auto"/>
                      <w:szCs w:val="21"/>
                      <w:highlight w:val="none"/>
                    </w:rPr>
                  </w:pPr>
                </w:p>
              </w:tc>
              <w:tc>
                <w:tcPr>
                  <w:tcW w:w="479" w:type="pct"/>
                  <w:vMerge w:val="continue"/>
                  <w:tcBorders>
                    <w:right w:val="single" w:color="auto" w:sz="4" w:space="0"/>
                  </w:tcBorders>
                  <w:noWrap w:val="0"/>
                  <w:vAlign w:val="center"/>
                </w:tcPr>
                <w:p w14:paraId="133ED006">
                  <w:pPr>
                    <w:spacing w:line="320" w:lineRule="exact"/>
                    <w:jc w:val="center"/>
                    <w:rPr>
                      <w:color w:val="auto"/>
                      <w:szCs w:val="21"/>
                      <w:highlight w:val="none"/>
                    </w:rPr>
                  </w:pPr>
                </w:p>
              </w:tc>
              <w:tc>
                <w:tcPr>
                  <w:tcW w:w="1137" w:type="pct"/>
                  <w:noWrap w:val="0"/>
                  <w:vAlign w:val="center"/>
                </w:tcPr>
                <w:p w14:paraId="45C09C68">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皮带运输粉尘</w:t>
                  </w:r>
                </w:p>
              </w:tc>
              <w:tc>
                <w:tcPr>
                  <w:tcW w:w="1472" w:type="pct"/>
                  <w:noWrap w:val="0"/>
                  <w:vAlign w:val="center"/>
                </w:tcPr>
                <w:p w14:paraId="212F2110">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运输廊道封闭</w:t>
                  </w:r>
                </w:p>
              </w:tc>
              <w:tc>
                <w:tcPr>
                  <w:tcW w:w="630" w:type="pct"/>
                  <w:noWrap w:val="0"/>
                  <w:vAlign w:val="center"/>
                </w:tcPr>
                <w:p w14:paraId="45A6A087">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1套</w:t>
                  </w:r>
                </w:p>
              </w:tc>
              <w:tc>
                <w:tcPr>
                  <w:tcW w:w="509" w:type="pct"/>
                  <w:noWrap w:val="0"/>
                  <w:vAlign w:val="center"/>
                </w:tcPr>
                <w:p w14:paraId="3CF09BA6">
                  <w:pPr>
                    <w:spacing w:line="320" w:lineRule="exact"/>
                    <w:jc w:val="center"/>
                    <w:rPr>
                      <w:color w:val="auto"/>
                      <w:szCs w:val="21"/>
                      <w:highlight w:val="none"/>
                    </w:rPr>
                  </w:pPr>
                  <w:r>
                    <w:rPr>
                      <w:rFonts w:hint="eastAsia"/>
                      <w:color w:val="auto"/>
                      <w:szCs w:val="21"/>
                      <w:highlight w:val="none"/>
                    </w:rPr>
                    <w:t>1</w:t>
                  </w:r>
                </w:p>
              </w:tc>
              <w:tc>
                <w:tcPr>
                  <w:tcW w:w="509" w:type="pct"/>
                  <w:noWrap w:val="0"/>
                  <w:vAlign w:val="center"/>
                </w:tcPr>
                <w:p w14:paraId="00D6B44C">
                  <w:pPr>
                    <w:spacing w:line="320" w:lineRule="exact"/>
                    <w:jc w:val="center"/>
                    <w:rPr>
                      <w:color w:val="auto"/>
                      <w:szCs w:val="21"/>
                      <w:highlight w:val="none"/>
                    </w:rPr>
                  </w:pPr>
                  <w:r>
                    <w:rPr>
                      <w:rFonts w:hint="eastAsia"/>
                      <w:color w:val="auto"/>
                      <w:szCs w:val="21"/>
                      <w:highlight w:val="none"/>
                    </w:rPr>
                    <w:t>/</w:t>
                  </w:r>
                </w:p>
              </w:tc>
            </w:tr>
            <w:tr w14:paraId="0A33D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43D68594">
                  <w:pPr>
                    <w:adjustRightInd w:val="0"/>
                    <w:snapToGrid w:val="0"/>
                    <w:spacing w:line="320" w:lineRule="exact"/>
                    <w:jc w:val="center"/>
                    <w:rPr>
                      <w:color w:val="auto"/>
                      <w:szCs w:val="21"/>
                      <w:highlight w:val="none"/>
                    </w:rPr>
                  </w:pPr>
                </w:p>
              </w:tc>
              <w:tc>
                <w:tcPr>
                  <w:tcW w:w="479" w:type="pct"/>
                  <w:vMerge w:val="continue"/>
                  <w:tcBorders>
                    <w:right w:val="single" w:color="auto" w:sz="4" w:space="0"/>
                  </w:tcBorders>
                  <w:noWrap w:val="0"/>
                  <w:vAlign w:val="center"/>
                </w:tcPr>
                <w:p w14:paraId="558775EE">
                  <w:pPr>
                    <w:spacing w:line="320" w:lineRule="exact"/>
                    <w:jc w:val="center"/>
                    <w:rPr>
                      <w:color w:val="auto"/>
                      <w:szCs w:val="21"/>
                      <w:highlight w:val="none"/>
                    </w:rPr>
                  </w:pPr>
                </w:p>
              </w:tc>
              <w:tc>
                <w:tcPr>
                  <w:tcW w:w="1137" w:type="pct"/>
                  <w:noWrap w:val="0"/>
                  <w:vAlign w:val="center"/>
                </w:tcPr>
                <w:p w14:paraId="3E42C6DA">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原料堆场及装卸扬尘</w:t>
                  </w:r>
                </w:p>
              </w:tc>
              <w:tc>
                <w:tcPr>
                  <w:tcW w:w="1472" w:type="pct"/>
                  <w:noWrap w:val="0"/>
                  <w:vAlign w:val="center"/>
                </w:tcPr>
                <w:p w14:paraId="2CE071ED">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喷雾降尘装置</w:t>
                  </w:r>
                </w:p>
              </w:tc>
              <w:tc>
                <w:tcPr>
                  <w:tcW w:w="630" w:type="pct"/>
                  <w:noWrap w:val="0"/>
                  <w:vAlign w:val="center"/>
                </w:tcPr>
                <w:p w14:paraId="4A86095E">
                  <w:pPr>
                    <w:snapToGrid w:val="0"/>
                    <w:spacing w:line="360" w:lineRule="exact"/>
                    <w:jc w:val="center"/>
                    <w:rPr>
                      <w:rFonts w:hint="eastAsia" w:ascii="Times New Roman" w:hAnsi="Times New Roman"/>
                      <w:color w:val="auto"/>
                      <w:szCs w:val="21"/>
                      <w:highlight w:val="none"/>
                    </w:rPr>
                  </w:pPr>
                  <w:r>
                    <w:rPr>
                      <w:rFonts w:hint="eastAsia"/>
                      <w:color w:val="auto"/>
                      <w:szCs w:val="21"/>
                      <w:highlight w:val="none"/>
                      <w:lang w:val="en-US" w:eastAsia="zh-CN"/>
                    </w:rPr>
                    <w:t>2</w:t>
                  </w:r>
                  <w:r>
                    <w:rPr>
                      <w:rFonts w:hint="eastAsia" w:ascii="Times New Roman" w:hAnsi="Times New Roman"/>
                      <w:color w:val="auto"/>
                      <w:szCs w:val="21"/>
                      <w:highlight w:val="none"/>
                    </w:rPr>
                    <w:t>套</w:t>
                  </w:r>
                </w:p>
              </w:tc>
              <w:tc>
                <w:tcPr>
                  <w:tcW w:w="509" w:type="pct"/>
                  <w:noWrap w:val="0"/>
                  <w:vAlign w:val="center"/>
                </w:tcPr>
                <w:p w14:paraId="430FA177">
                  <w:pPr>
                    <w:spacing w:line="320" w:lineRule="exact"/>
                    <w:jc w:val="center"/>
                    <w:rPr>
                      <w:rFonts w:hint="eastAsia" w:eastAsiaTheme="minorEastAsia"/>
                      <w:color w:val="auto"/>
                      <w:szCs w:val="21"/>
                      <w:highlight w:val="none"/>
                      <w:lang w:eastAsia="zh-CN"/>
                    </w:rPr>
                  </w:pPr>
                  <w:r>
                    <w:rPr>
                      <w:rFonts w:hint="eastAsia"/>
                      <w:color w:val="auto"/>
                      <w:szCs w:val="21"/>
                      <w:highlight w:val="none"/>
                      <w:lang w:val="en-US" w:eastAsia="zh-CN"/>
                    </w:rPr>
                    <w:t>5</w:t>
                  </w:r>
                </w:p>
              </w:tc>
              <w:tc>
                <w:tcPr>
                  <w:tcW w:w="509" w:type="pct"/>
                  <w:noWrap w:val="0"/>
                  <w:vAlign w:val="center"/>
                </w:tcPr>
                <w:p w14:paraId="60532FC5">
                  <w:pPr>
                    <w:spacing w:line="320" w:lineRule="exact"/>
                    <w:jc w:val="center"/>
                    <w:rPr>
                      <w:color w:val="auto"/>
                      <w:szCs w:val="21"/>
                      <w:highlight w:val="none"/>
                    </w:rPr>
                  </w:pPr>
                  <w:r>
                    <w:rPr>
                      <w:rFonts w:hint="eastAsia"/>
                      <w:color w:val="auto"/>
                      <w:szCs w:val="21"/>
                      <w:highlight w:val="none"/>
                    </w:rPr>
                    <w:t>/</w:t>
                  </w:r>
                </w:p>
              </w:tc>
            </w:tr>
            <w:tr w14:paraId="17E0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50A3A638">
                  <w:pPr>
                    <w:adjustRightInd w:val="0"/>
                    <w:snapToGrid w:val="0"/>
                    <w:spacing w:line="320" w:lineRule="exact"/>
                    <w:jc w:val="center"/>
                    <w:rPr>
                      <w:color w:val="auto"/>
                      <w:szCs w:val="21"/>
                      <w:highlight w:val="none"/>
                    </w:rPr>
                  </w:pPr>
                </w:p>
              </w:tc>
              <w:tc>
                <w:tcPr>
                  <w:tcW w:w="479" w:type="pct"/>
                  <w:vMerge w:val="continue"/>
                  <w:tcBorders>
                    <w:right w:val="single" w:color="auto" w:sz="4" w:space="0"/>
                  </w:tcBorders>
                  <w:noWrap w:val="0"/>
                  <w:vAlign w:val="center"/>
                </w:tcPr>
                <w:p w14:paraId="1DB1AA1E">
                  <w:pPr>
                    <w:spacing w:line="320" w:lineRule="exact"/>
                    <w:jc w:val="center"/>
                    <w:rPr>
                      <w:color w:val="auto"/>
                      <w:szCs w:val="21"/>
                      <w:highlight w:val="none"/>
                    </w:rPr>
                  </w:pPr>
                </w:p>
              </w:tc>
              <w:tc>
                <w:tcPr>
                  <w:tcW w:w="1137" w:type="pct"/>
                  <w:noWrap w:val="0"/>
                  <w:vAlign w:val="center"/>
                </w:tcPr>
                <w:p w14:paraId="77865508">
                  <w:pPr>
                    <w:snapToGrid w:val="0"/>
                    <w:spacing w:line="360" w:lineRule="exact"/>
                    <w:jc w:val="center"/>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水稳站搅拌粉尘</w:t>
                  </w:r>
                </w:p>
              </w:tc>
              <w:tc>
                <w:tcPr>
                  <w:tcW w:w="1472" w:type="pct"/>
                  <w:noWrap w:val="0"/>
                  <w:vAlign w:val="center"/>
                </w:tcPr>
                <w:p w14:paraId="0000B593">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搅拌除尘器</w:t>
                  </w:r>
                </w:p>
              </w:tc>
              <w:tc>
                <w:tcPr>
                  <w:tcW w:w="630" w:type="pct"/>
                  <w:noWrap w:val="0"/>
                  <w:vAlign w:val="center"/>
                </w:tcPr>
                <w:p w14:paraId="547A0768">
                  <w:pPr>
                    <w:snapToGrid w:val="0"/>
                    <w:spacing w:line="360" w:lineRule="exact"/>
                    <w:jc w:val="center"/>
                    <w:rPr>
                      <w:rFonts w:hint="eastAsia" w:ascii="Times New Roman" w:hAnsi="Times New Roman"/>
                      <w:color w:val="auto"/>
                      <w:szCs w:val="21"/>
                      <w:highlight w:val="none"/>
                    </w:rPr>
                  </w:pPr>
                  <w:r>
                    <w:rPr>
                      <w:rFonts w:hint="eastAsia" w:ascii="Times New Roman" w:hAnsi="Times New Roman"/>
                      <w:color w:val="auto"/>
                      <w:szCs w:val="21"/>
                      <w:highlight w:val="none"/>
                    </w:rPr>
                    <w:t>1套</w:t>
                  </w:r>
                </w:p>
              </w:tc>
              <w:tc>
                <w:tcPr>
                  <w:tcW w:w="509" w:type="pct"/>
                  <w:noWrap w:val="0"/>
                  <w:vAlign w:val="center"/>
                </w:tcPr>
                <w:p w14:paraId="6E01CD38">
                  <w:pPr>
                    <w:spacing w:line="320" w:lineRule="exact"/>
                    <w:jc w:val="center"/>
                    <w:rPr>
                      <w:rFonts w:hint="eastAsia"/>
                      <w:color w:val="auto"/>
                      <w:szCs w:val="21"/>
                      <w:highlight w:val="none"/>
                      <w:lang w:val="en-US" w:eastAsia="zh-CN"/>
                    </w:rPr>
                  </w:pPr>
                  <w:r>
                    <w:rPr>
                      <w:rFonts w:hint="eastAsia"/>
                      <w:color w:val="auto"/>
                      <w:szCs w:val="21"/>
                      <w:highlight w:val="none"/>
                    </w:rPr>
                    <w:t>/</w:t>
                  </w:r>
                </w:p>
              </w:tc>
              <w:tc>
                <w:tcPr>
                  <w:tcW w:w="509" w:type="pct"/>
                  <w:noWrap w:val="0"/>
                  <w:vAlign w:val="center"/>
                </w:tcPr>
                <w:p w14:paraId="7620D5A0">
                  <w:pPr>
                    <w:spacing w:line="320" w:lineRule="exact"/>
                    <w:jc w:val="center"/>
                    <w:rPr>
                      <w:rFonts w:hint="eastAsia"/>
                      <w:color w:val="auto"/>
                      <w:szCs w:val="21"/>
                      <w:highlight w:val="none"/>
                    </w:rPr>
                  </w:pPr>
                  <w:r>
                    <w:rPr>
                      <w:rFonts w:hint="eastAsia"/>
                      <w:color w:val="auto"/>
                      <w:szCs w:val="21"/>
                      <w:highlight w:val="none"/>
                      <w:lang w:val="en-US" w:eastAsia="zh-CN"/>
                    </w:rPr>
                    <w:t>利旧</w:t>
                  </w:r>
                </w:p>
              </w:tc>
            </w:tr>
            <w:tr w14:paraId="1F9AB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2" w:type="pct"/>
                  <w:vMerge w:val="continue"/>
                  <w:noWrap w:val="0"/>
                  <w:vAlign w:val="center"/>
                </w:tcPr>
                <w:p w14:paraId="79CF0C9B">
                  <w:pPr>
                    <w:adjustRightInd w:val="0"/>
                    <w:snapToGrid w:val="0"/>
                    <w:spacing w:line="320" w:lineRule="exact"/>
                    <w:jc w:val="center"/>
                    <w:rPr>
                      <w:color w:val="auto"/>
                      <w:szCs w:val="21"/>
                      <w:highlight w:val="none"/>
                    </w:rPr>
                  </w:pPr>
                </w:p>
              </w:tc>
              <w:tc>
                <w:tcPr>
                  <w:tcW w:w="479" w:type="pct"/>
                  <w:vMerge w:val="restart"/>
                  <w:noWrap w:val="0"/>
                  <w:vAlign w:val="center"/>
                </w:tcPr>
                <w:p w14:paraId="39257A39">
                  <w:pPr>
                    <w:spacing w:line="320" w:lineRule="exact"/>
                    <w:jc w:val="center"/>
                    <w:rPr>
                      <w:color w:val="auto"/>
                      <w:szCs w:val="21"/>
                      <w:highlight w:val="none"/>
                    </w:rPr>
                  </w:pPr>
                  <w:r>
                    <w:rPr>
                      <w:color w:val="auto"/>
                      <w:szCs w:val="21"/>
                      <w:highlight w:val="none"/>
                    </w:rPr>
                    <w:t>废水</w:t>
                  </w:r>
                </w:p>
              </w:tc>
              <w:tc>
                <w:tcPr>
                  <w:tcW w:w="1137" w:type="pct"/>
                  <w:tcBorders>
                    <w:bottom w:val="single" w:color="auto" w:sz="4" w:space="0"/>
                  </w:tcBorders>
                  <w:noWrap w:val="0"/>
                  <w:vAlign w:val="center"/>
                </w:tcPr>
                <w:p w14:paraId="1E30E9CC">
                  <w:pPr>
                    <w:spacing w:line="320" w:lineRule="exact"/>
                    <w:jc w:val="center"/>
                    <w:rPr>
                      <w:color w:val="auto"/>
                      <w:szCs w:val="21"/>
                      <w:highlight w:val="none"/>
                    </w:rPr>
                  </w:pPr>
                  <w:r>
                    <w:rPr>
                      <w:rFonts w:hint="eastAsia"/>
                      <w:color w:val="auto"/>
                      <w:szCs w:val="21"/>
                      <w:highlight w:val="none"/>
                    </w:rPr>
                    <w:t>生活污水</w:t>
                  </w:r>
                </w:p>
              </w:tc>
              <w:tc>
                <w:tcPr>
                  <w:tcW w:w="1472" w:type="pct"/>
                  <w:tcBorders>
                    <w:bottom w:val="single" w:color="auto" w:sz="4" w:space="0"/>
                  </w:tcBorders>
                  <w:noWrap w:val="0"/>
                  <w:vAlign w:val="center"/>
                </w:tcPr>
                <w:p w14:paraId="675C65A4">
                  <w:pPr>
                    <w:spacing w:line="320" w:lineRule="exact"/>
                    <w:jc w:val="center"/>
                    <w:rPr>
                      <w:rFonts w:hint="eastAsia"/>
                      <w:color w:val="auto"/>
                      <w:szCs w:val="21"/>
                      <w:highlight w:val="none"/>
                    </w:rPr>
                  </w:pPr>
                  <w:r>
                    <w:rPr>
                      <w:rFonts w:hint="eastAsia"/>
                      <w:color w:val="auto"/>
                      <w:szCs w:val="21"/>
                      <w:highlight w:val="none"/>
                    </w:rPr>
                    <w:t>化粪池（</w:t>
                  </w:r>
                  <w:r>
                    <w:rPr>
                      <w:rFonts w:hint="eastAsia"/>
                      <w:color w:val="auto"/>
                      <w:szCs w:val="21"/>
                      <w:highlight w:val="none"/>
                      <w:lang w:val="en-US" w:eastAsia="zh-CN"/>
                    </w:rPr>
                    <w:t>75</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w:t>
                  </w:r>
                </w:p>
              </w:tc>
              <w:tc>
                <w:tcPr>
                  <w:tcW w:w="630" w:type="pct"/>
                  <w:tcBorders>
                    <w:bottom w:val="single" w:color="auto" w:sz="4" w:space="0"/>
                  </w:tcBorders>
                  <w:noWrap w:val="0"/>
                  <w:vAlign w:val="center"/>
                </w:tcPr>
                <w:p w14:paraId="3F7F38CC">
                  <w:pPr>
                    <w:spacing w:line="320" w:lineRule="exact"/>
                    <w:jc w:val="center"/>
                    <w:rPr>
                      <w:color w:val="auto"/>
                      <w:szCs w:val="21"/>
                      <w:highlight w:val="none"/>
                    </w:rPr>
                  </w:pPr>
                  <w:r>
                    <w:rPr>
                      <w:rFonts w:hint="eastAsia"/>
                      <w:color w:val="auto"/>
                      <w:szCs w:val="21"/>
                      <w:highlight w:val="none"/>
                    </w:rPr>
                    <w:t>1座</w:t>
                  </w:r>
                </w:p>
              </w:tc>
              <w:tc>
                <w:tcPr>
                  <w:tcW w:w="509" w:type="pct"/>
                  <w:tcBorders>
                    <w:bottom w:val="single" w:color="auto" w:sz="4" w:space="0"/>
                  </w:tcBorders>
                  <w:noWrap w:val="0"/>
                  <w:vAlign w:val="center"/>
                </w:tcPr>
                <w:p w14:paraId="78B3D3BA">
                  <w:pPr>
                    <w:spacing w:line="320" w:lineRule="exact"/>
                    <w:jc w:val="center"/>
                    <w:rPr>
                      <w:color w:val="auto"/>
                      <w:szCs w:val="21"/>
                      <w:highlight w:val="none"/>
                    </w:rPr>
                  </w:pPr>
                  <w:r>
                    <w:rPr>
                      <w:rFonts w:hint="eastAsia"/>
                      <w:color w:val="auto"/>
                      <w:szCs w:val="21"/>
                      <w:highlight w:val="none"/>
                    </w:rPr>
                    <w:t>/</w:t>
                  </w:r>
                </w:p>
              </w:tc>
              <w:tc>
                <w:tcPr>
                  <w:tcW w:w="509" w:type="pct"/>
                  <w:tcBorders>
                    <w:bottom w:val="single" w:color="auto" w:sz="4" w:space="0"/>
                  </w:tcBorders>
                  <w:noWrap w:val="0"/>
                  <w:vAlign w:val="center"/>
                </w:tcPr>
                <w:p w14:paraId="50AB2F8F">
                  <w:pPr>
                    <w:spacing w:line="320" w:lineRule="exact"/>
                    <w:jc w:val="center"/>
                    <w:rPr>
                      <w:rFonts w:hint="eastAsia" w:eastAsiaTheme="minorEastAsia"/>
                      <w:color w:val="auto"/>
                      <w:szCs w:val="21"/>
                      <w:highlight w:val="none"/>
                      <w:lang w:eastAsia="zh-CN"/>
                    </w:rPr>
                  </w:pPr>
                  <w:r>
                    <w:rPr>
                      <w:rFonts w:hint="eastAsia"/>
                      <w:color w:val="auto"/>
                      <w:szCs w:val="21"/>
                      <w:highlight w:val="none"/>
                      <w:lang w:val="en-US" w:eastAsia="zh-CN"/>
                    </w:rPr>
                    <w:t>利旧</w:t>
                  </w:r>
                </w:p>
              </w:tc>
            </w:tr>
            <w:tr w14:paraId="68AB5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62" w:type="pct"/>
                  <w:vMerge w:val="continue"/>
                  <w:noWrap w:val="0"/>
                  <w:vAlign w:val="center"/>
                </w:tcPr>
                <w:p w14:paraId="19E09341">
                  <w:pPr>
                    <w:adjustRightInd w:val="0"/>
                    <w:snapToGrid w:val="0"/>
                    <w:spacing w:line="320" w:lineRule="exact"/>
                    <w:jc w:val="center"/>
                    <w:rPr>
                      <w:color w:val="auto"/>
                      <w:szCs w:val="21"/>
                      <w:highlight w:val="none"/>
                    </w:rPr>
                  </w:pPr>
                </w:p>
              </w:tc>
              <w:tc>
                <w:tcPr>
                  <w:tcW w:w="479" w:type="pct"/>
                  <w:vMerge w:val="continue"/>
                  <w:noWrap w:val="0"/>
                  <w:vAlign w:val="center"/>
                </w:tcPr>
                <w:p w14:paraId="5F76B6C8">
                  <w:pPr>
                    <w:spacing w:line="320" w:lineRule="exact"/>
                    <w:jc w:val="center"/>
                    <w:rPr>
                      <w:color w:val="auto"/>
                      <w:szCs w:val="21"/>
                      <w:highlight w:val="none"/>
                    </w:rPr>
                  </w:pPr>
                </w:p>
              </w:tc>
              <w:tc>
                <w:tcPr>
                  <w:tcW w:w="1137" w:type="pct"/>
                  <w:noWrap w:val="0"/>
                  <w:vAlign w:val="center"/>
                </w:tcPr>
                <w:p w14:paraId="67ECD7EC">
                  <w:pPr>
                    <w:spacing w:line="320" w:lineRule="exact"/>
                    <w:jc w:val="center"/>
                    <w:rPr>
                      <w:rFonts w:hint="eastAsia"/>
                      <w:color w:val="auto"/>
                      <w:szCs w:val="21"/>
                      <w:highlight w:val="none"/>
                    </w:rPr>
                  </w:pPr>
                  <w:r>
                    <w:rPr>
                      <w:rFonts w:hint="eastAsia"/>
                      <w:color w:val="auto"/>
                      <w:szCs w:val="21"/>
                      <w:highlight w:val="none"/>
                    </w:rPr>
                    <w:t>车辆冲洗废水</w:t>
                  </w:r>
                </w:p>
              </w:tc>
              <w:tc>
                <w:tcPr>
                  <w:tcW w:w="1472" w:type="pct"/>
                  <w:noWrap w:val="0"/>
                  <w:vAlign w:val="center"/>
                </w:tcPr>
                <w:p w14:paraId="3BFF3F17">
                  <w:pPr>
                    <w:spacing w:line="320" w:lineRule="exact"/>
                    <w:jc w:val="center"/>
                    <w:rPr>
                      <w:rFonts w:hint="eastAsia"/>
                      <w:color w:val="auto"/>
                      <w:szCs w:val="21"/>
                      <w:highlight w:val="none"/>
                    </w:rPr>
                  </w:pPr>
                  <w:r>
                    <w:rPr>
                      <w:rFonts w:hint="eastAsia"/>
                      <w:color w:val="auto"/>
                      <w:szCs w:val="21"/>
                      <w:highlight w:val="none"/>
                    </w:rPr>
                    <w:t>三级沉淀池（</w:t>
                  </w:r>
                  <w:r>
                    <w:rPr>
                      <w:rFonts w:hint="eastAsia"/>
                      <w:color w:val="auto"/>
                      <w:szCs w:val="21"/>
                      <w:highlight w:val="none"/>
                      <w:lang w:val="en-US" w:eastAsia="zh-CN"/>
                    </w:rPr>
                    <w:t>50</w:t>
                  </w:r>
                  <w:r>
                    <w:rPr>
                      <w:color w:val="auto"/>
                      <w:szCs w:val="21"/>
                      <w:highlight w:val="none"/>
                    </w:rPr>
                    <w:t>m</w:t>
                  </w:r>
                  <w:r>
                    <w:rPr>
                      <w:color w:val="auto"/>
                      <w:szCs w:val="21"/>
                      <w:highlight w:val="none"/>
                      <w:vertAlign w:val="superscript"/>
                    </w:rPr>
                    <w:t>3</w:t>
                  </w:r>
                  <w:r>
                    <w:rPr>
                      <w:rFonts w:hint="eastAsia"/>
                      <w:color w:val="auto"/>
                      <w:szCs w:val="21"/>
                      <w:highlight w:val="none"/>
                    </w:rPr>
                    <w:t>）</w:t>
                  </w:r>
                </w:p>
              </w:tc>
              <w:tc>
                <w:tcPr>
                  <w:tcW w:w="630" w:type="pct"/>
                  <w:noWrap w:val="0"/>
                  <w:vAlign w:val="center"/>
                </w:tcPr>
                <w:p w14:paraId="10D8EE07">
                  <w:pPr>
                    <w:spacing w:line="320" w:lineRule="exact"/>
                    <w:jc w:val="center"/>
                    <w:rPr>
                      <w:color w:val="auto"/>
                      <w:szCs w:val="21"/>
                      <w:highlight w:val="none"/>
                    </w:rPr>
                  </w:pPr>
                  <w:r>
                    <w:rPr>
                      <w:rFonts w:hint="eastAsia"/>
                      <w:color w:val="auto"/>
                      <w:szCs w:val="21"/>
                      <w:highlight w:val="none"/>
                    </w:rPr>
                    <w:t>1座</w:t>
                  </w:r>
                </w:p>
              </w:tc>
              <w:tc>
                <w:tcPr>
                  <w:tcW w:w="509" w:type="pct"/>
                  <w:noWrap w:val="0"/>
                  <w:vAlign w:val="center"/>
                </w:tcPr>
                <w:p w14:paraId="083EF057">
                  <w:pPr>
                    <w:spacing w:line="320" w:lineRule="exact"/>
                    <w:jc w:val="center"/>
                    <w:rPr>
                      <w:color w:val="auto"/>
                      <w:szCs w:val="21"/>
                      <w:highlight w:val="none"/>
                    </w:rPr>
                  </w:pPr>
                  <w:r>
                    <w:rPr>
                      <w:rFonts w:hint="eastAsia"/>
                      <w:color w:val="auto"/>
                      <w:szCs w:val="21"/>
                      <w:highlight w:val="none"/>
                    </w:rPr>
                    <w:t>/</w:t>
                  </w:r>
                </w:p>
              </w:tc>
              <w:tc>
                <w:tcPr>
                  <w:tcW w:w="509" w:type="pct"/>
                  <w:noWrap w:val="0"/>
                  <w:vAlign w:val="center"/>
                </w:tcPr>
                <w:p w14:paraId="4945C168">
                  <w:pPr>
                    <w:spacing w:line="320" w:lineRule="exact"/>
                    <w:jc w:val="center"/>
                    <w:rPr>
                      <w:color w:val="auto"/>
                      <w:szCs w:val="21"/>
                      <w:highlight w:val="none"/>
                    </w:rPr>
                  </w:pPr>
                  <w:r>
                    <w:rPr>
                      <w:rFonts w:hint="eastAsia"/>
                      <w:color w:val="auto"/>
                      <w:szCs w:val="21"/>
                      <w:highlight w:val="none"/>
                      <w:lang w:val="en-US" w:eastAsia="zh-CN"/>
                    </w:rPr>
                    <w:t>利旧</w:t>
                  </w:r>
                </w:p>
              </w:tc>
            </w:tr>
            <w:tr w14:paraId="241D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62" w:type="pct"/>
                  <w:vMerge w:val="continue"/>
                  <w:noWrap w:val="0"/>
                  <w:vAlign w:val="center"/>
                </w:tcPr>
                <w:p w14:paraId="06BEBE7D">
                  <w:pPr>
                    <w:adjustRightInd w:val="0"/>
                    <w:snapToGrid w:val="0"/>
                    <w:spacing w:line="320" w:lineRule="exact"/>
                    <w:jc w:val="center"/>
                    <w:rPr>
                      <w:color w:val="auto"/>
                      <w:szCs w:val="21"/>
                      <w:highlight w:val="none"/>
                    </w:rPr>
                  </w:pPr>
                </w:p>
              </w:tc>
              <w:tc>
                <w:tcPr>
                  <w:tcW w:w="479" w:type="pct"/>
                  <w:vMerge w:val="continue"/>
                  <w:noWrap w:val="0"/>
                  <w:vAlign w:val="center"/>
                </w:tcPr>
                <w:p w14:paraId="6F5B12A6">
                  <w:pPr>
                    <w:spacing w:line="320" w:lineRule="exact"/>
                    <w:jc w:val="center"/>
                    <w:rPr>
                      <w:color w:val="auto"/>
                      <w:szCs w:val="21"/>
                      <w:highlight w:val="none"/>
                    </w:rPr>
                  </w:pPr>
                </w:p>
              </w:tc>
              <w:tc>
                <w:tcPr>
                  <w:tcW w:w="1137" w:type="pct"/>
                  <w:noWrap w:val="0"/>
                  <w:vAlign w:val="center"/>
                </w:tcPr>
                <w:p w14:paraId="52FEA430">
                  <w:pPr>
                    <w:spacing w:line="320" w:lineRule="exact"/>
                    <w:jc w:val="center"/>
                    <w:rPr>
                      <w:rFonts w:hint="eastAsia" w:eastAsiaTheme="minorEastAsia"/>
                      <w:color w:val="auto"/>
                      <w:szCs w:val="21"/>
                      <w:highlight w:val="none"/>
                      <w:lang w:val="en-US" w:eastAsia="zh-CN"/>
                    </w:rPr>
                  </w:pPr>
                  <w:r>
                    <w:rPr>
                      <w:rFonts w:hint="eastAsia"/>
                      <w:color w:val="auto"/>
                      <w:szCs w:val="21"/>
                      <w:highlight w:val="none"/>
                      <w:lang w:val="en-US" w:eastAsia="zh-CN"/>
                    </w:rPr>
                    <w:t>初期雨水</w:t>
                  </w:r>
                </w:p>
              </w:tc>
              <w:tc>
                <w:tcPr>
                  <w:tcW w:w="1472" w:type="pct"/>
                  <w:noWrap w:val="0"/>
                  <w:vAlign w:val="center"/>
                </w:tcPr>
                <w:p w14:paraId="5219E37A">
                  <w:pPr>
                    <w:spacing w:line="320" w:lineRule="exact"/>
                    <w:jc w:val="center"/>
                    <w:rPr>
                      <w:rFonts w:hint="eastAsia" w:eastAsiaTheme="minorEastAsia"/>
                      <w:color w:val="auto"/>
                      <w:szCs w:val="21"/>
                      <w:highlight w:val="none"/>
                      <w:lang w:val="en-US" w:eastAsia="zh-CN"/>
                    </w:rPr>
                  </w:pPr>
                  <w:r>
                    <w:rPr>
                      <w:rFonts w:hint="default" w:ascii="Times New Roman" w:hAnsi="Times New Roman" w:cs="Times New Roman"/>
                      <w:color w:val="auto"/>
                      <w:sz w:val="24"/>
                      <w:highlight w:val="none"/>
                    </w:rPr>
                    <w:t>初期雨水收集池</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val="en-US" w:eastAsia="zh-CN"/>
                    </w:rPr>
                    <w:t>5</w:t>
                  </w:r>
                  <w:r>
                    <w:rPr>
                      <w:rFonts w:hint="eastAsia" w:cs="Times New Roman"/>
                      <w:color w:val="auto"/>
                      <w:kern w:val="0"/>
                      <w:sz w:val="24"/>
                      <w:highlight w:val="none"/>
                      <w:lang w:val="en-US" w:eastAsia="zh-CN" w:bidi="ar"/>
                    </w:rPr>
                    <w:t>0</w:t>
                  </w:r>
                  <w:r>
                    <w:rPr>
                      <w:rFonts w:hint="default" w:ascii="Times New Roman" w:hAnsi="Times New Roman" w:cs="Times New Roman"/>
                      <w:color w:val="auto"/>
                      <w:kern w:val="0"/>
                      <w:sz w:val="24"/>
                      <w:highlight w:val="none"/>
                      <w:lang w:bidi="ar"/>
                    </w:rPr>
                    <w:t>m</w:t>
                  </w:r>
                  <w:r>
                    <w:rPr>
                      <w:rFonts w:hint="default" w:ascii="Times New Roman" w:hAnsi="Times New Roman" w:cs="Times New Roman"/>
                      <w:color w:val="auto"/>
                      <w:kern w:val="0"/>
                      <w:sz w:val="24"/>
                      <w:highlight w:val="none"/>
                      <w:vertAlign w:val="superscript"/>
                      <w:lang w:bidi="ar"/>
                    </w:rPr>
                    <w:t>3</w:t>
                  </w:r>
                  <w:r>
                    <w:rPr>
                      <w:rFonts w:hint="eastAsia" w:ascii="Times New Roman" w:hAnsi="Times New Roman" w:cs="Times New Roman"/>
                      <w:color w:val="auto"/>
                      <w:sz w:val="24"/>
                      <w:highlight w:val="none"/>
                      <w:lang w:eastAsia="zh-CN"/>
                    </w:rPr>
                    <w:t>）</w:t>
                  </w:r>
                </w:p>
              </w:tc>
              <w:tc>
                <w:tcPr>
                  <w:tcW w:w="630" w:type="pct"/>
                  <w:shd w:val="clear" w:color="auto" w:fill="auto"/>
                  <w:noWrap w:val="0"/>
                  <w:vAlign w:val="center"/>
                </w:tcPr>
                <w:p w14:paraId="38853575">
                  <w:pPr>
                    <w:spacing w:line="320" w:lineRule="exact"/>
                    <w:jc w:val="center"/>
                    <w:rPr>
                      <w:rFonts w:hint="eastAsia" w:ascii="Times New Roman" w:hAnsi="Times New Roman" w:eastAsiaTheme="minorEastAsia" w:cstheme="minorBidi"/>
                      <w:color w:val="auto"/>
                      <w:kern w:val="2"/>
                      <w:sz w:val="24"/>
                      <w:szCs w:val="21"/>
                      <w:highlight w:val="none"/>
                      <w:lang w:val="en-US" w:eastAsia="zh-CN" w:bidi="ar-SA"/>
                    </w:rPr>
                  </w:pPr>
                  <w:r>
                    <w:rPr>
                      <w:rFonts w:hint="eastAsia"/>
                      <w:color w:val="auto"/>
                      <w:szCs w:val="21"/>
                      <w:highlight w:val="none"/>
                    </w:rPr>
                    <w:t>1座</w:t>
                  </w:r>
                </w:p>
              </w:tc>
              <w:tc>
                <w:tcPr>
                  <w:tcW w:w="509" w:type="pct"/>
                  <w:shd w:val="clear" w:color="auto" w:fill="auto"/>
                  <w:noWrap w:val="0"/>
                  <w:vAlign w:val="center"/>
                </w:tcPr>
                <w:p w14:paraId="4879B32B">
                  <w:pPr>
                    <w:spacing w:line="320" w:lineRule="exact"/>
                    <w:jc w:val="center"/>
                    <w:rPr>
                      <w:rFonts w:hint="eastAsia" w:ascii="Times New Roman" w:hAnsi="Times New Roman" w:eastAsiaTheme="minorEastAsia" w:cstheme="minorBidi"/>
                      <w:color w:val="auto"/>
                      <w:kern w:val="2"/>
                      <w:sz w:val="24"/>
                      <w:szCs w:val="21"/>
                      <w:highlight w:val="none"/>
                      <w:lang w:val="en-US" w:eastAsia="zh-CN" w:bidi="ar-SA"/>
                    </w:rPr>
                  </w:pPr>
                  <w:r>
                    <w:rPr>
                      <w:rFonts w:hint="eastAsia"/>
                      <w:color w:val="auto"/>
                      <w:szCs w:val="21"/>
                      <w:highlight w:val="none"/>
                    </w:rPr>
                    <w:t>/</w:t>
                  </w:r>
                </w:p>
              </w:tc>
              <w:tc>
                <w:tcPr>
                  <w:tcW w:w="509" w:type="pct"/>
                  <w:shd w:val="clear" w:color="auto" w:fill="auto"/>
                  <w:noWrap w:val="0"/>
                  <w:vAlign w:val="center"/>
                </w:tcPr>
                <w:p w14:paraId="0D6F8C17">
                  <w:pPr>
                    <w:spacing w:line="320" w:lineRule="exact"/>
                    <w:jc w:val="center"/>
                    <w:rPr>
                      <w:rFonts w:hint="eastAsia" w:ascii="Times New Roman" w:hAnsi="Times New Roman" w:eastAsiaTheme="minorEastAsia" w:cstheme="minorBidi"/>
                      <w:color w:val="auto"/>
                      <w:kern w:val="2"/>
                      <w:sz w:val="24"/>
                      <w:szCs w:val="21"/>
                      <w:highlight w:val="none"/>
                      <w:lang w:val="en-US" w:eastAsia="zh-CN" w:bidi="ar-SA"/>
                    </w:rPr>
                  </w:pPr>
                  <w:r>
                    <w:rPr>
                      <w:rFonts w:hint="eastAsia"/>
                      <w:color w:val="auto"/>
                      <w:szCs w:val="21"/>
                      <w:highlight w:val="none"/>
                      <w:lang w:val="en-US" w:eastAsia="zh-CN"/>
                    </w:rPr>
                    <w:t>利旧</w:t>
                  </w:r>
                </w:p>
              </w:tc>
            </w:tr>
            <w:tr w14:paraId="4F7D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604D7DF8">
                  <w:pPr>
                    <w:adjustRightInd w:val="0"/>
                    <w:snapToGrid w:val="0"/>
                    <w:spacing w:line="320" w:lineRule="exact"/>
                    <w:jc w:val="center"/>
                    <w:rPr>
                      <w:color w:val="auto"/>
                      <w:szCs w:val="21"/>
                      <w:highlight w:val="none"/>
                    </w:rPr>
                  </w:pPr>
                </w:p>
              </w:tc>
              <w:tc>
                <w:tcPr>
                  <w:tcW w:w="479" w:type="pct"/>
                  <w:noWrap w:val="0"/>
                  <w:vAlign w:val="center"/>
                </w:tcPr>
                <w:p w14:paraId="4ED1CCDE">
                  <w:pPr>
                    <w:adjustRightInd w:val="0"/>
                    <w:snapToGrid w:val="0"/>
                    <w:spacing w:line="320" w:lineRule="exact"/>
                    <w:jc w:val="center"/>
                    <w:rPr>
                      <w:color w:val="auto"/>
                      <w:szCs w:val="21"/>
                      <w:highlight w:val="none"/>
                    </w:rPr>
                  </w:pPr>
                  <w:r>
                    <w:rPr>
                      <w:color w:val="auto"/>
                      <w:szCs w:val="21"/>
                      <w:highlight w:val="none"/>
                    </w:rPr>
                    <w:t>噪声</w:t>
                  </w:r>
                </w:p>
              </w:tc>
              <w:tc>
                <w:tcPr>
                  <w:tcW w:w="1137" w:type="pct"/>
                  <w:noWrap w:val="0"/>
                  <w:vAlign w:val="center"/>
                </w:tcPr>
                <w:p w14:paraId="55E4500C">
                  <w:pPr>
                    <w:adjustRightInd w:val="0"/>
                    <w:snapToGrid w:val="0"/>
                    <w:spacing w:line="320" w:lineRule="exact"/>
                    <w:jc w:val="center"/>
                    <w:rPr>
                      <w:color w:val="auto"/>
                      <w:szCs w:val="21"/>
                      <w:highlight w:val="none"/>
                    </w:rPr>
                  </w:pPr>
                  <w:r>
                    <w:rPr>
                      <w:rFonts w:hint="eastAsia"/>
                      <w:color w:val="auto"/>
                      <w:szCs w:val="21"/>
                      <w:highlight w:val="none"/>
                    </w:rPr>
                    <w:t>搅拌机</w:t>
                  </w:r>
                  <w:r>
                    <w:rPr>
                      <w:color w:val="auto"/>
                      <w:szCs w:val="21"/>
                      <w:highlight w:val="none"/>
                    </w:rPr>
                    <w:t>等设备噪声</w:t>
                  </w:r>
                </w:p>
              </w:tc>
              <w:tc>
                <w:tcPr>
                  <w:tcW w:w="1472" w:type="pct"/>
                  <w:noWrap w:val="0"/>
                  <w:vAlign w:val="center"/>
                </w:tcPr>
                <w:p w14:paraId="51A421B2">
                  <w:pPr>
                    <w:adjustRightInd w:val="0"/>
                    <w:snapToGrid w:val="0"/>
                    <w:spacing w:line="320" w:lineRule="exact"/>
                    <w:jc w:val="center"/>
                    <w:rPr>
                      <w:rFonts w:hint="eastAsia"/>
                      <w:color w:val="auto"/>
                      <w:szCs w:val="21"/>
                      <w:highlight w:val="none"/>
                    </w:rPr>
                  </w:pPr>
                  <w:r>
                    <w:rPr>
                      <w:rFonts w:hint="eastAsia"/>
                      <w:color w:val="auto"/>
                      <w:szCs w:val="21"/>
                      <w:highlight w:val="none"/>
                    </w:rPr>
                    <w:t>厂房</w:t>
                  </w:r>
                  <w:r>
                    <w:rPr>
                      <w:color w:val="auto"/>
                      <w:szCs w:val="21"/>
                      <w:highlight w:val="none"/>
                    </w:rPr>
                    <w:t>隔声、</w:t>
                  </w:r>
                  <w:r>
                    <w:rPr>
                      <w:rFonts w:hint="eastAsia"/>
                      <w:color w:val="auto"/>
                      <w:szCs w:val="21"/>
                      <w:highlight w:val="none"/>
                    </w:rPr>
                    <w:t>基础</w:t>
                  </w:r>
                  <w:r>
                    <w:rPr>
                      <w:color w:val="auto"/>
                      <w:szCs w:val="21"/>
                      <w:highlight w:val="none"/>
                    </w:rPr>
                    <w:t>减</w:t>
                  </w:r>
                  <w:r>
                    <w:rPr>
                      <w:rFonts w:hint="eastAsia"/>
                      <w:color w:val="auto"/>
                      <w:szCs w:val="21"/>
                      <w:highlight w:val="none"/>
                    </w:rPr>
                    <w:t>振</w:t>
                  </w:r>
                </w:p>
              </w:tc>
              <w:tc>
                <w:tcPr>
                  <w:tcW w:w="630" w:type="pct"/>
                  <w:noWrap w:val="0"/>
                  <w:vAlign w:val="center"/>
                </w:tcPr>
                <w:p w14:paraId="453E0C34">
                  <w:pPr>
                    <w:adjustRightInd w:val="0"/>
                    <w:snapToGrid w:val="0"/>
                    <w:spacing w:line="320" w:lineRule="exact"/>
                    <w:jc w:val="center"/>
                    <w:rPr>
                      <w:rFonts w:hint="eastAsia"/>
                      <w:color w:val="auto"/>
                      <w:szCs w:val="21"/>
                      <w:highlight w:val="none"/>
                    </w:rPr>
                  </w:pPr>
                  <w:r>
                    <w:rPr>
                      <w:rFonts w:hint="eastAsia"/>
                      <w:color w:val="auto"/>
                      <w:szCs w:val="21"/>
                      <w:highlight w:val="none"/>
                    </w:rPr>
                    <w:t>/</w:t>
                  </w:r>
                </w:p>
              </w:tc>
              <w:tc>
                <w:tcPr>
                  <w:tcW w:w="509" w:type="pct"/>
                  <w:noWrap w:val="0"/>
                  <w:vAlign w:val="center"/>
                </w:tcPr>
                <w:p w14:paraId="2A4B0758">
                  <w:pPr>
                    <w:spacing w:line="320" w:lineRule="exact"/>
                    <w:jc w:val="center"/>
                    <w:rPr>
                      <w:color w:val="auto"/>
                      <w:szCs w:val="21"/>
                      <w:highlight w:val="none"/>
                    </w:rPr>
                  </w:pPr>
                  <w:r>
                    <w:rPr>
                      <w:rFonts w:hint="eastAsia"/>
                      <w:color w:val="auto"/>
                      <w:szCs w:val="21"/>
                      <w:highlight w:val="none"/>
                    </w:rPr>
                    <w:t>1.5</w:t>
                  </w:r>
                </w:p>
              </w:tc>
              <w:tc>
                <w:tcPr>
                  <w:tcW w:w="509" w:type="pct"/>
                  <w:noWrap w:val="0"/>
                  <w:vAlign w:val="center"/>
                </w:tcPr>
                <w:p w14:paraId="02673F63">
                  <w:pPr>
                    <w:spacing w:line="320" w:lineRule="exact"/>
                    <w:jc w:val="center"/>
                    <w:rPr>
                      <w:color w:val="auto"/>
                      <w:szCs w:val="21"/>
                      <w:highlight w:val="none"/>
                    </w:rPr>
                  </w:pPr>
                  <w:r>
                    <w:rPr>
                      <w:rFonts w:hint="eastAsia"/>
                      <w:color w:val="auto"/>
                      <w:szCs w:val="21"/>
                      <w:highlight w:val="none"/>
                    </w:rPr>
                    <w:t>/</w:t>
                  </w:r>
                </w:p>
              </w:tc>
            </w:tr>
            <w:tr w14:paraId="1261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2D332945">
                  <w:pPr>
                    <w:adjustRightInd w:val="0"/>
                    <w:snapToGrid w:val="0"/>
                    <w:spacing w:line="320" w:lineRule="exact"/>
                    <w:jc w:val="center"/>
                    <w:rPr>
                      <w:color w:val="auto"/>
                      <w:szCs w:val="21"/>
                      <w:highlight w:val="none"/>
                    </w:rPr>
                  </w:pPr>
                </w:p>
              </w:tc>
              <w:tc>
                <w:tcPr>
                  <w:tcW w:w="479" w:type="pct"/>
                  <w:vMerge w:val="restart"/>
                  <w:noWrap w:val="0"/>
                  <w:vAlign w:val="center"/>
                </w:tcPr>
                <w:p w14:paraId="21B7A347">
                  <w:pPr>
                    <w:adjustRightInd w:val="0"/>
                    <w:snapToGrid w:val="0"/>
                    <w:spacing w:line="320" w:lineRule="exact"/>
                    <w:jc w:val="center"/>
                    <w:rPr>
                      <w:color w:val="auto"/>
                      <w:szCs w:val="21"/>
                      <w:highlight w:val="none"/>
                    </w:rPr>
                  </w:pPr>
                  <w:r>
                    <w:rPr>
                      <w:color w:val="auto"/>
                      <w:szCs w:val="21"/>
                      <w:highlight w:val="none"/>
                    </w:rPr>
                    <w:t>固废</w:t>
                  </w:r>
                </w:p>
              </w:tc>
              <w:tc>
                <w:tcPr>
                  <w:tcW w:w="1137" w:type="pct"/>
                  <w:noWrap w:val="0"/>
                  <w:vAlign w:val="center"/>
                </w:tcPr>
                <w:p w14:paraId="6D149ADA">
                  <w:pPr>
                    <w:adjustRightInd w:val="0"/>
                    <w:snapToGrid w:val="0"/>
                    <w:spacing w:line="320" w:lineRule="exact"/>
                    <w:jc w:val="center"/>
                    <w:rPr>
                      <w:color w:val="auto"/>
                      <w:szCs w:val="21"/>
                      <w:highlight w:val="none"/>
                    </w:rPr>
                  </w:pPr>
                  <w:r>
                    <w:rPr>
                      <w:color w:val="auto"/>
                      <w:szCs w:val="21"/>
                      <w:highlight w:val="none"/>
                    </w:rPr>
                    <w:t>生活垃圾</w:t>
                  </w:r>
                </w:p>
              </w:tc>
              <w:tc>
                <w:tcPr>
                  <w:tcW w:w="1472" w:type="pct"/>
                  <w:noWrap w:val="0"/>
                  <w:vAlign w:val="center"/>
                </w:tcPr>
                <w:p w14:paraId="788284E6">
                  <w:pPr>
                    <w:spacing w:line="320" w:lineRule="exact"/>
                    <w:jc w:val="center"/>
                    <w:rPr>
                      <w:color w:val="auto"/>
                      <w:szCs w:val="21"/>
                      <w:highlight w:val="none"/>
                    </w:rPr>
                  </w:pPr>
                  <w:r>
                    <w:rPr>
                      <w:color w:val="auto"/>
                      <w:szCs w:val="21"/>
                      <w:highlight w:val="none"/>
                    </w:rPr>
                    <w:t>垃圾桶</w:t>
                  </w:r>
                </w:p>
              </w:tc>
              <w:tc>
                <w:tcPr>
                  <w:tcW w:w="630" w:type="pct"/>
                  <w:noWrap w:val="0"/>
                  <w:vAlign w:val="center"/>
                </w:tcPr>
                <w:p w14:paraId="568BB808">
                  <w:pPr>
                    <w:adjustRightInd w:val="0"/>
                    <w:snapToGrid w:val="0"/>
                    <w:spacing w:line="320" w:lineRule="exact"/>
                    <w:jc w:val="center"/>
                    <w:rPr>
                      <w:color w:val="auto"/>
                      <w:szCs w:val="21"/>
                      <w:highlight w:val="none"/>
                    </w:rPr>
                  </w:pPr>
                  <w:r>
                    <w:rPr>
                      <w:color w:val="auto"/>
                      <w:szCs w:val="21"/>
                      <w:highlight w:val="none"/>
                    </w:rPr>
                    <w:t>若干</w:t>
                  </w:r>
                </w:p>
              </w:tc>
              <w:tc>
                <w:tcPr>
                  <w:tcW w:w="509" w:type="pct"/>
                  <w:noWrap w:val="0"/>
                  <w:vAlign w:val="center"/>
                </w:tcPr>
                <w:p w14:paraId="64E4CB3F">
                  <w:pPr>
                    <w:spacing w:line="320" w:lineRule="exact"/>
                    <w:jc w:val="center"/>
                    <w:rPr>
                      <w:color w:val="auto"/>
                      <w:szCs w:val="21"/>
                      <w:highlight w:val="none"/>
                    </w:rPr>
                  </w:pPr>
                  <w:r>
                    <w:rPr>
                      <w:rFonts w:hint="eastAsia"/>
                      <w:color w:val="auto"/>
                      <w:szCs w:val="21"/>
                      <w:highlight w:val="none"/>
                    </w:rPr>
                    <w:t>0.3</w:t>
                  </w:r>
                </w:p>
              </w:tc>
              <w:tc>
                <w:tcPr>
                  <w:tcW w:w="509" w:type="pct"/>
                  <w:noWrap w:val="0"/>
                  <w:vAlign w:val="center"/>
                </w:tcPr>
                <w:p w14:paraId="1C7389C0">
                  <w:pPr>
                    <w:spacing w:line="320" w:lineRule="exact"/>
                    <w:jc w:val="center"/>
                    <w:rPr>
                      <w:color w:val="auto"/>
                      <w:szCs w:val="21"/>
                      <w:highlight w:val="none"/>
                    </w:rPr>
                  </w:pPr>
                  <w:r>
                    <w:rPr>
                      <w:rFonts w:hint="eastAsia"/>
                      <w:color w:val="auto"/>
                      <w:szCs w:val="21"/>
                      <w:highlight w:val="none"/>
                    </w:rPr>
                    <w:t>/</w:t>
                  </w:r>
                </w:p>
              </w:tc>
            </w:tr>
            <w:tr w14:paraId="4CF44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262" w:type="pct"/>
                  <w:vMerge w:val="continue"/>
                  <w:noWrap w:val="0"/>
                  <w:vAlign w:val="center"/>
                </w:tcPr>
                <w:p w14:paraId="498F7056">
                  <w:pPr>
                    <w:adjustRightInd w:val="0"/>
                    <w:snapToGrid w:val="0"/>
                    <w:spacing w:line="320" w:lineRule="exact"/>
                    <w:jc w:val="center"/>
                    <w:rPr>
                      <w:color w:val="auto"/>
                      <w:szCs w:val="21"/>
                      <w:highlight w:val="none"/>
                    </w:rPr>
                  </w:pPr>
                </w:p>
              </w:tc>
              <w:tc>
                <w:tcPr>
                  <w:tcW w:w="479" w:type="pct"/>
                  <w:vMerge w:val="continue"/>
                  <w:noWrap w:val="0"/>
                  <w:vAlign w:val="center"/>
                </w:tcPr>
                <w:p w14:paraId="3657F3E1">
                  <w:pPr>
                    <w:adjustRightInd w:val="0"/>
                    <w:snapToGrid w:val="0"/>
                    <w:spacing w:line="320" w:lineRule="exact"/>
                    <w:jc w:val="center"/>
                    <w:rPr>
                      <w:color w:val="auto"/>
                      <w:szCs w:val="21"/>
                      <w:highlight w:val="none"/>
                    </w:rPr>
                  </w:pPr>
                </w:p>
              </w:tc>
              <w:tc>
                <w:tcPr>
                  <w:tcW w:w="1137" w:type="pct"/>
                  <w:tcBorders>
                    <w:bottom w:val="single" w:color="auto" w:sz="4" w:space="0"/>
                  </w:tcBorders>
                  <w:noWrap w:val="0"/>
                  <w:vAlign w:val="center"/>
                </w:tcPr>
                <w:p w14:paraId="67D2FDE1">
                  <w:pPr>
                    <w:widowControl/>
                    <w:jc w:val="center"/>
                    <w:rPr>
                      <w:rFonts w:hint="eastAsia"/>
                      <w:color w:val="auto"/>
                      <w:szCs w:val="21"/>
                      <w:highlight w:val="none"/>
                    </w:rPr>
                  </w:pPr>
                  <w:r>
                    <w:rPr>
                      <w:rFonts w:hint="eastAsia"/>
                      <w:color w:val="auto"/>
                      <w:szCs w:val="21"/>
                      <w:highlight w:val="none"/>
                    </w:rPr>
                    <w:t>废机油、废含油抹布、手套</w:t>
                  </w:r>
                </w:p>
              </w:tc>
              <w:tc>
                <w:tcPr>
                  <w:tcW w:w="1472" w:type="pct"/>
                  <w:noWrap w:val="0"/>
                  <w:vAlign w:val="center"/>
                </w:tcPr>
                <w:p w14:paraId="2B63FACD">
                  <w:pPr>
                    <w:widowControl/>
                    <w:jc w:val="center"/>
                    <w:rPr>
                      <w:color w:val="auto"/>
                      <w:szCs w:val="21"/>
                      <w:highlight w:val="none"/>
                    </w:rPr>
                  </w:pPr>
                  <w:r>
                    <w:rPr>
                      <w:rFonts w:hint="eastAsia"/>
                      <w:color w:val="auto"/>
                      <w:szCs w:val="21"/>
                      <w:highlight w:val="none"/>
                    </w:rPr>
                    <w:t>危废贮存</w:t>
                  </w:r>
                  <w:r>
                    <w:rPr>
                      <w:rFonts w:hint="eastAsia"/>
                      <w:color w:val="auto"/>
                      <w:szCs w:val="21"/>
                      <w:highlight w:val="none"/>
                      <w:lang w:val="en-US" w:eastAsia="zh-CN"/>
                    </w:rPr>
                    <w:t>点</w:t>
                  </w:r>
                  <w:r>
                    <w:rPr>
                      <w:rFonts w:hint="eastAsia"/>
                      <w:color w:val="auto"/>
                      <w:szCs w:val="21"/>
                      <w:highlight w:val="none"/>
                    </w:rPr>
                    <w:t>（</w:t>
                  </w:r>
                  <w:r>
                    <w:rPr>
                      <w:rFonts w:hint="eastAsia"/>
                      <w:color w:val="auto"/>
                      <w:szCs w:val="21"/>
                      <w:highlight w:val="none"/>
                      <w:lang w:val="en-US" w:eastAsia="zh-CN"/>
                    </w:rPr>
                    <w:t>10</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w:t>
                  </w:r>
                </w:p>
              </w:tc>
              <w:tc>
                <w:tcPr>
                  <w:tcW w:w="630" w:type="pct"/>
                  <w:tcBorders>
                    <w:top w:val="single" w:color="auto" w:sz="4" w:space="0"/>
                  </w:tcBorders>
                  <w:noWrap w:val="0"/>
                  <w:vAlign w:val="center"/>
                </w:tcPr>
                <w:p w14:paraId="7676BB40">
                  <w:pPr>
                    <w:adjustRightInd w:val="0"/>
                    <w:snapToGrid w:val="0"/>
                    <w:spacing w:line="320" w:lineRule="exact"/>
                    <w:jc w:val="center"/>
                    <w:rPr>
                      <w:color w:val="auto"/>
                      <w:szCs w:val="21"/>
                      <w:highlight w:val="none"/>
                    </w:rPr>
                  </w:pPr>
                  <w:r>
                    <w:rPr>
                      <w:rFonts w:hint="eastAsia"/>
                      <w:color w:val="auto"/>
                      <w:szCs w:val="21"/>
                      <w:highlight w:val="none"/>
                    </w:rPr>
                    <w:t>1间</w:t>
                  </w:r>
                </w:p>
              </w:tc>
              <w:tc>
                <w:tcPr>
                  <w:tcW w:w="509" w:type="pct"/>
                  <w:tcBorders>
                    <w:top w:val="single" w:color="auto" w:sz="4" w:space="0"/>
                  </w:tcBorders>
                  <w:noWrap w:val="0"/>
                  <w:vAlign w:val="center"/>
                </w:tcPr>
                <w:p w14:paraId="5BC06C37">
                  <w:pPr>
                    <w:spacing w:line="320" w:lineRule="exact"/>
                    <w:jc w:val="center"/>
                    <w:rPr>
                      <w:rFonts w:hint="default" w:eastAsiaTheme="minorEastAsia"/>
                      <w:color w:val="auto"/>
                      <w:szCs w:val="21"/>
                      <w:highlight w:val="none"/>
                      <w:lang w:val="en-US" w:eastAsia="zh-CN"/>
                    </w:rPr>
                  </w:pPr>
                  <w:r>
                    <w:rPr>
                      <w:rFonts w:hint="eastAsia"/>
                      <w:color w:val="auto"/>
                      <w:szCs w:val="21"/>
                      <w:highlight w:val="none"/>
                      <w:lang w:val="en-US" w:eastAsia="zh-CN"/>
                    </w:rPr>
                    <w:t>/</w:t>
                  </w:r>
                </w:p>
              </w:tc>
              <w:tc>
                <w:tcPr>
                  <w:tcW w:w="509" w:type="pct"/>
                  <w:tcBorders>
                    <w:top w:val="single" w:color="auto" w:sz="4" w:space="0"/>
                  </w:tcBorders>
                  <w:noWrap w:val="0"/>
                  <w:vAlign w:val="center"/>
                </w:tcPr>
                <w:p w14:paraId="4139DD74">
                  <w:pPr>
                    <w:spacing w:line="320" w:lineRule="exact"/>
                    <w:jc w:val="center"/>
                    <w:rPr>
                      <w:color w:val="auto"/>
                      <w:szCs w:val="21"/>
                      <w:highlight w:val="none"/>
                    </w:rPr>
                  </w:pPr>
                  <w:r>
                    <w:rPr>
                      <w:rFonts w:hint="eastAsia"/>
                      <w:color w:val="auto"/>
                      <w:szCs w:val="21"/>
                      <w:highlight w:val="none"/>
                      <w:lang w:val="en-US" w:eastAsia="zh-CN"/>
                    </w:rPr>
                    <w:t>利旧</w:t>
                  </w:r>
                </w:p>
              </w:tc>
            </w:tr>
            <w:tr w14:paraId="60C9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3981" w:type="pct"/>
                  <w:gridSpan w:val="5"/>
                  <w:noWrap w:val="0"/>
                  <w:vAlign w:val="center"/>
                </w:tcPr>
                <w:p w14:paraId="0AD4DF08">
                  <w:pPr>
                    <w:adjustRightInd w:val="0"/>
                    <w:snapToGrid w:val="0"/>
                    <w:spacing w:line="320" w:lineRule="exact"/>
                    <w:jc w:val="center"/>
                    <w:rPr>
                      <w:rFonts w:hint="eastAsia"/>
                      <w:color w:val="auto"/>
                      <w:szCs w:val="21"/>
                      <w:highlight w:val="none"/>
                    </w:rPr>
                  </w:pPr>
                  <w:r>
                    <w:rPr>
                      <w:rFonts w:hint="eastAsia"/>
                      <w:color w:val="auto"/>
                      <w:szCs w:val="21"/>
                      <w:highlight w:val="none"/>
                    </w:rPr>
                    <w:t>合计</w:t>
                  </w:r>
                </w:p>
              </w:tc>
              <w:tc>
                <w:tcPr>
                  <w:tcW w:w="1018" w:type="pct"/>
                  <w:gridSpan w:val="2"/>
                  <w:tcBorders>
                    <w:top w:val="single" w:color="auto" w:sz="4" w:space="0"/>
                  </w:tcBorders>
                  <w:noWrap w:val="0"/>
                  <w:vAlign w:val="center"/>
                </w:tcPr>
                <w:p w14:paraId="54858256">
                  <w:pPr>
                    <w:spacing w:line="320" w:lineRule="exact"/>
                    <w:jc w:val="center"/>
                    <w:rPr>
                      <w:rFonts w:hint="default" w:eastAsiaTheme="minorEastAsia"/>
                      <w:color w:val="auto"/>
                      <w:szCs w:val="21"/>
                      <w:highlight w:val="none"/>
                      <w:lang w:val="en-US" w:eastAsia="zh-CN"/>
                    </w:rPr>
                  </w:pPr>
                  <w:r>
                    <w:rPr>
                      <w:rFonts w:hint="eastAsia"/>
                      <w:color w:val="auto"/>
                      <w:szCs w:val="21"/>
                      <w:highlight w:val="none"/>
                      <w:lang w:val="en-US" w:eastAsia="zh-CN"/>
                    </w:rPr>
                    <w:t>20.8</w:t>
                  </w:r>
                </w:p>
              </w:tc>
            </w:tr>
          </w:tbl>
          <w:p w14:paraId="011F7A82">
            <w:pPr>
              <w:rPr>
                <w:rFonts w:hint="default"/>
                <w:color w:val="auto"/>
                <w:highlight w:val="none"/>
                <w:lang w:val="en-US" w:eastAsia="zh-CN"/>
              </w:rPr>
            </w:pPr>
            <w:r>
              <w:rPr>
                <w:rFonts w:hint="eastAsia"/>
                <w:color w:val="auto"/>
                <w:highlight w:val="none"/>
                <w:lang w:val="en-US" w:eastAsia="zh-CN"/>
              </w:rPr>
              <w:t xml:space="preserve">  </w:t>
            </w:r>
          </w:p>
        </w:tc>
      </w:tr>
    </w:tbl>
    <w:p w14:paraId="2D2C97FF">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color w:val="auto"/>
          <w:sz w:val="28"/>
          <w:szCs w:val="24"/>
          <w:highlight w:val="none"/>
        </w:rPr>
      </w:pPr>
      <w:r>
        <w:rPr>
          <w:rFonts w:hint="default" w:ascii="Times New Roman" w:hAnsi="Times New Roman" w:eastAsia="宋体" w:cs="Times New Roman"/>
          <w:b/>
          <w:bCs/>
          <w:color w:val="auto"/>
          <w:sz w:val="28"/>
          <w:szCs w:val="24"/>
          <w:highlight w:val="none"/>
        </w:rPr>
        <w:t>五、</w:t>
      </w:r>
      <w:bookmarkStart w:id="3" w:name="_Hlk54167917"/>
      <w:r>
        <w:rPr>
          <w:rFonts w:hint="default" w:ascii="Times New Roman" w:hAnsi="Times New Roman" w:eastAsia="宋体" w:cs="Times New Roman"/>
          <w:b/>
          <w:bCs/>
          <w:color w:val="auto"/>
          <w:sz w:val="28"/>
          <w:szCs w:val="24"/>
          <w:highlight w:val="none"/>
        </w:rPr>
        <w:t>环境保护措施监督检查清单</w:t>
      </w:r>
      <w:bookmarkEnd w:id="3"/>
    </w:p>
    <w:tbl>
      <w:tblPr>
        <w:tblStyle w:val="24"/>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941"/>
        <w:gridCol w:w="1421"/>
        <w:gridCol w:w="1446"/>
        <w:gridCol w:w="2059"/>
        <w:gridCol w:w="2719"/>
      </w:tblGrid>
      <w:tr w14:paraId="4FF17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tcBorders>
              <w:tl2br w:val="single" w:color="auto" w:sz="4" w:space="0"/>
            </w:tcBorders>
          </w:tcPr>
          <w:p w14:paraId="6839A636">
            <w:pPr>
              <w:adjustRightInd w:val="0"/>
              <w:snapToGrid w:val="0"/>
              <w:jc w:val="right"/>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内容</w:t>
            </w:r>
          </w:p>
          <w:p w14:paraId="15F5F657">
            <w:pPr>
              <w:adjustRightInd w:val="0"/>
              <w:snapToGrid w:val="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要素</w:t>
            </w:r>
          </w:p>
        </w:tc>
        <w:tc>
          <w:tcPr>
            <w:tcW w:w="1187" w:type="pct"/>
            <w:gridSpan w:val="2"/>
            <w:vAlign w:val="center"/>
          </w:tcPr>
          <w:p w14:paraId="1AC988B3">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排放口</w:t>
            </w:r>
            <w:r>
              <w:rPr>
                <w:rFonts w:hint="eastAsia"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rPr>
              <w:t>编号、</w:t>
            </w:r>
          </w:p>
          <w:p w14:paraId="7E72C108">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名称</w:t>
            </w:r>
            <w:r>
              <w:rPr>
                <w:rFonts w:hint="eastAsia"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rPr>
              <w:t>/污染源</w:t>
            </w:r>
          </w:p>
        </w:tc>
        <w:tc>
          <w:tcPr>
            <w:tcW w:w="726" w:type="pct"/>
            <w:vAlign w:val="center"/>
          </w:tcPr>
          <w:p w14:paraId="7276023E">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污染物</w:t>
            </w:r>
          </w:p>
          <w:p w14:paraId="1BE7BBDE">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项目</w:t>
            </w:r>
          </w:p>
        </w:tc>
        <w:tc>
          <w:tcPr>
            <w:tcW w:w="1034" w:type="pct"/>
            <w:vAlign w:val="center"/>
          </w:tcPr>
          <w:p w14:paraId="290429F2">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环境保护措施</w:t>
            </w:r>
          </w:p>
        </w:tc>
        <w:tc>
          <w:tcPr>
            <w:tcW w:w="1366" w:type="pct"/>
            <w:vAlign w:val="center"/>
          </w:tcPr>
          <w:p w14:paraId="1CD5A568">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执行标准</w:t>
            </w:r>
          </w:p>
        </w:tc>
      </w:tr>
      <w:tr w14:paraId="2C292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restart"/>
            <w:vAlign w:val="center"/>
          </w:tcPr>
          <w:p w14:paraId="13206E4C">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大气</w:t>
            </w:r>
          </w:p>
          <w:p w14:paraId="30FB03CF">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w:t>
            </w:r>
          </w:p>
        </w:tc>
        <w:tc>
          <w:tcPr>
            <w:tcW w:w="473" w:type="pct"/>
            <w:vMerge w:val="restart"/>
            <w:vAlign w:val="center"/>
          </w:tcPr>
          <w:p w14:paraId="1A7F6A47">
            <w:pPr>
              <w:widowControl/>
              <w:spacing w:line="240" w:lineRule="auto"/>
              <w:jc w:val="center"/>
              <w:rPr>
                <w:rFonts w:hint="eastAsia" w:ascii="Times New Roman" w:hAnsi="Times New Roman" w:eastAsia="宋体" w:cs="Times New Roman"/>
                <w:color w:val="auto"/>
                <w:szCs w:val="24"/>
                <w:highlight w:val="none"/>
                <w:lang w:val="en-US" w:eastAsia="zh-CN"/>
              </w:rPr>
            </w:pPr>
            <w:r>
              <w:rPr>
                <w:rFonts w:hint="eastAsia" w:eastAsia="宋体" w:cs="Times New Roman"/>
                <w:color w:val="auto"/>
                <w:szCs w:val="24"/>
                <w:highlight w:val="none"/>
                <w:lang w:val="en-US" w:eastAsia="zh-CN"/>
              </w:rPr>
              <w:t>无组织</w:t>
            </w:r>
          </w:p>
        </w:tc>
        <w:tc>
          <w:tcPr>
            <w:tcW w:w="714" w:type="pct"/>
            <w:vAlign w:val="center"/>
          </w:tcPr>
          <w:p w14:paraId="0C27F9BD">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破碎、筛分粉尘</w:t>
            </w:r>
          </w:p>
        </w:tc>
        <w:tc>
          <w:tcPr>
            <w:tcW w:w="726" w:type="pct"/>
            <w:vAlign w:val="center"/>
          </w:tcPr>
          <w:p w14:paraId="42006A71">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颗粒物</w:t>
            </w:r>
          </w:p>
        </w:tc>
        <w:tc>
          <w:tcPr>
            <w:tcW w:w="1034" w:type="pct"/>
            <w:vAlign w:val="center"/>
          </w:tcPr>
          <w:p w14:paraId="4C7B2AAF">
            <w:pPr>
              <w:pStyle w:val="3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集气罩+袋式除尘</w:t>
            </w:r>
          </w:p>
        </w:tc>
        <w:tc>
          <w:tcPr>
            <w:tcW w:w="1366" w:type="pct"/>
            <w:vMerge w:val="restart"/>
            <w:vAlign w:val="center"/>
          </w:tcPr>
          <w:p w14:paraId="2CDE51E0">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zh-TW" w:eastAsia="zh-CN"/>
              </w:rPr>
              <w:t>《水泥工业大气污染物排放标准》（GB</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val="zh-TW" w:eastAsia="zh-CN"/>
              </w:rPr>
              <w:t>4915-2013）</w:t>
            </w:r>
          </w:p>
        </w:tc>
      </w:tr>
      <w:tr w14:paraId="00CFF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1C3684F0">
            <w:pPr>
              <w:adjustRightInd w:val="0"/>
              <w:snapToGrid w:val="0"/>
              <w:spacing w:line="240" w:lineRule="auto"/>
              <w:jc w:val="center"/>
              <w:rPr>
                <w:rFonts w:hint="default" w:ascii="Times New Roman" w:hAnsi="Times New Roman" w:eastAsia="宋体" w:cs="Times New Roman"/>
                <w:color w:val="auto"/>
                <w:highlight w:val="none"/>
              </w:rPr>
            </w:pPr>
          </w:p>
        </w:tc>
        <w:tc>
          <w:tcPr>
            <w:tcW w:w="473" w:type="pct"/>
            <w:vMerge w:val="continue"/>
            <w:vAlign w:val="center"/>
          </w:tcPr>
          <w:p w14:paraId="61B2C572">
            <w:pPr>
              <w:widowControl/>
              <w:spacing w:line="240" w:lineRule="auto"/>
              <w:jc w:val="center"/>
              <w:rPr>
                <w:rFonts w:hint="eastAsia" w:ascii="Times New Roman" w:hAnsi="Times New Roman" w:eastAsia="宋体" w:cs="Times New Roman"/>
                <w:color w:val="auto"/>
                <w:szCs w:val="24"/>
                <w:highlight w:val="none"/>
                <w:lang w:val="en-US" w:eastAsia="zh-CN"/>
              </w:rPr>
            </w:pPr>
          </w:p>
        </w:tc>
        <w:tc>
          <w:tcPr>
            <w:tcW w:w="714" w:type="pct"/>
            <w:vAlign w:val="center"/>
          </w:tcPr>
          <w:p w14:paraId="41FD0BA2">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堆存、装卸粉尘</w:t>
            </w:r>
          </w:p>
        </w:tc>
        <w:tc>
          <w:tcPr>
            <w:tcW w:w="726" w:type="pct"/>
            <w:vAlign w:val="center"/>
          </w:tcPr>
          <w:p w14:paraId="41F01B9E">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颗粒物</w:t>
            </w:r>
          </w:p>
        </w:tc>
        <w:tc>
          <w:tcPr>
            <w:tcW w:w="1034" w:type="pct"/>
            <w:vAlign w:val="center"/>
          </w:tcPr>
          <w:p w14:paraId="6C8A4A78">
            <w:pPr>
              <w:pStyle w:val="3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封闭</w:t>
            </w:r>
            <w:r>
              <w:rPr>
                <w:rFonts w:hint="default" w:ascii="Times New Roman" w:hAnsi="Times New Roman" w:eastAsia="宋体" w:cs="Times New Roman"/>
                <w:color w:val="auto"/>
                <w:sz w:val="24"/>
                <w:szCs w:val="24"/>
                <w:highlight w:val="none"/>
                <w:lang w:val="en-GB"/>
              </w:rPr>
              <w:t>式厂房</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雾化喷淋装置</w:t>
            </w:r>
          </w:p>
        </w:tc>
        <w:tc>
          <w:tcPr>
            <w:tcW w:w="1366" w:type="pct"/>
            <w:vMerge w:val="continue"/>
            <w:vAlign w:val="center"/>
          </w:tcPr>
          <w:p w14:paraId="678AF5D2">
            <w:pPr>
              <w:spacing w:line="240" w:lineRule="auto"/>
              <w:jc w:val="center"/>
              <w:rPr>
                <w:rFonts w:hint="default" w:ascii="Times New Roman" w:hAnsi="Times New Roman" w:eastAsia="宋体" w:cs="Times New Roman"/>
                <w:color w:val="auto"/>
                <w:highlight w:val="none"/>
              </w:rPr>
            </w:pPr>
          </w:p>
        </w:tc>
      </w:tr>
      <w:tr w14:paraId="0E714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74B329C9">
            <w:pPr>
              <w:adjustRightInd w:val="0"/>
              <w:snapToGrid w:val="0"/>
              <w:spacing w:line="240" w:lineRule="auto"/>
              <w:jc w:val="center"/>
              <w:rPr>
                <w:rFonts w:hint="default" w:ascii="Times New Roman" w:hAnsi="Times New Roman" w:eastAsia="宋体" w:cs="Times New Roman"/>
                <w:b/>
                <w:bCs/>
                <w:color w:val="auto"/>
                <w:highlight w:val="none"/>
              </w:rPr>
            </w:pPr>
          </w:p>
        </w:tc>
        <w:tc>
          <w:tcPr>
            <w:tcW w:w="473" w:type="pct"/>
            <w:vMerge w:val="continue"/>
            <w:vAlign w:val="center"/>
          </w:tcPr>
          <w:p w14:paraId="6775A113">
            <w:pPr>
              <w:widowControl/>
              <w:spacing w:line="240" w:lineRule="auto"/>
              <w:jc w:val="center"/>
              <w:rPr>
                <w:rFonts w:hint="default" w:ascii="Times New Roman" w:hAnsi="Times New Roman" w:eastAsia="宋体" w:cs="Times New Roman"/>
                <w:color w:val="auto"/>
                <w:szCs w:val="24"/>
                <w:highlight w:val="none"/>
                <w:lang w:eastAsia="zh-CN"/>
              </w:rPr>
            </w:pPr>
          </w:p>
        </w:tc>
        <w:tc>
          <w:tcPr>
            <w:tcW w:w="714" w:type="pct"/>
            <w:vAlign w:val="center"/>
          </w:tcPr>
          <w:p w14:paraId="1844B14E">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物料输送粉尘</w:t>
            </w:r>
          </w:p>
        </w:tc>
        <w:tc>
          <w:tcPr>
            <w:tcW w:w="726" w:type="pct"/>
            <w:vAlign w:val="center"/>
          </w:tcPr>
          <w:p w14:paraId="10B216E8">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颗粒物</w:t>
            </w:r>
          </w:p>
        </w:tc>
        <w:tc>
          <w:tcPr>
            <w:tcW w:w="1034" w:type="pct"/>
            <w:vAlign w:val="center"/>
          </w:tcPr>
          <w:p w14:paraId="50D908DB">
            <w:pPr>
              <w:pStyle w:val="3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雾化喷淋装置+</w:t>
            </w:r>
            <w:r>
              <w:rPr>
                <w:rFonts w:hint="eastAsia" w:cs="Times New Roman"/>
                <w:color w:val="auto"/>
                <w:sz w:val="24"/>
                <w:szCs w:val="24"/>
                <w:highlight w:val="none"/>
                <w:lang w:val="en-US" w:eastAsia="zh-CN"/>
              </w:rPr>
              <w:t>封闭</w:t>
            </w:r>
            <w:r>
              <w:rPr>
                <w:rFonts w:hint="default" w:ascii="Times New Roman" w:hAnsi="Times New Roman" w:eastAsia="宋体" w:cs="Times New Roman"/>
                <w:color w:val="auto"/>
                <w:sz w:val="24"/>
                <w:szCs w:val="24"/>
                <w:highlight w:val="none"/>
                <w:lang w:val="en-GB"/>
              </w:rPr>
              <w:t>式厂房</w:t>
            </w:r>
          </w:p>
        </w:tc>
        <w:tc>
          <w:tcPr>
            <w:tcW w:w="1366" w:type="pct"/>
            <w:vMerge w:val="continue"/>
            <w:vAlign w:val="center"/>
          </w:tcPr>
          <w:p w14:paraId="5518F3F3">
            <w:pPr>
              <w:spacing w:line="240" w:lineRule="auto"/>
              <w:jc w:val="center"/>
              <w:rPr>
                <w:rFonts w:hint="default" w:ascii="Times New Roman" w:hAnsi="Times New Roman" w:eastAsia="宋体" w:cs="Times New Roman"/>
                <w:color w:val="auto"/>
                <w:highlight w:val="none"/>
                <w:lang w:val="en-US" w:eastAsia="zh-CN"/>
              </w:rPr>
            </w:pPr>
          </w:p>
        </w:tc>
      </w:tr>
      <w:tr w14:paraId="281BA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3D38C8C5">
            <w:pPr>
              <w:adjustRightInd w:val="0"/>
              <w:snapToGrid w:val="0"/>
              <w:spacing w:line="240" w:lineRule="auto"/>
              <w:jc w:val="center"/>
              <w:rPr>
                <w:rFonts w:hint="default" w:ascii="Times New Roman" w:hAnsi="Times New Roman" w:eastAsia="宋体" w:cs="Times New Roman"/>
                <w:b/>
                <w:bCs/>
                <w:color w:val="auto"/>
                <w:highlight w:val="none"/>
              </w:rPr>
            </w:pPr>
          </w:p>
        </w:tc>
        <w:tc>
          <w:tcPr>
            <w:tcW w:w="473" w:type="pct"/>
            <w:vMerge w:val="continue"/>
            <w:vAlign w:val="center"/>
          </w:tcPr>
          <w:p w14:paraId="5B630608">
            <w:pPr>
              <w:widowControl/>
              <w:spacing w:line="240" w:lineRule="auto"/>
              <w:jc w:val="center"/>
              <w:rPr>
                <w:rFonts w:hint="default" w:ascii="Times New Roman" w:hAnsi="Times New Roman" w:eastAsia="宋体" w:cs="Times New Roman"/>
                <w:color w:val="auto"/>
                <w:szCs w:val="24"/>
                <w:highlight w:val="none"/>
              </w:rPr>
            </w:pPr>
          </w:p>
        </w:tc>
        <w:tc>
          <w:tcPr>
            <w:tcW w:w="714" w:type="pct"/>
            <w:vAlign w:val="center"/>
          </w:tcPr>
          <w:p w14:paraId="7F380556">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水泥筒仓呼吸孔粉尘</w:t>
            </w:r>
          </w:p>
        </w:tc>
        <w:tc>
          <w:tcPr>
            <w:tcW w:w="726" w:type="pct"/>
            <w:vAlign w:val="center"/>
          </w:tcPr>
          <w:p w14:paraId="0D73470C">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1034" w:type="pct"/>
            <w:vAlign w:val="center"/>
          </w:tcPr>
          <w:p w14:paraId="79347A05">
            <w:pPr>
              <w:pStyle w:val="3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GB"/>
              </w:rPr>
              <w:t>袋式除尘器</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封闭</w:t>
            </w:r>
            <w:r>
              <w:rPr>
                <w:rFonts w:hint="default" w:ascii="Times New Roman" w:hAnsi="Times New Roman" w:eastAsia="宋体" w:cs="Times New Roman"/>
                <w:color w:val="auto"/>
                <w:sz w:val="24"/>
                <w:szCs w:val="24"/>
                <w:highlight w:val="none"/>
                <w:lang w:val="en-GB"/>
              </w:rPr>
              <w:t>式厂房</w:t>
            </w:r>
          </w:p>
        </w:tc>
        <w:tc>
          <w:tcPr>
            <w:tcW w:w="1366" w:type="pct"/>
            <w:vMerge w:val="continue"/>
            <w:vAlign w:val="center"/>
          </w:tcPr>
          <w:p w14:paraId="051CBBA0">
            <w:pPr>
              <w:spacing w:line="240" w:lineRule="auto"/>
              <w:jc w:val="center"/>
              <w:rPr>
                <w:rFonts w:hint="default" w:ascii="Times New Roman" w:hAnsi="Times New Roman" w:eastAsia="宋体" w:cs="Times New Roman"/>
                <w:color w:val="auto"/>
                <w:highlight w:val="none"/>
              </w:rPr>
            </w:pPr>
          </w:p>
        </w:tc>
      </w:tr>
      <w:tr w14:paraId="76520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024EB3CF">
            <w:pPr>
              <w:adjustRightInd w:val="0"/>
              <w:snapToGrid w:val="0"/>
              <w:spacing w:line="240" w:lineRule="auto"/>
              <w:jc w:val="center"/>
              <w:rPr>
                <w:rFonts w:hint="default" w:ascii="Times New Roman" w:hAnsi="Times New Roman" w:eastAsia="宋体" w:cs="Times New Roman"/>
                <w:b/>
                <w:bCs/>
                <w:color w:val="auto"/>
                <w:highlight w:val="none"/>
              </w:rPr>
            </w:pPr>
          </w:p>
        </w:tc>
        <w:tc>
          <w:tcPr>
            <w:tcW w:w="473" w:type="pct"/>
            <w:vMerge w:val="continue"/>
            <w:vAlign w:val="center"/>
          </w:tcPr>
          <w:p w14:paraId="7F20A6DF">
            <w:pPr>
              <w:widowControl/>
              <w:spacing w:line="240" w:lineRule="auto"/>
              <w:jc w:val="center"/>
              <w:rPr>
                <w:rFonts w:hint="default" w:ascii="Times New Roman" w:hAnsi="Times New Roman" w:eastAsia="宋体" w:cs="Times New Roman"/>
                <w:color w:val="auto"/>
                <w:szCs w:val="24"/>
                <w:highlight w:val="none"/>
              </w:rPr>
            </w:pPr>
          </w:p>
        </w:tc>
        <w:tc>
          <w:tcPr>
            <w:tcW w:w="714" w:type="pct"/>
            <w:vAlign w:val="center"/>
          </w:tcPr>
          <w:p w14:paraId="7B14F288">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搅拌</w:t>
            </w:r>
          </w:p>
          <w:p w14:paraId="2733AC67">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粉尘</w:t>
            </w:r>
          </w:p>
        </w:tc>
        <w:tc>
          <w:tcPr>
            <w:tcW w:w="726" w:type="pct"/>
            <w:vAlign w:val="center"/>
          </w:tcPr>
          <w:p w14:paraId="0207C959">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1034" w:type="pct"/>
            <w:vAlign w:val="center"/>
          </w:tcPr>
          <w:p w14:paraId="056CB912">
            <w:pPr>
              <w:pStyle w:val="30"/>
              <w:jc w:val="center"/>
              <w:rPr>
                <w:rFonts w:hint="default" w:ascii="Times New Roman" w:hAnsi="Times New Roman" w:eastAsia="宋体" w:cs="Times New Roman"/>
                <w:color w:val="auto"/>
                <w:sz w:val="24"/>
                <w:szCs w:val="24"/>
                <w:highlight w:val="none"/>
                <w:lang w:val="en-GB"/>
              </w:rPr>
            </w:pPr>
            <w:r>
              <w:rPr>
                <w:rFonts w:hint="default" w:ascii="Times New Roman" w:hAnsi="Times New Roman" w:eastAsia="宋体" w:cs="Times New Roman"/>
                <w:color w:val="auto"/>
                <w:sz w:val="24"/>
                <w:szCs w:val="24"/>
                <w:highlight w:val="none"/>
                <w:lang w:val="en-GB"/>
              </w:rPr>
              <w:t>袋式除尘器+</w:t>
            </w:r>
            <w:r>
              <w:rPr>
                <w:rFonts w:hint="default" w:ascii="Times New Roman" w:hAnsi="Times New Roman" w:eastAsia="宋体" w:cs="Times New Roman"/>
                <w:color w:val="auto"/>
                <w:sz w:val="24"/>
                <w:szCs w:val="24"/>
                <w:highlight w:val="none"/>
                <w:lang w:val="en-GB" w:eastAsia="zh-CN"/>
              </w:rPr>
              <w:t>雾化喷淋装置+</w:t>
            </w:r>
            <w:r>
              <w:rPr>
                <w:rFonts w:hint="eastAsia" w:cs="Times New Roman"/>
                <w:color w:val="auto"/>
                <w:sz w:val="24"/>
                <w:szCs w:val="24"/>
                <w:highlight w:val="none"/>
                <w:lang w:val="en-US" w:eastAsia="zh-CN"/>
              </w:rPr>
              <w:t>封闭</w:t>
            </w:r>
            <w:r>
              <w:rPr>
                <w:rFonts w:hint="default" w:ascii="Times New Roman" w:hAnsi="Times New Roman" w:eastAsia="宋体" w:cs="Times New Roman"/>
                <w:color w:val="auto"/>
                <w:sz w:val="24"/>
                <w:szCs w:val="24"/>
                <w:highlight w:val="none"/>
                <w:lang w:val="en-GB"/>
              </w:rPr>
              <w:t>式厂房</w:t>
            </w:r>
          </w:p>
        </w:tc>
        <w:tc>
          <w:tcPr>
            <w:tcW w:w="1366" w:type="pct"/>
            <w:vMerge w:val="continue"/>
            <w:vAlign w:val="center"/>
          </w:tcPr>
          <w:p w14:paraId="3A694CA7">
            <w:pPr>
              <w:spacing w:line="240" w:lineRule="auto"/>
              <w:jc w:val="center"/>
              <w:rPr>
                <w:rFonts w:hint="default" w:ascii="Times New Roman" w:hAnsi="Times New Roman" w:eastAsia="宋体" w:cs="Times New Roman"/>
                <w:color w:val="auto"/>
                <w:highlight w:val="none"/>
              </w:rPr>
            </w:pPr>
          </w:p>
        </w:tc>
      </w:tr>
      <w:tr w14:paraId="2F591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7215F4D2">
            <w:pPr>
              <w:adjustRightInd w:val="0"/>
              <w:snapToGrid w:val="0"/>
              <w:spacing w:line="240" w:lineRule="auto"/>
              <w:jc w:val="center"/>
              <w:rPr>
                <w:rFonts w:hint="default" w:ascii="Times New Roman" w:hAnsi="Times New Roman" w:eastAsia="宋体" w:cs="Times New Roman"/>
                <w:b/>
                <w:bCs/>
                <w:color w:val="auto"/>
                <w:highlight w:val="none"/>
              </w:rPr>
            </w:pPr>
          </w:p>
        </w:tc>
        <w:tc>
          <w:tcPr>
            <w:tcW w:w="473" w:type="pct"/>
            <w:vMerge w:val="continue"/>
            <w:vAlign w:val="center"/>
          </w:tcPr>
          <w:p w14:paraId="064606B4">
            <w:pPr>
              <w:widowControl/>
              <w:spacing w:line="240" w:lineRule="auto"/>
              <w:jc w:val="center"/>
              <w:rPr>
                <w:rFonts w:hint="default" w:ascii="Times New Roman" w:hAnsi="Times New Roman" w:eastAsia="宋体" w:cs="Times New Roman"/>
                <w:color w:val="auto"/>
                <w:szCs w:val="24"/>
                <w:highlight w:val="none"/>
              </w:rPr>
            </w:pPr>
          </w:p>
        </w:tc>
        <w:tc>
          <w:tcPr>
            <w:tcW w:w="714" w:type="pct"/>
            <w:vAlign w:val="center"/>
          </w:tcPr>
          <w:p w14:paraId="6D3E8A85">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车辆运输扬尘</w:t>
            </w:r>
          </w:p>
        </w:tc>
        <w:tc>
          <w:tcPr>
            <w:tcW w:w="726" w:type="pct"/>
            <w:vAlign w:val="center"/>
          </w:tcPr>
          <w:p w14:paraId="6DEFA941">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1034" w:type="pct"/>
            <w:vAlign w:val="center"/>
          </w:tcPr>
          <w:p w14:paraId="793122F2">
            <w:pPr>
              <w:pStyle w:val="30"/>
              <w:jc w:val="center"/>
              <w:rPr>
                <w:rFonts w:hint="default" w:ascii="Times New Roman" w:hAnsi="Times New Roman" w:eastAsia="宋体" w:cs="Times New Roman"/>
                <w:color w:val="auto"/>
                <w:sz w:val="24"/>
                <w:szCs w:val="24"/>
                <w:highlight w:val="none"/>
                <w:lang w:val="en-GB"/>
              </w:rPr>
            </w:pPr>
            <w:r>
              <w:rPr>
                <w:rFonts w:hint="default" w:ascii="Times New Roman" w:hAnsi="Times New Roman" w:eastAsia="宋体" w:cs="Times New Roman"/>
                <w:color w:val="auto"/>
                <w:sz w:val="24"/>
                <w:szCs w:val="24"/>
                <w:highlight w:val="none"/>
                <w:lang w:val="en-GB"/>
              </w:rPr>
              <w:t>清洗车辆、</w:t>
            </w:r>
            <w:r>
              <w:rPr>
                <w:rFonts w:hint="default" w:ascii="Times New Roman" w:hAnsi="Times New Roman" w:eastAsia="宋体" w:cs="Times New Roman"/>
                <w:color w:val="auto"/>
                <w:sz w:val="24"/>
                <w:szCs w:val="24"/>
                <w:highlight w:val="none"/>
                <w:lang w:val="en-GB" w:eastAsia="zh-CN"/>
              </w:rPr>
              <w:t>车辆覆盖、</w:t>
            </w:r>
            <w:r>
              <w:rPr>
                <w:rFonts w:hint="default" w:ascii="Times New Roman" w:hAnsi="Times New Roman" w:eastAsia="宋体" w:cs="Times New Roman"/>
                <w:color w:val="auto"/>
                <w:sz w:val="24"/>
                <w:szCs w:val="24"/>
                <w:highlight w:val="none"/>
                <w:lang w:val="en-GB"/>
              </w:rPr>
              <w:t>路面定期洒水</w:t>
            </w:r>
          </w:p>
        </w:tc>
        <w:tc>
          <w:tcPr>
            <w:tcW w:w="1366" w:type="pct"/>
            <w:vMerge w:val="continue"/>
            <w:vAlign w:val="center"/>
          </w:tcPr>
          <w:p w14:paraId="0AACFD13">
            <w:pPr>
              <w:spacing w:line="240" w:lineRule="auto"/>
              <w:jc w:val="center"/>
              <w:rPr>
                <w:rFonts w:hint="default" w:ascii="Times New Roman" w:hAnsi="Times New Roman" w:eastAsia="宋体" w:cs="Times New Roman"/>
                <w:color w:val="auto"/>
                <w:highlight w:val="none"/>
              </w:rPr>
            </w:pPr>
          </w:p>
        </w:tc>
      </w:tr>
      <w:tr w14:paraId="22B41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restart"/>
            <w:vAlign w:val="center"/>
          </w:tcPr>
          <w:p w14:paraId="5CE75B0A">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地表水</w:t>
            </w:r>
          </w:p>
          <w:p w14:paraId="26EDB224">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环境</w:t>
            </w:r>
          </w:p>
        </w:tc>
        <w:tc>
          <w:tcPr>
            <w:tcW w:w="1187" w:type="pct"/>
            <w:gridSpan w:val="2"/>
            <w:vAlign w:val="center"/>
          </w:tcPr>
          <w:p w14:paraId="3CE321C6">
            <w:pPr>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生活污水</w:t>
            </w:r>
          </w:p>
        </w:tc>
        <w:tc>
          <w:tcPr>
            <w:tcW w:w="726" w:type="pct"/>
            <w:vAlign w:val="center"/>
          </w:tcPr>
          <w:p w14:paraId="3177A9EA">
            <w:pPr>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COD</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BOD</w:t>
            </w:r>
            <w:r>
              <w:rPr>
                <w:rFonts w:hint="default" w:ascii="Times New Roman" w:hAnsi="Times New Roman" w:eastAsia="宋体" w:cs="Times New Roman"/>
                <w:color w:val="auto"/>
                <w:highlight w:val="none"/>
                <w:vertAlign w:val="subscript"/>
              </w:rPr>
              <w:t>5</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SS</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NH</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-N</w:t>
            </w:r>
            <w:r>
              <w:rPr>
                <w:rFonts w:hint="default" w:ascii="Times New Roman" w:hAnsi="Times New Roman" w:eastAsia="宋体" w:cs="Times New Roman"/>
                <w:color w:val="auto"/>
                <w:highlight w:val="none"/>
                <w:lang w:eastAsia="zh-CN"/>
              </w:rPr>
              <w:t>、</w:t>
            </w:r>
          </w:p>
          <w:p w14:paraId="53BDCFDF">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总氮</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总磷</w:t>
            </w:r>
          </w:p>
        </w:tc>
        <w:tc>
          <w:tcPr>
            <w:tcW w:w="1034" w:type="pct"/>
            <w:vAlign w:val="center"/>
          </w:tcPr>
          <w:p w14:paraId="25C19DB8">
            <w:pPr>
              <w:spacing w:line="240" w:lineRule="auto"/>
              <w:jc w:val="center"/>
              <w:rPr>
                <w:rFonts w:hint="eastAsia" w:ascii="Times New Roman" w:hAnsi="Times New Roman" w:eastAsia="宋体" w:cs="Times New Roman"/>
                <w:color w:val="auto"/>
                <w:highlight w:val="none"/>
                <w:lang w:eastAsia="zh-CN"/>
              </w:rPr>
            </w:pPr>
            <w:r>
              <w:rPr>
                <w:rFonts w:hint="eastAsia" w:eastAsia="宋体" w:cs="Times New Roman"/>
                <w:color w:val="auto"/>
                <w:highlight w:val="none"/>
                <w:lang w:val="en-US" w:eastAsia="zh-CN"/>
              </w:rPr>
              <w:t>现有</w:t>
            </w:r>
            <w:r>
              <w:rPr>
                <w:rFonts w:hint="default" w:ascii="Times New Roman" w:hAnsi="Times New Roman" w:eastAsia="宋体" w:cs="Times New Roman"/>
                <w:color w:val="auto"/>
                <w:highlight w:val="none"/>
                <w:lang w:eastAsia="zh-CN"/>
              </w:rPr>
              <w:t>化粪池</w:t>
            </w:r>
          </w:p>
        </w:tc>
        <w:tc>
          <w:tcPr>
            <w:tcW w:w="1366" w:type="pct"/>
            <w:vAlign w:val="center"/>
          </w:tcPr>
          <w:p w14:paraId="547C263A">
            <w:pPr>
              <w:spacing w:line="240" w:lineRule="auto"/>
              <w:jc w:val="center"/>
              <w:rPr>
                <w:rFonts w:hint="default" w:ascii="Times New Roman" w:hAnsi="Times New Roman" w:eastAsia="宋体" w:cs="Times New Roman"/>
                <w:color w:val="auto"/>
                <w:highlight w:val="none"/>
                <w:lang w:val="zh-TW"/>
              </w:rPr>
            </w:pPr>
            <w:r>
              <w:rPr>
                <w:rFonts w:hint="eastAsia" w:eastAsia="宋体" w:cs="Times New Roman"/>
                <w:color w:val="auto"/>
                <w:highlight w:val="none"/>
                <w:lang w:val="en-US" w:eastAsia="zh-CN"/>
              </w:rPr>
              <w:t>不外排，定期清掏，用作农肥</w:t>
            </w:r>
          </w:p>
        </w:tc>
      </w:tr>
      <w:tr w14:paraId="376AF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Merge w:val="continue"/>
            <w:vAlign w:val="center"/>
          </w:tcPr>
          <w:p w14:paraId="366C1A71">
            <w:pPr>
              <w:adjustRightInd w:val="0"/>
              <w:snapToGrid w:val="0"/>
              <w:spacing w:line="240" w:lineRule="auto"/>
              <w:jc w:val="center"/>
              <w:rPr>
                <w:rFonts w:hint="default" w:ascii="Times New Roman" w:hAnsi="Times New Roman" w:eastAsia="宋体" w:cs="Times New Roman"/>
                <w:b/>
                <w:bCs/>
                <w:color w:val="auto"/>
                <w:highlight w:val="none"/>
              </w:rPr>
            </w:pPr>
          </w:p>
        </w:tc>
        <w:tc>
          <w:tcPr>
            <w:tcW w:w="1187" w:type="pct"/>
            <w:gridSpan w:val="2"/>
            <w:vAlign w:val="center"/>
          </w:tcPr>
          <w:p w14:paraId="603F0C18">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车辆冲洗废水</w:t>
            </w:r>
          </w:p>
        </w:tc>
        <w:tc>
          <w:tcPr>
            <w:tcW w:w="726" w:type="pct"/>
            <w:vAlign w:val="center"/>
          </w:tcPr>
          <w:p w14:paraId="095F5B0A">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SS</w:t>
            </w:r>
          </w:p>
        </w:tc>
        <w:tc>
          <w:tcPr>
            <w:tcW w:w="1034" w:type="pct"/>
            <w:vAlign w:val="center"/>
          </w:tcPr>
          <w:p w14:paraId="69A6415D">
            <w:pPr>
              <w:spacing w:line="240" w:lineRule="auto"/>
              <w:jc w:val="center"/>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现有</w:t>
            </w:r>
            <w:r>
              <w:rPr>
                <w:rFonts w:hint="default" w:ascii="Times New Roman" w:hAnsi="Times New Roman" w:eastAsia="宋体" w:cs="Times New Roman"/>
                <w:color w:val="auto"/>
                <w:highlight w:val="none"/>
              </w:rPr>
              <w:t>沉淀池</w:t>
            </w:r>
          </w:p>
        </w:tc>
        <w:tc>
          <w:tcPr>
            <w:tcW w:w="1366" w:type="pct"/>
            <w:vAlign w:val="center"/>
          </w:tcPr>
          <w:p w14:paraId="58713EDC">
            <w:pPr>
              <w:spacing w:line="240" w:lineRule="auto"/>
              <w:jc w:val="center"/>
              <w:rPr>
                <w:rFonts w:hint="default" w:ascii="Times New Roman" w:hAnsi="Times New Roman" w:eastAsia="宋体" w:cs="Times New Roman"/>
                <w:color w:val="auto"/>
                <w:highlight w:val="none"/>
              </w:rPr>
            </w:pPr>
            <w:r>
              <w:rPr>
                <w:rFonts w:hint="eastAsia" w:eastAsia="宋体" w:cs="Times New Roman"/>
                <w:color w:val="auto"/>
                <w:highlight w:val="none"/>
                <w:lang w:val="en-US" w:eastAsia="zh-CN"/>
              </w:rPr>
              <w:t>不外排，</w:t>
            </w:r>
            <w:r>
              <w:rPr>
                <w:rFonts w:hint="default" w:ascii="Times New Roman" w:hAnsi="Times New Roman" w:eastAsia="宋体" w:cs="Times New Roman"/>
                <w:color w:val="auto"/>
                <w:highlight w:val="none"/>
                <w:lang w:val="zh-TW"/>
              </w:rPr>
              <w:t>回用于车辆冲洗</w:t>
            </w:r>
          </w:p>
        </w:tc>
      </w:tr>
      <w:tr w14:paraId="4395E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Align w:val="center"/>
          </w:tcPr>
          <w:p w14:paraId="1A20FEBB">
            <w:pPr>
              <w:adjustRightInd w:val="0"/>
              <w:snapToGrid w:val="0"/>
              <w:spacing w:line="240"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声环境</w:t>
            </w:r>
          </w:p>
        </w:tc>
        <w:tc>
          <w:tcPr>
            <w:tcW w:w="1187" w:type="pct"/>
            <w:gridSpan w:val="2"/>
            <w:vAlign w:val="center"/>
          </w:tcPr>
          <w:p w14:paraId="0DBADE1F">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设备噪声</w:t>
            </w:r>
          </w:p>
        </w:tc>
        <w:tc>
          <w:tcPr>
            <w:tcW w:w="726" w:type="pct"/>
            <w:vAlign w:val="center"/>
          </w:tcPr>
          <w:p w14:paraId="77B2756D">
            <w:pPr>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噪声</w:t>
            </w:r>
          </w:p>
        </w:tc>
        <w:tc>
          <w:tcPr>
            <w:tcW w:w="1034" w:type="pct"/>
            <w:vAlign w:val="center"/>
          </w:tcPr>
          <w:p w14:paraId="16E8FF5A">
            <w:pPr>
              <w:spacing w:line="240" w:lineRule="auto"/>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 w:val="24"/>
                <w:highlight w:val="none"/>
                <w:lang w:val="en-US" w:eastAsia="zh-CN"/>
              </w:rPr>
              <w:t>低噪声设备、基础减振、厂房隔声</w:t>
            </w:r>
          </w:p>
        </w:tc>
        <w:tc>
          <w:tcPr>
            <w:tcW w:w="1366" w:type="pct"/>
            <w:vAlign w:val="center"/>
          </w:tcPr>
          <w:p w14:paraId="7278A480">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《工业企业厂界环境噪声排放标准》（GB12348-2008）2类</w:t>
            </w:r>
          </w:p>
        </w:tc>
      </w:tr>
      <w:tr w14:paraId="46D01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pct"/>
            <w:vAlign w:val="center"/>
          </w:tcPr>
          <w:p w14:paraId="38516C94">
            <w:pPr>
              <w:adjustRightInd w:val="0"/>
              <w:snapToGrid w:val="0"/>
              <w:spacing w:line="240" w:lineRule="auto"/>
              <w:jc w:val="center"/>
              <w:rPr>
                <w:rFonts w:hint="eastAsia" w:ascii="Times New Roman" w:hAnsi="Times New Roman" w:eastAsia="宋体" w:cs="Times New Roman"/>
                <w:b/>
                <w:bCs/>
                <w:color w:val="auto"/>
                <w:highlight w:val="none"/>
                <w:lang w:val="en-US" w:eastAsia="zh-CN"/>
              </w:rPr>
            </w:pPr>
            <w:r>
              <w:rPr>
                <w:rFonts w:hint="eastAsia" w:eastAsia="宋体" w:cs="Times New Roman"/>
                <w:b/>
                <w:bCs/>
                <w:color w:val="auto"/>
                <w:highlight w:val="none"/>
                <w:lang w:val="en-US" w:eastAsia="zh-CN"/>
              </w:rPr>
              <w:t>电磁辐射</w:t>
            </w:r>
          </w:p>
        </w:tc>
        <w:tc>
          <w:tcPr>
            <w:tcW w:w="1187" w:type="pct"/>
            <w:gridSpan w:val="2"/>
            <w:vAlign w:val="center"/>
          </w:tcPr>
          <w:p w14:paraId="7B3242BD">
            <w:pPr>
              <w:spacing w:line="240" w:lineRule="auto"/>
              <w:jc w:val="center"/>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w:t>
            </w:r>
          </w:p>
        </w:tc>
        <w:tc>
          <w:tcPr>
            <w:tcW w:w="726" w:type="pct"/>
            <w:vAlign w:val="center"/>
          </w:tcPr>
          <w:p w14:paraId="6A6F9A2A">
            <w:pPr>
              <w:spacing w:line="240" w:lineRule="auto"/>
              <w:jc w:val="center"/>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w:t>
            </w:r>
          </w:p>
        </w:tc>
        <w:tc>
          <w:tcPr>
            <w:tcW w:w="1034" w:type="pct"/>
            <w:vAlign w:val="center"/>
          </w:tcPr>
          <w:p w14:paraId="51E6B373">
            <w:pPr>
              <w:spacing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p>
        </w:tc>
        <w:tc>
          <w:tcPr>
            <w:tcW w:w="1366" w:type="pct"/>
            <w:vAlign w:val="center"/>
          </w:tcPr>
          <w:p w14:paraId="27666DE4">
            <w:pPr>
              <w:spacing w:line="240" w:lineRule="auto"/>
              <w:jc w:val="center"/>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w:t>
            </w:r>
          </w:p>
        </w:tc>
      </w:tr>
      <w:tr w14:paraId="59CAC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684" w:type="pct"/>
            <w:vAlign w:val="center"/>
          </w:tcPr>
          <w:p w14:paraId="7BA51C56">
            <w:pPr>
              <w:adjustRightInd w:val="0"/>
              <w:snapToGrid w:val="0"/>
              <w:jc w:val="center"/>
              <w:rPr>
                <w:rFonts w:cs="Times New Roman"/>
                <w:b/>
                <w:bCs/>
                <w:color w:val="auto"/>
                <w:highlight w:val="none"/>
              </w:rPr>
            </w:pPr>
            <w:r>
              <w:rPr>
                <w:rFonts w:cs="Times New Roman"/>
                <w:b/>
                <w:bCs/>
                <w:color w:val="auto"/>
                <w:highlight w:val="none"/>
              </w:rPr>
              <w:t>固体废物</w:t>
            </w:r>
          </w:p>
        </w:tc>
        <w:tc>
          <w:tcPr>
            <w:tcW w:w="4315" w:type="pct"/>
            <w:gridSpan w:val="5"/>
            <w:vAlign w:val="center"/>
          </w:tcPr>
          <w:p w14:paraId="191A1AA8">
            <w:pPr>
              <w:rPr>
                <w:rFonts w:cs="Times New Roman"/>
                <w:color w:val="auto"/>
                <w:highlight w:val="none"/>
              </w:rPr>
            </w:pPr>
            <w:r>
              <w:rPr>
                <w:rFonts w:cs="Times New Roman"/>
                <w:color w:val="auto"/>
                <w:highlight w:val="none"/>
              </w:rPr>
              <w:t>1、一般固体废物：</w:t>
            </w:r>
            <w:bookmarkStart w:id="4" w:name="_Hlk159338264"/>
            <w:r>
              <w:rPr>
                <w:rFonts w:cs="Times New Roman"/>
                <w:color w:val="auto"/>
                <w:highlight w:val="none"/>
              </w:rPr>
              <w:t>本次项目一般固体废物应满足《一般工业固体废物贮存和填埋污染控制标准》（GB 18599-2020）中有关规定。</w:t>
            </w:r>
          </w:p>
          <w:bookmarkEnd w:id="4"/>
          <w:p w14:paraId="18140E5A">
            <w:pPr>
              <w:rPr>
                <w:rFonts w:cs="Times New Roman"/>
                <w:color w:val="auto"/>
                <w:szCs w:val="24"/>
                <w:highlight w:val="none"/>
              </w:rPr>
            </w:pPr>
            <w:r>
              <w:rPr>
                <w:rFonts w:cs="Times New Roman"/>
                <w:color w:val="auto"/>
                <w:highlight w:val="none"/>
              </w:rPr>
              <w:t>2、危险废物：</w:t>
            </w:r>
            <w:bookmarkStart w:id="5" w:name="_Hlk159338275"/>
            <w:r>
              <w:rPr>
                <w:rFonts w:cs="Times New Roman"/>
                <w:color w:val="auto"/>
                <w:highlight w:val="none"/>
              </w:rPr>
              <w:t>本项目</w:t>
            </w:r>
            <w:r>
              <w:rPr>
                <w:rFonts w:hint="eastAsia" w:cs="Times New Roman"/>
                <w:color w:val="auto"/>
                <w:highlight w:val="none"/>
                <w:lang w:eastAsia="zh-CN"/>
              </w:rPr>
              <w:t>危废</w:t>
            </w:r>
            <w:r>
              <w:rPr>
                <w:rFonts w:hint="eastAsia" w:cs="Times New Roman"/>
                <w:color w:val="auto"/>
                <w:highlight w:val="none"/>
                <w:lang w:val="en-US" w:eastAsia="zh-CN"/>
              </w:rPr>
              <w:t>贮存点</w:t>
            </w:r>
            <w:r>
              <w:rPr>
                <w:rFonts w:cs="Times New Roman"/>
                <w:color w:val="auto"/>
                <w:highlight w:val="none"/>
              </w:rPr>
              <w:t>的设置应按照《危险废物贮存污染控制标准》（GB18597-2023）中的相关要求。危险废物贮存</w:t>
            </w:r>
            <w:r>
              <w:rPr>
                <w:rFonts w:hint="eastAsia" w:cs="Times New Roman"/>
                <w:color w:val="auto"/>
                <w:highlight w:val="none"/>
                <w:lang w:val="en-US" w:eastAsia="zh-CN"/>
              </w:rPr>
              <w:t>点</w:t>
            </w:r>
            <w:r>
              <w:rPr>
                <w:rFonts w:cs="Times New Roman"/>
                <w:color w:val="auto"/>
                <w:highlight w:val="none"/>
              </w:rPr>
              <w:t>标识都必须按《危险废物识别标志设置技术规范》（HJ 1276</w:t>
            </w:r>
            <w:r>
              <w:rPr>
                <w:rFonts w:hint="eastAsia" w:cs="Times New Roman"/>
                <w:color w:val="auto"/>
                <w:highlight w:val="none"/>
                <w:lang w:val="en-US" w:eastAsia="zh-CN"/>
              </w:rPr>
              <w:t>-</w:t>
            </w:r>
            <w:r>
              <w:rPr>
                <w:rFonts w:cs="Times New Roman"/>
                <w:color w:val="auto"/>
                <w:highlight w:val="none"/>
              </w:rPr>
              <w:t>2022）中的规定，规范立标设置环保标识牌。加强管理防止发生意外事故，同时厂区范围内必须完善消防</w:t>
            </w:r>
            <w:r>
              <w:rPr>
                <w:rFonts w:hint="eastAsia" w:cs="Times New Roman"/>
                <w:color w:val="auto"/>
                <w:highlight w:val="none"/>
                <w:lang w:eastAsia="zh-CN"/>
              </w:rPr>
              <w:t>措施</w:t>
            </w:r>
            <w:r>
              <w:rPr>
                <w:rFonts w:hint="eastAsia" w:cs="Times New Roman"/>
                <w:color w:val="auto"/>
                <w:highlight w:val="none"/>
                <w:lang w:val="en-US" w:eastAsia="zh-CN"/>
              </w:rPr>
              <w:t>并且</w:t>
            </w:r>
            <w:r>
              <w:rPr>
                <w:rFonts w:cs="Times New Roman"/>
                <w:color w:val="auto"/>
                <w:highlight w:val="none"/>
              </w:rPr>
              <w:t>加强管理。</w:t>
            </w:r>
            <w:bookmarkEnd w:id="5"/>
          </w:p>
        </w:tc>
      </w:tr>
      <w:tr w14:paraId="7DDFF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684" w:type="pct"/>
            <w:vAlign w:val="center"/>
          </w:tcPr>
          <w:p w14:paraId="59FA8C19">
            <w:pPr>
              <w:adjustRightInd w:val="0"/>
              <w:snapToGrid w:val="0"/>
              <w:jc w:val="center"/>
              <w:rPr>
                <w:rFonts w:cs="Times New Roman"/>
                <w:b/>
                <w:bCs/>
                <w:color w:val="auto"/>
                <w:highlight w:val="none"/>
              </w:rPr>
            </w:pPr>
            <w:r>
              <w:rPr>
                <w:rFonts w:cs="Times New Roman"/>
                <w:b/>
                <w:bCs/>
                <w:color w:val="auto"/>
                <w:highlight w:val="none"/>
              </w:rPr>
              <w:t>土壤及地下水污染防治措施</w:t>
            </w:r>
          </w:p>
        </w:tc>
        <w:tc>
          <w:tcPr>
            <w:tcW w:w="4315" w:type="pct"/>
            <w:gridSpan w:val="5"/>
            <w:vAlign w:val="center"/>
          </w:tcPr>
          <w:p w14:paraId="71F40528">
            <w:pPr>
              <w:rPr>
                <w:rFonts w:cs="Times New Roman"/>
                <w:color w:val="auto"/>
                <w:highlight w:val="none"/>
              </w:rPr>
            </w:pPr>
            <w:r>
              <w:rPr>
                <w:rFonts w:cs="Times New Roman"/>
                <w:color w:val="auto"/>
                <w:highlight w:val="none"/>
              </w:rPr>
              <w:t>1、做好危废及危险物质的储存管理，危废贮存</w:t>
            </w:r>
            <w:r>
              <w:rPr>
                <w:rFonts w:hint="eastAsia" w:cs="Times New Roman"/>
                <w:color w:val="auto"/>
                <w:highlight w:val="none"/>
                <w:lang w:val="en-US" w:eastAsia="zh-CN"/>
              </w:rPr>
              <w:t>点</w:t>
            </w:r>
            <w:r>
              <w:rPr>
                <w:rFonts w:cs="Times New Roman"/>
                <w:color w:val="auto"/>
                <w:highlight w:val="none"/>
              </w:rPr>
              <w:t>必须做好防腐、防渗处理，保持地面硬化，防止危废渗漏到土壤，造成污染。</w:t>
            </w:r>
          </w:p>
          <w:p w14:paraId="7B521DEE">
            <w:pPr>
              <w:rPr>
                <w:rFonts w:cs="Times New Roman"/>
                <w:color w:val="auto"/>
                <w:highlight w:val="none"/>
              </w:rPr>
            </w:pPr>
            <w:r>
              <w:rPr>
                <w:rFonts w:cs="Times New Roman"/>
                <w:color w:val="auto"/>
                <w:highlight w:val="none"/>
              </w:rPr>
              <w:t>2、各类污染物严格按照环评要求处理处置，禁止未经处理的污染物直接排放到环境中，对周边环境造成污染。</w:t>
            </w:r>
          </w:p>
          <w:p w14:paraId="2D0D2C35">
            <w:pPr>
              <w:rPr>
                <w:rFonts w:cs="Times New Roman"/>
                <w:color w:val="auto"/>
                <w:highlight w:val="none"/>
              </w:rPr>
            </w:pPr>
            <w:r>
              <w:rPr>
                <w:rFonts w:cs="Times New Roman"/>
                <w:color w:val="auto"/>
                <w:highlight w:val="none"/>
              </w:rPr>
              <w:t>3、严格落实本报告提出的污染防治措施，项目运营时应确保环保措施稳定正常的运行，废气达标排放，防止直接排放从而沉降后对地表土壤环境造成污染。</w:t>
            </w:r>
          </w:p>
        </w:tc>
      </w:tr>
      <w:tr w14:paraId="26599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84" w:type="pct"/>
            <w:vAlign w:val="center"/>
          </w:tcPr>
          <w:p w14:paraId="7EF663B9">
            <w:pPr>
              <w:adjustRightInd w:val="0"/>
              <w:snapToGrid w:val="0"/>
              <w:jc w:val="center"/>
              <w:rPr>
                <w:rFonts w:cs="Times New Roman"/>
                <w:b/>
                <w:bCs/>
                <w:color w:val="auto"/>
                <w:highlight w:val="none"/>
              </w:rPr>
            </w:pPr>
            <w:r>
              <w:rPr>
                <w:rFonts w:cs="Times New Roman"/>
                <w:b/>
                <w:bCs/>
                <w:color w:val="auto"/>
                <w:highlight w:val="none"/>
              </w:rPr>
              <w:t>生态保护措施</w:t>
            </w:r>
          </w:p>
        </w:tc>
        <w:tc>
          <w:tcPr>
            <w:tcW w:w="4315" w:type="pct"/>
            <w:gridSpan w:val="5"/>
            <w:vAlign w:val="center"/>
          </w:tcPr>
          <w:p w14:paraId="70F08C42">
            <w:pPr>
              <w:jc w:val="center"/>
              <w:rPr>
                <w:rFonts w:cs="Times New Roman"/>
                <w:color w:val="auto"/>
                <w:highlight w:val="none"/>
              </w:rPr>
            </w:pPr>
            <w:r>
              <w:rPr>
                <w:rFonts w:cs="Times New Roman"/>
                <w:color w:val="auto"/>
                <w:highlight w:val="none"/>
              </w:rPr>
              <w:t>/</w:t>
            </w:r>
          </w:p>
        </w:tc>
      </w:tr>
      <w:tr w14:paraId="3E5F1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684" w:type="pct"/>
            <w:vAlign w:val="center"/>
          </w:tcPr>
          <w:p w14:paraId="0E9D025C">
            <w:pPr>
              <w:adjustRightInd w:val="0"/>
              <w:snapToGrid w:val="0"/>
              <w:jc w:val="center"/>
              <w:rPr>
                <w:rFonts w:cs="Times New Roman"/>
                <w:b/>
                <w:bCs/>
                <w:color w:val="auto"/>
                <w:spacing w:val="-8"/>
                <w:highlight w:val="none"/>
              </w:rPr>
            </w:pPr>
            <w:r>
              <w:rPr>
                <w:rFonts w:cs="Times New Roman"/>
                <w:b/>
                <w:bCs/>
                <w:color w:val="auto"/>
                <w:spacing w:val="-8"/>
                <w:highlight w:val="none"/>
              </w:rPr>
              <w:t>环境风险</w:t>
            </w:r>
          </w:p>
          <w:p w14:paraId="68885029">
            <w:pPr>
              <w:adjustRightInd w:val="0"/>
              <w:snapToGrid w:val="0"/>
              <w:jc w:val="center"/>
              <w:rPr>
                <w:rFonts w:cs="Times New Roman"/>
                <w:b/>
                <w:bCs/>
                <w:color w:val="auto"/>
                <w:spacing w:val="-8"/>
                <w:highlight w:val="none"/>
              </w:rPr>
            </w:pPr>
            <w:r>
              <w:rPr>
                <w:rFonts w:cs="Times New Roman"/>
                <w:b/>
                <w:bCs/>
                <w:color w:val="auto"/>
                <w:spacing w:val="-8"/>
                <w:highlight w:val="none"/>
              </w:rPr>
              <w:t>防范措施</w:t>
            </w:r>
          </w:p>
        </w:tc>
        <w:tc>
          <w:tcPr>
            <w:tcW w:w="4315" w:type="pct"/>
            <w:gridSpan w:val="5"/>
            <w:vAlign w:val="center"/>
          </w:tcPr>
          <w:p w14:paraId="6231712D">
            <w:pPr>
              <w:ind w:firstLine="480" w:firstLineChars="200"/>
              <w:rPr>
                <w:rFonts w:cs="Times New Roman"/>
                <w:color w:val="auto"/>
                <w:highlight w:val="none"/>
              </w:rPr>
            </w:pPr>
            <w:r>
              <w:rPr>
                <w:rFonts w:cs="Times New Roman"/>
                <w:color w:val="auto"/>
                <w:highlight w:val="none"/>
              </w:rPr>
              <w:t>针对产生的废机油</w:t>
            </w:r>
            <w:r>
              <w:rPr>
                <w:rFonts w:hint="eastAsia" w:cs="Times New Roman"/>
                <w:color w:val="auto"/>
                <w:highlight w:val="none"/>
                <w:lang w:eastAsia="zh-CN"/>
              </w:rPr>
              <w:t>、</w:t>
            </w:r>
            <w:r>
              <w:rPr>
                <w:rFonts w:hint="eastAsia" w:cs="Times New Roman"/>
                <w:color w:val="auto"/>
                <w:highlight w:val="none"/>
                <w:lang w:val="en-US" w:eastAsia="zh-CN"/>
              </w:rPr>
              <w:t>含油抹布等</w:t>
            </w:r>
            <w:r>
              <w:rPr>
                <w:rFonts w:cs="Times New Roman"/>
                <w:color w:val="auto"/>
                <w:highlight w:val="none"/>
              </w:rPr>
              <w:t>，建设单位将其暂存在</w:t>
            </w:r>
            <w:r>
              <w:rPr>
                <w:rFonts w:hint="eastAsia" w:cs="Times New Roman"/>
                <w:color w:val="auto"/>
                <w:highlight w:val="none"/>
                <w:lang w:eastAsia="zh-CN"/>
              </w:rPr>
              <w:t>危废贮存</w:t>
            </w:r>
            <w:r>
              <w:rPr>
                <w:rFonts w:hint="eastAsia" w:cs="Times New Roman"/>
                <w:color w:val="auto"/>
                <w:highlight w:val="none"/>
                <w:lang w:val="en-US" w:eastAsia="zh-CN"/>
              </w:rPr>
              <w:t>点</w:t>
            </w:r>
            <w:r>
              <w:rPr>
                <w:rFonts w:cs="Times New Roman"/>
                <w:color w:val="auto"/>
                <w:highlight w:val="none"/>
              </w:rPr>
              <w:t>内，为进一步减小风险，需加强对</w:t>
            </w:r>
            <w:r>
              <w:rPr>
                <w:rFonts w:hint="eastAsia" w:cs="Times New Roman"/>
                <w:color w:val="auto"/>
                <w:highlight w:val="none"/>
                <w:lang w:eastAsia="zh-CN"/>
              </w:rPr>
              <w:t>危废贮存</w:t>
            </w:r>
            <w:r>
              <w:rPr>
                <w:rFonts w:hint="eastAsia" w:cs="Times New Roman"/>
                <w:color w:val="auto"/>
                <w:highlight w:val="none"/>
                <w:lang w:val="en-US" w:eastAsia="zh-CN"/>
              </w:rPr>
              <w:t>点</w:t>
            </w:r>
            <w:r>
              <w:rPr>
                <w:rFonts w:cs="Times New Roman"/>
                <w:color w:val="auto"/>
                <w:highlight w:val="none"/>
              </w:rPr>
              <w:t>的管理，加强防渗，建立危险废物管理台账，必须定期交由有危险废物处理资质的单位进行处理。加强对机油</w:t>
            </w:r>
            <w:r>
              <w:rPr>
                <w:rFonts w:hint="eastAsia" w:cs="Times New Roman"/>
                <w:color w:val="auto"/>
                <w:highlight w:val="none"/>
                <w:lang w:val="en-US" w:eastAsia="zh-CN"/>
              </w:rPr>
              <w:t>储存</w:t>
            </w:r>
            <w:r>
              <w:rPr>
                <w:rFonts w:cs="Times New Roman"/>
                <w:color w:val="auto"/>
                <w:highlight w:val="none"/>
              </w:rPr>
              <w:t>的管理，周边放置砂子，若发生</w:t>
            </w:r>
            <w:r>
              <w:rPr>
                <w:rFonts w:hint="eastAsia" w:cs="Times New Roman"/>
                <w:color w:val="auto"/>
                <w:highlight w:val="none"/>
                <w:lang w:eastAsia="zh-CN"/>
              </w:rPr>
              <w:t>泄漏</w:t>
            </w:r>
            <w:r>
              <w:rPr>
                <w:rFonts w:cs="Times New Roman"/>
                <w:color w:val="auto"/>
                <w:highlight w:val="none"/>
              </w:rPr>
              <w:t>可及时进行围堵。针对厂区环境风险，建设单位应编制突发环境事件应急预案，并报</w:t>
            </w:r>
            <w:r>
              <w:rPr>
                <w:rFonts w:hint="eastAsia" w:cs="Times New Roman"/>
                <w:color w:val="auto"/>
                <w:highlight w:val="none"/>
                <w:lang w:val="en-US" w:eastAsia="zh-CN"/>
              </w:rPr>
              <w:t>生态环境</w:t>
            </w:r>
            <w:r>
              <w:rPr>
                <w:rFonts w:cs="Times New Roman"/>
                <w:color w:val="auto"/>
                <w:highlight w:val="none"/>
              </w:rPr>
              <w:t>局备案，且及时修正应急预案并加强演练。</w:t>
            </w:r>
          </w:p>
          <w:p w14:paraId="150CD665">
            <w:pPr>
              <w:ind w:firstLine="480" w:firstLineChars="200"/>
              <w:rPr>
                <w:rFonts w:cs="Times New Roman"/>
                <w:color w:val="auto"/>
                <w:highlight w:val="none"/>
              </w:rPr>
            </w:pPr>
            <w:r>
              <w:rPr>
                <w:rFonts w:cs="Times New Roman"/>
                <w:color w:val="auto"/>
                <w:highlight w:val="none"/>
              </w:rPr>
              <w:t>本项目不存在重大危险源，且涉及危险品性质及生产工艺简单，在采取本次评价提出的各项风险防范措施后，环境风险较小。</w:t>
            </w:r>
          </w:p>
        </w:tc>
      </w:tr>
      <w:tr w14:paraId="4C197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3" w:hRule="atLeast"/>
          <w:jc w:val="center"/>
        </w:trPr>
        <w:tc>
          <w:tcPr>
            <w:tcW w:w="684" w:type="pct"/>
            <w:vAlign w:val="center"/>
          </w:tcPr>
          <w:p w14:paraId="286C5B06">
            <w:pPr>
              <w:adjustRightInd w:val="0"/>
              <w:snapToGrid w:val="0"/>
              <w:jc w:val="center"/>
              <w:rPr>
                <w:rFonts w:cs="Times New Roman"/>
                <w:b/>
                <w:bCs/>
                <w:color w:val="auto"/>
                <w:spacing w:val="-8"/>
                <w:highlight w:val="none"/>
              </w:rPr>
            </w:pPr>
            <w:r>
              <w:rPr>
                <w:rFonts w:cs="Times New Roman"/>
                <w:b/>
                <w:bCs/>
                <w:color w:val="auto"/>
                <w:spacing w:val="-8"/>
                <w:highlight w:val="none"/>
              </w:rPr>
              <w:t>其他环境</w:t>
            </w:r>
          </w:p>
          <w:p w14:paraId="31E4824F">
            <w:pPr>
              <w:adjustRightInd w:val="0"/>
              <w:snapToGrid w:val="0"/>
              <w:jc w:val="center"/>
              <w:rPr>
                <w:rFonts w:cs="Times New Roman"/>
                <w:b/>
                <w:bCs/>
                <w:color w:val="auto"/>
                <w:spacing w:val="-8"/>
                <w:highlight w:val="none"/>
              </w:rPr>
            </w:pPr>
            <w:r>
              <w:rPr>
                <w:rFonts w:cs="Times New Roman"/>
                <w:b/>
                <w:bCs/>
                <w:color w:val="auto"/>
                <w:spacing w:val="-8"/>
                <w:highlight w:val="none"/>
              </w:rPr>
              <w:t>管理要求</w:t>
            </w:r>
          </w:p>
        </w:tc>
        <w:tc>
          <w:tcPr>
            <w:tcW w:w="4315" w:type="pct"/>
            <w:gridSpan w:val="5"/>
            <w:vAlign w:val="center"/>
          </w:tcPr>
          <w:p w14:paraId="0DE3FDF1">
            <w:pPr>
              <w:autoSpaceDE w:val="0"/>
              <w:autoSpaceDN w:val="0"/>
              <w:spacing w:line="360" w:lineRule="auto"/>
              <w:ind w:firstLine="482"/>
              <w:rPr>
                <w:b/>
                <w:color w:val="auto"/>
                <w:sz w:val="24"/>
                <w:szCs w:val="24"/>
                <w:highlight w:val="none"/>
              </w:rPr>
            </w:pPr>
            <w:r>
              <w:rPr>
                <w:rFonts w:hint="eastAsia"/>
                <w:b/>
                <w:color w:val="auto"/>
                <w:sz w:val="24"/>
                <w:szCs w:val="24"/>
                <w:highlight w:val="none"/>
              </w:rPr>
              <w:t>1、执行排污许可证制度</w:t>
            </w:r>
          </w:p>
          <w:p w14:paraId="4AB2AB22">
            <w:pPr>
              <w:autoSpaceDE w:val="0"/>
              <w:autoSpaceDN w:val="0"/>
              <w:spacing w:line="360" w:lineRule="auto"/>
              <w:ind w:firstLine="482"/>
              <w:rPr>
                <w:color w:val="auto"/>
                <w:sz w:val="24"/>
                <w:szCs w:val="24"/>
                <w:highlight w:val="none"/>
              </w:rPr>
            </w:pPr>
            <w:r>
              <w:rPr>
                <w:rFonts w:hint="eastAsia"/>
                <w:color w:val="auto"/>
                <w:sz w:val="24"/>
                <w:szCs w:val="24"/>
                <w:highlight w:val="none"/>
              </w:rPr>
              <w:t>根据《固定污染源排污许可分类管理名录》（2019年版），本项目属于：</w:t>
            </w:r>
            <w:r>
              <w:rPr>
                <w:rFonts w:hint="eastAsia"/>
                <w:color w:val="auto"/>
                <w:sz w:val="24"/>
                <w:szCs w:val="24"/>
                <w:highlight w:val="none"/>
                <w:lang w:val="en-US" w:eastAsia="zh-CN"/>
              </w:rPr>
              <w:t>二十五、非金属矿物制品业</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lang w:val="en-US" w:eastAsia="zh-CN"/>
              </w:rPr>
              <w:t>石膏、水泥制品及类似制品制造302</w:t>
            </w:r>
            <w:r>
              <w:rPr>
                <w:rFonts w:hint="eastAsia" w:ascii="Times New Roman" w:hAnsi="Times New Roman" w:eastAsia="宋体" w:cs="Times New Roman"/>
                <w:color w:val="auto"/>
                <w:sz w:val="24"/>
                <w:szCs w:val="24"/>
                <w:highlight w:val="none"/>
                <w:lang w:eastAsia="zh-CN"/>
              </w:rPr>
              <w:t>——</w:t>
            </w:r>
            <w:r>
              <w:rPr>
                <w:rFonts w:hint="eastAsia" w:eastAsia="宋体" w:cs="Times New Roman"/>
                <w:color w:val="auto"/>
                <w:sz w:val="24"/>
                <w:szCs w:val="24"/>
                <w:highlight w:val="none"/>
                <w:lang w:val="en-US" w:eastAsia="zh-CN"/>
              </w:rPr>
              <w:t>其他水泥类似制品制造3029</w:t>
            </w:r>
            <w:r>
              <w:rPr>
                <w:rFonts w:hint="eastAsia" w:eastAsia="宋体"/>
                <w:color w:val="auto"/>
                <w:sz w:val="24"/>
                <w:szCs w:val="24"/>
                <w:highlight w:val="none"/>
                <w:lang w:val="en-US" w:eastAsia="zh-CN"/>
              </w:rPr>
              <w:t>以及</w:t>
            </w:r>
            <w:r>
              <w:rPr>
                <w:rFonts w:hint="eastAsia"/>
                <w:color w:val="auto"/>
                <w:sz w:val="24"/>
                <w:szCs w:val="24"/>
                <w:highlight w:val="none"/>
              </w:rPr>
              <w:t>三十七、废弃资源综合利用业42</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非金属废料和碎屑加工处理422</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其他</w:t>
            </w:r>
            <w:r>
              <w:rPr>
                <w:rFonts w:hint="eastAsia"/>
                <w:color w:val="auto"/>
                <w:sz w:val="24"/>
                <w:szCs w:val="24"/>
                <w:highlight w:val="none"/>
                <w:lang w:eastAsia="zh-CN"/>
              </w:rPr>
              <w:t>，</w:t>
            </w:r>
            <w:r>
              <w:rPr>
                <w:rFonts w:hint="eastAsia"/>
                <w:color w:val="auto"/>
                <w:sz w:val="24"/>
                <w:szCs w:val="24"/>
                <w:highlight w:val="none"/>
              </w:rPr>
              <w:t>故需要在</w:t>
            </w:r>
            <w:r>
              <w:rPr>
                <w:rFonts w:hint="eastAsia"/>
                <w:color w:val="auto"/>
                <w:sz w:val="24"/>
                <w:szCs w:val="24"/>
                <w:highlight w:val="none"/>
                <w:lang w:val="en-US" w:eastAsia="zh-CN"/>
              </w:rPr>
              <w:t>企业发生排污行为前及时</w:t>
            </w:r>
            <w:r>
              <w:rPr>
                <w:rFonts w:hint="eastAsia"/>
                <w:color w:val="auto"/>
                <w:sz w:val="24"/>
                <w:szCs w:val="24"/>
                <w:highlight w:val="none"/>
              </w:rPr>
              <w:t>办理排污许可</w:t>
            </w:r>
            <w:r>
              <w:rPr>
                <w:rFonts w:hint="eastAsia"/>
                <w:color w:val="auto"/>
                <w:sz w:val="24"/>
                <w:szCs w:val="24"/>
                <w:highlight w:val="none"/>
                <w:lang w:eastAsia="zh-CN"/>
              </w:rPr>
              <w:t>登记</w:t>
            </w:r>
            <w:r>
              <w:rPr>
                <w:rFonts w:hint="eastAsia"/>
                <w:color w:val="auto"/>
                <w:sz w:val="24"/>
                <w:szCs w:val="24"/>
                <w:highlight w:val="none"/>
              </w:rPr>
              <w:t>管理。</w:t>
            </w:r>
          </w:p>
          <w:p w14:paraId="399FC5D9">
            <w:pPr>
              <w:autoSpaceDE w:val="0"/>
              <w:autoSpaceDN w:val="0"/>
              <w:spacing w:line="360" w:lineRule="auto"/>
              <w:ind w:firstLine="482"/>
              <w:rPr>
                <w:b/>
                <w:color w:val="auto"/>
                <w:sz w:val="24"/>
                <w:szCs w:val="24"/>
                <w:highlight w:val="none"/>
              </w:rPr>
            </w:pPr>
            <w:r>
              <w:rPr>
                <w:rFonts w:hint="eastAsia"/>
                <w:b/>
                <w:color w:val="auto"/>
                <w:sz w:val="24"/>
                <w:szCs w:val="24"/>
                <w:highlight w:val="none"/>
                <w:lang w:val="en-US" w:eastAsia="zh-CN"/>
              </w:rPr>
              <w:t>2</w:t>
            </w:r>
            <w:r>
              <w:rPr>
                <w:rFonts w:hint="eastAsia"/>
                <w:b/>
                <w:color w:val="auto"/>
                <w:sz w:val="24"/>
                <w:szCs w:val="24"/>
                <w:highlight w:val="none"/>
              </w:rPr>
              <w:t>、排放口规范化要求</w:t>
            </w:r>
          </w:p>
          <w:p w14:paraId="43790710">
            <w:pPr>
              <w:autoSpaceDE w:val="0"/>
              <w:autoSpaceDN w:val="0"/>
              <w:spacing w:line="360" w:lineRule="auto"/>
              <w:ind w:firstLine="482"/>
              <w:rPr>
                <w:rFonts w:hint="eastAsia"/>
                <w:color w:val="auto"/>
                <w:sz w:val="24"/>
                <w:szCs w:val="24"/>
                <w:highlight w:val="none"/>
              </w:rPr>
            </w:pPr>
            <w:r>
              <w:rPr>
                <w:rFonts w:hint="eastAsia"/>
                <w:color w:val="auto"/>
                <w:sz w:val="24"/>
                <w:szCs w:val="24"/>
                <w:highlight w:val="none"/>
              </w:rPr>
              <w:t>企业应规范环保图形标志，在厂区废气排气筒等附近醒目处设立排放口环保图形标志牌；固体废物堆放场所（包括一般固废和危险固废），必须有防火、防腐蚀、防流失等措施，并按《环境保护图形标志-固体废物贮存（处置）场》（GB15562.2-1995）</w:t>
            </w:r>
            <w:r>
              <w:rPr>
                <w:rFonts w:hint="eastAsia"/>
                <w:color w:val="auto"/>
                <w:sz w:val="24"/>
                <w:szCs w:val="24"/>
                <w:highlight w:val="none"/>
                <w:lang w:val="en-US" w:eastAsia="zh-CN"/>
              </w:rPr>
              <w:t>及其修改单的</w:t>
            </w:r>
            <w:r>
              <w:rPr>
                <w:rFonts w:hint="eastAsia"/>
                <w:color w:val="auto"/>
                <w:sz w:val="24"/>
                <w:szCs w:val="24"/>
                <w:highlight w:val="none"/>
              </w:rPr>
              <w:t>相关要求设置标志牌。</w:t>
            </w:r>
          </w:p>
          <w:p w14:paraId="4873B021">
            <w:pPr>
              <w:numPr>
                <w:ilvl w:val="0"/>
                <w:numId w:val="0"/>
              </w:numPr>
              <w:autoSpaceDE w:val="0"/>
              <w:autoSpaceDN w:val="0"/>
              <w:spacing w:line="360" w:lineRule="auto"/>
              <w:ind w:left="482" w:leftChars="0"/>
              <w:rPr>
                <w:rFonts w:hint="eastAsia" w:ascii="Times New Roman" w:hAnsi="Times New Roman" w:eastAsia="宋体" w:cs="Times New Roman"/>
                <w:b/>
                <w:color w:val="auto"/>
                <w:sz w:val="24"/>
                <w:szCs w:val="24"/>
                <w:highlight w:val="none"/>
                <w:lang w:val="en-US" w:eastAsia="zh-CN"/>
              </w:rPr>
            </w:pPr>
            <w:r>
              <w:rPr>
                <w:rFonts w:hint="eastAsia" w:eastAsia="宋体"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三同时制度</w:t>
            </w:r>
          </w:p>
          <w:p w14:paraId="29C555F6">
            <w:pPr>
              <w:pStyle w:val="2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本项目在建设期期间应严格执行环境保护设施与主体工程同时设计、同时施工、同时投产使用。</w:t>
            </w:r>
          </w:p>
          <w:p w14:paraId="0F678C16">
            <w:pPr>
              <w:numPr>
                <w:ilvl w:val="0"/>
                <w:numId w:val="8"/>
              </w:numPr>
              <w:autoSpaceDE w:val="0"/>
              <w:autoSpaceDN w:val="0"/>
              <w:spacing w:line="360" w:lineRule="auto"/>
              <w:ind w:left="0" w:leftChars="0" w:firstLine="482" w:firstLineChars="0"/>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环境管理制度</w:t>
            </w:r>
          </w:p>
          <w:p w14:paraId="03AB6980">
            <w:pPr>
              <w:pStyle w:val="2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建设项目投产运行后企业应制定合适的环境管理制度，确保企业内各项环境保护设施正常运行，</w:t>
            </w:r>
            <w:r>
              <w:rPr>
                <w:rFonts w:hint="eastAsia" w:ascii="宋体" w:hAnsi="宋体" w:eastAsia="宋体" w:cs="宋体"/>
                <w:b w:val="0"/>
                <w:bCs w:val="0"/>
                <w:color w:val="auto"/>
                <w:sz w:val="24"/>
                <w:szCs w:val="24"/>
                <w:highlight w:val="none"/>
              </w:rPr>
              <w:t>建立各污染源档案和环保设施的运行记录</w:t>
            </w:r>
            <w:r>
              <w:rPr>
                <w:rFonts w:hint="eastAsia" w:ascii="宋体" w:hAnsi="宋体" w:eastAsia="宋体" w:cs="宋体"/>
                <w:b w:val="0"/>
                <w:bCs w:val="0"/>
                <w:color w:val="auto"/>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lang w:val="en-US" w:eastAsia="zh-CN" w:bidi="ar-SA"/>
              </w:rPr>
              <w:t>并可以指定专人负责。</w:t>
            </w:r>
          </w:p>
          <w:p w14:paraId="0D2456A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eastAsia="宋体" w:cs="Times New Roman"/>
                <w:b/>
                <w:bCs w:val="0"/>
                <w:color w:val="auto"/>
                <w:sz w:val="24"/>
                <w:szCs w:val="24"/>
                <w:highlight w:val="none"/>
                <w:lang w:val="en-US" w:eastAsia="zh-CN"/>
              </w:rPr>
              <w:t>5、</w:t>
            </w:r>
            <w:r>
              <w:rPr>
                <w:rFonts w:hint="eastAsia" w:ascii="Times New Roman" w:hAnsi="Times New Roman" w:eastAsia="宋体" w:cs="Times New Roman"/>
                <w:b/>
                <w:bCs w:val="0"/>
                <w:color w:val="auto"/>
                <w:sz w:val="24"/>
                <w:szCs w:val="24"/>
                <w:highlight w:val="none"/>
                <w:lang w:val="en-US" w:eastAsia="zh-CN"/>
              </w:rPr>
              <w:t>环</w:t>
            </w:r>
            <w:r>
              <w:rPr>
                <w:rFonts w:hint="eastAsia" w:ascii="Times New Roman" w:hAnsi="Times New Roman" w:eastAsia="宋体" w:cs="Times New Roman"/>
                <w:b/>
                <w:color w:val="auto"/>
                <w:sz w:val="24"/>
                <w:szCs w:val="24"/>
                <w:highlight w:val="none"/>
                <w:lang w:val="en-US" w:eastAsia="zh-CN"/>
              </w:rPr>
              <w:t>境监测</w:t>
            </w:r>
          </w:p>
          <w:p w14:paraId="504AB64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Times New Roman" w:hAnsi="Times New Roman" w:eastAsia="宋体" w:cs="Times New Roman"/>
                <w:b w:val="0"/>
                <w:bCs/>
                <w:color w:val="auto"/>
                <w:sz w:val="24"/>
                <w:szCs w:val="24"/>
                <w:highlight w:val="none"/>
                <w:lang w:val="en-US" w:eastAsia="zh-CN"/>
              </w:rPr>
            </w:pPr>
            <w:r>
              <w:rPr>
                <w:rFonts w:hint="eastAsia" w:eastAsia="宋体" w:cs="Times New Roman"/>
                <w:b w:val="0"/>
                <w:bCs/>
                <w:color w:val="auto"/>
                <w:sz w:val="24"/>
                <w:szCs w:val="24"/>
                <w:highlight w:val="none"/>
                <w:lang w:val="en-US" w:eastAsia="zh-CN"/>
              </w:rPr>
              <w:t>正式运营后，需</w:t>
            </w:r>
            <w:r>
              <w:rPr>
                <w:rFonts w:hint="eastAsia" w:ascii="Times New Roman" w:hAnsi="Times New Roman" w:eastAsia="宋体" w:cs="Times New Roman"/>
                <w:b w:val="0"/>
                <w:bCs/>
                <w:color w:val="auto"/>
                <w:sz w:val="24"/>
                <w:szCs w:val="24"/>
                <w:highlight w:val="none"/>
                <w:lang w:val="en-US" w:eastAsia="zh-CN"/>
              </w:rPr>
              <w:t>按照监测计划的频次和要求进行监测，并保留监测原始记录，每次数据应及时由专人整理、统计，如有异常，立即向上级有关部门通报，并做好监测资料的归档、备查工作，建议建设单位定期将监测数据上墙公示，接受公众监督。</w:t>
            </w:r>
          </w:p>
          <w:p w14:paraId="4FDB5441">
            <w:pPr>
              <w:numPr>
                <w:ilvl w:val="0"/>
                <w:numId w:val="0"/>
              </w:numPr>
              <w:autoSpaceDE w:val="0"/>
              <w:autoSpaceDN w:val="0"/>
              <w:spacing w:line="360" w:lineRule="auto"/>
              <w:ind w:left="482" w:leftChars="0"/>
              <w:rPr>
                <w:rFonts w:hint="eastAsia" w:ascii="Times New Roman" w:hAnsi="Times New Roman" w:eastAsia="宋体" w:cs="Times New Roman"/>
                <w:b/>
                <w:color w:val="auto"/>
                <w:sz w:val="24"/>
                <w:szCs w:val="24"/>
                <w:highlight w:val="none"/>
                <w:lang w:val="en-US" w:eastAsia="zh-CN"/>
              </w:rPr>
            </w:pPr>
            <w:r>
              <w:rPr>
                <w:rFonts w:hint="eastAsia" w:eastAsia="宋体"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竣工验收</w:t>
            </w:r>
          </w:p>
          <w:p w14:paraId="2BBDE03E">
            <w:pPr>
              <w:pStyle w:val="2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项目建成后应及时按照《关于发布&lt;建设项目竣工环境保护验收暂行办法&gt;的公告》（国环规环评[2017]4 号）、《建设项目环境保护管理条例》要求及时开展建设项目竣工环境保护验收工作。</w:t>
            </w:r>
          </w:p>
          <w:p w14:paraId="34E71410">
            <w:pPr>
              <w:adjustRightInd w:val="0"/>
              <w:snapToGrid w:val="0"/>
              <w:ind w:firstLine="480" w:firstLineChars="200"/>
              <w:rPr>
                <w:rFonts w:cs="Times New Roman"/>
                <w:color w:val="auto"/>
                <w:highlight w:val="none"/>
              </w:rPr>
            </w:pPr>
          </w:p>
          <w:p w14:paraId="238F54B3">
            <w:pPr>
              <w:pStyle w:val="14"/>
              <w:rPr>
                <w:rFonts w:cs="Times New Roman"/>
                <w:color w:val="auto"/>
                <w:highlight w:val="none"/>
              </w:rPr>
            </w:pPr>
          </w:p>
          <w:p w14:paraId="1F8F9561">
            <w:pPr>
              <w:rPr>
                <w:rFonts w:cs="Times New Roman"/>
                <w:color w:val="auto"/>
                <w:highlight w:val="none"/>
              </w:rPr>
            </w:pPr>
          </w:p>
          <w:p w14:paraId="40E4AC54">
            <w:pPr>
              <w:pStyle w:val="14"/>
              <w:rPr>
                <w:rFonts w:cs="Times New Roman"/>
                <w:color w:val="auto"/>
                <w:highlight w:val="none"/>
              </w:rPr>
            </w:pPr>
          </w:p>
          <w:p w14:paraId="441AB9D5">
            <w:pPr>
              <w:rPr>
                <w:rFonts w:cs="Times New Roman"/>
                <w:color w:val="auto"/>
                <w:highlight w:val="none"/>
              </w:rPr>
            </w:pPr>
          </w:p>
          <w:p w14:paraId="2B48A799">
            <w:pPr>
              <w:rPr>
                <w:rFonts w:cs="Times New Roman"/>
                <w:color w:val="auto"/>
                <w:highlight w:val="none"/>
              </w:rPr>
            </w:pPr>
          </w:p>
          <w:p w14:paraId="202A94EC">
            <w:pPr>
              <w:pStyle w:val="14"/>
              <w:rPr>
                <w:rFonts w:cs="Times New Roman"/>
                <w:color w:val="auto"/>
                <w:highlight w:val="none"/>
              </w:rPr>
            </w:pPr>
          </w:p>
          <w:p w14:paraId="79F532F6">
            <w:pPr>
              <w:rPr>
                <w:rFonts w:cs="Times New Roman"/>
                <w:color w:val="auto"/>
                <w:highlight w:val="none"/>
              </w:rPr>
            </w:pPr>
          </w:p>
          <w:p w14:paraId="4529E4A7">
            <w:pPr>
              <w:pStyle w:val="14"/>
              <w:rPr>
                <w:rFonts w:cs="Times New Roman"/>
                <w:color w:val="auto"/>
                <w:highlight w:val="none"/>
              </w:rPr>
            </w:pPr>
          </w:p>
          <w:p w14:paraId="7AC6B2BD">
            <w:pPr>
              <w:rPr>
                <w:rFonts w:cs="Times New Roman"/>
                <w:color w:val="auto"/>
                <w:highlight w:val="none"/>
              </w:rPr>
            </w:pPr>
          </w:p>
          <w:p w14:paraId="48B063DB">
            <w:pPr>
              <w:pStyle w:val="14"/>
              <w:rPr>
                <w:color w:val="auto"/>
                <w:highlight w:val="none"/>
              </w:rPr>
            </w:pPr>
          </w:p>
        </w:tc>
      </w:tr>
    </w:tbl>
    <w:p w14:paraId="429B2777">
      <w:pPr>
        <w:pStyle w:val="20"/>
        <w:jc w:val="center"/>
        <w:outlineLvl w:val="0"/>
        <w:rPr>
          <w:rFonts w:ascii="Times New Roman" w:hAnsi="Times New Roman" w:eastAsia="黑体" w:cs="Times New Roman"/>
          <w:snapToGrid w:val="0"/>
          <w:color w:val="auto"/>
          <w:sz w:val="30"/>
          <w:szCs w:val="30"/>
          <w:highlight w:val="none"/>
        </w:rPr>
        <w:sectPr>
          <w:pgSz w:w="11906" w:h="16838"/>
          <w:pgMar w:top="1440" w:right="1080" w:bottom="1440" w:left="1080" w:header="850" w:footer="851" w:gutter="0"/>
          <w:pgBorders>
            <w:top w:val="none" w:sz="0" w:space="0"/>
            <w:left w:val="none" w:sz="0" w:space="0"/>
            <w:bottom w:val="none" w:sz="0" w:space="0"/>
            <w:right w:val="none" w:sz="0" w:space="0"/>
          </w:pgBorders>
          <w:pgNumType w:fmt="numberInDash"/>
          <w:cols w:space="720" w:num="1"/>
          <w:docGrid w:linePitch="312" w:charSpace="0"/>
        </w:sectPr>
      </w:pPr>
    </w:p>
    <w:p w14:paraId="196DEBA1">
      <w:pPr>
        <w:keepNext w:val="0"/>
        <w:keepLines w:val="0"/>
        <w:pageBreakBefore w:val="0"/>
        <w:widowControl w:val="0"/>
        <w:kinsoku/>
        <w:wordWrap/>
        <w:overflowPunct/>
        <w:topLinePunct w:val="0"/>
        <w:autoSpaceDE/>
        <w:autoSpaceDN/>
        <w:bidi w:val="0"/>
        <w:adjustRightInd/>
        <w:snapToGrid/>
        <w:jc w:val="center"/>
        <w:textAlignment w:val="auto"/>
        <w:outlineLvl w:val="0"/>
        <w:rPr>
          <w:rFonts w:cs="Times New Roman"/>
          <w:b/>
          <w:bCs/>
          <w:color w:val="auto"/>
          <w:sz w:val="28"/>
          <w:szCs w:val="24"/>
          <w:highlight w:val="none"/>
        </w:rPr>
      </w:pPr>
      <w:r>
        <w:rPr>
          <w:rFonts w:cs="Times New Roman"/>
          <w:b/>
          <w:bCs/>
          <w:color w:val="auto"/>
          <w:sz w:val="28"/>
          <w:szCs w:val="24"/>
          <w:highlight w:val="none"/>
        </w:rPr>
        <w:t>六、结论</w:t>
      </w:r>
    </w:p>
    <w:tbl>
      <w:tblPr>
        <w:tblStyle w:val="24"/>
        <w:tblW w:w="492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14:paraId="7F19D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3" w:hRule="atLeast"/>
          <w:jc w:val="center"/>
        </w:trPr>
        <w:tc>
          <w:tcPr>
            <w:tcW w:w="5000" w:type="pct"/>
          </w:tcPr>
          <w:p w14:paraId="76DDB466">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cs="Times New Roman"/>
                <w:color w:val="auto"/>
                <w:highlight w:val="none"/>
                <w:lang w:val="en-US" w:eastAsia="zh-CN"/>
              </w:rPr>
            </w:pPr>
            <w:r>
              <w:rPr>
                <w:color w:val="auto"/>
                <w:sz w:val="24"/>
                <w:highlight w:val="none"/>
              </w:rPr>
              <w:t>综上所述，</w:t>
            </w:r>
            <w:r>
              <w:rPr>
                <w:rFonts w:hint="eastAsia" w:cs="Times New Roman"/>
                <w:color w:val="auto"/>
                <w:highlight w:val="none"/>
                <w:lang w:val="en-US" w:eastAsia="zh-CN"/>
              </w:rPr>
              <w:t>本项目建设符合国家政策，项目运营期产生的废气、废水、噪声和固体废物等污染物在采取环评要求的处理处置措施后，各污染物均能实现达标排放，对周围环境影响较小。</w:t>
            </w:r>
          </w:p>
          <w:p w14:paraId="16CAA8BB">
            <w:pPr>
              <w:ind w:firstLine="480" w:firstLineChars="200"/>
              <w:rPr>
                <w:rFonts w:cs="Times New Roman"/>
                <w:color w:val="auto"/>
                <w:highlight w:val="none"/>
              </w:rPr>
            </w:pPr>
            <w:r>
              <w:rPr>
                <w:rFonts w:hint="eastAsia" w:cs="Times New Roman"/>
                <w:color w:val="auto"/>
                <w:highlight w:val="none"/>
                <w:lang w:val="en-US" w:eastAsia="zh-CN"/>
              </w:rPr>
              <w:t>因此，从环境保护角度分析，该建设项目环境影响可行。</w:t>
            </w:r>
          </w:p>
        </w:tc>
      </w:tr>
    </w:tbl>
    <w:p w14:paraId="1DDC7C8F">
      <w:pPr>
        <w:adjustRightInd w:val="0"/>
        <w:snapToGrid w:val="0"/>
        <w:spacing w:before="0" w:beforeAutospacing="0" w:after="0" w:afterAutospacing="0"/>
        <w:outlineLvl w:val="0"/>
        <w:rPr>
          <w:rFonts w:ascii="Times New Roman" w:hAnsi="Times New Roman"/>
          <w:b/>
          <w:bCs/>
          <w:snapToGrid w:val="0"/>
          <w:color w:val="auto"/>
          <w:sz w:val="38"/>
          <w:szCs w:val="38"/>
          <w:highlight w:val="none"/>
        </w:rPr>
        <w:sectPr>
          <w:pgSz w:w="11906" w:h="16838"/>
          <w:pgMar w:top="1701" w:right="1361" w:bottom="1701" w:left="1361" w:header="851" w:footer="850" w:gutter="0"/>
          <w:pgBorders>
            <w:top w:val="none" w:sz="0" w:space="0"/>
            <w:left w:val="none" w:sz="0" w:space="0"/>
            <w:bottom w:val="none" w:sz="0" w:space="0"/>
            <w:right w:val="none" w:sz="0" w:space="0"/>
          </w:pgBorders>
          <w:pgNumType w:fmt="numberInDash"/>
          <w:cols w:space="720" w:num="1"/>
          <w:docGrid w:linePitch="312" w:charSpace="0"/>
        </w:sectPr>
      </w:pPr>
      <w:r>
        <w:rPr>
          <w:color w:val="auto"/>
          <w:highlight w:val="none"/>
        </w:rPr>
        <w:br w:type="page"/>
      </w:r>
      <w:bookmarkStart w:id="6" w:name="_Toc15457"/>
    </w:p>
    <w:bookmarkEnd w:id="6"/>
    <w:p w14:paraId="30BCB595">
      <w:pPr>
        <w:pStyle w:val="20"/>
        <w:adjustRightInd w:val="0"/>
        <w:snapToGrid w:val="0"/>
        <w:spacing w:before="0" w:beforeAutospacing="0" w:after="0" w:afterAutospacing="0"/>
        <w:outlineLvl w:val="0"/>
        <w:rPr>
          <w:rFonts w:ascii="Times New Roman" w:hAnsi="Times New Roman"/>
          <w:b/>
          <w:bCs/>
          <w:snapToGrid w:val="0"/>
          <w:color w:val="auto"/>
          <w:sz w:val="38"/>
          <w:szCs w:val="38"/>
          <w:highlight w:val="none"/>
        </w:rPr>
      </w:pPr>
      <w:r>
        <w:rPr>
          <w:rFonts w:ascii="Times New Roman" w:hAnsi="Times New Roman"/>
          <w:b/>
          <w:bCs/>
          <w:snapToGrid w:val="0"/>
          <w:color w:val="auto"/>
          <w:sz w:val="38"/>
          <w:szCs w:val="38"/>
          <w:highlight w:val="none"/>
        </w:rPr>
        <w:t>附表</w:t>
      </w:r>
    </w:p>
    <w:p w14:paraId="0A75E751">
      <w:pPr>
        <w:pStyle w:val="20"/>
        <w:adjustRightInd w:val="0"/>
        <w:snapToGrid w:val="0"/>
        <w:spacing w:before="0" w:beforeAutospacing="0" w:after="0" w:afterAutospacing="0"/>
        <w:jc w:val="center"/>
        <w:outlineLvl w:val="0"/>
        <w:rPr>
          <w:rFonts w:ascii="Times New Roman" w:hAnsi="Times New Roman" w:eastAsia="黑体"/>
          <w:b/>
          <w:bCs/>
          <w:snapToGrid w:val="0"/>
          <w:color w:val="auto"/>
          <w:sz w:val="38"/>
          <w:szCs w:val="38"/>
          <w:highlight w:val="none"/>
        </w:rPr>
      </w:pPr>
      <w:bookmarkStart w:id="7" w:name="_Toc20880"/>
      <w:r>
        <w:rPr>
          <w:rFonts w:ascii="Times New Roman" w:hAnsi="Times New Roman" w:eastAsia="黑体"/>
          <w:b/>
          <w:bCs/>
          <w:snapToGrid w:val="0"/>
          <w:color w:val="auto"/>
          <w:sz w:val="38"/>
          <w:szCs w:val="38"/>
          <w:highlight w:val="none"/>
        </w:rPr>
        <w:t>建设项目污染物排放量汇总表</w:t>
      </w:r>
      <w:bookmarkEnd w:id="7"/>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66"/>
        <w:gridCol w:w="1650"/>
        <w:gridCol w:w="1411"/>
        <w:gridCol w:w="1316"/>
        <w:gridCol w:w="1506"/>
        <w:gridCol w:w="1111"/>
        <w:gridCol w:w="1517"/>
        <w:gridCol w:w="1606"/>
      </w:tblGrid>
      <w:tr w14:paraId="40B0A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5" w:type="dxa"/>
            <w:tcBorders>
              <w:tl2br w:val="single" w:color="auto" w:sz="4" w:space="0"/>
            </w:tcBorders>
            <w:tcMar>
              <w:left w:w="28" w:type="dxa"/>
              <w:right w:w="28" w:type="dxa"/>
            </w:tcMar>
            <w:vAlign w:val="center"/>
          </w:tcPr>
          <w:p w14:paraId="220FBB80">
            <w:pPr>
              <w:pStyle w:val="53"/>
              <w:spacing w:beforeLines="0" w:afterLines="0" w:line="240" w:lineRule="auto"/>
              <w:jc w:val="right"/>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项目</w:t>
            </w:r>
          </w:p>
          <w:p w14:paraId="68EBD412">
            <w:pPr>
              <w:pStyle w:val="53"/>
              <w:spacing w:beforeLines="0" w:afterLines="0" w:line="240" w:lineRule="auto"/>
              <w:jc w:val="left"/>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分类</w:t>
            </w:r>
          </w:p>
        </w:tc>
        <w:tc>
          <w:tcPr>
            <w:tcW w:w="2466" w:type="dxa"/>
            <w:tcMar>
              <w:left w:w="28" w:type="dxa"/>
              <w:right w:w="28" w:type="dxa"/>
            </w:tcMar>
            <w:vAlign w:val="center"/>
          </w:tcPr>
          <w:p w14:paraId="41443F49">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污染物名称</w:t>
            </w:r>
          </w:p>
        </w:tc>
        <w:tc>
          <w:tcPr>
            <w:tcW w:w="1650" w:type="dxa"/>
            <w:tcMar>
              <w:left w:w="28" w:type="dxa"/>
              <w:right w:w="28" w:type="dxa"/>
            </w:tcMar>
            <w:vAlign w:val="center"/>
          </w:tcPr>
          <w:p w14:paraId="1C43B42A">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现有工程</w:t>
            </w:r>
          </w:p>
          <w:p w14:paraId="0B83B1E3">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排放量（固体废物产生量）</w:t>
            </w:r>
            <w:r>
              <w:rPr>
                <w:rFonts w:ascii="Times New Roman"/>
                <w:b/>
                <w:bCs/>
                <w:snapToGrid w:val="0"/>
                <w:color w:val="auto"/>
                <w:spacing w:val="-6"/>
                <w:kern w:val="21"/>
                <w:sz w:val="24"/>
                <w:szCs w:val="24"/>
                <w:highlight w:val="none"/>
              </w:rPr>
              <w:fldChar w:fldCharType="begin"/>
            </w:r>
            <w:r>
              <w:rPr>
                <w:rFonts w:ascii="Times New Roman"/>
                <w:b/>
                <w:bCs/>
                <w:snapToGrid w:val="0"/>
                <w:color w:val="auto"/>
                <w:spacing w:val="-6"/>
                <w:kern w:val="21"/>
                <w:sz w:val="24"/>
                <w:szCs w:val="24"/>
                <w:highlight w:val="none"/>
              </w:rPr>
              <w:instrText xml:space="preserve"> = 1 \* GB3 \* MERGEFORMAT </w:instrText>
            </w:r>
            <w:r>
              <w:rPr>
                <w:rFonts w:ascii="Times New Roman"/>
                <w:b/>
                <w:bCs/>
                <w:snapToGrid w:val="0"/>
                <w:color w:val="auto"/>
                <w:spacing w:val="-6"/>
                <w:kern w:val="21"/>
                <w:sz w:val="24"/>
                <w:szCs w:val="24"/>
                <w:highlight w:val="none"/>
              </w:rPr>
              <w:fldChar w:fldCharType="separate"/>
            </w:r>
            <w:r>
              <w:rPr>
                <w:rFonts w:ascii="Times New Roman"/>
                <w:b/>
                <w:bCs/>
                <w:color w:val="auto"/>
                <w:kern w:val="2"/>
                <w:sz w:val="24"/>
                <w:szCs w:val="24"/>
                <w:highlight w:val="none"/>
              </w:rPr>
              <w:t>①</w:t>
            </w:r>
            <w:r>
              <w:rPr>
                <w:rFonts w:ascii="Times New Roman"/>
                <w:b/>
                <w:bCs/>
                <w:snapToGrid w:val="0"/>
                <w:color w:val="auto"/>
                <w:spacing w:val="-6"/>
                <w:kern w:val="21"/>
                <w:sz w:val="24"/>
                <w:szCs w:val="24"/>
                <w:highlight w:val="none"/>
              </w:rPr>
              <w:fldChar w:fldCharType="end"/>
            </w:r>
          </w:p>
        </w:tc>
        <w:tc>
          <w:tcPr>
            <w:tcW w:w="1411" w:type="dxa"/>
            <w:tcMar>
              <w:left w:w="28" w:type="dxa"/>
              <w:right w:w="28" w:type="dxa"/>
            </w:tcMar>
            <w:vAlign w:val="center"/>
          </w:tcPr>
          <w:p w14:paraId="67829BA4">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现有工程</w:t>
            </w:r>
          </w:p>
          <w:p w14:paraId="0412E7F8">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许可排放量</w:t>
            </w:r>
            <w:r>
              <w:rPr>
                <w:rFonts w:ascii="Times New Roman"/>
                <w:b/>
                <w:bCs/>
                <w:snapToGrid w:val="0"/>
                <w:color w:val="auto"/>
                <w:spacing w:val="-6"/>
                <w:kern w:val="21"/>
                <w:sz w:val="24"/>
                <w:szCs w:val="24"/>
                <w:highlight w:val="none"/>
              </w:rPr>
              <w:fldChar w:fldCharType="begin"/>
            </w:r>
            <w:r>
              <w:rPr>
                <w:rFonts w:ascii="Times New Roman"/>
                <w:b/>
                <w:bCs/>
                <w:snapToGrid w:val="0"/>
                <w:color w:val="auto"/>
                <w:spacing w:val="-6"/>
                <w:kern w:val="21"/>
                <w:sz w:val="24"/>
                <w:szCs w:val="24"/>
                <w:highlight w:val="none"/>
              </w:rPr>
              <w:instrText xml:space="preserve"> = 2 \* GB3 \* MERGEFORMAT </w:instrText>
            </w:r>
            <w:r>
              <w:rPr>
                <w:rFonts w:ascii="Times New Roman"/>
                <w:b/>
                <w:bCs/>
                <w:snapToGrid w:val="0"/>
                <w:color w:val="auto"/>
                <w:spacing w:val="-6"/>
                <w:kern w:val="21"/>
                <w:sz w:val="24"/>
                <w:szCs w:val="24"/>
                <w:highlight w:val="none"/>
              </w:rPr>
              <w:fldChar w:fldCharType="separate"/>
            </w:r>
            <w:r>
              <w:rPr>
                <w:rFonts w:ascii="Times New Roman"/>
                <w:b/>
                <w:bCs/>
                <w:snapToGrid w:val="0"/>
                <w:color w:val="auto"/>
                <w:spacing w:val="-6"/>
                <w:kern w:val="21"/>
                <w:sz w:val="24"/>
                <w:szCs w:val="24"/>
                <w:highlight w:val="none"/>
              </w:rPr>
              <w:t>②</w:t>
            </w:r>
            <w:r>
              <w:rPr>
                <w:rFonts w:ascii="Times New Roman"/>
                <w:b/>
                <w:bCs/>
                <w:snapToGrid w:val="0"/>
                <w:color w:val="auto"/>
                <w:spacing w:val="-6"/>
                <w:kern w:val="21"/>
                <w:sz w:val="24"/>
                <w:szCs w:val="24"/>
                <w:highlight w:val="none"/>
              </w:rPr>
              <w:fldChar w:fldCharType="end"/>
            </w:r>
          </w:p>
        </w:tc>
        <w:tc>
          <w:tcPr>
            <w:tcW w:w="1316" w:type="dxa"/>
            <w:tcMar>
              <w:left w:w="28" w:type="dxa"/>
              <w:right w:w="28" w:type="dxa"/>
            </w:tcMar>
            <w:vAlign w:val="center"/>
          </w:tcPr>
          <w:p w14:paraId="5918B7DC">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在建工程</w:t>
            </w:r>
          </w:p>
          <w:p w14:paraId="73C4B322">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排放量（固体废物产生量）</w:t>
            </w:r>
            <w:r>
              <w:rPr>
                <w:rFonts w:ascii="Times New Roman"/>
                <w:b/>
                <w:bCs/>
                <w:snapToGrid w:val="0"/>
                <w:color w:val="auto"/>
                <w:spacing w:val="-6"/>
                <w:kern w:val="21"/>
                <w:sz w:val="24"/>
                <w:szCs w:val="24"/>
                <w:highlight w:val="none"/>
              </w:rPr>
              <w:fldChar w:fldCharType="begin"/>
            </w:r>
            <w:r>
              <w:rPr>
                <w:rFonts w:ascii="Times New Roman"/>
                <w:b/>
                <w:bCs/>
                <w:snapToGrid w:val="0"/>
                <w:color w:val="auto"/>
                <w:spacing w:val="-6"/>
                <w:kern w:val="21"/>
                <w:sz w:val="24"/>
                <w:szCs w:val="24"/>
                <w:highlight w:val="none"/>
              </w:rPr>
              <w:instrText xml:space="preserve"> = 3 \* GB3 \* MERGEFORMAT </w:instrText>
            </w:r>
            <w:r>
              <w:rPr>
                <w:rFonts w:ascii="Times New Roman"/>
                <w:b/>
                <w:bCs/>
                <w:snapToGrid w:val="0"/>
                <w:color w:val="auto"/>
                <w:spacing w:val="-6"/>
                <w:kern w:val="21"/>
                <w:sz w:val="24"/>
                <w:szCs w:val="24"/>
                <w:highlight w:val="none"/>
              </w:rPr>
              <w:fldChar w:fldCharType="separate"/>
            </w:r>
            <w:r>
              <w:rPr>
                <w:rFonts w:ascii="Times New Roman"/>
                <w:b/>
                <w:bCs/>
                <w:color w:val="auto"/>
                <w:kern w:val="2"/>
                <w:sz w:val="24"/>
                <w:szCs w:val="24"/>
                <w:highlight w:val="none"/>
              </w:rPr>
              <w:t>③</w:t>
            </w:r>
            <w:r>
              <w:rPr>
                <w:rFonts w:ascii="Times New Roman"/>
                <w:b/>
                <w:bCs/>
                <w:snapToGrid w:val="0"/>
                <w:color w:val="auto"/>
                <w:spacing w:val="-6"/>
                <w:kern w:val="21"/>
                <w:sz w:val="24"/>
                <w:szCs w:val="24"/>
                <w:highlight w:val="none"/>
              </w:rPr>
              <w:fldChar w:fldCharType="end"/>
            </w:r>
          </w:p>
        </w:tc>
        <w:tc>
          <w:tcPr>
            <w:tcW w:w="1506" w:type="dxa"/>
            <w:tcMar>
              <w:left w:w="28" w:type="dxa"/>
              <w:right w:w="28" w:type="dxa"/>
            </w:tcMar>
            <w:vAlign w:val="center"/>
          </w:tcPr>
          <w:p w14:paraId="0335795A">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本项目</w:t>
            </w:r>
          </w:p>
          <w:p w14:paraId="7E9E2A70">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排放量（固体废物产生量）</w:t>
            </w:r>
            <w:r>
              <w:rPr>
                <w:rFonts w:ascii="Times New Roman"/>
                <w:b/>
                <w:bCs/>
                <w:snapToGrid w:val="0"/>
                <w:color w:val="auto"/>
                <w:spacing w:val="-6"/>
                <w:kern w:val="21"/>
                <w:sz w:val="24"/>
                <w:szCs w:val="24"/>
                <w:highlight w:val="none"/>
              </w:rPr>
              <w:fldChar w:fldCharType="begin"/>
            </w:r>
            <w:r>
              <w:rPr>
                <w:rFonts w:ascii="Times New Roman"/>
                <w:b/>
                <w:bCs/>
                <w:snapToGrid w:val="0"/>
                <w:color w:val="auto"/>
                <w:spacing w:val="-6"/>
                <w:kern w:val="21"/>
                <w:sz w:val="24"/>
                <w:szCs w:val="24"/>
                <w:highlight w:val="none"/>
              </w:rPr>
              <w:instrText xml:space="preserve"> = 4 \* GB3 \* MERGEFORMAT </w:instrText>
            </w:r>
            <w:r>
              <w:rPr>
                <w:rFonts w:ascii="Times New Roman"/>
                <w:b/>
                <w:bCs/>
                <w:snapToGrid w:val="0"/>
                <w:color w:val="auto"/>
                <w:spacing w:val="-6"/>
                <w:kern w:val="21"/>
                <w:sz w:val="24"/>
                <w:szCs w:val="24"/>
                <w:highlight w:val="none"/>
              </w:rPr>
              <w:fldChar w:fldCharType="separate"/>
            </w:r>
            <w:r>
              <w:rPr>
                <w:rFonts w:ascii="Times New Roman"/>
                <w:b/>
                <w:bCs/>
                <w:color w:val="auto"/>
                <w:kern w:val="2"/>
                <w:sz w:val="24"/>
                <w:szCs w:val="24"/>
                <w:highlight w:val="none"/>
              </w:rPr>
              <w:t>④</w:t>
            </w:r>
            <w:r>
              <w:rPr>
                <w:rFonts w:ascii="Times New Roman"/>
                <w:b/>
                <w:bCs/>
                <w:snapToGrid w:val="0"/>
                <w:color w:val="auto"/>
                <w:spacing w:val="-6"/>
                <w:kern w:val="21"/>
                <w:sz w:val="24"/>
                <w:szCs w:val="24"/>
                <w:highlight w:val="none"/>
              </w:rPr>
              <w:fldChar w:fldCharType="end"/>
            </w:r>
          </w:p>
        </w:tc>
        <w:tc>
          <w:tcPr>
            <w:tcW w:w="1111" w:type="dxa"/>
            <w:tcMar>
              <w:left w:w="28" w:type="dxa"/>
              <w:right w:w="28" w:type="dxa"/>
            </w:tcMar>
            <w:vAlign w:val="center"/>
          </w:tcPr>
          <w:p w14:paraId="72E8F806">
            <w:pPr>
              <w:pStyle w:val="53"/>
              <w:spacing w:beforeLines="0" w:afterLines="0" w:line="240" w:lineRule="auto"/>
              <w:rPr>
                <w:rFonts w:ascii="Times New Roman"/>
                <w:b/>
                <w:bCs/>
                <w:snapToGrid w:val="0"/>
                <w:color w:val="auto"/>
                <w:spacing w:val="-16"/>
                <w:kern w:val="21"/>
                <w:sz w:val="24"/>
                <w:szCs w:val="24"/>
                <w:highlight w:val="none"/>
              </w:rPr>
            </w:pPr>
            <w:r>
              <w:rPr>
                <w:rFonts w:ascii="Times New Roman"/>
                <w:b/>
                <w:bCs/>
                <w:snapToGrid w:val="0"/>
                <w:color w:val="auto"/>
                <w:spacing w:val="-16"/>
                <w:kern w:val="21"/>
                <w:sz w:val="24"/>
                <w:szCs w:val="24"/>
                <w:highlight w:val="none"/>
              </w:rPr>
              <w:t>以新带老削减量（新建项目不填）</w:t>
            </w:r>
            <w:r>
              <w:rPr>
                <w:rFonts w:ascii="Times New Roman"/>
                <w:b/>
                <w:bCs/>
                <w:snapToGrid w:val="0"/>
                <w:color w:val="auto"/>
                <w:spacing w:val="-16"/>
                <w:kern w:val="21"/>
                <w:sz w:val="24"/>
                <w:szCs w:val="24"/>
                <w:highlight w:val="none"/>
              </w:rPr>
              <w:fldChar w:fldCharType="begin"/>
            </w:r>
            <w:r>
              <w:rPr>
                <w:rFonts w:ascii="Times New Roman"/>
                <w:b/>
                <w:bCs/>
                <w:snapToGrid w:val="0"/>
                <w:color w:val="auto"/>
                <w:spacing w:val="-16"/>
                <w:kern w:val="21"/>
                <w:sz w:val="24"/>
                <w:szCs w:val="24"/>
                <w:highlight w:val="none"/>
              </w:rPr>
              <w:instrText xml:space="preserve"> = 5 \* GB3 \* MERGEFORMAT </w:instrText>
            </w:r>
            <w:r>
              <w:rPr>
                <w:rFonts w:ascii="Times New Roman"/>
                <w:b/>
                <w:bCs/>
                <w:snapToGrid w:val="0"/>
                <w:color w:val="auto"/>
                <w:spacing w:val="-16"/>
                <w:kern w:val="21"/>
                <w:sz w:val="24"/>
                <w:szCs w:val="24"/>
                <w:highlight w:val="none"/>
              </w:rPr>
              <w:fldChar w:fldCharType="separate"/>
            </w:r>
            <w:r>
              <w:rPr>
                <w:rFonts w:ascii="Times New Roman"/>
                <w:b/>
                <w:bCs/>
                <w:color w:val="auto"/>
                <w:kern w:val="2"/>
                <w:sz w:val="24"/>
                <w:szCs w:val="24"/>
                <w:highlight w:val="none"/>
              </w:rPr>
              <w:t>⑤</w:t>
            </w:r>
            <w:r>
              <w:rPr>
                <w:rFonts w:ascii="Times New Roman"/>
                <w:b/>
                <w:bCs/>
                <w:snapToGrid w:val="0"/>
                <w:color w:val="auto"/>
                <w:spacing w:val="-16"/>
                <w:kern w:val="21"/>
                <w:sz w:val="24"/>
                <w:szCs w:val="24"/>
                <w:highlight w:val="none"/>
              </w:rPr>
              <w:fldChar w:fldCharType="end"/>
            </w:r>
          </w:p>
        </w:tc>
        <w:tc>
          <w:tcPr>
            <w:tcW w:w="1517" w:type="dxa"/>
            <w:tcMar>
              <w:left w:w="28" w:type="dxa"/>
              <w:right w:w="28" w:type="dxa"/>
            </w:tcMar>
            <w:vAlign w:val="center"/>
          </w:tcPr>
          <w:p w14:paraId="0F80CF39">
            <w:pPr>
              <w:pStyle w:val="53"/>
              <w:spacing w:beforeLines="0" w:afterLines="0" w:line="240" w:lineRule="auto"/>
              <w:rPr>
                <w:rFonts w:ascii="Times New Roman"/>
                <w:b/>
                <w:bCs/>
                <w:snapToGrid w:val="0"/>
                <w:color w:val="auto"/>
                <w:spacing w:val="-16"/>
                <w:kern w:val="21"/>
                <w:sz w:val="24"/>
                <w:szCs w:val="24"/>
                <w:highlight w:val="none"/>
              </w:rPr>
            </w:pPr>
            <w:r>
              <w:rPr>
                <w:rFonts w:ascii="Times New Roman"/>
                <w:b/>
                <w:bCs/>
                <w:snapToGrid w:val="0"/>
                <w:color w:val="auto"/>
                <w:spacing w:val="-16"/>
                <w:kern w:val="21"/>
                <w:sz w:val="24"/>
                <w:szCs w:val="24"/>
                <w:highlight w:val="none"/>
              </w:rPr>
              <w:t>本项目建成后</w:t>
            </w:r>
          </w:p>
          <w:p w14:paraId="0E96257E">
            <w:pPr>
              <w:pStyle w:val="53"/>
              <w:spacing w:beforeLines="0" w:afterLines="0" w:line="240" w:lineRule="auto"/>
              <w:rPr>
                <w:rFonts w:ascii="Times New Roman"/>
                <w:b/>
                <w:bCs/>
                <w:snapToGrid w:val="0"/>
                <w:color w:val="auto"/>
                <w:spacing w:val="-16"/>
                <w:kern w:val="21"/>
                <w:sz w:val="24"/>
                <w:szCs w:val="24"/>
                <w:highlight w:val="none"/>
              </w:rPr>
            </w:pPr>
            <w:r>
              <w:rPr>
                <w:rFonts w:ascii="Times New Roman"/>
                <w:b/>
                <w:bCs/>
                <w:snapToGrid w:val="0"/>
                <w:color w:val="auto"/>
                <w:spacing w:val="-16"/>
                <w:kern w:val="21"/>
                <w:sz w:val="24"/>
                <w:szCs w:val="24"/>
                <w:highlight w:val="none"/>
              </w:rPr>
              <w:t>全厂排放量（固体废物产生量）</w:t>
            </w:r>
            <w:r>
              <w:rPr>
                <w:rFonts w:ascii="Times New Roman"/>
                <w:b/>
                <w:bCs/>
                <w:snapToGrid w:val="0"/>
                <w:color w:val="auto"/>
                <w:spacing w:val="-16"/>
                <w:kern w:val="21"/>
                <w:sz w:val="24"/>
                <w:szCs w:val="24"/>
                <w:highlight w:val="none"/>
              </w:rPr>
              <w:fldChar w:fldCharType="begin"/>
            </w:r>
            <w:r>
              <w:rPr>
                <w:rFonts w:ascii="Times New Roman"/>
                <w:b/>
                <w:bCs/>
                <w:snapToGrid w:val="0"/>
                <w:color w:val="auto"/>
                <w:spacing w:val="-16"/>
                <w:kern w:val="21"/>
                <w:sz w:val="24"/>
                <w:szCs w:val="24"/>
                <w:highlight w:val="none"/>
              </w:rPr>
              <w:instrText xml:space="preserve"> = 6 \* GB3 \* MERGEFORMAT </w:instrText>
            </w:r>
            <w:r>
              <w:rPr>
                <w:rFonts w:ascii="Times New Roman"/>
                <w:b/>
                <w:bCs/>
                <w:snapToGrid w:val="0"/>
                <w:color w:val="auto"/>
                <w:spacing w:val="-16"/>
                <w:kern w:val="21"/>
                <w:sz w:val="24"/>
                <w:szCs w:val="24"/>
                <w:highlight w:val="none"/>
              </w:rPr>
              <w:fldChar w:fldCharType="separate"/>
            </w:r>
            <w:r>
              <w:rPr>
                <w:rFonts w:ascii="Times New Roman"/>
                <w:b/>
                <w:bCs/>
                <w:color w:val="auto"/>
                <w:kern w:val="2"/>
                <w:sz w:val="24"/>
                <w:szCs w:val="24"/>
                <w:highlight w:val="none"/>
              </w:rPr>
              <w:t>⑥</w:t>
            </w:r>
            <w:r>
              <w:rPr>
                <w:rFonts w:ascii="Times New Roman"/>
                <w:b/>
                <w:bCs/>
                <w:snapToGrid w:val="0"/>
                <w:color w:val="auto"/>
                <w:spacing w:val="-16"/>
                <w:kern w:val="21"/>
                <w:sz w:val="24"/>
                <w:szCs w:val="24"/>
                <w:highlight w:val="none"/>
              </w:rPr>
              <w:fldChar w:fldCharType="end"/>
            </w:r>
          </w:p>
        </w:tc>
        <w:tc>
          <w:tcPr>
            <w:tcW w:w="1606" w:type="dxa"/>
            <w:tcMar>
              <w:left w:w="28" w:type="dxa"/>
              <w:right w:w="28" w:type="dxa"/>
            </w:tcMar>
            <w:vAlign w:val="center"/>
          </w:tcPr>
          <w:p w14:paraId="5E3B9121">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t>变化量</w:t>
            </w:r>
          </w:p>
          <w:p w14:paraId="6F1BDBBA">
            <w:pPr>
              <w:pStyle w:val="53"/>
              <w:spacing w:beforeLines="0" w:afterLines="0" w:line="240" w:lineRule="auto"/>
              <w:rPr>
                <w:rFonts w:ascii="Times New Roman"/>
                <w:b/>
                <w:bCs/>
                <w:snapToGrid w:val="0"/>
                <w:color w:val="auto"/>
                <w:spacing w:val="-6"/>
                <w:kern w:val="21"/>
                <w:sz w:val="24"/>
                <w:szCs w:val="24"/>
                <w:highlight w:val="none"/>
              </w:rPr>
            </w:pPr>
            <w:r>
              <w:rPr>
                <w:rFonts w:ascii="Times New Roman"/>
                <w:b/>
                <w:bCs/>
                <w:snapToGrid w:val="0"/>
                <w:color w:val="auto"/>
                <w:spacing w:val="-6"/>
                <w:kern w:val="21"/>
                <w:sz w:val="24"/>
                <w:szCs w:val="24"/>
                <w:highlight w:val="none"/>
              </w:rPr>
              <w:fldChar w:fldCharType="begin"/>
            </w:r>
            <w:r>
              <w:rPr>
                <w:rFonts w:ascii="Times New Roman"/>
                <w:b/>
                <w:bCs/>
                <w:snapToGrid w:val="0"/>
                <w:color w:val="auto"/>
                <w:spacing w:val="-6"/>
                <w:kern w:val="21"/>
                <w:sz w:val="24"/>
                <w:szCs w:val="24"/>
                <w:highlight w:val="none"/>
              </w:rPr>
              <w:instrText xml:space="preserve"> = 7 \* GB3 \* MERGEFORMAT </w:instrText>
            </w:r>
            <w:r>
              <w:rPr>
                <w:rFonts w:ascii="Times New Roman"/>
                <w:b/>
                <w:bCs/>
                <w:snapToGrid w:val="0"/>
                <w:color w:val="auto"/>
                <w:spacing w:val="-6"/>
                <w:kern w:val="21"/>
                <w:sz w:val="24"/>
                <w:szCs w:val="24"/>
                <w:highlight w:val="none"/>
              </w:rPr>
              <w:fldChar w:fldCharType="separate"/>
            </w:r>
            <w:r>
              <w:rPr>
                <w:rFonts w:ascii="Times New Roman"/>
                <w:b/>
                <w:bCs/>
                <w:color w:val="auto"/>
                <w:kern w:val="2"/>
                <w:sz w:val="24"/>
                <w:szCs w:val="24"/>
                <w:highlight w:val="none"/>
              </w:rPr>
              <w:t>⑦</w:t>
            </w:r>
            <w:r>
              <w:rPr>
                <w:rFonts w:ascii="Times New Roman"/>
                <w:b/>
                <w:bCs/>
                <w:snapToGrid w:val="0"/>
                <w:color w:val="auto"/>
                <w:spacing w:val="-6"/>
                <w:kern w:val="21"/>
                <w:sz w:val="24"/>
                <w:szCs w:val="24"/>
                <w:highlight w:val="none"/>
              </w:rPr>
              <w:fldChar w:fldCharType="end"/>
            </w:r>
          </w:p>
        </w:tc>
      </w:tr>
      <w:tr w14:paraId="43B06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Align w:val="center"/>
          </w:tcPr>
          <w:p w14:paraId="6680FF45">
            <w:pPr>
              <w:pStyle w:val="53"/>
              <w:spacing w:beforeLines="0" w:afterLines="0" w:line="240" w:lineRule="auto"/>
              <w:rPr>
                <w:rFonts w:ascii="Times New Roman"/>
                <w:snapToGrid w:val="0"/>
                <w:color w:val="auto"/>
                <w:kern w:val="21"/>
                <w:sz w:val="24"/>
                <w:szCs w:val="24"/>
                <w:highlight w:val="none"/>
              </w:rPr>
            </w:pPr>
            <w:r>
              <w:rPr>
                <w:rFonts w:ascii="Times New Roman"/>
                <w:snapToGrid w:val="0"/>
                <w:color w:val="auto"/>
                <w:kern w:val="21"/>
                <w:sz w:val="24"/>
                <w:szCs w:val="24"/>
                <w:highlight w:val="none"/>
              </w:rPr>
              <w:t>废气</w:t>
            </w:r>
          </w:p>
        </w:tc>
        <w:tc>
          <w:tcPr>
            <w:tcW w:w="2466" w:type="dxa"/>
            <w:vAlign w:val="center"/>
          </w:tcPr>
          <w:p w14:paraId="317670AE">
            <w:pPr>
              <w:jc w:val="center"/>
              <w:rPr>
                <w:rFonts w:hint="eastAsia" w:eastAsiaTheme="minorEastAsia"/>
                <w:snapToGrid w:val="0"/>
                <w:color w:val="auto"/>
                <w:kern w:val="21"/>
                <w:sz w:val="24"/>
                <w:szCs w:val="24"/>
                <w:highlight w:val="none"/>
                <w:lang w:val="en-US" w:eastAsia="zh-CN"/>
              </w:rPr>
            </w:pPr>
            <w:r>
              <w:rPr>
                <w:rFonts w:hint="eastAsia"/>
                <w:snapToGrid w:val="0"/>
                <w:color w:val="auto"/>
                <w:kern w:val="21"/>
                <w:sz w:val="24"/>
                <w:szCs w:val="24"/>
                <w:highlight w:val="none"/>
                <w:lang w:val="en-US" w:eastAsia="zh-CN"/>
              </w:rPr>
              <w:t>颗粒物</w:t>
            </w:r>
          </w:p>
        </w:tc>
        <w:tc>
          <w:tcPr>
            <w:tcW w:w="1650" w:type="dxa"/>
            <w:vAlign w:val="center"/>
          </w:tcPr>
          <w:p w14:paraId="67C88540">
            <w:pPr>
              <w:pStyle w:val="53"/>
              <w:spacing w:beforeLines="0" w:afterLines="0" w:line="240" w:lineRule="auto"/>
              <w:rPr>
                <w:rFonts w:hint="eastAsia" w:ascii="Times New Roman" w:eastAsia="宋体"/>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w:t>
            </w:r>
          </w:p>
        </w:tc>
        <w:tc>
          <w:tcPr>
            <w:tcW w:w="1411" w:type="dxa"/>
            <w:vAlign w:val="center"/>
          </w:tcPr>
          <w:p w14:paraId="6654B715">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68FFF8D0">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0E430775">
            <w:pPr>
              <w:widowControl/>
              <w:jc w:val="center"/>
              <w:textAlignment w:val="bottom"/>
              <w:rPr>
                <w:snapToGrid w:val="0"/>
                <w:color w:val="auto"/>
                <w:kern w:val="21"/>
                <w:sz w:val="24"/>
                <w:szCs w:val="24"/>
                <w:highlight w:val="none"/>
              </w:rPr>
            </w:pPr>
            <w:r>
              <w:rPr>
                <w:rFonts w:hint="eastAsia"/>
                <w:snapToGrid w:val="0"/>
                <w:color w:val="auto"/>
                <w:kern w:val="21"/>
                <w:sz w:val="24"/>
                <w:szCs w:val="24"/>
                <w:highlight w:val="none"/>
                <w:lang w:val="en-US" w:eastAsia="zh-CN"/>
              </w:rPr>
              <w:t>18.512t</w:t>
            </w:r>
            <w:r>
              <w:rPr>
                <w:snapToGrid w:val="0"/>
                <w:color w:val="auto"/>
                <w:kern w:val="21"/>
                <w:sz w:val="24"/>
                <w:szCs w:val="24"/>
                <w:highlight w:val="none"/>
              </w:rPr>
              <w:t>/a</w:t>
            </w:r>
          </w:p>
        </w:tc>
        <w:tc>
          <w:tcPr>
            <w:tcW w:w="1111" w:type="dxa"/>
            <w:vAlign w:val="center"/>
          </w:tcPr>
          <w:p w14:paraId="47F0CA19">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549D2706">
            <w:pPr>
              <w:widowControl/>
              <w:jc w:val="center"/>
              <w:textAlignment w:val="bottom"/>
              <w:rPr>
                <w:snapToGrid w:val="0"/>
                <w:color w:val="auto"/>
                <w:kern w:val="21"/>
                <w:sz w:val="24"/>
                <w:szCs w:val="24"/>
                <w:highlight w:val="none"/>
              </w:rPr>
            </w:pPr>
            <w:r>
              <w:rPr>
                <w:rFonts w:hint="eastAsia"/>
                <w:snapToGrid w:val="0"/>
                <w:color w:val="auto"/>
                <w:kern w:val="21"/>
                <w:sz w:val="24"/>
                <w:szCs w:val="24"/>
                <w:highlight w:val="none"/>
                <w:lang w:val="en-US" w:eastAsia="zh-CN"/>
              </w:rPr>
              <w:t>18.512t</w:t>
            </w:r>
            <w:r>
              <w:rPr>
                <w:snapToGrid w:val="0"/>
                <w:color w:val="auto"/>
                <w:kern w:val="21"/>
                <w:sz w:val="24"/>
                <w:szCs w:val="24"/>
                <w:highlight w:val="none"/>
              </w:rPr>
              <w:t>/a</w:t>
            </w:r>
          </w:p>
        </w:tc>
        <w:tc>
          <w:tcPr>
            <w:tcW w:w="1606" w:type="dxa"/>
            <w:vAlign w:val="center"/>
          </w:tcPr>
          <w:p w14:paraId="637478E3">
            <w:pPr>
              <w:spacing w:beforeLines="0" w:afterLines="0" w:line="240" w:lineRule="auto"/>
              <w:jc w:val="center"/>
              <w:rPr>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r>
      <w:tr w14:paraId="3D43A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restart"/>
            <w:vAlign w:val="center"/>
          </w:tcPr>
          <w:p w14:paraId="1A2E566C">
            <w:pPr>
              <w:pStyle w:val="53"/>
              <w:spacing w:beforeLines="0" w:afterLines="0" w:line="240" w:lineRule="auto"/>
              <w:rPr>
                <w:rFonts w:ascii="Times New Roman"/>
                <w:snapToGrid w:val="0"/>
                <w:color w:val="auto"/>
                <w:kern w:val="21"/>
                <w:sz w:val="24"/>
                <w:szCs w:val="24"/>
                <w:highlight w:val="none"/>
              </w:rPr>
            </w:pPr>
            <w:r>
              <w:rPr>
                <w:rFonts w:ascii="Times New Roman"/>
                <w:snapToGrid w:val="0"/>
                <w:color w:val="auto"/>
                <w:kern w:val="21"/>
                <w:sz w:val="24"/>
                <w:szCs w:val="24"/>
                <w:highlight w:val="none"/>
              </w:rPr>
              <w:t>废水</w:t>
            </w:r>
          </w:p>
        </w:tc>
        <w:tc>
          <w:tcPr>
            <w:tcW w:w="2466" w:type="dxa"/>
            <w:vAlign w:val="center"/>
          </w:tcPr>
          <w:p w14:paraId="69BCA08F">
            <w:pPr>
              <w:jc w:val="center"/>
              <w:rPr>
                <w:rFonts w:hint="eastAsia" w:eastAsiaTheme="minorEastAsia"/>
                <w:snapToGrid w:val="0"/>
                <w:color w:val="auto"/>
                <w:kern w:val="21"/>
                <w:sz w:val="24"/>
                <w:szCs w:val="24"/>
                <w:highlight w:val="none"/>
                <w:lang w:val="en-US" w:eastAsia="zh-CN"/>
              </w:rPr>
            </w:pPr>
            <w:r>
              <w:rPr>
                <w:rFonts w:hint="eastAsia"/>
                <w:snapToGrid w:val="0"/>
                <w:color w:val="auto"/>
                <w:kern w:val="21"/>
                <w:sz w:val="24"/>
                <w:szCs w:val="24"/>
                <w:highlight w:val="none"/>
                <w:lang w:val="en-US" w:eastAsia="zh-CN"/>
              </w:rPr>
              <w:t>生活污水</w:t>
            </w:r>
          </w:p>
        </w:tc>
        <w:tc>
          <w:tcPr>
            <w:tcW w:w="1650" w:type="dxa"/>
            <w:vAlign w:val="center"/>
          </w:tcPr>
          <w:p w14:paraId="7A74E4FD">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3C6D0A5C">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4952935A">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7C2AA252">
            <w:pPr>
              <w:pStyle w:val="53"/>
              <w:spacing w:beforeLines="0" w:afterLines="0" w:line="240" w:lineRule="auto"/>
              <w:rPr>
                <w:rFonts w:hint="eastAsia"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0</w:t>
            </w:r>
          </w:p>
        </w:tc>
        <w:tc>
          <w:tcPr>
            <w:tcW w:w="1111" w:type="dxa"/>
            <w:vAlign w:val="center"/>
          </w:tcPr>
          <w:p w14:paraId="2550F796">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090569EB">
            <w:pPr>
              <w:pStyle w:val="53"/>
              <w:spacing w:beforeLines="0" w:afterLines="0" w:line="240" w:lineRule="auto"/>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0</w:t>
            </w:r>
          </w:p>
        </w:tc>
        <w:tc>
          <w:tcPr>
            <w:tcW w:w="1606" w:type="dxa"/>
            <w:vAlign w:val="center"/>
          </w:tcPr>
          <w:p w14:paraId="2232F778">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r>
      <w:tr w14:paraId="08100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5054C123">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600182F0">
            <w:pPr>
              <w:jc w:val="center"/>
              <w:rPr>
                <w:rFonts w:hint="default" w:eastAsiaTheme="minorEastAsia"/>
                <w:snapToGrid w:val="0"/>
                <w:color w:val="auto"/>
                <w:kern w:val="21"/>
                <w:sz w:val="24"/>
                <w:szCs w:val="24"/>
                <w:highlight w:val="none"/>
                <w:lang w:val="en-US" w:eastAsia="zh-CN"/>
              </w:rPr>
            </w:pPr>
            <w:r>
              <w:rPr>
                <w:rFonts w:hint="eastAsia"/>
                <w:snapToGrid w:val="0"/>
                <w:color w:val="auto"/>
                <w:kern w:val="21"/>
                <w:sz w:val="24"/>
                <w:szCs w:val="24"/>
                <w:highlight w:val="none"/>
                <w:lang w:val="en-US" w:eastAsia="zh-CN"/>
              </w:rPr>
              <w:t>车辆冲洗废水</w:t>
            </w:r>
          </w:p>
        </w:tc>
        <w:tc>
          <w:tcPr>
            <w:tcW w:w="1650" w:type="dxa"/>
            <w:vAlign w:val="center"/>
          </w:tcPr>
          <w:p w14:paraId="678D8977">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785C8404">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0BF81190">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06F1EA88">
            <w:pPr>
              <w:pStyle w:val="53"/>
              <w:spacing w:beforeLines="0" w:afterLines="0" w:line="240" w:lineRule="auto"/>
              <w:rPr>
                <w:rFonts w:hint="eastAsia"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0</w:t>
            </w:r>
          </w:p>
        </w:tc>
        <w:tc>
          <w:tcPr>
            <w:tcW w:w="1111" w:type="dxa"/>
            <w:vAlign w:val="center"/>
          </w:tcPr>
          <w:p w14:paraId="49A5181A">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1E76E0D0">
            <w:pPr>
              <w:pStyle w:val="53"/>
              <w:spacing w:beforeLines="0" w:afterLines="0" w:line="240" w:lineRule="auto"/>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0</w:t>
            </w:r>
          </w:p>
        </w:tc>
        <w:tc>
          <w:tcPr>
            <w:tcW w:w="1606" w:type="dxa"/>
            <w:vAlign w:val="center"/>
          </w:tcPr>
          <w:p w14:paraId="000FD3DD">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r>
      <w:tr w14:paraId="4FAEF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Align w:val="center"/>
          </w:tcPr>
          <w:p w14:paraId="5344829C">
            <w:pPr>
              <w:pStyle w:val="53"/>
              <w:spacing w:beforeLines="0" w:afterLines="0" w:line="240" w:lineRule="auto"/>
              <w:rPr>
                <w:rFonts w:hint="eastAsia" w:ascii="Times New Roman" w:eastAsiaTheme="minorEastAsia"/>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生活垃圾</w:t>
            </w:r>
          </w:p>
        </w:tc>
        <w:tc>
          <w:tcPr>
            <w:tcW w:w="2466" w:type="dxa"/>
            <w:vAlign w:val="center"/>
          </w:tcPr>
          <w:p w14:paraId="0054B266">
            <w:pPr>
              <w:adjustRightInd w:val="0"/>
              <w:snapToGrid w:val="0"/>
              <w:spacing w:line="240" w:lineRule="auto"/>
              <w:jc w:val="center"/>
              <w:rPr>
                <w:rFonts w:hint="eastAsia" w:eastAsia="宋体" w:cs="Times New Roman"/>
                <w:color w:val="auto"/>
                <w:spacing w:val="-1"/>
                <w:szCs w:val="24"/>
                <w:highlight w:val="none"/>
              </w:rPr>
            </w:pPr>
            <w:r>
              <w:rPr>
                <w:rFonts w:hint="eastAsia" w:ascii="Times New Roman"/>
                <w:snapToGrid w:val="0"/>
                <w:color w:val="auto"/>
                <w:kern w:val="21"/>
                <w:sz w:val="24"/>
                <w:szCs w:val="24"/>
                <w:highlight w:val="none"/>
                <w:lang w:val="en-US" w:eastAsia="zh-CN"/>
              </w:rPr>
              <w:t>生活垃圾</w:t>
            </w:r>
          </w:p>
        </w:tc>
        <w:tc>
          <w:tcPr>
            <w:tcW w:w="1650" w:type="dxa"/>
            <w:vAlign w:val="center"/>
          </w:tcPr>
          <w:p w14:paraId="1BD22C30">
            <w:pPr>
              <w:spacing w:beforeLines="0" w:afterLines="0" w:line="240" w:lineRule="auto"/>
              <w:jc w:val="center"/>
              <w:rPr>
                <w:rFonts w:hint="eastAsia" w:ascii="Times New Roman"/>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w:t>
            </w:r>
          </w:p>
        </w:tc>
        <w:tc>
          <w:tcPr>
            <w:tcW w:w="1411" w:type="dxa"/>
            <w:vAlign w:val="center"/>
          </w:tcPr>
          <w:p w14:paraId="06CF1B8F">
            <w:pPr>
              <w:spacing w:beforeLines="0" w:afterLines="0" w:line="240" w:lineRule="auto"/>
              <w:jc w:val="center"/>
              <w:rPr>
                <w:rFonts w:hint="eastAsia" w:ascii="Times New Roman"/>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w:t>
            </w:r>
          </w:p>
        </w:tc>
        <w:tc>
          <w:tcPr>
            <w:tcW w:w="1316" w:type="dxa"/>
            <w:vAlign w:val="center"/>
          </w:tcPr>
          <w:p w14:paraId="4E98F33F">
            <w:pPr>
              <w:spacing w:beforeLines="0" w:afterLines="0" w:line="240" w:lineRule="auto"/>
              <w:jc w:val="center"/>
              <w:rPr>
                <w:rFonts w:hint="eastAsia" w:ascii="Times New Roman"/>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w:t>
            </w:r>
          </w:p>
        </w:tc>
        <w:tc>
          <w:tcPr>
            <w:tcW w:w="1506" w:type="dxa"/>
            <w:vAlign w:val="center"/>
          </w:tcPr>
          <w:p w14:paraId="1741DBF3">
            <w:pPr>
              <w:pStyle w:val="44"/>
              <w:kinsoku w:val="0"/>
              <w:overflowPunct w:val="0"/>
              <w:adjustRightInd w:val="0"/>
              <w:snapToGrid w:val="0"/>
              <w:spacing w:before="0" w:line="240" w:lineRule="auto"/>
              <w:contextualSpacing/>
              <w:rPr>
                <w:rFonts w:hint="default" w:ascii="Times New Roman" w:hAnsi="Times New Roman" w:eastAsia="宋体" w:cs="Times New Roman"/>
                <w:color w:val="auto"/>
                <w:spacing w:val="-1"/>
                <w:sz w:val="24"/>
                <w:szCs w:val="24"/>
                <w:highlight w:val="none"/>
                <w:lang w:val="en-US" w:eastAsia="zh-CN"/>
              </w:rPr>
            </w:pPr>
            <w:r>
              <w:rPr>
                <w:rFonts w:hint="eastAsia" w:ascii="Times New Roman" w:hAnsi="Times New Roman" w:eastAsia="宋体" w:cs="Times New Roman"/>
                <w:color w:val="auto"/>
                <w:spacing w:val="-1"/>
                <w:sz w:val="24"/>
                <w:szCs w:val="24"/>
                <w:highlight w:val="none"/>
                <w:lang w:val="en-US" w:eastAsia="zh-CN"/>
              </w:rPr>
              <w:t>7.5</w:t>
            </w:r>
            <w:r>
              <w:rPr>
                <w:rFonts w:hint="default" w:ascii="Times New Roman" w:hAnsi="Times New Roman" w:cs="Times New Roman"/>
                <w:snapToGrid w:val="0"/>
                <w:color w:val="auto"/>
                <w:kern w:val="21"/>
                <w:sz w:val="24"/>
                <w:szCs w:val="24"/>
                <w:highlight w:val="none"/>
              </w:rPr>
              <w:t>/a</w:t>
            </w:r>
          </w:p>
        </w:tc>
        <w:tc>
          <w:tcPr>
            <w:tcW w:w="1111" w:type="dxa"/>
            <w:vAlign w:val="center"/>
          </w:tcPr>
          <w:p w14:paraId="2D4DBAF0">
            <w:pPr>
              <w:spacing w:beforeLines="0" w:afterLines="0" w:line="240" w:lineRule="auto"/>
              <w:jc w:val="center"/>
              <w:rPr>
                <w:rFonts w:hint="eastAsia" w:ascii="Times New Roman"/>
                <w:snapToGrid w:val="0"/>
                <w:color w:val="auto"/>
                <w:kern w:val="21"/>
                <w:sz w:val="24"/>
                <w:szCs w:val="24"/>
                <w:highlight w:val="none"/>
                <w:lang w:val="en-US" w:eastAsia="zh-CN"/>
              </w:rPr>
            </w:pPr>
            <w:r>
              <w:rPr>
                <w:rFonts w:hint="eastAsia" w:ascii="Times New Roman"/>
                <w:snapToGrid w:val="0"/>
                <w:color w:val="auto"/>
                <w:kern w:val="21"/>
                <w:sz w:val="24"/>
                <w:szCs w:val="24"/>
                <w:highlight w:val="none"/>
                <w:lang w:val="en-US" w:eastAsia="zh-CN"/>
              </w:rPr>
              <w:t>/</w:t>
            </w:r>
          </w:p>
        </w:tc>
        <w:tc>
          <w:tcPr>
            <w:tcW w:w="1517" w:type="dxa"/>
            <w:vAlign w:val="center"/>
          </w:tcPr>
          <w:p w14:paraId="761F12E9">
            <w:pPr>
              <w:pStyle w:val="44"/>
              <w:kinsoku w:val="0"/>
              <w:overflowPunct w:val="0"/>
              <w:adjustRightInd w:val="0"/>
              <w:snapToGrid w:val="0"/>
              <w:spacing w:before="0" w:line="240" w:lineRule="auto"/>
              <w:contextualSpacing/>
              <w:rPr>
                <w:rFonts w:hint="default" w:ascii="Times New Roman" w:hAnsi="Times New Roman" w:eastAsia="宋体" w:cs="Times New Roman"/>
                <w:color w:val="auto"/>
                <w:spacing w:val="-1"/>
                <w:kern w:val="2"/>
                <w:sz w:val="24"/>
                <w:szCs w:val="24"/>
                <w:highlight w:val="none"/>
                <w:lang w:val="en-US" w:eastAsia="zh-CN" w:bidi="zh-CN"/>
              </w:rPr>
            </w:pPr>
            <w:r>
              <w:rPr>
                <w:rFonts w:hint="eastAsia" w:ascii="Times New Roman" w:hAnsi="Times New Roman" w:cs="Times New Roman"/>
                <w:snapToGrid w:val="0"/>
                <w:color w:val="auto"/>
                <w:kern w:val="21"/>
                <w:sz w:val="24"/>
                <w:szCs w:val="24"/>
                <w:highlight w:val="none"/>
                <w:lang w:val="en-US" w:eastAsia="zh-CN"/>
              </w:rPr>
              <w:t>7.5</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5F629E5F">
            <w:pPr>
              <w:spacing w:beforeLines="0" w:afterLines="0" w:line="240" w:lineRule="auto"/>
              <w:jc w:val="center"/>
              <w:rPr>
                <w:rFonts w:hint="eastAsia" w:ascii="Times New Roman" w:hAnsi="Times New Roman" w:eastAsia="宋体" w:cs="Times New Roman"/>
                <w:color w:val="auto"/>
                <w:spacing w:val="-1"/>
                <w:sz w:val="24"/>
                <w:szCs w:val="24"/>
                <w:highlight w:val="none"/>
                <w:lang w:val="en-US" w:eastAsia="zh-CN"/>
              </w:rPr>
            </w:pPr>
            <w:r>
              <w:rPr>
                <w:rFonts w:hint="eastAsia" w:ascii="Times New Roman"/>
                <w:snapToGrid w:val="0"/>
                <w:color w:val="auto"/>
                <w:kern w:val="21"/>
                <w:sz w:val="24"/>
                <w:szCs w:val="24"/>
                <w:highlight w:val="none"/>
                <w:lang w:val="en-US" w:eastAsia="zh-CN"/>
              </w:rPr>
              <w:t>/</w:t>
            </w:r>
          </w:p>
        </w:tc>
      </w:tr>
      <w:tr w14:paraId="24719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restart"/>
            <w:vAlign w:val="center"/>
          </w:tcPr>
          <w:p w14:paraId="348BF968">
            <w:pPr>
              <w:pStyle w:val="53"/>
              <w:spacing w:beforeLines="0" w:afterLines="0" w:line="240" w:lineRule="auto"/>
              <w:rPr>
                <w:rFonts w:ascii="Times New Roman"/>
                <w:snapToGrid w:val="0"/>
                <w:color w:val="auto"/>
                <w:kern w:val="21"/>
                <w:sz w:val="24"/>
                <w:szCs w:val="24"/>
                <w:highlight w:val="none"/>
              </w:rPr>
            </w:pPr>
            <w:r>
              <w:rPr>
                <w:rFonts w:ascii="Times New Roman"/>
                <w:snapToGrid w:val="0"/>
                <w:color w:val="auto"/>
                <w:kern w:val="21"/>
                <w:sz w:val="24"/>
                <w:szCs w:val="24"/>
                <w:highlight w:val="none"/>
              </w:rPr>
              <w:t>一般工业固体废物</w:t>
            </w:r>
          </w:p>
        </w:tc>
        <w:tc>
          <w:tcPr>
            <w:tcW w:w="2466" w:type="dxa"/>
            <w:shd w:val="clear" w:color="auto" w:fill="auto"/>
            <w:vAlign w:val="center"/>
          </w:tcPr>
          <w:p w14:paraId="2BFA34EA">
            <w:pPr>
              <w:adjustRightInd w:val="0"/>
              <w:snapToGrid w:val="0"/>
              <w:spacing w:line="240" w:lineRule="auto"/>
              <w:jc w:val="center"/>
              <w:rPr>
                <w:rFonts w:hint="default" w:ascii="Times New Roman" w:hAnsi="Times New Roman" w:eastAsiaTheme="minorEastAsia" w:cstheme="minorBidi"/>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除尘装置收集的粉尘</w:t>
            </w:r>
          </w:p>
        </w:tc>
        <w:tc>
          <w:tcPr>
            <w:tcW w:w="1650" w:type="dxa"/>
            <w:shd w:val="clear" w:color="auto" w:fill="auto"/>
            <w:vAlign w:val="center"/>
          </w:tcPr>
          <w:p w14:paraId="3BCBF95B">
            <w:pPr>
              <w:spacing w:beforeLines="0" w:afterLines="0" w:line="240" w:lineRule="auto"/>
              <w:jc w:val="center"/>
              <w:rPr>
                <w:rFonts w:ascii="Times New Roman" w:hAnsi="Times New Roman" w:eastAsiaTheme="minorEastAsia" w:cstheme="minorBidi"/>
                <w:snapToGrid w:val="0"/>
                <w:color w:val="auto"/>
                <w:kern w:val="21"/>
                <w:sz w:val="24"/>
                <w:szCs w:val="24"/>
                <w:highlight w:val="none"/>
                <w:lang w:val="en-US" w:eastAsia="zh-CN" w:bidi="ar-SA"/>
              </w:rPr>
            </w:pPr>
            <w:r>
              <w:rPr>
                <w:rFonts w:hint="eastAsia" w:ascii="Times New Roman"/>
                <w:snapToGrid w:val="0"/>
                <w:color w:val="auto"/>
                <w:kern w:val="21"/>
                <w:sz w:val="24"/>
                <w:szCs w:val="24"/>
                <w:highlight w:val="none"/>
                <w:lang w:val="en-US" w:eastAsia="zh-CN"/>
              </w:rPr>
              <w:t>/</w:t>
            </w:r>
          </w:p>
        </w:tc>
        <w:tc>
          <w:tcPr>
            <w:tcW w:w="1411" w:type="dxa"/>
            <w:shd w:val="clear" w:color="auto" w:fill="auto"/>
            <w:vAlign w:val="center"/>
          </w:tcPr>
          <w:p w14:paraId="6F757691">
            <w:pPr>
              <w:spacing w:beforeLines="0" w:afterLines="0" w:line="240" w:lineRule="auto"/>
              <w:jc w:val="center"/>
              <w:rPr>
                <w:rFonts w:ascii="Times New Roman" w:hAnsi="Times New Roman" w:eastAsiaTheme="minorEastAsia" w:cstheme="minorBidi"/>
                <w:snapToGrid w:val="0"/>
                <w:color w:val="auto"/>
                <w:kern w:val="21"/>
                <w:sz w:val="24"/>
                <w:szCs w:val="24"/>
                <w:highlight w:val="none"/>
                <w:lang w:val="en-US" w:eastAsia="zh-CN" w:bidi="ar-SA"/>
              </w:rPr>
            </w:pPr>
            <w:r>
              <w:rPr>
                <w:rFonts w:hint="eastAsia" w:ascii="Times New Roman"/>
                <w:snapToGrid w:val="0"/>
                <w:color w:val="auto"/>
                <w:kern w:val="21"/>
                <w:sz w:val="24"/>
                <w:szCs w:val="24"/>
                <w:highlight w:val="none"/>
                <w:lang w:val="en-US" w:eastAsia="zh-CN"/>
              </w:rPr>
              <w:t>/</w:t>
            </w:r>
          </w:p>
        </w:tc>
        <w:tc>
          <w:tcPr>
            <w:tcW w:w="1316" w:type="dxa"/>
            <w:shd w:val="clear" w:color="auto" w:fill="auto"/>
            <w:vAlign w:val="center"/>
          </w:tcPr>
          <w:p w14:paraId="2C587AC3">
            <w:pPr>
              <w:spacing w:beforeLines="0" w:afterLines="0" w:line="240" w:lineRule="auto"/>
              <w:jc w:val="center"/>
              <w:rPr>
                <w:rFonts w:ascii="Times New Roman" w:hAnsi="Times New Roman" w:eastAsiaTheme="minorEastAsia" w:cstheme="minorBidi"/>
                <w:snapToGrid w:val="0"/>
                <w:color w:val="auto"/>
                <w:kern w:val="21"/>
                <w:sz w:val="24"/>
                <w:szCs w:val="24"/>
                <w:highlight w:val="none"/>
                <w:lang w:val="en-US" w:eastAsia="zh-CN" w:bidi="ar-SA"/>
              </w:rPr>
            </w:pPr>
            <w:r>
              <w:rPr>
                <w:rFonts w:hint="eastAsia" w:ascii="Times New Roman"/>
                <w:snapToGrid w:val="0"/>
                <w:color w:val="auto"/>
                <w:kern w:val="21"/>
                <w:sz w:val="24"/>
                <w:szCs w:val="24"/>
                <w:highlight w:val="none"/>
                <w:lang w:val="en-US" w:eastAsia="zh-CN"/>
              </w:rPr>
              <w:t>/</w:t>
            </w:r>
          </w:p>
        </w:tc>
        <w:tc>
          <w:tcPr>
            <w:tcW w:w="1506" w:type="dxa"/>
            <w:shd w:val="clear" w:color="auto" w:fill="auto"/>
            <w:vAlign w:val="center"/>
          </w:tcPr>
          <w:p w14:paraId="62942C15">
            <w:pPr>
              <w:pStyle w:val="44"/>
              <w:kinsoku w:val="0"/>
              <w:overflowPunct w:val="0"/>
              <w:adjustRightInd w:val="0"/>
              <w:snapToGrid w:val="0"/>
              <w:spacing w:before="0" w:line="240" w:lineRule="auto"/>
              <w:contextualSpacing/>
              <w:rPr>
                <w:rFonts w:hint="default" w:ascii="Times New Roman" w:hAnsi="Times New Roman" w:cs="Times New Roman" w:eastAsiaTheme="minorEastAsia"/>
                <w:snapToGrid w:val="0"/>
                <w:color w:val="auto"/>
                <w:kern w:val="21"/>
                <w:sz w:val="24"/>
                <w:szCs w:val="24"/>
                <w:highlight w:val="none"/>
                <w:lang w:val="en-US" w:eastAsia="zh-CN" w:bidi="zh-CN"/>
              </w:rPr>
            </w:pPr>
            <w:r>
              <w:rPr>
                <w:rFonts w:hint="default" w:ascii="Times New Roman" w:hAnsi="Times New Roman" w:cs="Times New Roman"/>
                <w:snapToGrid w:val="0"/>
                <w:color w:val="auto"/>
                <w:kern w:val="21"/>
                <w:sz w:val="24"/>
                <w:szCs w:val="24"/>
                <w:highlight w:val="none"/>
                <w:lang w:val="en-US" w:eastAsia="zh-CN"/>
              </w:rPr>
              <w:t>474.217t</w:t>
            </w:r>
            <w:r>
              <w:rPr>
                <w:rFonts w:hint="default" w:ascii="Times New Roman" w:hAnsi="Times New Roman" w:cs="Times New Roman"/>
                <w:snapToGrid w:val="0"/>
                <w:color w:val="auto"/>
                <w:kern w:val="21"/>
                <w:sz w:val="24"/>
                <w:szCs w:val="24"/>
                <w:highlight w:val="none"/>
              </w:rPr>
              <w:t>/a</w:t>
            </w:r>
          </w:p>
        </w:tc>
        <w:tc>
          <w:tcPr>
            <w:tcW w:w="1111" w:type="dxa"/>
            <w:shd w:val="clear" w:color="auto" w:fill="auto"/>
            <w:vAlign w:val="center"/>
          </w:tcPr>
          <w:p w14:paraId="3FC0DD93">
            <w:pPr>
              <w:spacing w:beforeLines="0" w:afterLines="0" w:line="240" w:lineRule="auto"/>
              <w:jc w:val="center"/>
              <w:rPr>
                <w:rFonts w:ascii="Times New Roman" w:hAnsi="Times New Roman" w:eastAsiaTheme="minorEastAsia" w:cstheme="minorBidi"/>
                <w:snapToGrid w:val="0"/>
                <w:color w:val="auto"/>
                <w:kern w:val="21"/>
                <w:sz w:val="24"/>
                <w:szCs w:val="24"/>
                <w:highlight w:val="none"/>
                <w:lang w:val="en-US" w:eastAsia="zh-CN" w:bidi="ar-SA"/>
              </w:rPr>
            </w:pPr>
            <w:r>
              <w:rPr>
                <w:rFonts w:hint="eastAsia" w:ascii="Times New Roman"/>
                <w:snapToGrid w:val="0"/>
                <w:color w:val="auto"/>
                <w:kern w:val="21"/>
                <w:sz w:val="24"/>
                <w:szCs w:val="24"/>
                <w:highlight w:val="none"/>
                <w:lang w:val="en-US" w:eastAsia="zh-CN"/>
              </w:rPr>
              <w:t>/</w:t>
            </w:r>
          </w:p>
        </w:tc>
        <w:tc>
          <w:tcPr>
            <w:tcW w:w="1517" w:type="dxa"/>
            <w:shd w:val="clear" w:color="auto" w:fill="auto"/>
            <w:vAlign w:val="center"/>
          </w:tcPr>
          <w:p w14:paraId="474B0918">
            <w:pPr>
              <w:pStyle w:val="44"/>
              <w:kinsoku w:val="0"/>
              <w:overflowPunct w:val="0"/>
              <w:adjustRightInd w:val="0"/>
              <w:snapToGrid w:val="0"/>
              <w:spacing w:before="0" w:line="240" w:lineRule="auto"/>
              <w:contextualSpacing/>
              <w:rPr>
                <w:rFonts w:hint="eastAsia" w:ascii="Times New Roman" w:hAnsi="Times New Roman" w:cs="Times New Roman" w:eastAsiaTheme="minorEastAsia"/>
                <w:snapToGrid w:val="0"/>
                <w:color w:val="auto"/>
                <w:kern w:val="21"/>
                <w:sz w:val="24"/>
                <w:szCs w:val="24"/>
                <w:highlight w:val="none"/>
                <w:lang w:val="en-US" w:eastAsia="zh-CN" w:bidi="zh-CN"/>
              </w:rPr>
            </w:pPr>
            <w:r>
              <w:rPr>
                <w:rFonts w:hint="default" w:ascii="Times New Roman" w:hAnsi="Times New Roman" w:cs="Times New Roman"/>
                <w:snapToGrid w:val="0"/>
                <w:color w:val="auto"/>
                <w:kern w:val="21"/>
                <w:sz w:val="24"/>
                <w:szCs w:val="24"/>
                <w:highlight w:val="none"/>
                <w:lang w:val="en-US" w:eastAsia="zh-CN"/>
              </w:rPr>
              <w:t>474.217t</w:t>
            </w:r>
            <w:r>
              <w:rPr>
                <w:rFonts w:hint="default" w:ascii="Times New Roman" w:hAnsi="Times New Roman" w:cs="Times New Roman"/>
                <w:snapToGrid w:val="0"/>
                <w:color w:val="auto"/>
                <w:kern w:val="21"/>
                <w:sz w:val="24"/>
                <w:szCs w:val="24"/>
                <w:highlight w:val="none"/>
              </w:rPr>
              <w:t>/a</w:t>
            </w:r>
          </w:p>
        </w:tc>
        <w:tc>
          <w:tcPr>
            <w:tcW w:w="1606" w:type="dxa"/>
            <w:shd w:val="clear" w:color="auto" w:fill="auto"/>
            <w:vAlign w:val="center"/>
          </w:tcPr>
          <w:p w14:paraId="7FFA04C3">
            <w:pPr>
              <w:spacing w:beforeLines="0" w:afterLines="0" w:line="240" w:lineRule="auto"/>
              <w:jc w:val="center"/>
              <w:rPr>
                <w:rFonts w:ascii="Times New Roman" w:hAnsi="Times New Roman" w:cs="宋体" w:eastAsiaTheme="minorEastAsia"/>
                <w:snapToGrid w:val="0"/>
                <w:color w:val="auto"/>
                <w:kern w:val="21"/>
                <w:sz w:val="24"/>
                <w:szCs w:val="24"/>
                <w:highlight w:val="none"/>
                <w:lang w:val="zh-CN" w:eastAsia="zh-CN" w:bidi="zh-CN"/>
              </w:rPr>
            </w:pPr>
            <w:r>
              <w:rPr>
                <w:rFonts w:hint="eastAsia" w:ascii="Times New Roman"/>
                <w:snapToGrid w:val="0"/>
                <w:color w:val="auto"/>
                <w:kern w:val="21"/>
                <w:sz w:val="24"/>
                <w:szCs w:val="24"/>
                <w:highlight w:val="none"/>
                <w:lang w:val="en-US" w:eastAsia="zh-CN"/>
              </w:rPr>
              <w:t>/</w:t>
            </w:r>
          </w:p>
        </w:tc>
      </w:tr>
      <w:tr w14:paraId="2A5CF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0D2E11F9">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4839F036">
            <w:pPr>
              <w:adjustRightInd w:val="0"/>
              <w:snapToGrid w:val="0"/>
              <w:spacing w:line="240" w:lineRule="auto"/>
              <w:jc w:val="center"/>
              <w:rPr>
                <w:rFonts w:hint="eastAsia"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废布袋</w:t>
            </w:r>
          </w:p>
        </w:tc>
        <w:tc>
          <w:tcPr>
            <w:tcW w:w="1650" w:type="dxa"/>
            <w:vAlign w:val="center"/>
          </w:tcPr>
          <w:p w14:paraId="01009329">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411" w:type="dxa"/>
            <w:vAlign w:val="center"/>
          </w:tcPr>
          <w:p w14:paraId="29187B37">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316" w:type="dxa"/>
            <w:vAlign w:val="center"/>
          </w:tcPr>
          <w:p w14:paraId="5BFA2C4E">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506" w:type="dxa"/>
            <w:vAlign w:val="center"/>
          </w:tcPr>
          <w:p w14:paraId="53609FBE">
            <w:pPr>
              <w:pStyle w:val="44"/>
              <w:kinsoku w:val="0"/>
              <w:overflowPunct w:val="0"/>
              <w:adjustRightInd w:val="0"/>
              <w:snapToGrid w:val="0"/>
              <w:spacing w:before="0" w:line="240" w:lineRule="auto"/>
              <w:contextualSpacing/>
              <w:rPr>
                <w:rFonts w:hint="default"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1.2</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111" w:type="dxa"/>
            <w:vAlign w:val="center"/>
          </w:tcPr>
          <w:p w14:paraId="47BB4EA0">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517" w:type="dxa"/>
            <w:vAlign w:val="center"/>
          </w:tcPr>
          <w:p w14:paraId="4B9F6C3A">
            <w:pPr>
              <w:pStyle w:val="44"/>
              <w:kinsoku w:val="0"/>
              <w:overflowPunct w:val="0"/>
              <w:adjustRightInd w:val="0"/>
              <w:snapToGrid w:val="0"/>
              <w:spacing w:before="0" w:line="240" w:lineRule="auto"/>
              <w:contextualSpacing/>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1.2</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7DADEE31">
            <w:pPr>
              <w:spacing w:beforeLines="0" w:afterLines="0" w:line="240" w:lineRule="auto"/>
              <w:jc w:val="center"/>
              <w:rPr>
                <w:rFonts w:hint="eastAsia" w:ascii="Times New Roman"/>
                <w:snapToGrid w:val="0"/>
                <w:color w:val="auto"/>
                <w:kern w:val="21"/>
                <w:sz w:val="24"/>
                <w:szCs w:val="24"/>
                <w:highlight w:val="none"/>
                <w:lang w:val="en-US" w:eastAsia="zh-CN"/>
              </w:rPr>
            </w:pPr>
          </w:p>
        </w:tc>
      </w:tr>
      <w:tr w14:paraId="51F0C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7B1D3E6E">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6C26CD47">
            <w:pPr>
              <w:adjustRightInd w:val="0"/>
              <w:snapToGrid w:val="0"/>
              <w:spacing w:line="240" w:lineRule="auto"/>
              <w:jc w:val="center"/>
              <w:rPr>
                <w:rFonts w:ascii="Times New Roman" w:hAnsi="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沉淀池沉渣</w:t>
            </w:r>
          </w:p>
        </w:tc>
        <w:tc>
          <w:tcPr>
            <w:tcW w:w="1650" w:type="dxa"/>
            <w:vAlign w:val="center"/>
          </w:tcPr>
          <w:p w14:paraId="28247A97">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2E4EA327">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6800150A">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1B24639D">
            <w:pPr>
              <w:pStyle w:val="44"/>
              <w:kinsoku w:val="0"/>
              <w:overflowPunct w:val="0"/>
              <w:adjustRightInd w:val="0"/>
              <w:snapToGrid w:val="0"/>
              <w:spacing w:before="0" w:line="240" w:lineRule="auto"/>
              <w:contextualSpacing/>
              <w:rPr>
                <w:rFonts w:hint="default" w:ascii="Times New Roman" w:hAnsi="Times New Roman" w:cs="Times New Roman" w:eastAsiaTheme="minorEastAsia"/>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5.0</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111" w:type="dxa"/>
            <w:vAlign w:val="center"/>
          </w:tcPr>
          <w:p w14:paraId="588B734E">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53EB4094">
            <w:pPr>
              <w:pStyle w:val="44"/>
              <w:kinsoku w:val="0"/>
              <w:overflowPunct w:val="0"/>
              <w:adjustRightInd w:val="0"/>
              <w:snapToGrid w:val="0"/>
              <w:spacing w:before="0" w:line="240" w:lineRule="auto"/>
              <w:contextualSpacing/>
              <w:rPr>
                <w:rFonts w:hint="eastAsia" w:ascii="Times New Roman" w:hAnsi="Times New Roman" w:cs="Times New Roman" w:eastAsiaTheme="minorEastAsia"/>
                <w:color w:val="auto"/>
                <w:spacing w:val="-1"/>
                <w:kern w:val="2"/>
                <w:sz w:val="24"/>
                <w:szCs w:val="24"/>
                <w:highlight w:val="none"/>
                <w:lang w:val="en-US" w:eastAsia="zh-CN" w:bidi="zh-CN"/>
              </w:rPr>
            </w:pPr>
            <w:r>
              <w:rPr>
                <w:rFonts w:hint="eastAsia" w:ascii="Times New Roman" w:hAnsi="Times New Roman" w:cs="Times New Roman"/>
                <w:color w:val="auto"/>
                <w:spacing w:val="-1"/>
                <w:sz w:val="24"/>
                <w:szCs w:val="24"/>
                <w:highlight w:val="none"/>
                <w:lang w:val="en-US" w:eastAsia="zh-CN"/>
              </w:rPr>
              <w:t>5.0</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364607F0">
            <w:pPr>
              <w:spacing w:beforeLines="0" w:afterLines="0" w:line="240" w:lineRule="auto"/>
              <w:jc w:val="center"/>
              <w:rPr>
                <w:rFonts w:ascii="Times New Roman" w:hAnsi="Times New Roman"/>
                <w:color w:val="auto"/>
                <w:spacing w:val="-1"/>
                <w:sz w:val="24"/>
                <w:szCs w:val="24"/>
                <w:highlight w:val="none"/>
              </w:rPr>
            </w:pPr>
            <w:r>
              <w:rPr>
                <w:rFonts w:hint="eastAsia" w:ascii="Times New Roman"/>
                <w:snapToGrid w:val="0"/>
                <w:color w:val="auto"/>
                <w:kern w:val="21"/>
                <w:sz w:val="24"/>
                <w:szCs w:val="24"/>
                <w:highlight w:val="none"/>
                <w:lang w:val="en-US" w:eastAsia="zh-CN"/>
              </w:rPr>
              <w:t>/</w:t>
            </w:r>
          </w:p>
        </w:tc>
      </w:tr>
      <w:tr w14:paraId="30FED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05583D45">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7867EFEF">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eastAsia" w:eastAsia="宋体" w:cs="Times New Roman"/>
                <w:color w:val="auto"/>
                <w:highlight w:val="none"/>
                <w:lang w:val="en-US" w:eastAsia="zh-CN"/>
              </w:rPr>
              <w:t>分拣杂质</w:t>
            </w:r>
          </w:p>
        </w:tc>
        <w:tc>
          <w:tcPr>
            <w:tcW w:w="1650" w:type="dxa"/>
            <w:vAlign w:val="center"/>
          </w:tcPr>
          <w:p w14:paraId="6AE2EB83">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411" w:type="dxa"/>
            <w:vAlign w:val="center"/>
          </w:tcPr>
          <w:p w14:paraId="37CE0E43">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316" w:type="dxa"/>
            <w:vAlign w:val="center"/>
          </w:tcPr>
          <w:p w14:paraId="4E5890A8">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506" w:type="dxa"/>
            <w:vAlign w:val="center"/>
          </w:tcPr>
          <w:p w14:paraId="48E115D6">
            <w:pPr>
              <w:pStyle w:val="44"/>
              <w:kinsoku w:val="0"/>
              <w:overflowPunct w:val="0"/>
              <w:adjustRightInd w:val="0"/>
              <w:snapToGrid w:val="0"/>
              <w:spacing w:before="0" w:line="240" w:lineRule="auto"/>
              <w:contextualSpacing/>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215</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111" w:type="dxa"/>
            <w:vAlign w:val="center"/>
          </w:tcPr>
          <w:p w14:paraId="0845809A">
            <w:pPr>
              <w:spacing w:beforeLines="0" w:afterLines="0" w:line="240" w:lineRule="auto"/>
              <w:jc w:val="center"/>
              <w:rPr>
                <w:rFonts w:hint="eastAsia" w:ascii="Times New Roman"/>
                <w:snapToGrid w:val="0"/>
                <w:color w:val="auto"/>
                <w:kern w:val="21"/>
                <w:sz w:val="24"/>
                <w:szCs w:val="24"/>
                <w:highlight w:val="none"/>
                <w:lang w:val="en-US" w:eastAsia="zh-CN"/>
              </w:rPr>
            </w:pPr>
          </w:p>
        </w:tc>
        <w:tc>
          <w:tcPr>
            <w:tcW w:w="1517" w:type="dxa"/>
            <w:vAlign w:val="center"/>
          </w:tcPr>
          <w:p w14:paraId="00572DB1">
            <w:pPr>
              <w:pStyle w:val="44"/>
              <w:kinsoku w:val="0"/>
              <w:overflowPunct w:val="0"/>
              <w:adjustRightInd w:val="0"/>
              <w:snapToGrid w:val="0"/>
              <w:spacing w:before="0" w:line="240" w:lineRule="auto"/>
              <w:contextualSpacing/>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215</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2DC6E6FD">
            <w:pPr>
              <w:spacing w:beforeLines="0" w:afterLines="0" w:line="240" w:lineRule="auto"/>
              <w:jc w:val="center"/>
              <w:rPr>
                <w:rFonts w:hint="eastAsia" w:ascii="Times New Roman"/>
                <w:snapToGrid w:val="0"/>
                <w:color w:val="auto"/>
                <w:kern w:val="21"/>
                <w:sz w:val="24"/>
                <w:szCs w:val="24"/>
                <w:highlight w:val="none"/>
                <w:lang w:val="en-US" w:eastAsia="zh-CN"/>
              </w:rPr>
            </w:pPr>
          </w:p>
        </w:tc>
      </w:tr>
      <w:tr w14:paraId="6236B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restart"/>
            <w:vAlign w:val="center"/>
          </w:tcPr>
          <w:p w14:paraId="6172511A">
            <w:pPr>
              <w:pStyle w:val="53"/>
              <w:spacing w:beforeLines="0" w:afterLines="0" w:line="240" w:lineRule="auto"/>
              <w:rPr>
                <w:rFonts w:ascii="Times New Roman"/>
                <w:snapToGrid w:val="0"/>
                <w:color w:val="auto"/>
                <w:kern w:val="21"/>
                <w:sz w:val="24"/>
                <w:szCs w:val="24"/>
                <w:highlight w:val="none"/>
              </w:rPr>
            </w:pPr>
            <w:r>
              <w:rPr>
                <w:rFonts w:ascii="Times New Roman"/>
                <w:snapToGrid w:val="0"/>
                <w:color w:val="auto"/>
                <w:kern w:val="21"/>
                <w:sz w:val="24"/>
                <w:szCs w:val="24"/>
                <w:highlight w:val="none"/>
              </w:rPr>
              <w:t>危险</w:t>
            </w:r>
          </w:p>
          <w:p w14:paraId="3653DFA3">
            <w:pPr>
              <w:pStyle w:val="53"/>
              <w:spacing w:beforeLines="0" w:afterLines="0" w:line="240" w:lineRule="auto"/>
              <w:rPr>
                <w:rFonts w:ascii="Times New Roman"/>
                <w:snapToGrid w:val="0"/>
                <w:color w:val="auto"/>
                <w:kern w:val="21"/>
                <w:sz w:val="24"/>
                <w:szCs w:val="24"/>
                <w:highlight w:val="none"/>
              </w:rPr>
            </w:pPr>
            <w:r>
              <w:rPr>
                <w:rFonts w:ascii="Times New Roman"/>
                <w:snapToGrid w:val="0"/>
                <w:color w:val="auto"/>
                <w:kern w:val="21"/>
                <w:sz w:val="24"/>
                <w:szCs w:val="24"/>
                <w:highlight w:val="none"/>
              </w:rPr>
              <w:t>废物</w:t>
            </w:r>
          </w:p>
        </w:tc>
        <w:tc>
          <w:tcPr>
            <w:tcW w:w="2466" w:type="dxa"/>
            <w:vAlign w:val="center"/>
          </w:tcPr>
          <w:p w14:paraId="1E8E3DBD">
            <w:pPr>
              <w:pStyle w:val="44"/>
              <w:kinsoku w:val="0"/>
              <w:overflowPunct w:val="0"/>
              <w:adjustRightInd w:val="0"/>
              <w:snapToGrid w:val="0"/>
              <w:spacing w:before="0" w:line="240" w:lineRule="auto"/>
              <w:contextualSpacing/>
              <w:rPr>
                <w:rFonts w:ascii="Times New Roman" w:hAnsi="Times New Roman"/>
                <w:snapToGrid w:val="0"/>
                <w:color w:val="auto"/>
                <w:kern w:val="21"/>
                <w:sz w:val="24"/>
                <w:szCs w:val="24"/>
                <w:highlight w:val="none"/>
              </w:rPr>
            </w:pPr>
            <w:r>
              <w:rPr>
                <w:rFonts w:hint="default" w:ascii="Times New Roman" w:hAnsi="Times New Roman" w:eastAsia="宋体" w:cs="Times New Roman"/>
                <w:color w:val="auto"/>
                <w:spacing w:val="-1"/>
                <w:sz w:val="24"/>
                <w:szCs w:val="24"/>
                <w:highlight w:val="none"/>
              </w:rPr>
              <w:t>废机油</w:t>
            </w:r>
          </w:p>
        </w:tc>
        <w:tc>
          <w:tcPr>
            <w:tcW w:w="1650" w:type="dxa"/>
            <w:vAlign w:val="center"/>
          </w:tcPr>
          <w:p w14:paraId="4E6AF804">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4C9A1491">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64B051BA">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7813D117">
            <w:pPr>
              <w:pStyle w:val="44"/>
              <w:kinsoku w:val="0"/>
              <w:overflowPunct w:val="0"/>
              <w:adjustRightInd w:val="0"/>
              <w:snapToGrid w:val="0"/>
              <w:spacing w:before="0" w:line="240" w:lineRule="auto"/>
              <w:contextualSpacing/>
              <w:rPr>
                <w:rFonts w:hint="default" w:ascii="Times New Roman" w:hAnsi="Times New Roman" w:cs="Times New Roman" w:eastAsiaTheme="minorEastAsia"/>
                <w:color w:val="auto"/>
                <w:spacing w:val="-1"/>
                <w:sz w:val="24"/>
                <w:szCs w:val="24"/>
                <w:highlight w:val="none"/>
                <w:lang w:val="en-US" w:eastAsia="zh-CN"/>
              </w:rPr>
            </w:pPr>
            <w:r>
              <w:rPr>
                <w:rFonts w:hint="default" w:ascii="Times New Roman" w:hAnsi="Times New Roman" w:cs="Times New Roman"/>
                <w:color w:val="auto"/>
                <w:spacing w:val="-1"/>
                <w:sz w:val="24"/>
                <w:szCs w:val="24"/>
                <w:highlight w:val="none"/>
                <w:lang w:val="en-US" w:eastAsia="zh-CN"/>
              </w:rPr>
              <w:t>0.</w:t>
            </w:r>
            <w:r>
              <w:rPr>
                <w:rFonts w:hint="eastAsia" w:ascii="Times New Roman" w:hAnsi="Times New Roman" w:cs="Times New Roman"/>
                <w:color w:val="auto"/>
                <w:spacing w:val="-1"/>
                <w:sz w:val="24"/>
                <w:szCs w:val="24"/>
                <w:highlight w:val="none"/>
                <w:lang w:val="en-US" w:eastAsia="zh-CN"/>
              </w:rPr>
              <w:t>2</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111" w:type="dxa"/>
            <w:vAlign w:val="center"/>
          </w:tcPr>
          <w:p w14:paraId="3716C450">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546A187F">
            <w:pPr>
              <w:pStyle w:val="44"/>
              <w:kinsoku w:val="0"/>
              <w:overflowPunct w:val="0"/>
              <w:adjustRightInd w:val="0"/>
              <w:snapToGrid w:val="0"/>
              <w:spacing w:before="0" w:line="240" w:lineRule="auto"/>
              <w:contextualSpacing/>
              <w:rPr>
                <w:rFonts w:hint="default" w:ascii="Times New Roman" w:hAnsi="Times New Roman" w:cs="Times New Roman" w:eastAsiaTheme="minorEastAsia"/>
                <w:color w:val="auto"/>
                <w:spacing w:val="-1"/>
                <w:kern w:val="2"/>
                <w:sz w:val="24"/>
                <w:szCs w:val="24"/>
                <w:highlight w:val="none"/>
                <w:lang w:val="en-US" w:eastAsia="zh-CN" w:bidi="zh-CN"/>
              </w:rPr>
            </w:pPr>
            <w:r>
              <w:rPr>
                <w:rFonts w:hint="default" w:ascii="Times New Roman" w:hAnsi="Times New Roman" w:cs="Times New Roman"/>
                <w:color w:val="auto"/>
                <w:spacing w:val="-1"/>
                <w:sz w:val="24"/>
                <w:szCs w:val="24"/>
                <w:highlight w:val="none"/>
                <w:lang w:val="en-US" w:eastAsia="zh-CN"/>
              </w:rPr>
              <w:t>0.</w:t>
            </w:r>
            <w:r>
              <w:rPr>
                <w:rFonts w:hint="eastAsia" w:ascii="Times New Roman" w:hAnsi="Times New Roman" w:cs="Times New Roman"/>
                <w:color w:val="auto"/>
                <w:spacing w:val="-1"/>
                <w:sz w:val="24"/>
                <w:szCs w:val="24"/>
                <w:highlight w:val="none"/>
                <w:lang w:val="en-US" w:eastAsia="zh-CN"/>
              </w:rPr>
              <w:t>2</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3A2D3794">
            <w:pPr>
              <w:spacing w:beforeLines="0" w:afterLines="0" w:line="240" w:lineRule="auto"/>
              <w:jc w:val="center"/>
              <w:rPr>
                <w:rFonts w:ascii="Times New Roman" w:hAnsi="Times New Roman"/>
                <w:color w:val="auto"/>
                <w:spacing w:val="-1"/>
                <w:sz w:val="24"/>
                <w:szCs w:val="24"/>
                <w:highlight w:val="none"/>
              </w:rPr>
            </w:pPr>
            <w:r>
              <w:rPr>
                <w:rFonts w:hint="eastAsia" w:ascii="Times New Roman"/>
                <w:snapToGrid w:val="0"/>
                <w:color w:val="auto"/>
                <w:kern w:val="21"/>
                <w:sz w:val="24"/>
                <w:szCs w:val="24"/>
                <w:highlight w:val="none"/>
                <w:lang w:val="en-US" w:eastAsia="zh-CN"/>
              </w:rPr>
              <w:t>/</w:t>
            </w:r>
          </w:p>
        </w:tc>
      </w:tr>
      <w:tr w14:paraId="1B121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41DD779F">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3982D688">
            <w:pPr>
              <w:pStyle w:val="44"/>
              <w:kinsoku w:val="0"/>
              <w:overflowPunct w:val="0"/>
              <w:adjustRightInd w:val="0"/>
              <w:snapToGrid w:val="0"/>
              <w:spacing w:before="0" w:line="240" w:lineRule="auto"/>
              <w:contextualSpacing/>
              <w:rPr>
                <w:rFonts w:ascii="Times New Roman" w:hAnsi="Times New Roman"/>
                <w:snapToGrid w:val="0"/>
                <w:color w:val="auto"/>
                <w:kern w:val="21"/>
                <w:sz w:val="24"/>
                <w:szCs w:val="24"/>
                <w:highlight w:val="none"/>
              </w:rPr>
            </w:pPr>
            <w:r>
              <w:rPr>
                <w:rFonts w:hint="default" w:ascii="Times New Roman" w:hAnsi="Times New Roman" w:eastAsia="宋体" w:cs="Times New Roman"/>
                <w:color w:val="auto"/>
                <w:spacing w:val="-1"/>
                <w:sz w:val="24"/>
                <w:szCs w:val="24"/>
                <w:highlight w:val="none"/>
              </w:rPr>
              <w:t>废机油桶</w:t>
            </w:r>
          </w:p>
        </w:tc>
        <w:tc>
          <w:tcPr>
            <w:tcW w:w="1650" w:type="dxa"/>
            <w:vAlign w:val="center"/>
          </w:tcPr>
          <w:p w14:paraId="403298E1">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2BDD493B">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5ADDD198">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6373DB76">
            <w:pPr>
              <w:pStyle w:val="44"/>
              <w:kinsoku w:val="0"/>
              <w:overflowPunct w:val="0"/>
              <w:adjustRightInd w:val="0"/>
              <w:snapToGrid w:val="0"/>
              <w:spacing w:before="0" w:line="240" w:lineRule="auto"/>
              <w:contextualSpacing/>
              <w:rPr>
                <w:rFonts w:hint="default" w:ascii="Times New Roman" w:hAnsi="Times New Roman" w:cs="Times New Roman" w:eastAsiaTheme="minorEastAsia"/>
                <w:color w:val="auto"/>
                <w:spacing w:val="-1"/>
                <w:sz w:val="24"/>
                <w:szCs w:val="24"/>
                <w:highlight w:val="none"/>
                <w:lang w:val="en-US" w:eastAsia="zh-CN"/>
              </w:rPr>
            </w:pPr>
            <w:r>
              <w:rPr>
                <w:rFonts w:hint="default" w:ascii="Times New Roman" w:hAnsi="Times New Roman" w:cs="Times New Roman"/>
                <w:color w:val="auto"/>
                <w:spacing w:val="-1"/>
                <w:sz w:val="24"/>
                <w:szCs w:val="24"/>
                <w:highlight w:val="none"/>
                <w:lang w:val="en-US" w:eastAsia="zh-CN"/>
              </w:rPr>
              <w:t>0.0</w:t>
            </w:r>
            <w:r>
              <w:rPr>
                <w:rFonts w:hint="eastAsia" w:ascii="Times New Roman" w:hAnsi="Times New Roman" w:cs="Times New Roman"/>
                <w:color w:val="auto"/>
                <w:spacing w:val="-1"/>
                <w:sz w:val="24"/>
                <w:szCs w:val="24"/>
                <w:highlight w:val="none"/>
                <w:lang w:val="en-US" w:eastAsia="zh-CN"/>
              </w:rPr>
              <w:t>27</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111" w:type="dxa"/>
            <w:vAlign w:val="center"/>
          </w:tcPr>
          <w:p w14:paraId="53A50384">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259316DA">
            <w:pPr>
              <w:pStyle w:val="44"/>
              <w:kinsoku w:val="0"/>
              <w:overflowPunct w:val="0"/>
              <w:adjustRightInd w:val="0"/>
              <w:snapToGrid w:val="0"/>
              <w:spacing w:before="0" w:line="240" w:lineRule="auto"/>
              <w:contextualSpacing/>
              <w:rPr>
                <w:rFonts w:hint="default" w:ascii="Times New Roman" w:hAnsi="Times New Roman" w:cs="Times New Roman" w:eastAsiaTheme="minorEastAsia"/>
                <w:color w:val="auto"/>
                <w:spacing w:val="-1"/>
                <w:kern w:val="2"/>
                <w:sz w:val="24"/>
                <w:szCs w:val="24"/>
                <w:highlight w:val="none"/>
                <w:lang w:val="en-US" w:eastAsia="zh-CN" w:bidi="zh-CN"/>
              </w:rPr>
            </w:pPr>
            <w:r>
              <w:rPr>
                <w:rFonts w:hint="default" w:ascii="Times New Roman" w:hAnsi="Times New Roman" w:cs="Times New Roman"/>
                <w:color w:val="auto"/>
                <w:spacing w:val="-1"/>
                <w:sz w:val="24"/>
                <w:szCs w:val="24"/>
                <w:highlight w:val="none"/>
                <w:lang w:val="en-US" w:eastAsia="zh-CN"/>
              </w:rPr>
              <w:t>0.0</w:t>
            </w:r>
            <w:r>
              <w:rPr>
                <w:rFonts w:hint="eastAsia" w:ascii="Times New Roman" w:hAnsi="Times New Roman" w:cs="Times New Roman"/>
                <w:color w:val="auto"/>
                <w:spacing w:val="-1"/>
                <w:sz w:val="24"/>
                <w:szCs w:val="24"/>
                <w:highlight w:val="none"/>
                <w:lang w:val="en-US" w:eastAsia="zh-CN"/>
              </w:rPr>
              <w:t>27</w:t>
            </w:r>
            <w:r>
              <w:rPr>
                <w:rFonts w:hint="default" w:ascii="Times New Roman" w:hAnsi="Times New Roman" w:cs="Times New Roman"/>
                <w:snapToGrid w:val="0"/>
                <w:color w:val="auto"/>
                <w:kern w:val="21"/>
                <w:sz w:val="24"/>
                <w:szCs w:val="24"/>
                <w:highlight w:val="none"/>
                <w:lang w:val="en-US" w:eastAsia="zh-CN"/>
              </w:rPr>
              <w:t>t</w:t>
            </w:r>
            <w:r>
              <w:rPr>
                <w:rFonts w:hint="default" w:ascii="Times New Roman" w:hAnsi="Times New Roman" w:cs="Times New Roman"/>
                <w:snapToGrid w:val="0"/>
                <w:color w:val="auto"/>
                <w:kern w:val="21"/>
                <w:sz w:val="24"/>
                <w:szCs w:val="24"/>
                <w:highlight w:val="none"/>
              </w:rPr>
              <w:t>/a</w:t>
            </w:r>
          </w:p>
        </w:tc>
        <w:tc>
          <w:tcPr>
            <w:tcW w:w="1606" w:type="dxa"/>
            <w:vAlign w:val="center"/>
          </w:tcPr>
          <w:p w14:paraId="52C2382C">
            <w:pPr>
              <w:spacing w:beforeLines="0" w:afterLines="0" w:line="240" w:lineRule="auto"/>
              <w:jc w:val="center"/>
              <w:rPr>
                <w:rFonts w:ascii="Times New Roman" w:hAnsi="Times New Roman"/>
                <w:color w:val="auto"/>
                <w:spacing w:val="-1"/>
                <w:sz w:val="24"/>
                <w:szCs w:val="24"/>
                <w:highlight w:val="none"/>
              </w:rPr>
            </w:pPr>
            <w:r>
              <w:rPr>
                <w:rFonts w:hint="eastAsia" w:ascii="Times New Roman"/>
                <w:snapToGrid w:val="0"/>
                <w:color w:val="auto"/>
                <w:kern w:val="21"/>
                <w:sz w:val="24"/>
                <w:szCs w:val="24"/>
                <w:highlight w:val="none"/>
                <w:lang w:val="en-US" w:eastAsia="zh-CN"/>
              </w:rPr>
              <w:t>/</w:t>
            </w:r>
          </w:p>
        </w:tc>
      </w:tr>
      <w:tr w14:paraId="4301F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5" w:type="dxa"/>
            <w:vMerge w:val="continue"/>
            <w:vAlign w:val="center"/>
          </w:tcPr>
          <w:p w14:paraId="2DFE9CA3">
            <w:pPr>
              <w:pStyle w:val="53"/>
              <w:spacing w:beforeLines="0" w:afterLines="0" w:line="240" w:lineRule="auto"/>
              <w:rPr>
                <w:rFonts w:ascii="Times New Roman"/>
                <w:snapToGrid w:val="0"/>
                <w:color w:val="auto"/>
                <w:kern w:val="21"/>
                <w:sz w:val="24"/>
                <w:szCs w:val="24"/>
                <w:highlight w:val="none"/>
              </w:rPr>
            </w:pPr>
          </w:p>
        </w:tc>
        <w:tc>
          <w:tcPr>
            <w:tcW w:w="2466" w:type="dxa"/>
            <w:vAlign w:val="center"/>
          </w:tcPr>
          <w:p w14:paraId="0E1EA99C">
            <w:pPr>
              <w:pStyle w:val="44"/>
              <w:kinsoku w:val="0"/>
              <w:overflowPunct w:val="0"/>
              <w:adjustRightInd w:val="0"/>
              <w:snapToGrid w:val="0"/>
              <w:spacing w:before="0" w:line="240" w:lineRule="auto"/>
              <w:contextualSpacing/>
              <w:rPr>
                <w:rFonts w:ascii="Times New Roman" w:hAnsi="Times New Roman"/>
                <w:snapToGrid w:val="0"/>
                <w:color w:val="auto"/>
                <w:kern w:val="21"/>
                <w:sz w:val="24"/>
                <w:szCs w:val="24"/>
                <w:highlight w:val="none"/>
              </w:rPr>
            </w:pPr>
            <w:r>
              <w:rPr>
                <w:rFonts w:hint="default" w:ascii="Times New Roman" w:hAnsi="Times New Roman" w:eastAsia="宋体" w:cs="Times New Roman"/>
                <w:color w:val="auto"/>
                <w:spacing w:val="-1"/>
                <w:sz w:val="24"/>
                <w:szCs w:val="24"/>
                <w:highlight w:val="none"/>
              </w:rPr>
              <w:t>废油手套</w:t>
            </w:r>
          </w:p>
        </w:tc>
        <w:tc>
          <w:tcPr>
            <w:tcW w:w="1650" w:type="dxa"/>
            <w:vAlign w:val="center"/>
          </w:tcPr>
          <w:p w14:paraId="20B9B54F">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411" w:type="dxa"/>
            <w:vAlign w:val="center"/>
          </w:tcPr>
          <w:p w14:paraId="7FF8DDD3">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316" w:type="dxa"/>
            <w:vAlign w:val="center"/>
          </w:tcPr>
          <w:p w14:paraId="682566A4">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06" w:type="dxa"/>
            <w:vAlign w:val="center"/>
          </w:tcPr>
          <w:p w14:paraId="3D98ECE9">
            <w:pPr>
              <w:pStyle w:val="44"/>
              <w:kinsoku w:val="0"/>
              <w:overflowPunct w:val="0"/>
              <w:adjustRightInd w:val="0"/>
              <w:snapToGrid w:val="0"/>
              <w:spacing w:before="0" w:line="240" w:lineRule="auto"/>
              <w:contextualSpacing/>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snapToGrid w:val="0"/>
                <w:color w:val="auto"/>
                <w:kern w:val="21"/>
                <w:sz w:val="24"/>
                <w:szCs w:val="24"/>
                <w:highlight w:val="none"/>
                <w:lang w:val="en-US" w:eastAsia="zh-CN"/>
              </w:rPr>
              <w:t>0.01t</w:t>
            </w:r>
            <w:r>
              <w:rPr>
                <w:rFonts w:hint="default" w:ascii="Times New Roman" w:hAnsi="Times New Roman" w:cs="Times New Roman"/>
                <w:snapToGrid w:val="0"/>
                <w:color w:val="auto"/>
                <w:kern w:val="21"/>
                <w:sz w:val="24"/>
                <w:szCs w:val="24"/>
                <w:highlight w:val="none"/>
              </w:rPr>
              <w:t>/a</w:t>
            </w:r>
          </w:p>
        </w:tc>
        <w:tc>
          <w:tcPr>
            <w:tcW w:w="1111" w:type="dxa"/>
            <w:vAlign w:val="center"/>
          </w:tcPr>
          <w:p w14:paraId="4CAD2737">
            <w:pPr>
              <w:spacing w:beforeLines="0" w:afterLines="0" w:line="240" w:lineRule="auto"/>
              <w:jc w:val="center"/>
              <w:rPr>
                <w:rFonts w:asci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c>
          <w:tcPr>
            <w:tcW w:w="1517" w:type="dxa"/>
            <w:vAlign w:val="center"/>
          </w:tcPr>
          <w:p w14:paraId="5B6DE29E">
            <w:pPr>
              <w:pStyle w:val="44"/>
              <w:kinsoku w:val="0"/>
              <w:overflowPunct w:val="0"/>
              <w:adjustRightInd w:val="0"/>
              <w:snapToGrid w:val="0"/>
              <w:spacing w:before="0" w:line="240" w:lineRule="auto"/>
              <w:contextualSpacing/>
              <w:rPr>
                <w:rFonts w:hint="default" w:ascii="Times New Roman" w:hAnsi="Times New Roman" w:cs="Times New Roman" w:eastAsiaTheme="minorEastAsia"/>
                <w:snapToGrid w:val="0"/>
                <w:color w:val="auto"/>
                <w:kern w:val="21"/>
                <w:sz w:val="24"/>
                <w:szCs w:val="24"/>
                <w:highlight w:val="none"/>
                <w:lang w:val="en-US" w:eastAsia="zh-CN" w:bidi="zh-CN"/>
              </w:rPr>
            </w:pPr>
            <w:r>
              <w:rPr>
                <w:rFonts w:hint="default" w:ascii="Times New Roman" w:hAnsi="Times New Roman" w:cs="Times New Roman"/>
                <w:snapToGrid w:val="0"/>
                <w:color w:val="auto"/>
                <w:kern w:val="21"/>
                <w:sz w:val="24"/>
                <w:szCs w:val="24"/>
                <w:highlight w:val="none"/>
                <w:lang w:val="en-US" w:eastAsia="zh-CN"/>
              </w:rPr>
              <w:t>0.01t</w:t>
            </w:r>
            <w:r>
              <w:rPr>
                <w:rFonts w:hint="default" w:ascii="Times New Roman" w:hAnsi="Times New Roman" w:cs="Times New Roman"/>
                <w:snapToGrid w:val="0"/>
                <w:color w:val="auto"/>
                <w:kern w:val="21"/>
                <w:sz w:val="24"/>
                <w:szCs w:val="24"/>
                <w:highlight w:val="none"/>
              </w:rPr>
              <w:t>/a</w:t>
            </w:r>
          </w:p>
        </w:tc>
        <w:tc>
          <w:tcPr>
            <w:tcW w:w="1606" w:type="dxa"/>
            <w:vAlign w:val="center"/>
          </w:tcPr>
          <w:p w14:paraId="130CDF91">
            <w:pPr>
              <w:spacing w:beforeLines="0" w:afterLines="0" w:line="240" w:lineRule="auto"/>
              <w:jc w:val="center"/>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lang w:val="en-US" w:eastAsia="zh-CN"/>
              </w:rPr>
              <w:t>/</w:t>
            </w:r>
          </w:p>
        </w:tc>
      </w:tr>
    </w:tbl>
    <w:p w14:paraId="5242519D">
      <w:pPr>
        <w:pStyle w:val="53"/>
        <w:spacing w:beforeLines="0" w:afterLines="0" w:line="240" w:lineRule="auto"/>
        <w:jc w:val="left"/>
        <w:rPr>
          <w:color w:val="auto"/>
          <w:highlight w:val="none"/>
        </w:rPr>
      </w:pPr>
      <w:r>
        <w:rPr>
          <w:rFonts w:ascii="Times New Roman"/>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⑤</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p>
    <w:sectPr>
      <w:pgSz w:w="16838" w:h="11906" w:orient="landscape"/>
      <w:pgMar w:top="1083" w:right="1440" w:bottom="1083" w:left="1440" w:header="851" w:footer="992" w:gutter="0"/>
      <w:pgBorders>
        <w:top w:val="none" w:sz="0" w:space="0"/>
        <w:left w:val="none" w:sz="0" w:space="0"/>
        <w:bottom w:val="none" w:sz="0" w:space="0"/>
        <w:right w:val="none" w:sz="0" w:space="0"/>
      </w:pgBorders>
      <w:pgNumType w:fmt="numberInDash"/>
      <w:cols w:space="0" w:num="1"/>
      <w:rtlGutter w:val="0"/>
      <w:docGrid w:type="lines" w:linePitch="3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宋体_x0008_....">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0DC1">
    <w:pPr>
      <w:pStyle w:val="16"/>
      <w:jc w:val="right"/>
      <w:rPr>
        <w:sz w:val="21"/>
        <w:szCs w:val="22"/>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9280797"/>
                            <w:docPartObj>
                              <w:docPartGallery w:val="autotext"/>
                            </w:docPartObj>
                          </w:sdtPr>
                          <w:sdtEndPr>
                            <w:rPr>
                              <w:sz w:val="21"/>
                              <w:szCs w:val="22"/>
                            </w:rPr>
                          </w:sdtEndPr>
                          <w:sdtContent>
                            <w:p w14:paraId="264EFAF1">
                              <w:pPr>
                                <w:pStyle w:val="16"/>
                                <w:jc w:val="right"/>
                                <w:rPr>
                                  <w:sz w:val="21"/>
                                  <w:szCs w:val="22"/>
                                </w:rPr>
                              </w:pPr>
                              <w:r>
                                <w:rPr>
                                  <w:sz w:val="21"/>
                                  <w:szCs w:val="22"/>
                                </w:rPr>
                                <w:fldChar w:fldCharType="begin"/>
                              </w:r>
                              <w:r>
                                <w:rPr>
                                  <w:sz w:val="21"/>
                                  <w:szCs w:val="22"/>
                                </w:rPr>
                                <w:instrText xml:space="preserve">PAGE   \* MERGEFORMAT</w:instrText>
                              </w:r>
                              <w:r>
                                <w:rPr>
                                  <w:sz w:val="21"/>
                                  <w:szCs w:val="22"/>
                                </w:rPr>
                                <w:fldChar w:fldCharType="separate"/>
                              </w:r>
                              <w:r>
                                <w:rPr>
                                  <w:sz w:val="21"/>
                                  <w:szCs w:val="22"/>
                                  <w:lang w:val="zh-CN"/>
                                </w:rPr>
                                <w:t>2</w:t>
                              </w:r>
                              <w:r>
                                <w:rPr>
                                  <w:sz w:val="21"/>
                                  <w:szCs w:val="22"/>
                                </w:rPr>
                                <w:fldChar w:fldCharType="end"/>
                              </w:r>
                            </w:p>
                          </w:sdtContent>
                        </w:sdt>
                        <w:p w14:paraId="07E5801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679280797"/>
                      <w:docPartObj>
                        <w:docPartGallery w:val="autotext"/>
                      </w:docPartObj>
                    </w:sdtPr>
                    <w:sdtEndPr>
                      <w:rPr>
                        <w:sz w:val="21"/>
                        <w:szCs w:val="22"/>
                      </w:rPr>
                    </w:sdtEndPr>
                    <w:sdtContent>
                      <w:p w14:paraId="264EFAF1">
                        <w:pPr>
                          <w:pStyle w:val="16"/>
                          <w:jc w:val="right"/>
                          <w:rPr>
                            <w:sz w:val="21"/>
                            <w:szCs w:val="22"/>
                          </w:rPr>
                        </w:pPr>
                        <w:r>
                          <w:rPr>
                            <w:sz w:val="21"/>
                            <w:szCs w:val="22"/>
                          </w:rPr>
                          <w:fldChar w:fldCharType="begin"/>
                        </w:r>
                        <w:r>
                          <w:rPr>
                            <w:sz w:val="21"/>
                            <w:szCs w:val="22"/>
                          </w:rPr>
                          <w:instrText xml:space="preserve">PAGE   \* MERGEFORMAT</w:instrText>
                        </w:r>
                        <w:r>
                          <w:rPr>
                            <w:sz w:val="21"/>
                            <w:szCs w:val="22"/>
                          </w:rPr>
                          <w:fldChar w:fldCharType="separate"/>
                        </w:r>
                        <w:r>
                          <w:rPr>
                            <w:sz w:val="21"/>
                            <w:szCs w:val="22"/>
                            <w:lang w:val="zh-CN"/>
                          </w:rPr>
                          <w:t>2</w:t>
                        </w:r>
                        <w:r>
                          <w:rPr>
                            <w:sz w:val="21"/>
                            <w:szCs w:val="22"/>
                          </w:rPr>
                          <w:fldChar w:fldCharType="end"/>
                        </w:r>
                      </w:p>
                    </w:sdtContent>
                  </w:sdt>
                  <w:p w14:paraId="07E58019">
                    <w:pPr>
                      <w:pStyle w:val="3"/>
                    </w:pPr>
                  </w:p>
                </w:txbxContent>
              </v:textbox>
            </v:shape>
          </w:pict>
        </mc:Fallback>
      </mc:AlternateContent>
    </w:r>
  </w:p>
  <w:p w14:paraId="66BF180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070760"/>
      <w:docPartObj>
        <w:docPartGallery w:val="autotext"/>
      </w:docPartObj>
    </w:sdtPr>
    <w:sdtEndPr>
      <w:rPr>
        <w:sz w:val="21"/>
        <w:szCs w:val="22"/>
      </w:rPr>
    </w:sdtEndPr>
    <w:sdtContent>
      <w:p w14:paraId="45E37820">
        <w:pPr>
          <w:pStyle w:val="16"/>
          <w:rPr>
            <w:sz w:val="21"/>
            <w:szCs w:val="22"/>
          </w:rPr>
        </w:pPr>
      </w:p>
    </w:sdtContent>
  </w:sdt>
  <w:p w14:paraId="1288918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60F2">
    <w:pPr>
      <w:pStyle w:val="16"/>
      <w:jc w:val="right"/>
      <w:rPr>
        <w:sz w:val="21"/>
        <w:szCs w:val="22"/>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406"/>
                            <w:docPartObj>
                              <w:docPartGallery w:val="autotext"/>
                            </w:docPartObj>
                          </w:sdtPr>
                          <w:sdtEndPr>
                            <w:rPr>
                              <w:sz w:val="21"/>
                              <w:szCs w:val="22"/>
                            </w:rPr>
                          </w:sdtEndPr>
                          <w:sdtContent>
                            <w:p w14:paraId="1A9ED634">
                              <w:pPr>
                                <w:pStyle w:val="16"/>
                                <w:jc w:val="right"/>
                                <w:rPr>
                                  <w:sz w:val="21"/>
                                  <w:szCs w:val="22"/>
                                </w:rPr>
                              </w:pPr>
                              <w:r>
                                <w:rPr>
                                  <w:sz w:val="21"/>
                                  <w:szCs w:val="22"/>
                                </w:rPr>
                                <w:fldChar w:fldCharType="begin"/>
                              </w:r>
                              <w:r>
                                <w:rPr>
                                  <w:sz w:val="21"/>
                                  <w:szCs w:val="22"/>
                                </w:rPr>
                                <w:instrText xml:space="preserve">PAGE   \* MERGEFORMAT</w:instrText>
                              </w:r>
                              <w:r>
                                <w:rPr>
                                  <w:sz w:val="21"/>
                                  <w:szCs w:val="22"/>
                                </w:rPr>
                                <w:fldChar w:fldCharType="separate"/>
                              </w:r>
                              <w:r>
                                <w:rPr>
                                  <w:sz w:val="21"/>
                                  <w:szCs w:val="22"/>
                                  <w:lang w:val="zh-CN"/>
                                </w:rPr>
                                <w:t>2</w:t>
                              </w:r>
                              <w:r>
                                <w:rPr>
                                  <w:sz w:val="21"/>
                                  <w:szCs w:val="22"/>
                                </w:rPr>
                                <w:fldChar w:fldCharType="end"/>
                              </w:r>
                            </w:p>
                          </w:sdtContent>
                        </w:sdt>
                        <w:p w14:paraId="656C83C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4406"/>
                      <w:docPartObj>
                        <w:docPartGallery w:val="autotext"/>
                      </w:docPartObj>
                    </w:sdtPr>
                    <w:sdtEndPr>
                      <w:rPr>
                        <w:sz w:val="21"/>
                        <w:szCs w:val="22"/>
                      </w:rPr>
                    </w:sdtEndPr>
                    <w:sdtContent>
                      <w:p w14:paraId="1A9ED634">
                        <w:pPr>
                          <w:pStyle w:val="16"/>
                          <w:jc w:val="right"/>
                          <w:rPr>
                            <w:sz w:val="21"/>
                            <w:szCs w:val="22"/>
                          </w:rPr>
                        </w:pPr>
                        <w:r>
                          <w:rPr>
                            <w:sz w:val="21"/>
                            <w:szCs w:val="22"/>
                          </w:rPr>
                          <w:fldChar w:fldCharType="begin"/>
                        </w:r>
                        <w:r>
                          <w:rPr>
                            <w:sz w:val="21"/>
                            <w:szCs w:val="22"/>
                          </w:rPr>
                          <w:instrText xml:space="preserve">PAGE   \* MERGEFORMAT</w:instrText>
                        </w:r>
                        <w:r>
                          <w:rPr>
                            <w:sz w:val="21"/>
                            <w:szCs w:val="22"/>
                          </w:rPr>
                          <w:fldChar w:fldCharType="separate"/>
                        </w:r>
                        <w:r>
                          <w:rPr>
                            <w:sz w:val="21"/>
                            <w:szCs w:val="22"/>
                            <w:lang w:val="zh-CN"/>
                          </w:rPr>
                          <w:t>2</w:t>
                        </w:r>
                        <w:r>
                          <w:rPr>
                            <w:sz w:val="21"/>
                            <w:szCs w:val="22"/>
                          </w:rPr>
                          <w:fldChar w:fldCharType="end"/>
                        </w:r>
                      </w:p>
                    </w:sdtContent>
                  </w:sdt>
                  <w:p w14:paraId="656C83C9">
                    <w:pPr>
                      <w:pStyle w:val="3"/>
                    </w:pPr>
                  </w:p>
                </w:txbxContent>
              </v:textbox>
            </v:shape>
          </w:pict>
        </mc:Fallback>
      </mc:AlternateContent>
    </w:r>
  </w:p>
  <w:p w14:paraId="48C761B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0950">
    <w:pPr>
      <w:pStyle w:val="16"/>
      <w:rPr>
        <w:sz w:val="21"/>
        <w:szCs w:val="2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BB46C">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6BB46C">
                    <w:pPr>
                      <w:pStyle w:val="1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sdt>
      <w:sdtPr>
        <w:id w:val="147478493"/>
        <w:docPartObj>
          <w:docPartGallery w:val="autotext"/>
        </w:docPartObj>
      </w:sdtPr>
      <w:sdtEndPr>
        <w:rPr>
          <w:sz w:val="21"/>
          <w:szCs w:val="22"/>
        </w:rPr>
      </w:sdtEndPr>
      <w:sdtContent/>
    </w:sdt>
  </w:p>
  <w:p w14:paraId="5D47F34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6853"/>
    <w:multiLevelType w:val="singleLevel"/>
    <w:tmpl w:val="968A6853"/>
    <w:lvl w:ilvl="0" w:tentative="0">
      <w:start w:val="1"/>
      <w:numFmt w:val="decimal"/>
      <w:suff w:val="nothing"/>
      <w:lvlText w:val="（%1）"/>
      <w:lvlJc w:val="left"/>
    </w:lvl>
  </w:abstractNum>
  <w:abstractNum w:abstractNumId="1">
    <w:nsid w:val="A1E33468"/>
    <w:multiLevelType w:val="singleLevel"/>
    <w:tmpl w:val="A1E33468"/>
    <w:lvl w:ilvl="0" w:tentative="0">
      <w:start w:val="2"/>
      <w:numFmt w:val="decimal"/>
      <w:suff w:val="nothing"/>
      <w:lvlText w:val="%1、"/>
      <w:lvlJc w:val="left"/>
    </w:lvl>
  </w:abstractNum>
  <w:abstractNum w:abstractNumId="2">
    <w:nsid w:val="C64198E1"/>
    <w:multiLevelType w:val="singleLevel"/>
    <w:tmpl w:val="C64198E1"/>
    <w:lvl w:ilvl="0" w:tentative="0">
      <w:start w:val="1"/>
      <w:numFmt w:val="decimal"/>
      <w:suff w:val="nothing"/>
      <w:lvlText w:val="（%1）"/>
      <w:lvlJc w:val="left"/>
    </w:lvl>
  </w:abstractNum>
  <w:abstractNum w:abstractNumId="3">
    <w:nsid w:val="EE7C034A"/>
    <w:multiLevelType w:val="singleLevel"/>
    <w:tmpl w:val="EE7C034A"/>
    <w:lvl w:ilvl="0" w:tentative="0">
      <w:start w:val="1"/>
      <w:numFmt w:val="upperLetter"/>
      <w:lvlText w:val="%1."/>
      <w:lvlJc w:val="left"/>
      <w:pPr>
        <w:tabs>
          <w:tab w:val="left" w:pos="312"/>
        </w:tabs>
      </w:pPr>
    </w:lvl>
  </w:abstractNum>
  <w:abstractNum w:abstractNumId="4">
    <w:nsid w:val="07D2F813"/>
    <w:multiLevelType w:val="singleLevel"/>
    <w:tmpl w:val="07D2F813"/>
    <w:lvl w:ilvl="0" w:tentative="0">
      <w:start w:val="2"/>
      <w:numFmt w:val="decimal"/>
      <w:suff w:val="nothing"/>
      <w:lvlText w:val="（%1）"/>
      <w:lvlJc w:val="left"/>
    </w:lvl>
  </w:abstractNum>
  <w:abstractNum w:abstractNumId="5">
    <w:nsid w:val="1FADE930"/>
    <w:multiLevelType w:val="singleLevel"/>
    <w:tmpl w:val="1FADE930"/>
    <w:lvl w:ilvl="0" w:tentative="0">
      <w:start w:val="4"/>
      <w:numFmt w:val="decimal"/>
      <w:suff w:val="nothing"/>
      <w:lvlText w:val="%1、"/>
      <w:lvlJc w:val="left"/>
    </w:lvl>
  </w:abstractNum>
  <w:abstractNum w:abstractNumId="6">
    <w:nsid w:val="40B2AB69"/>
    <w:multiLevelType w:val="singleLevel"/>
    <w:tmpl w:val="40B2AB69"/>
    <w:lvl w:ilvl="0" w:tentative="0">
      <w:start w:val="1"/>
      <w:numFmt w:val="decimal"/>
      <w:suff w:val="nothing"/>
      <w:lvlText w:val="（%1）"/>
      <w:lvlJc w:val="left"/>
    </w:lvl>
  </w:abstractNum>
  <w:abstractNum w:abstractNumId="7">
    <w:nsid w:val="585E3264"/>
    <w:multiLevelType w:val="singleLevel"/>
    <w:tmpl w:val="585E3264"/>
    <w:lvl w:ilvl="0" w:tentative="0">
      <w:start w:val="1"/>
      <w:numFmt w:val="bullet"/>
      <w:pStyle w:val="13"/>
      <w:lvlText w:val=""/>
      <w:lvlJc w:val="left"/>
      <w:pPr>
        <w:tabs>
          <w:tab w:val="left" w:pos="2040"/>
        </w:tabs>
        <w:ind w:left="2040" w:hanging="360"/>
      </w:pPr>
      <w:rPr>
        <w:rFonts w:hint="default" w:ascii="Wingdings" w:hAnsi="Wingdings"/>
      </w:rPr>
    </w:lvl>
  </w:abstractNum>
  <w:num w:numId="1">
    <w:abstractNumId w:val="7"/>
  </w:num>
  <w:num w:numId="2">
    <w:abstractNumId w:val="2"/>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6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OTM2MjljMGU2Zjg0ZTgwODk0ZmIxMmIyYjVhY2UifQ=="/>
  </w:docVars>
  <w:rsids>
    <w:rsidRoot w:val="00172A27"/>
    <w:rsid w:val="000042B6"/>
    <w:rsid w:val="00005816"/>
    <w:rsid w:val="00013654"/>
    <w:rsid w:val="000160E9"/>
    <w:rsid w:val="00027641"/>
    <w:rsid w:val="00033B95"/>
    <w:rsid w:val="00033F43"/>
    <w:rsid w:val="000341C2"/>
    <w:rsid w:val="00035757"/>
    <w:rsid w:val="00040D21"/>
    <w:rsid w:val="0004177E"/>
    <w:rsid w:val="00047F9B"/>
    <w:rsid w:val="00052AEC"/>
    <w:rsid w:val="00056475"/>
    <w:rsid w:val="0006281D"/>
    <w:rsid w:val="0006658F"/>
    <w:rsid w:val="0007370C"/>
    <w:rsid w:val="00077B46"/>
    <w:rsid w:val="00082F16"/>
    <w:rsid w:val="000878F3"/>
    <w:rsid w:val="00087A05"/>
    <w:rsid w:val="000934CF"/>
    <w:rsid w:val="00093510"/>
    <w:rsid w:val="00093BB3"/>
    <w:rsid w:val="000A1547"/>
    <w:rsid w:val="000A2BC2"/>
    <w:rsid w:val="000A4728"/>
    <w:rsid w:val="000A4DAC"/>
    <w:rsid w:val="000A6F5A"/>
    <w:rsid w:val="000C1B5C"/>
    <w:rsid w:val="000C6041"/>
    <w:rsid w:val="000C7DE7"/>
    <w:rsid w:val="000D03A1"/>
    <w:rsid w:val="000D193B"/>
    <w:rsid w:val="000E7257"/>
    <w:rsid w:val="000F08D6"/>
    <w:rsid w:val="000F56E8"/>
    <w:rsid w:val="00100F1D"/>
    <w:rsid w:val="00107182"/>
    <w:rsid w:val="00107719"/>
    <w:rsid w:val="0011045D"/>
    <w:rsid w:val="0011048A"/>
    <w:rsid w:val="00111054"/>
    <w:rsid w:val="00112ED5"/>
    <w:rsid w:val="001136BD"/>
    <w:rsid w:val="00115C2E"/>
    <w:rsid w:val="001203D6"/>
    <w:rsid w:val="001208A5"/>
    <w:rsid w:val="00120ABD"/>
    <w:rsid w:val="0012454F"/>
    <w:rsid w:val="00126C8C"/>
    <w:rsid w:val="001278F1"/>
    <w:rsid w:val="00133BD8"/>
    <w:rsid w:val="00134121"/>
    <w:rsid w:val="00136969"/>
    <w:rsid w:val="00146414"/>
    <w:rsid w:val="001467F0"/>
    <w:rsid w:val="00151452"/>
    <w:rsid w:val="00151F23"/>
    <w:rsid w:val="0016611C"/>
    <w:rsid w:val="00167CB6"/>
    <w:rsid w:val="00170FE3"/>
    <w:rsid w:val="00171427"/>
    <w:rsid w:val="00175780"/>
    <w:rsid w:val="00176BFE"/>
    <w:rsid w:val="0018469B"/>
    <w:rsid w:val="0018771A"/>
    <w:rsid w:val="001A3924"/>
    <w:rsid w:val="001A3C9B"/>
    <w:rsid w:val="001A6BED"/>
    <w:rsid w:val="001B02C8"/>
    <w:rsid w:val="001B1AC9"/>
    <w:rsid w:val="001B2BBC"/>
    <w:rsid w:val="001B6552"/>
    <w:rsid w:val="001C1113"/>
    <w:rsid w:val="001C2147"/>
    <w:rsid w:val="001C385A"/>
    <w:rsid w:val="001C3AB5"/>
    <w:rsid w:val="001C4B1E"/>
    <w:rsid w:val="001C6CE5"/>
    <w:rsid w:val="001D0164"/>
    <w:rsid w:val="001D3C77"/>
    <w:rsid w:val="001E0DC3"/>
    <w:rsid w:val="001E0F3D"/>
    <w:rsid w:val="001E2376"/>
    <w:rsid w:val="001E5579"/>
    <w:rsid w:val="001E68B6"/>
    <w:rsid w:val="001E74FF"/>
    <w:rsid w:val="001F0BC5"/>
    <w:rsid w:val="001F201F"/>
    <w:rsid w:val="001F4101"/>
    <w:rsid w:val="001F48D2"/>
    <w:rsid w:val="001F71D0"/>
    <w:rsid w:val="0020222A"/>
    <w:rsid w:val="00202427"/>
    <w:rsid w:val="00205E19"/>
    <w:rsid w:val="00211CCD"/>
    <w:rsid w:val="002206DE"/>
    <w:rsid w:val="002238B3"/>
    <w:rsid w:val="0022395A"/>
    <w:rsid w:val="00225A41"/>
    <w:rsid w:val="00236E3C"/>
    <w:rsid w:val="002410F1"/>
    <w:rsid w:val="002434E7"/>
    <w:rsid w:val="00247CCD"/>
    <w:rsid w:val="00250351"/>
    <w:rsid w:val="00252B22"/>
    <w:rsid w:val="00256E68"/>
    <w:rsid w:val="00260D5A"/>
    <w:rsid w:val="00271A7F"/>
    <w:rsid w:val="002773ED"/>
    <w:rsid w:val="00277DA0"/>
    <w:rsid w:val="00286C62"/>
    <w:rsid w:val="00290B42"/>
    <w:rsid w:val="002913A1"/>
    <w:rsid w:val="002925B7"/>
    <w:rsid w:val="002950E6"/>
    <w:rsid w:val="002978FF"/>
    <w:rsid w:val="002A1598"/>
    <w:rsid w:val="002A36EA"/>
    <w:rsid w:val="002A5005"/>
    <w:rsid w:val="002A71B5"/>
    <w:rsid w:val="002B0FE7"/>
    <w:rsid w:val="002B691B"/>
    <w:rsid w:val="002B7420"/>
    <w:rsid w:val="002C221F"/>
    <w:rsid w:val="002C4DF9"/>
    <w:rsid w:val="002C55C0"/>
    <w:rsid w:val="002C61F7"/>
    <w:rsid w:val="002C6A01"/>
    <w:rsid w:val="002E3BFB"/>
    <w:rsid w:val="002E477B"/>
    <w:rsid w:val="002F279F"/>
    <w:rsid w:val="002F3A8C"/>
    <w:rsid w:val="002F6CDC"/>
    <w:rsid w:val="002F6D5D"/>
    <w:rsid w:val="002F7CE9"/>
    <w:rsid w:val="00301878"/>
    <w:rsid w:val="003021D5"/>
    <w:rsid w:val="003120EB"/>
    <w:rsid w:val="00313758"/>
    <w:rsid w:val="00313883"/>
    <w:rsid w:val="00317034"/>
    <w:rsid w:val="003216B1"/>
    <w:rsid w:val="0032219C"/>
    <w:rsid w:val="00334289"/>
    <w:rsid w:val="00335694"/>
    <w:rsid w:val="00342490"/>
    <w:rsid w:val="00343F6E"/>
    <w:rsid w:val="00344A27"/>
    <w:rsid w:val="0035308F"/>
    <w:rsid w:val="00353DDE"/>
    <w:rsid w:val="00366038"/>
    <w:rsid w:val="00366D12"/>
    <w:rsid w:val="0037319A"/>
    <w:rsid w:val="00374012"/>
    <w:rsid w:val="00376B39"/>
    <w:rsid w:val="003809CC"/>
    <w:rsid w:val="00382DF8"/>
    <w:rsid w:val="00384BB9"/>
    <w:rsid w:val="00386F75"/>
    <w:rsid w:val="003918B3"/>
    <w:rsid w:val="0039631D"/>
    <w:rsid w:val="003A46D9"/>
    <w:rsid w:val="003A4CF6"/>
    <w:rsid w:val="003A6EB6"/>
    <w:rsid w:val="003B3681"/>
    <w:rsid w:val="003B4118"/>
    <w:rsid w:val="003B6313"/>
    <w:rsid w:val="003B64F6"/>
    <w:rsid w:val="003B6662"/>
    <w:rsid w:val="003B78A0"/>
    <w:rsid w:val="003C0CEA"/>
    <w:rsid w:val="003C4A31"/>
    <w:rsid w:val="003D068A"/>
    <w:rsid w:val="003D3066"/>
    <w:rsid w:val="003D4428"/>
    <w:rsid w:val="003D4C3E"/>
    <w:rsid w:val="003D535E"/>
    <w:rsid w:val="003D6CC9"/>
    <w:rsid w:val="003E1627"/>
    <w:rsid w:val="003E3342"/>
    <w:rsid w:val="003E5D9D"/>
    <w:rsid w:val="003E78E5"/>
    <w:rsid w:val="003F1878"/>
    <w:rsid w:val="003F24BC"/>
    <w:rsid w:val="003F25F4"/>
    <w:rsid w:val="003F2967"/>
    <w:rsid w:val="003F41A6"/>
    <w:rsid w:val="003F43F8"/>
    <w:rsid w:val="003F66A8"/>
    <w:rsid w:val="003F6A86"/>
    <w:rsid w:val="0040668E"/>
    <w:rsid w:val="00410AB4"/>
    <w:rsid w:val="0041740E"/>
    <w:rsid w:val="00423E2C"/>
    <w:rsid w:val="00423EBE"/>
    <w:rsid w:val="004272ED"/>
    <w:rsid w:val="00430572"/>
    <w:rsid w:val="00437F29"/>
    <w:rsid w:val="00440B2A"/>
    <w:rsid w:val="00456A73"/>
    <w:rsid w:val="0046137F"/>
    <w:rsid w:val="00466E1B"/>
    <w:rsid w:val="004715E6"/>
    <w:rsid w:val="00472D48"/>
    <w:rsid w:val="004735B9"/>
    <w:rsid w:val="004779A8"/>
    <w:rsid w:val="00481C5F"/>
    <w:rsid w:val="0049240F"/>
    <w:rsid w:val="004944D7"/>
    <w:rsid w:val="004A1462"/>
    <w:rsid w:val="004A5CA1"/>
    <w:rsid w:val="004B6817"/>
    <w:rsid w:val="004C2B31"/>
    <w:rsid w:val="004C540F"/>
    <w:rsid w:val="004D05AE"/>
    <w:rsid w:val="004D1AEC"/>
    <w:rsid w:val="004D430D"/>
    <w:rsid w:val="004D61EF"/>
    <w:rsid w:val="004D6504"/>
    <w:rsid w:val="004D71E8"/>
    <w:rsid w:val="004D78DA"/>
    <w:rsid w:val="004D7B01"/>
    <w:rsid w:val="004E2ED1"/>
    <w:rsid w:val="004E3A5A"/>
    <w:rsid w:val="004F0668"/>
    <w:rsid w:val="004F1F9C"/>
    <w:rsid w:val="004F4224"/>
    <w:rsid w:val="004F6385"/>
    <w:rsid w:val="00500BB1"/>
    <w:rsid w:val="00501A57"/>
    <w:rsid w:val="00501D31"/>
    <w:rsid w:val="00502AE1"/>
    <w:rsid w:val="005034BB"/>
    <w:rsid w:val="00506224"/>
    <w:rsid w:val="005070F8"/>
    <w:rsid w:val="005121FA"/>
    <w:rsid w:val="00513881"/>
    <w:rsid w:val="005144DF"/>
    <w:rsid w:val="00514A7D"/>
    <w:rsid w:val="00525AA1"/>
    <w:rsid w:val="00525F2F"/>
    <w:rsid w:val="005268C6"/>
    <w:rsid w:val="00527360"/>
    <w:rsid w:val="00532A26"/>
    <w:rsid w:val="00533988"/>
    <w:rsid w:val="005452DF"/>
    <w:rsid w:val="00545450"/>
    <w:rsid w:val="00552D75"/>
    <w:rsid w:val="00555FB5"/>
    <w:rsid w:val="00555FFB"/>
    <w:rsid w:val="005563B6"/>
    <w:rsid w:val="0056381A"/>
    <w:rsid w:val="005701E2"/>
    <w:rsid w:val="00577ED5"/>
    <w:rsid w:val="0058029D"/>
    <w:rsid w:val="005949AF"/>
    <w:rsid w:val="00595076"/>
    <w:rsid w:val="005B0306"/>
    <w:rsid w:val="005C36EA"/>
    <w:rsid w:val="005C4DDC"/>
    <w:rsid w:val="005D3F5F"/>
    <w:rsid w:val="005E6482"/>
    <w:rsid w:val="005E6BEA"/>
    <w:rsid w:val="005F2492"/>
    <w:rsid w:val="006002EB"/>
    <w:rsid w:val="00611282"/>
    <w:rsid w:val="006121E7"/>
    <w:rsid w:val="00620299"/>
    <w:rsid w:val="00620DB4"/>
    <w:rsid w:val="006222E0"/>
    <w:rsid w:val="00624C0C"/>
    <w:rsid w:val="006270E3"/>
    <w:rsid w:val="00631DE1"/>
    <w:rsid w:val="00640617"/>
    <w:rsid w:val="0064159C"/>
    <w:rsid w:val="00641A5B"/>
    <w:rsid w:val="00646994"/>
    <w:rsid w:val="00653513"/>
    <w:rsid w:val="00653AB6"/>
    <w:rsid w:val="0065747D"/>
    <w:rsid w:val="00664204"/>
    <w:rsid w:val="00664B02"/>
    <w:rsid w:val="00666D17"/>
    <w:rsid w:val="00666D82"/>
    <w:rsid w:val="00674F37"/>
    <w:rsid w:val="006753E3"/>
    <w:rsid w:val="00677E3F"/>
    <w:rsid w:val="006800A4"/>
    <w:rsid w:val="00680534"/>
    <w:rsid w:val="00680B2D"/>
    <w:rsid w:val="006847F4"/>
    <w:rsid w:val="006864A8"/>
    <w:rsid w:val="00686F22"/>
    <w:rsid w:val="00692CA1"/>
    <w:rsid w:val="006A2FCC"/>
    <w:rsid w:val="006A655A"/>
    <w:rsid w:val="006C25CF"/>
    <w:rsid w:val="006C7F36"/>
    <w:rsid w:val="006D0AF8"/>
    <w:rsid w:val="006D1B86"/>
    <w:rsid w:val="006D4A5F"/>
    <w:rsid w:val="006D6D9E"/>
    <w:rsid w:val="006E7272"/>
    <w:rsid w:val="006F0D97"/>
    <w:rsid w:val="006F50E1"/>
    <w:rsid w:val="006F57D5"/>
    <w:rsid w:val="00701182"/>
    <w:rsid w:val="007042D6"/>
    <w:rsid w:val="00707901"/>
    <w:rsid w:val="0071027B"/>
    <w:rsid w:val="00712DA4"/>
    <w:rsid w:val="0071339F"/>
    <w:rsid w:val="00716CBB"/>
    <w:rsid w:val="00717D75"/>
    <w:rsid w:val="007212A9"/>
    <w:rsid w:val="00723A69"/>
    <w:rsid w:val="00726AC2"/>
    <w:rsid w:val="0073040C"/>
    <w:rsid w:val="0073508B"/>
    <w:rsid w:val="00735191"/>
    <w:rsid w:val="0073525D"/>
    <w:rsid w:val="00735557"/>
    <w:rsid w:val="00735C1E"/>
    <w:rsid w:val="00736942"/>
    <w:rsid w:val="00740200"/>
    <w:rsid w:val="0074053E"/>
    <w:rsid w:val="00740638"/>
    <w:rsid w:val="00740A04"/>
    <w:rsid w:val="007441BE"/>
    <w:rsid w:val="00744E9A"/>
    <w:rsid w:val="00753DBA"/>
    <w:rsid w:val="00754B21"/>
    <w:rsid w:val="00757EB8"/>
    <w:rsid w:val="00762F44"/>
    <w:rsid w:val="00764ABD"/>
    <w:rsid w:val="0076612B"/>
    <w:rsid w:val="00766751"/>
    <w:rsid w:val="00767834"/>
    <w:rsid w:val="00770FC7"/>
    <w:rsid w:val="007755C9"/>
    <w:rsid w:val="00775C30"/>
    <w:rsid w:val="007762E5"/>
    <w:rsid w:val="00781D1D"/>
    <w:rsid w:val="00783357"/>
    <w:rsid w:val="007859BC"/>
    <w:rsid w:val="007A116B"/>
    <w:rsid w:val="007A1D37"/>
    <w:rsid w:val="007A30CF"/>
    <w:rsid w:val="007A4339"/>
    <w:rsid w:val="007A7D84"/>
    <w:rsid w:val="007B7EC9"/>
    <w:rsid w:val="007B7F41"/>
    <w:rsid w:val="007C49D6"/>
    <w:rsid w:val="007C7832"/>
    <w:rsid w:val="007D0017"/>
    <w:rsid w:val="007D3B9D"/>
    <w:rsid w:val="007D4BC9"/>
    <w:rsid w:val="007E13BD"/>
    <w:rsid w:val="007E6FF4"/>
    <w:rsid w:val="007E7D4A"/>
    <w:rsid w:val="007F17EA"/>
    <w:rsid w:val="007F40C6"/>
    <w:rsid w:val="007F5CFD"/>
    <w:rsid w:val="00801DCC"/>
    <w:rsid w:val="008054C6"/>
    <w:rsid w:val="00811529"/>
    <w:rsid w:val="008170BE"/>
    <w:rsid w:val="008179D6"/>
    <w:rsid w:val="00817E32"/>
    <w:rsid w:val="00822E54"/>
    <w:rsid w:val="0082655F"/>
    <w:rsid w:val="00826ABD"/>
    <w:rsid w:val="00830893"/>
    <w:rsid w:val="008311A4"/>
    <w:rsid w:val="0083283A"/>
    <w:rsid w:val="00834AEF"/>
    <w:rsid w:val="0083707C"/>
    <w:rsid w:val="00840ACD"/>
    <w:rsid w:val="0085044D"/>
    <w:rsid w:val="00852436"/>
    <w:rsid w:val="0085442C"/>
    <w:rsid w:val="0085670E"/>
    <w:rsid w:val="008568F9"/>
    <w:rsid w:val="00856BA6"/>
    <w:rsid w:val="00860757"/>
    <w:rsid w:val="008614FD"/>
    <w:rsid w:val="00863E31"/>
    <w:rsid w:val="00864E77"/>
    <w:rsid w:val="008744C5"/>
    <w:rsid w:val="00875A98"/>
    <w:rsid w:val="00877E44"/>
    <w:rsid w:val="00890D68"/>
    <w:rsid w:val="00891596"/>
    <w:rsid w:val="008934CD"/>
    <w:rsid w:val="0089477F"/>
    <w:rsid w:val="00894F95"/>
    <w:rsid w:val="008960DA"/>
    <w:rsid w:val="008A3294"/>
    <w:rsid w:val="008A517F"/>
    <w:rsid w:val="008B0166"/>
    <w:rsid w:val="008B5334"/>
    <w:rsid w:val="008B580F"/>
    <w:rsid w:val="008B66B7"/>
    <w:rsid w:val="008B7426"/>
    <w:rsid w:val="008C01D5"/>
    <w:rsid w:val="008C114E"/>
    <w:rsid w:val="008C2360"/>
    <w:rsid w:val="008C534D"/>
    <w:rsid w:val="008D1DD1"/>
    <w:rsid w:val="008E1A8D"/>
    <w:rsid w:val="008E1DA9"/>
    <w:rsid w:val="008E41D4"/>
    <w:rsid w:val="008E459E"/>
    <w:rsid w:val="008E495C"/>
    <w:rsid w:val="008E6DD4"/>
    <w:rsid w:val="008E6EE8"/>
    <w:rsid w:val="008F03E9"/>
    <w:rsid w:val="008F1EAC"/>
    <w:rsid w:val="008F2A7E"/>
    <w:rsid w:val="00900A62"/>
    <w:rsid w:val="009010F0"/>
    <w:rsid w:val="00910AD8"/>
    <w:rsid w:val="00913015"/>
    <w:rsid w:val="00921434"/>
    <w:rsid w:val="009233B5"/>
    <w:rsid w:val="00926FB5"/>
    <w:rsid w:val="00927444"/>
    <w:rsid w:val="009302FD"/>
    <w:rsid w:val="0093333A"/>
    <w:rsid w:val="00935F3E"/>
    <w:rsid w:val="009410D3"/>
    <w:rsid w:val="0094562D"/>
    <w:rsid w:val="00953949"/>
    <w:rsid w:val="00953FE9"/>
    <w:rsid w:val="00956209"/>
    <w:rsid w:val="00963BA4"/>
    <w:rsid w:val="009649F4"/>
    <w:rsid w:val="009719BD"/>
    <w:rsid w:val="009751EE"/>
    <w:rsid w:val="00975A54"/>
    <w:rsid w:val="00983C73"/>
    <w:rsid w:val="00993746"/>
    <w:rsid w:val="009A23FC"/>
    <w:rsid w:val="009A2856"/>
    <w:rsid w:val="009A3F22"/>
    <w:rsid w:val="009A4C2F"/>
    <w:rsid w:val="009A6502"/>
    <w:rsid w:val="009C1F20"/>
    <w:rsid w:val="009C3FE5"/>
    <w:rsid w:val="009D0EEC"/>
    <w:rsid w:val="009D34EF"/>
    <w:rsid w:val="009D402F"/>
    <w:rsid w:val="009D55C5"/>
    <w:rsid w:val="009D7E0F"/>
    <w:rsid w:val="009E2C7B"/>
    <w:rsid w:val="009E656D"/>
    <w:rsid w:val="009E7750"/>
    <w:rsid w:val="009F19DA"/>
    <w:rsid w:val="009F33C5"/>
    <w:rsid w:val="009F33EE"/>
    <w:rsid w:val="009F7180"/>
    <w:rsid w:val="00A02B7B"/>
    <w:rsid w:val="00A0470B"/>
    <w:rsid w:val="00A06640"/>
    <w:rsid w:val="00A125E5"/>
    <w:rsid w:val="00A1319A"/>
    <w:rsid w:val="00A14FB2"/>
    <w:rsid w:val="00A15961"/>
    <w:rsid w:val="00A15F6F"/>
    <w:rsid w:val="00A17507"/>
    <w:rsid w:val="00A211F5"/>
    <w:rsid w:val="00A2274A"/>
    <w:rsid w:val="00A30987"/>
    <w:rsid w:val="00A333F9"/>
    <w:rsid w:val="00A345F5"/>
    <w:rsid w:val="00A351AA"/>
    <w:rsid w:val="00A37EA0"/>
    <w:rsid w:val="00A4242C"/>
    <w:rsid w:val="00A44077"/>
    <w:rsid w:val="00A456ED"/>
    <w:rsid w:val="00A50457"/>
    <w:rsid w:val="00A50F37"/>
    <w:rsid w:val="00A5354D"/>
    <w:rsid w:val="00A53941"/>
    <w:rsid w:val="00A60402"/>
    <w:rsid w:val="00A6184C"/>
    <w:rsid w:val="00A61D91"/>
    <w:rsid w:val="00A62177"/>
    <w:rsid w:val="00A62839"/>
    <w:rsid w:val="00A63A24"/>
    <w:rsid w:val="00A640EB"/>
    <w:rsid w:val="00A65797"/>
    <w:rsid w:val="00A65F20"/>
    <w:rsid w:val="00A714E9"/>
    <w:rsid w:val="00A74512"/>
    <w:rsid w:val="00A749B9"/>
    <w:rsid w:val="00A76E4C"/>
    <w:rsid w:val="00A81D69"/>
    <w:rsid w:val="00A84004"/>
    <w:rsid w:val="00A858F9"/>
    <w:rsid w:val="00A87125"/>
    <w:rsid w:val="00A906E0"/>
    <w:rsid w:val="00A91DC2"/>
    <w:rsid w:val="00A926F3"/>
    <w:rsid w:val="00A92D6C"/>
    <w:rsid w:val="00A97B38"/>
    <w:rsid w:val="00AA368A"/>
    <w:rsid w:val="00AA5FF9"/>
    <w:rsid w:val="00AB0320"/>
    <w:rsid w:val="00AB4368"/>
    <w:rsid w:val="00AB53F6"/>
    <w:rsid w:val="00AB6176"/>
    <w:rsid w:val="00AB75FE"/>
    <w:rsid w:val="00AC00F1"/>
    <w:rsid w:val="00AC0239"/>
    <w:rsid w:val="00AC0AA1"/>
    <w:rsid w:val="00AC74F1"/>
    <w:rsid w:val="00AC75E0"/>
    <w:rsid w:val="00AD2019"/>
    <w:rsid w:val="00AD20FE"/>
    <w:rsid w:val="00AD3ED3"/>
    <w:rsid w:val="00AD499B"/>
    <w:rsid w:val="00AD4B24"/>
    <w:rsid w:val="00AD4C52"/>
    <w:rsid w:val="00AD5886"/>
    <w:rsid w:val="00AE0CBC"/>
    <w:rsid w:val="00AE2110"/>
    <w:rsid w:val="00AE774E"/>
    <w:rsid w:val="00AF04AA"/>
    <w:rsid w:val="00AF4221"/>
    <w:rsid w:val="00AF71F3"/>
    <w:rsid w:val="00AF7995"/>
    <w:rsid w:val="00B06BA3"/>
    <w:rsid w:val="00B158A5"/>
    <w:rsid w:val="00B21539"/>
    <w:rsid w:val="00B215B9"/>
    <w:rsid w:val="00B22626"/>
    <w:rsid w:val="00B22E02"/>
    <w:rsid w:val="00B238D2"/>
    <w:rsid w:val="00B26714"/>
    <w:rsid w:val="00B26A32"/>
    <w:rsid w:val="00B307B8"/>
    <w:rsid w:val="00B30DEF"/>
    <w:rsid w:val="00B312A7"/>
    <w:rsid w:val="00B3253B"/>
    <w:rsid w:val="00B33E07"/>
    <w:rsid w:val="00B370C0"/>
    <w:rsid w:val="00B422CB"/>
    <w:rsid w:val="00B42455"/>
    <w:rsid w:val="00B44357"/>
    <w:rsid w:val="00B46642"/>
    <w:rsid w:val="00B476BC"/>
    <w:rsid w:val="00B52824"/>
    <w:rsid w:val="00B57901"/>
    <w:rsid w:val="00B70B64"/>
    <w:rsid w:val="00B7470C"/>
    <w:rsid w:val="00B754C2"/>
    <w:rsid w:val="00B86CB8"/>
    <w:rsid w:val="00B8702D"/>
    <w:rsid w:val="00B96436"/>
    <w:rsid w:val="00BA1AA6"/>
    <w:rsid w:val="00BA41EB"/>
    <w:rsid w:val="00BB6E34"/>
    <w:rsid w:val="00BC0989"/>
    <w:rsid w:val="00BC11F0"/>
    <w:rsid w:val="00BC5804"/>
    <w:rsid w:val="00BC62FE"/>
    <w:rsid w:val="00BD057E"/>
    <w:rsid w:val="00BD155A"/>
    <w:rsid w:val="00BD1929"/>
    <w:rsid w:val="00BD340A"/>
    <w:rsid w:val="00BD5385"/>
    <w:rsid w:val="00BE0BDF"/>
    <w:rsid w:val="00BE1F26"/>
    <w:rsid w:val="00BE26D3"/>
    <w:rsid w:val="00BE37FC"/>
    <w:rsid w:val="00BE53AD"/>
    <w:rsid w:val="00BE54AD"/>
    <w:rsid w:val="00BE60CE"/>
    <w:rsid w:val="00BF36E7"/>
    <w:rsid w:val="00C0022F"/>
    <w:rsid w:val="00C037BC"/>
    <w:rsid w:val="00C056D2"/>
    <w:rsid w:val="00C06ADA"/>
    <w:rsid w:val="00C06EF4"/>
    <w:rsid w:val="00C10C61"/>
    <w:rsid w:val="00C1429B"/>
    <w:rsid w:val="00C20A39"/>
    <w:rsid w:val="00C21AE9"/>
    <w:rsid w:val="00C24D32"/>
    <w:rsid w:val="00C25CEC"/>
    <w:rsid w:val="00C25EFA"/>
    <w:rsid w:val="00C270A5"/>
    <w:rsid w:val="00C279B5"/>
    <w:rsid w:val="00C27E6B"/>
    <w:rsid w:val="00C33532"/>
    <w:rsid w:val="00C33F59"/>
    <w:rsid w:val="00C371A7"/>
    <w:rsid w:val="00C37707"/>
    <w:rsid w:val="00C47863"/>
    <w:rsid w:val="00C53A4F"/>
    <w:rsid w:val="00C56AA4"/>
    <w:rsid w:val="00C57529"/>
    <w:rsid w:val="00C57796"/>
    <w:rsid w:val="00C64BD2"/>
    <w:rsid w:val="00C81D7F"/>
    <w:rsid w:val="00C84972"/>
    <w:rsid w:val="00C85ECE"/>
    <w:rsid w:val="00C90E06"/>
    <w:rsid w:val="00C92CF2"/>
    <w:rsid w:val="00C95B18"/>
    <w:rsid w:val="00C95D4E"/>
    <w:rsid w:val="00CA1E1D"/>
    <w:rsid w:val="00CB2CA9"/>
    <w:rsid w:val="00CB31B9"/>
    <w:rsid w:val="00CB6DA3"/>
    <w:rsid w:val="00CB772E"/>
    <w:rsid w:val="00CB7BAC"/>
    <w:rsid w:val="00CC0559"/>
    <w:rsid w:val="00CC18BE"/>
    <w:rsid w:val="00CC3C77"/>
    <w:rsid w:val="00CC650C"/>
    <w:rsid w:val="00CD5CDC"/>
    <w:rsid w:val="00CE4F43"/>
    <w:rsid w:val="00CE71F0"/>
    <w:rsid w:val="00CF1A16"/>
    <w:rsid w:val="00CF24D4"/>
    <w:rsid w:val="00CF35B8"/>
    <w:rsid w:val="00D05273"/>
    <w:rsid w:val="00D07BC0"/>
    <w:rsid w:val="00D21281"/>
    <w:rsid w:val="00D24536"/>
    <w:rsid w:val="00D2460F"/>
    <w:rsid w:val="00D27462"/>
    <w:rsid w:val="00D2771A"/>
    <w:rsid w:val="00D3195D"/>
    <w:rsid w:val="00D32F55"/>
    <w:rsid w:val="00D379F8"/>
    <w:rsid w:val="00D434DF"/>
    <w:rsid w:val="00D44D6D"/>
    <w:rsid w:val="00D47537"/>
    <w:rsid w:val="00D516B3"/>
    <w:rsid w:val="00D5362E"/>
    <w:rsid w:val="00D5450C"/>
    <w:rsid w:val="00D55A94"/>
    <w:rsid w:val="00D55AA3"/>
    <w:rsid w:val="00D62DD2"/>
    <w:rsid w:val="00D63B07"/>
    <w:rsid w:val="00D64763"/>
    <w:rsid w:val="00D65476"/>
    <w:rsid w:val="00D700C4"/>
    <w:rsid w:val="00D72354"/>
    <w:rsid w:val="00D733E8"/>
    <w:rsid w:val="00D744D0"/>
    <w:rsid w:val="00D7516B"/>
    <w:rsid w:val="00D80BC5"/>
    <w:rsid w:val="00D82878"/>
    <w:rsid w:val="00D87420"/>
    <w:rsid w:val="00D875D6"/>
    <w:rsid w:val="00D90ABE"/>
    <w:rsid w:val="00D911F0"/>
    <w:rsid w:val="00DA29C0"/>
    <w:rsid w:val="00DA65A4"/>
    <w:rsid w:val="00DB3E57"/>
    <w:rsid w:val="00DC132B"/>
    <w:rsid w:val="00DC5644"/>
    <w:rsid w:val="00DC6EBD"/>
    <w:rsid w:val="00DE04AA"/>
    <w:rsid w:val="00DE1E41"/>
    <w:rsid w:val="00DE5042"/>
    <w:rsid w:val="00DE6593"/>
    <w:rsid w:val="00DF152F"/>
    <w:rsid w:val="00DF2221"/>
    <w:rsid w:val="00DF2851"/>
    <w:rsid w:val="00DF3D23"/>
    <w:rsid w:val="00DF600F"/>
    <w:rsid w:val="00DF73DF"/>
    <w:rsid w:val="00E0466D"/>
    <w:rsid w:val="00E10587"/>
    <w:rsid w:val="00E13571"/>
    <w:rsid w:val="00E14882"/>
    <w:rsid w:val="00E20504"/>
    <w:rsid w:val="00E2415E"/>
    <w:rsid w:val="00E30783"/>
    <w:rsid w:val="00E36966"/>
    <w:rsid w:val="00E370EA"/>
    <w:rsid w:val="00E41A94"/>
    <w:rsid w:val="00E45F66"/>
    <w:rsid w:val="00E53DD4"/>
    <w:rsid w:val="00E54D4E"/>
    <w:rsid w:val="00E54E49"/>
    <w:rsid w:val="00E60A53"/>
    <w:rsid w:val="00E658C8"/>
    <w:rsid w:val="00E65D66"/>
    <w:rsid w:val="00E65DB4"/>
    <w:rsid w:val="00E65FDD"/>
    <w:rsid w:val="00E717FB"/>
    <w:rsid w:val="00E852CA"/>
    <w:rsid w:val="00E95E4D"/>
    <w:rsid w:val="00E96CC2"/>
    <w:rsid w:val="00EA0724"/>
    <w:rsid w:val="00EA7AAC"/>
    <w:rsid w:val="00EB3CFB"/>
    <w:rsid w:val="00EB43BA"/>
    <w:rsid w:val="00EB793D"/>
    <w:rsid w:val="00ED7C21"/>
    <w:rsid w:val="00EE011E"/>
    <w:rsid w:val="00EF08F7"/>
    <w:rsid w:val="00EF1990"/>
    <w:rsid w:val="00F009BA"/>
    <w:rsid w:val="00F012B8"/>
    <w:rsid w:val="00F06A91"/>
    <w:rsid w:val="00F06ED9"/>
    <w:rsid w:val="00F1287E"/>
    <w:rsid w:val="00F12DED"/>
    <w:rsid w:val="00F139D6"/>
    <w:rsid w:val="00F14220"/>
    <w:rsid w:val="00F15F84"/>
    <w:rsid w:val="00F178C2"/>
    <w:rsid w:val="00F17A5B"/>
    <w:rsid w:val="00F22CE1"/>
    <w:rsid w:val="00F26F7E"/>
    <w:rsid w:val="00F2743C"/>
    <w:rsid w:val="00F309AC"/>
    <w:rsid w:val="00F3333B"/>
    <w:rsid w:val="00F404DA"/>
    <w:rsid w:val="00F40632"/>
    <w:rsid w:val="00F434C1"/>
    <w:rsid w:val="00F44973"/>
    <w:rsid w:val="00F47D80"/>
    <w:rsid w:val="00F552A1"/>
    <w:rsid w:val="00F61F7E"/>
    <w:rsid w:val="00F621AC"/>
    <w:rsid w:val="00F62E31"/>
    <w:rsid w:val="00F63EEA"/>
    <w:rsid w:val="00F64266"/>
    <w:rsid w:val="00F66755"/>
    <w:rsid w:val="00F70574"/>
    <w:rsid w:val="00F70963"/>
    <w:rsid w:val="00F73565"/>
    <w:rsid w:val="00F77425"/>
    <w:rsid w:val="00F81C0E"/>
    <w:rsid w:val="00F83266"/>
    <w:rsid w:val="00F85F29"/>
    <w:rsid w:val="00F90419"/>
    <w:rsid w:val="00F94AC7"/>
    <w:rsid w:val="00F9622A"/>
    <w:rsid w:val="00FA0561"/>
    <w:rsid w:val="00FA1A25"/>
    <w:rsid w:val="00FA2672"/>
    <w:rsid w:val="00FA31F0"/>
    <w:rsid w:val="00FB08C9"/>
    <w:rsid w:val="00FB2981"/>
    <w:rsid w:val="00FB2F41"/>
    <w:rsid w:val="00FC0877"/>
    <w:rsid w:val="00FC2623"/>
    <w:rsid w:val="00FC4852"/>
    <w:rsid w:val="00FD1EA8"/>
    <w:rsid w:val="00FD358A"/>
    <w:rsid w:val="00FD6514"/>
    <w:rsid w:val="00FD65F0"/>
    <w:rsid w:val="00FE0328"/>
    <w:rsid w:val="00FE5F76"/>
    <w:rsid w:val="00FF4F54"/>
    <w:rsid w:val="00FF6B0A"/>
    <w:rsid w:val="00FF7599"/>
    <w:rsid w:val="00FF7D24"/>
    <w:rsid w:val="01345D26"/>
    <w:rsid w:val="014632E9"/>
    <w:rsid w:val="01467153"/>
    <w:rsid w:val="01522069"/>
    <w:rsid w:val="01574F96"/>
    <w:rsid w:val="01A675FD"/>
    <w:rsid w:val="01AC5842"/>
    <w:rsid w:val="01C012ED"/>
    <w:rsid w:val="01CC6AA1"/>
    <w:rsid w:val="024143A5"/>
    <w:rsid w:val="02511F45"/>
    <w:rsid w:val="02624152"/>
    <w:rsid w:val="02AA6285"/>
    <w:rsid w:val="02E364D6"/>
    <w:rsid w:val="02EB4A36"/>
    <w:rsid w:val="02F54FC6"/>
    <w:rsid w:val="0328714A"/>
    <w:rsid w:val="033C49A3"/>
    <w:rsid w:val="034A1D26"/>
    <w:rsid w:val="037D6919"/>
    <w:rsid w:val="03D80B70"/>
    <w:rsid w:val="04033EF9"/>
    <w:rsid w:val="04180F6C"/>
    <w:rsid w:val="046046C1"/>
    <w:rsid w:val="046248DD"/>
    <w:rsid w:val="04803673"/>
    <w:rsid w:val="04804F9A"/>
    <w:rsid w:val="04BD38C2"/>
    <w:rsid w:val="04FE63B4"/>
    <w:rsid w:val="050815A0"/>
    <w:rsid w:val="050C7C4F"/>
    <w:rsid w:val="05104339"/>
    <w:rsid w:val="053E703C"/>
    <w:rsid w:val="054664E2"/>
    <w:rsid w:val="054A15F9"/>
    <w:rsid w:val="059565ED"/>
    <w:rsid w:val="05972AD2"/>
    <w:rsid w:val="0627129F"/>
    <w:rsid w:val="06463B97"/>
    <w:rsid w:val="06464E67"/>
    <w:rsid w:val="06473D8B"/>
    <w:rsid w:val="065B5A88"/>
    <w:rsid w:val="065F4E1B"/>
    <w:rsid w:val="068C52E6"/>
    <w:rsid w:val="068D20E8"/>
    <w:rsid w:val="06FC6923"/>
    <w:rsid w:val="072D35DD"/>
    <w:rsid w:val="075E75DE"/>
    <w:rsid w:val="0771568B"/>
    <w:rsid w:val="079528D4"/>
    <w:rsid w:val="07BE007D"/>
    <w:rsid w:val="07E33364"/>
    <w:rsid w:val="08157B45"/>
    <w:rsid w:val="082A3964"/>
    <w:rsid w:val="083D40BE"/>
    <w:rsid w:val="08912E1B"/>
    <w:rsid w:val="08D631A4"/>
    <w:rsid w:val="08D64D27"/>
    <w:rsid w:val="09034F91"/>
    <w:rsid w:val="09320D22"/>
    <w:rsid w:val="093F6F9B"/>
    <w:rsid w:val="09412D13"/>
    <w:rsid w:val="095F3199"/>
    <w:rsid w:val="09954E0D"/>
    <w:rsid w:val="0A014251"/>
    <w:rsid w:val="0A2C1F3B"/>
    <w:rsid w:val="0A2F7010"/>
    <w:rsid w:val="0A3D0F6E"/>
    <w:rsid w:val="0A6C2012"/>
    <w:rsid w:val="0A6F565E"/>
    <w:rsid w:val="0A7333A0"/>
    <w:rsid w:val="0A8B1712"/>
    <w:rsid w:val="0A9A1836"/>
    <w:rsid w:val="0AA9360F"/>
    <w:rsid w:val="0AD025A1"/>
    <w:rsid w:val="0B00275A"/>
    <w:rsid w:val="0B0E30C9"/>
    <w:rsid w:val="0B1A381C"/>
    <w:rsid w:val="0B1B1342"/>
    <w:rsid w:val="0B3F3282"/>
    <w:rsid w:val="0B6B051B"/>
    <w:rsid w:val="0B8561A2"/>
    <w:rsid w:val="0B94070D"/>
    <w:rsid w:val="0B9F6417"/>
    <w:rsid w:val="0C087B18"/>
    <w:rsid w:val="0C77469D"/>
    <w:rsid w:val="0C782EF0"/>
    <w:rsid w:val="0C8F1FE8"/>
    <w:rsid w:val="0CE73BD2"/>
    <w:rsid w:val="0CF87B8D"/>
    <w:rsid w:val="0D110C4F"/>
    <w:rsid w:val="0D5A05AA"/>
    <w:rsid w:val="0D8F6585"/>
    <w:rsid w:val="0DFF319D"/>
    <w:rsid w:val="0E4C3854"/>
    <w:rsid w:val="0E682AF0"/>
    <w:rsid w:val="0F3C6853"/>
    <w:rsid w:val="0F3E4194"/>
    <w:rsid w:val="0F4C4678"/>
    <w:rsid w:val="0F5512EC"/>
    <w:rsid w:val="0FB12275"/>
    <w:rsid w:val="0FF36689"/>
    <w:rsid w:val="0FFF7484"/>
    <w:rsid w:val="102313C5"/>
    <w:rsid w:val="10245B94"/>
    <w:rsid w:val="104D4694"/>
    <w:rsid w:val="10635C65"/>
    <w:rsid w:val="1068327B"/>
    <w:rsid w:val="108F261A"/>
    <w:rsid w:val="10993802"/>
    <w:rsid w:val="109D39D7"/>
    <w:rsid w:val="10C2608D"/>
    <w:rsid w:val="10CD0CF1"/>
    <w:rsid w:val="10EE4152"/>
    <w:rsid w:val="111C72EA"/>
    <w:rsid w:val="112004FD"/>
    <w:rsid w:val="11205904"/>
    <w:rsid w:val="11355890"/>
    <w:rsid w:val="11BD13A5"/>
    <w:rsid w:val="12062D4C"/>
    <w:rsid w:val="12502219"/>
    <w:rsid w:val="12971BF6"/>
    <w:rsid w:val="12BE7183"/>
    <w:rsid w:val="12D20E80"/>
    <w:rsid w:val="130A061A"/>
    <w:rsid w:val="130D010A"/>
    <w:rsid w:val="13345697"/>
    <w:rsid w:val="133B07D3"/>
    <w:rsid w:val="133E2072"/>
    <w:rsid w:val="13441D7E"/>
    <w:rsid w:val="13453400"/>
    <w:rsid w:val="13581385"/>
    <w:rsid w:val="137645D0"/>
    <w:rsid w:val="1382238D"/>
    <w:rsid w:val="138A175B"/>
    <w:rsid w:val="139B65FE"/>
    <w:rsid w:val="13EE5846"/>
    <w:rsid w:val="13F37300"/>
    <w:rsid w:val="14215C1B"/>
    <w:rsid w:val="143934C6"/>
    <w:rsid w:val="143A0A8B"/>
    <w:rsid w:val="1441006B"/>
    <w:rsid w:val="148E1301"/>
    <w:rsid w:val="14A1264A"/>
    <w:rsid w:val="14C76713"/>
    <w:rsid w:val="15387C1C"/>
    <w:rsid w:val="154468AA"/>
    <w:rsid w:val="1568799D"/>
    <w:rsid w:val="15802E15"/>
    <w:rsid w:val="15C471E1"/>
    <w:rsid w:val="15C9656A"/>
    <w:rsid w:val="1647748F"/>
    <w:rsid w:val="16640041"/>
    <w:rsid w:val="166C6A53"/>
    <w:rsid w:val="1698318E"/>
    <w:rsid w:val="16C94348"/>
    <w:rsid w:val="16F2564D"/>
    <w:rsid w:val="172F176E"/>
    <w:rsid w:val="172F4AF3"/>
    <w:rsid w:val="17852965"/>
    <w:rsid w:val="17942BA8"/>
    <w:rsid w:val="17A2170B"/>
    <w:rsid w:val="17AA1F60"/>
    <w:rsid w:val="18071327"/>
    <w:rsid w:val="18EC5C09"/>
    <w:rsid w:val="19625922"/>
    <w:rsid w:val="19D97032"/>
    <w:rsid w:val="1A09739F"/>
    <w:rsid w:val="1A195DE0"/>
    <w:rsid w:val="1A5B175B"/>
    <w:rsid w:val="1A696650"/>
    <w:rsid w:val="1A8C5DB8"/>
    <w:rsid w:val="1AB570BD"/>
    <w:rsid w:val="1B193AF0"/>
    <w:rsid w:val="1B1A33C4"/>
    <w:rsid w:val="1B1F09DB"/>
    <w:rsid w:val="1B3D7752"/>
    <w:rsid w:val="1B4F7512"/>
    <w:rsid w:val="1B512F85"/>
    <w:rsid w:val="1B635F12"/>
    <w:rsid w:val="1B6805D3"/>
    <w:rsid w:val="1B824429"/>
    <w:rsid w:val="1B943177"/>
    <w:rsid w:val="1BA20F42"/>
    <w:rsid w:val="1BBB2C30"/>
    <w:rsid w:val="1BC82E20"/>
    <w:rsid w:val="1BFD51C0"/>
    <w:rsid w:val="1C3F40DA"/>
    <w:rsid w:val="1C723080"/>
    <w:rsid w:val="1CC83DF4"/>
    <w:rsid w:val="1CC9462C"/>
    <w:rsid w:val="1CD31A7D"/>
    <w:rsid w:val="1D3C1D18"/>
    <w:rsid w:val="1D434E54"/>
    <w:rsid w:val="1D4952BB"/>
    <w:rsid w:val="1D9456B0"/>
    <w:rsid w:val="1DA43419"/>
    <w:rsid w:val="1DB55626"/>
    <w:rsid w:val="1DC1221D"/>
    <w:rsid w:val="1DF24184"/>
    <w:rsid w:val="1DF95513"/>
    <w:rsid w:val="1E0E5E27"/>
    <w:rsid w:val="1E2F5E9E"/>
    <w:rsid w:val="1E335C29"/>
    <w:rsid w:val="1E641526"/>
    <w:rsid w:val="1E7B061E"/>
    <w:rsid w:val="1E9D2342"/>
    <w:rsid w:val="1F2B3DF2"/>
    <w:rsid w:val="1F6C57A5"/>
    <w:rsid w:val="1FE3647B"/>
    <w:rsid w:val="2012488B"/>
    <w:rsid w:val="204175F0"/>
    <w:rsid w:val="204A02A8"/>
    <w:rsid w:val="206201FF"/>
    <w:rsid w:val="20C05F85"/>
    <w:rsid w:val="20D90FC2"/>
    <w:rsid w:val="20EA08FD"/>
    <w:rsid w:val="2130749E"/>
    <w:rsid w:val="21364E65"/>
    <w:rsid w:val="21423675"/>
    <w:rsid w:val="21823126"/>
    <w:rsid w:val="21A165ED"/>
    <w:rsid w:val="21A97250"/>
    <w:rsid w:val="21F26E49"/>
    <w:rsid w:val="22370D00"/>
    <w:rsid w:val="225E0B48"/>
    <w:rsid w:val="22AF239F"/>
    <w:rsid w:val="22BC502D"/>
    <w:rsid w:val="22CF2CE6"/>
    <w:rsid w:val="23250B58"/>
    <w:rsid w:val="23526DC2"/>
    <w:rsid w:val="237A0EA4"/>
    <w:rsid w:val="239A1546"/>
    <w:rsid w:val="23A10B26"/>
    <w:rsid w:val="23A203FB"/>
    <w:rsid w:val="23DA5DE6"/>
    <w:rsid w:val="23E12CD1"/>
    <w:rsid w:val="23FF584D"/>
    <w:rsid w:val="24531088"/>
    <w:rsid w:val="24765B0F"/>
    <w:rsid w:val="24863878"/>
    <w:rsid w:val="24C06D8A"/>
    <w:rsid w:val="25495F2B"/>
    <w:rsid w:val="25A71CF8"/>
    <w:rsid w:val="25CC175F"/>
    <w:rsid w:val="264F5280"/>
    <w:rsid w:val="266320C3"/>
    <w:rsid w:val="26924756"/>
    <w:rsid w:val="26973AFF"/>
    <w:rsid w:val="269A27D2"/>
    <w:rsid w:val="26B50445"/>
    <w:rsid w:val="270F6BC1"/>
    <w:rsid w:val="27176AE6"/>
    <w:rsid w:val="27494925"/>
    <w:rsid w:val="275C22AA"/>
    <w:rsid w:val="276F7FE3"/>
    <w:rsid w:val="277828E5"/>
    <w:rsid w:val="277C14E8"/>
    <w:rsid w:val="278E3170"/>
    <w:rsid w:val="27F154AD"/>
    <w:rsid w:val="287560DE"/>
    <w:rsid w:val="287E64FF"/>
    <w:rsid w:val="28F3452B"/>
    <w:rsid w:val="290A4A78"/>
    <w:rsid w:val="293D4E4D"/>
    <w:rsid w:val="296A3B7E"/>
    <w:rsid w:val="29890093"/>
    <w:rsid w:val="29C166AB"/>
    <w:rsid w:val="2A1D34C9"/>
    <w:rsid w:val="2A426494"/>
    <w:rsid w:val="2A6401B8"/>
    <w:rsid w:val="2A7F6E7A"/>
    <w:rsid w:val="2A911801"/>
    <w:rsid w:val="2AA73F5B"/>
    <w:rsid w:val="2ABF1892"/>
    <w:rsid w:val="2B2A341A"/>
    <w:rsid w:val="2B434271"/>
    <w:rsid w:val="2B6D7540"/>
    <w:rsid w:val="2B821321"/>
    <w:rsid w:val="2B9A365B"/>
    <w:rsid w:val="2BF65788"/>
    <w:rsid w:val="2C332538"/>
    <w:rsid w:val="2C581F9E"/>
    <w:rsid w:val="2C6C77F8"/>
    <w:rsid w:val="2C740FEC"/>
    <w:rsid w:val="2C9C00DD"/>
    <w:rsid w:val="2CAD22EA"/>
    <w:rsid w:val="2CB52F4D"/>
    <w:rsid w:val="2CC12406"/>
    <w:rsid w:val="2D145EC5"/>
    <w:rsid w:val="2D2D4762"/>
    <w:rsid w:val="2D3D4536"/>
    <w:rsid w:val="2D46055A"/>
    <w:rsid w:val="2D5B3AF4"/>
    <w:rsid w:val="2D5D5601"/>
    <w:rsid w:val="2D684463"/>
    <w:rsid w:val="2D6C2E14"/>
    <w:rsid w:val="2D8D7A26"/>
    <w:rsid w:val="2DB11966"/>
    <w:rsid w:val="2DBD655D"/>
    <w:rsid w:val="2DD92C6B"/>
    <w:rsid w:val="2DFF2FAC"/>
    <w:rsid w:val="2E5C3FC8"/>
    <w:rsid w:val="2E5C5D76"/>
    <w:rsid w:val="2E60513A"/>
    <w:rsid w:val="2E942DA3"/>
    <w:rsid w:val="2E9B1D93"/>
    <w:rsid w:val="2E9E0F2A"/>
    <w:rsid w:val="2ED753FC"/>
    <w:rsid w:val="2F261EE0"/>
    <w:rsid w:val="2F5C0CCC"/>
    <w:rsid w:val="2F6F37B0"/>
    <w:rsid w:val="2F880A4C"/>
    <w:rsid w:val="2F9432ED"/>
    <w:rsid w:val="2FF5456B"/>
    <w:rsid w:val="30565AB0"/>
    <w:rsid w:val="31164224"/>
    <w:rsid w:val="31576CC8"/>
    <w:rsid w:val="31603DCF"/>
    <w:rsid w:val="317B1554"/>
    <w:rsid w:val="31A365D3"/>
    <w:rsid w:val="31C205E6"/>
    <w:rsid w:val="31D739AE"/>
    <w:rsid w:val="323668DE"/>
    <w:rsid w:val="324F5BF1"/>
    <w:rsid w:val="32B53CA7"/>
    <w:rsid w:val="32FB17B4"/>
    <w:rsid w:val="330864CC"/>
    <w:rsid w:val="330B0A0D"/>
    <w:rsid w:val="33105381"/>
    <w:rsid w:val="33274478"/>
    <w:rsid w:val="33332E1D"/>
    <w:rsid w:val="33572FB0"/>
    <w:rsid w:val="33615BDC"/>
    <w:rsid w:val="33A1247D"/>
    <w:rsid w:val="33AD497E"/>
    <w:rsid w:val="33C77C45"/>
    <w:rsid w:val="33D90881"/>
    <w:rsid w:val="34100163"/>
    <w:rsid w:val="34192013"/>
    <w:rsid w:val="34C1339B"/>
    <w:rsid w:val="34E42621"/>
    <w:rsid w:val="35030B3B"/>
    <w:rsid w:val="35716505"/>
    <w:rsid w:val="35AA4670"/>
    <w:rsid w:val="35B2271F"/>
    <w:rsid w:val="35C44201"/>
    <w:rsid w:val="35CE6E2D"/>
    <w:rsid w:val="35EF74CF"/>
    <w:rsid w:val="36201D7F"/>
    <w:rsid w:val="36C814E0"/>
    <w:rsid w:val="36DB5CA6"/>
    <w:rsid w:val="36F54FB9"/>
    <w:rsid w:val="36F9612C"/>
    <w:rsid w:val="36FA437E"/>
    <w:rsid w:val="371F6EBA"/>
    <w:rsid w:val="37517D16"/>
    <w:rsid w:val="37781747"/>
    <w:rsid w:val="379A790F"/>
    <w:rsid w:val="37AD13F0"/>
    <w:rsid w:val="37B95137"/>
    <w:rsid w:val="37BD4720"/>
    <w:rsid w:val="38043ABB"/>
    <w:rsid w:val="381B27FE"/>
    <w:rsid w:val="382117A3"/>
    <w:rsid w:val="382F5543"/>
    <w:rsid w:val="38BB18EB"/>
    <w:rsid w:val="38DF5FA6"/>
    <w:rsid w:val="38E250CA"/>
    <w:rsid w:val="38F512A1"/>
    <w:rsid w:val="39495149"/>
    <w:rsid w:val="395A1D36"/>
    <w:rsid w:val="396678D9"/>
    <w:rsid w:val="39802015"/>
    <w:rsid w:val="39F552D0"/>
    <w:rsid w:val="3A7C154E"/>
    <w:rsid w:val="3A887EF3"/>
    <w:rsid w:val="3B5A363D"/>
    <w:rsid w:val="3B6014AD"/>
    <w:rsid w:val="3B8238CA"/>
    <w:rsid w:val="3B9052B1"/>
    <w:rsid w:val="3BAE1216"/>
    <w:rsid w:val="3BBD4D53"/>
    <w:rsid w:val="3C027831"/>
    <w:rsid w:val="3C320116"/>
    <w:rsid w:val="3C5A141B"/>
    <w:rsid w:val="3C5E715D"/>
    <w:rsid w:val="3C7A386B"/>
    <w:rsid w:val="3C7D23CD"/>
    <w:rsid w:val="3CCF06A3"/>
    <w:rsid w:val="3D2018F2"/>
    <w:rsid w:val="3D2C725B"/>
    <w:rsid w:val="3D436FFA"/>
    <w:rsid w:val="3D8F711B"/>
    <w:rsid w:val="3E1321C9"/>
    <w:rsid w:val="3E767B6A"/>
    <w:rsid w:val="3EF21DDE"/>
    <w:rsid w:val="3EF30A49"/>
    <w:rsid w:val="3EF43DA9"/>
    <w:rsid w:val="3EF72F98"/>
    <w:rsid w:val="3EFC4A0B"/>
    <w:rsid w:val="3F0F473E"/>
    <w:rsid w:val="3F1D3C1A"/>
    <w:rsid w:val="3F350890"/>
    <w:rsid w:val="3F4341B4"/>
    <w:rsid w:val="3F577E93"/>
    <w:rsid w:val="3F5F673C"/>
    <w:rsid w:val="3F942E96"/>
    <w:rsid w:val="3FA56E51"/>
    <w:rsid w:val="3FAC6431"/>
    <w:rsid w:val="405B5AC3"/>
    <w:rsid w:val="40C96B6F"/>
    <w:rsid w:val="41526B64"/>
    <w:rsid w:val="41D43A1D"/>
    <w:rsid w:val="41DC037B"/>
    <w:rsid w:val="42156510"/>
    <w:rsid w:val="42485886"/>
    <w:rsid w:val="4290203A"/>
    <w:rsid w:val="42CC41D7"/>
    <w:rsid w:val="42D02437"/>
    <w:rsid w:val="42F02AD9"/>
    <w:rsid w:val="42F33AF5"/>
    <w:rsid w:val="430A0598"/>
    <w:rsid w:val="43C24475"/>
    <w:rsid w:val="43D60B8C"/>
    <w:rsid w:val="43E02B4D"/>
    <w:rsid w:val="43E11F2A"/>
    <w:rsid w:val="44427364"/>
    <w:rsid w:val="44890AEF"/>
    <w:rsid w:val="44B55D88"/>
    <w:rsid w:val="44DE52DF"/>
    <w:rsid w:val="45102FBE"/>
    <w:rsid w:val="451256BF"/>
    <w:rsid w:val="45126D36"/>
    <w:rsid w:val="45336420"/>
    <w:rsid w:val="45440EBA"/>
    <w:rsid w:val="4557299B"/>
    <w:rsid w:val="4597723C"/>
    <w:rsid w:val="45AD2F03"/>
    <w:rsid w:val="45D229DB"/>
    <w:rsid w:val="460C7C2A"/>
    <w:rsid w:val="46902609"/>
    <w:rsid w:val="46A8758B"/>
    <w:rsid w:val="46AF27E0"/>
    <w:rsid w:val="46CB3641"/>
    <w:rsid w:val="47227BB6"/>
    <w:rsid w:val="472B40E0"/>
    <w:rsid w:val="47A048F3"/>
    <w:rsid w:val="47CA38F8"/>
    <w:rsid w:val="47F93F6E"/>
    <w:rsid w:val="47FB7F56"/>
    <w:rsid w:val="4812704D"/>
    <w:rsid w:val="486618BE"/>
    <w:rsid w:val="48BA396D"/>
    <w:rsid w:val="48C23F12"/>
    <w:rsid w:val="48F60788"/>
    <w:rsid w:val="499E328F"/>
    <w:rsid w:val="49A81A17"/>
    <w:rsid w:val="49EC22F3"/>
    <w:rsid w:val="4A3D2AA8"/>
    <w:rsid w:val="4A4D25BF"/>
    <w:rsid w:val="4A576C86"/>
    <w:rsid w:val="4A600544"/>
    <w:rsid w:val="4A95161D"/>
    <w:rsid w:val="4AC26B09"/>
    <w:rsid w:val="4AEF3392"/>
    <w:rsid w:val="4B0502F8"/>
    <w:rsid w:val="4B3913DA"/>
    <w:rsid w:val="4B42414F"/>
    <w:rsid w:val="4B586765"/>
    <w:rsid w:val="4B686A02"/>
    <w:rsid w:val="4B7C13AE"/>
    <w:rsid w:val="4B865D88"/>
    <w:rsid w:val="4BC62629"/>
    <w:rsid w:val="4C4243A5"/>
    <w:rsid w:val="4C51283A"/>
    <w:rsid w:val="4C5F151C"/>
    <w:rsid w:val="4C6312BA"/>
    <w:rsid w:val="4C673E0C"/>
    <w:rsid w:val="4C8D1FAD"/>
    <w:rsid w:val="4C8E75EA"/>
    <w:rsid w:val="4D2910C1"/>
    <w:rsid w:val="4D292E6F"/>
    <w:rsid w:val="4DA13FF6"/>
    <w:rsid w:val="4DA412A4"/>
    <w:rsid w:val="4E0010CE"/>
    <w:rsid w:val="4E676345"/>
    <w:rsid w:val="4E7740AE"/>
    <w:rsid w:val="4E9268D4"/>
    <w:rsid w:val="4F1E452A"/>
    <w:rsid w:val="4F377A85"/>
    <w:rsid w:val="4F4C71A9"/>
    <w:rsid w:val="4F691C49"/>
    <w:rsid w:val="4F8627FB"/>
    <w:rsid w:val="4F8C47C9"/>
    <w:rsid w:val="4F9D18F3"/>
    <w:rsid w:val="4FAD422B"/>
    <w:rsid w:val="4FCB6460"/>
    <w:rsid w:val="4FF82FCD"/>
    <w:rsid w:val="50153B7F"/>
    <w:rsid w:val="503A35E5"/>
    <w:rsid w:val="507B7E86"/>
    <w:rsid w:val="50974594"/>
    <w:rsid w:val="50B929A4"/>
    <w:rsid w:val="50C11611"/>
    <w:rsid w:val="50C8299F"/>
    <w:rsid w:val="51561E2D"/>
    <w:rsid w:val="51727CB0"/>
    <w:rsid w:val="51917A60"/>
    <w:rsid w:val="51A927D1"/>
    <w:rsid w:val="51B178D7"/>
    <w:rsid w:val="51C601D7"/>
    <w:rsid w:val="51EB2DE9"/>
    <w:rsid w:val="52412D41"/>
    <w:rsid w:val="526B431C"/>
    <w:rsid w:val="52880C25"/>
    <w:rsid w:val="52B70F1D"/>
    <w:rsid w:val="539B03B7"/>
    <w:rsid w:val="53B316E5"/>
    <w:rsid w:val="53C31BAF"/>
    <w:rsid w:val="53D855EF"/>
    <w:rsid w:val="53DD0E57"/>
    <w:rsid w:val="53FF0DCE"/>
    <w:rsid w:val="543071D9"/>
    <w:rsid w:val="54505185"/>
    <w:rsid w:val="54696A87"/>
    <w:rsid w:val="54817A35"/>
    <w:rsid w:val="549E2395"/>
    <w:rsid w:val="551C150B"/>
    <w:rsid w:val="55450A62"/>
    <w:rsid w:val="55733821"/>
    <w:rsid w:val="55741347"/>
    <w:rsid w:val="559F123D"/>
    <w:rsid w:val="55E00EC2"/>
    <w:rsid w:val="562B7C58"/>
    <w:rsid w:val="564E3947"/>
    <w:rsid w:val="56D55E16"/>
    <w:rsid w:val="57082344"/>
    <w:rsid w:val="57106E4E"/>
    <w:rsid w:val="5712263E"/>
    <w:rsid w:val="574058CA"/>
    <w:rsid w:val="5754217C"/>
    <w:rsid w:val="57763155"/>
    <w:rsid w:val="57FB7479"/>
    <w:rsid w:val="580544D9"/>
    <w:rsid w:val="583E393C"/>
    <w:rsid w:val="587A0A23"/>
    <w:rsid w:val="59050C34"/>
    <w:rsid w:val="59232E69"/>
    <w:rsid w:val="59AF6DF2"/>
    <w:rsid w:val="59DD74BB"/>
    <w:rsid w:val="5A026F22"/>
    <w:rsid w:val="5A105AE3"/>
    <w:rsid w:val="5A107B8C"/>
    <w:rsid w:val="5A53777D"/>
    <w:rsid w:val="5A9F74B7"/>
    <w:rsid w:val="5AD3266C"/>
    <w:rsid w:val="5B8B2F47"/>
    <w:rsid w:val="5BA10E26"/>
    <w:rsid w:val="5BE15F8D"/>
    <w:rsid w:val="5BE56E7A"/>
    <w:rsid w:val="5C1779E0"/>
    <w:rsid w:val="5C190553"/>
    <w:rsid w:val="5C4C0928"/>
    <w:rsid w:val="5CB52971"/>
    <w:rsid w:val="5D3F6747"/>
    <w:rsid w:val="5D6677C8"/>
    <w:rsid w:val="5D7874FB"/>
    <w:rsid w:val="5DB26EB1"/>
    <w:rsid w:val="5DF179D9"/>
    <w:rsid w:val="5DF55CAC"/>
    <w:rsid w:val="5E1436C8"/>
    <w:rsid w:val="5E2F22B0"/>
    <w:rsid w:val="5E323B4E"/>
    <w:rsid w:val="5E736640"/>
    <w:rsid w:val="5E875C48"/>
    <w:rsid w:val="5E9253CF"/>
    <w:rsid w:val="5EA031AD"/>
    <w:rsid w:val="5EBE3153"/>
    <w:rsid w:val="5F1D2DC0"/>
    <w:rsid w:val="5F627926"/>
    <w:rsid w:val="5F920D48"/>
    <w:rsid w:val="5F9A105E"/>
    <w:rsid w:val="604638E0"/>
    <w:rsid w:val="60FA4DF7"/>
    <w:rsid w:val="61016185"/>
    <w:rsid w:val="613E7B5E"/>
    <w:rsid w:val="618B3CA1"/>
    <w:rsid w:val="61EB473F"/>
    <w:rsid w:val="61F41846"/>
    <w:rsid w:val="61F95947"/>
    <w:rsid w:val="62361E5F"/>
    <w:rsid w:val="624631D3"/>
    <w:rsid w:val="626E578D"/>
    <w:rsid w:val="62AC01BC"/>
    <w:rsid w:val="62B22E5C"/>
    <w:rsid w:val="62D53E6E"/>
    <w:rsid w:val="6303477F"/>
    <w:rsid w:val="63280645"/>
    <w:rsid w:val="63367C3C"/>
    <w:rsid w:val="63414270"/>
    <w:rsid w:val="636522D0"/>
    <w:rsid w:val="63B827B0"/>
    <w:rsid w:val="644D348F"/>
    <w:rsid w:val="647C1A8A"/>
    <w:rsid w:val="64804A2E"/>
    <w:rsid w:val="649B069F"/>
    <w:rsid w:val="64A02B21"/>
    <w:rsid w:val="64C51278"/>
    <w:rsid w:val="64D258B7"/>
    <w:rsid w:val="64F825F4"/>
    <w:rsid w:val="64FB465A"/>
    <w:rsid w:val="65031DA0"/>
    <w:rsid w:val="65405652"/>
    <w:rsid w:val="65424FBE"/>
    <w:rsid w:val="656E7B61"/>
    <w:rsid w:val="6587477F"/>
    <w:rsid w:val="65BA6903"/>
    <w:rsid w:val="65C6799D"/>
    <w:rsid w:val="65C7234C"/>
    <w:rsid w:val="65CA2D5C"/>
    <w:rsid w:val="65CC39CC"/>
    <w:rsid w:val="65DC0F6F"/>
    <w:rsid w:val="65DD0843"/>
    <w:rsid w:val="660039F4"/>
    <w:rsid w:val="663B321B"/>
    <w:rsid w:val="668D4017"/>
    <w:rsid w:val="66EA76BB"/>
    <w:rsid w:val="66F81D1F"/>
    <w:rsid w:val="671E28E7"/>
    <w:rsid w:val="673B1CC5"/>
    <w:rsid w:val="673B2CA2"/>
    <w:rsid w:val="674A63AC"/>
    <w:rsid w:val="67601D16"/>
    <w:rsid w:val="678278F4"/>
    <w:rsid w:val="67A4786A"/>
    <w:rsid w:val="67D0065F"/>
    <w:rsid w:val="67D619EE"/>
    <w:rsid w:val="67F6073C"/>
    <w:rsid w:val="6804655B"/>
    <w:rsid w:val="682D5A62"/>
    <w:rsid w:val="68464DC5"/>
    <w:rsid w:val="6864524C"/>
    <w:rsid w:val="68B03FED"/>
    <w:rsid w:val="68D667FD"/>
    <w:rsid w:val="68F27CF5"/>
    <w:rsid w:val="690D143F"/>
    <w:rsid w:val="69102FC9"/>
    <w:rsid w:val="698C05B6"/>
    <w:rsid w:val="699A504F"/>
    <w:rsid w:val="69AA4717"/>
    <w:rsid w:val="69AF24F6"/>
    <w:rsid w:val="6A06480C"/>
    <w:rsid w:val="6A38039C"/>
    <w:rsid w:val="6A626340"/>
    <w:rsid w:val="6AAC01BC"/>
    <w:rsid w:val="6ABA1153"/>
    <w:rsid w:val="6AC04E32"/>
    <w:rsid w:val="6AC55556"/>
    <w:rsid w:val="6AEB57B0"/>
    <w:rsid w:val="6AF10B7D"/>
    <w:rsid w:val="6AF95C88"/>
    <w:rsid w:val="6B19231D"/>
    <w:rsid w:val="6B227673"/>
    <w:rsid w:val="6B2D401B"/>
    <w:rsid w:val="6B601CFA"/>
    <w:rsid w:val="6B99437D"/>
    <w:rsid w:val="6B9F5BFD"/>
    <w:rsid w:val="6BA77929"/>
    <w:rsid w:val="6BB572F3"/>
    <w:rsid w:val="6BBE4C73"/>
    <w:rsid w:val="6BC02799"/>
    <w:rsid w:val="6BDF3567"/>
    <w:rsid w:val="6C7672FB"/>
    <w:rsid w:val="6C823EF2"/>
    <w:rsid w:val="6CA67BE1"/>
    <w:rsid w:val="6D1E3C1B"/>
    <w:rsid w:val="6D212B20"/>
    <w:rsid w:val="6D2A6A64"/>
    <w:rsid w:val="6D4972B8"/>
    <w:rsid w:val="6DB81FF9"/>
    <w:rsid w:val="6DC81DD9"/>
    <w:rsid w:val="6DD26688"/>
    <w:rsid w:val="6DF826BE"/>
    <w:rsid w:val="6E1D0376"/>
    <w:rsid w:val="6E2A2AAB"/>
    <w:rsid w:val="6E535B46"/>
    <w:rsid w:val="6E56094D"/>
    <w:rsid w:val="6E781A51"/>
    <w:rsid w:val="6EC95E08"/>
    <w:rsid w:val="6ED053E9"/>
    <w:rsid w:val="6EFE1F56"/>
    <w:rsid w:val="6F067B97"/>
    <w:rsid w:val="6F56338C"/>
    <w:rsid w:val="6F5D24E9"/>
    <w:rsid w:val="6F67569F"/>
    <w:rsid w:val="6F710325"/>
    <w:rsid w:val="6FB70357"/>
    <w:rsid w:val="6FCF744E"/>
    <w:rsid w:val="6FE56C72"/>
    <w:rsid w:val="70161521"/>
    <w:rsid w:val="7016507D"/>
    <w:rsid w:val="701D44FC"/>
    <w:rsid w:val="70485981"/>
    <w:rsid w:val="705A3E39"/>
    <w:rsid w:val="708B7819"/>
    <w:rsid w:val="70E701CA"/>
    <w:rsid w:val="71073488"/>
    <w:rsid w:val="71266A31"/>
    <w:rsid w:val="712D2E80"/>
    <w:rsid w:val="7130216F"/>
    <w:rsid w:val="71630584"/>
    <w:rsid w:val="718524BB"/>
    <w:rsid w:val="71C8684B"/>
    <w:rsid w:val="71E60A7F"/>
    <w:rsid w:val="72276C54"/>
    <w:rsid w:val="727F3C19"/>
    <w:rsid w:val="729624A5"/>
    <w:rsid w:val="72A050D2"/>
    <w:rsid w:val="72C22F53"/>
    <w:rsid w:val="72CC4119"/>
    <w:rsid w:val="72D16AEC"/>
    <w:rsid w:val="73155AC0"/>
    <w:rsid w:val="73440153"/>
    <w:rsid w:val="734B28AC"/>
    <w:rsid w:val="73596236"/>
    <w:rsid w:val="73774FBB"/>
    <w:rsid w:val="73B80EB6"/>
    <w:rsid w:val="74485A21"/>
    <w:rsid w:val="74A0760B"/>
    <w:rsid w:val="74F06C08"/>
    <w:rsid w:val="750E6C6B"/>
    <w:rsid w:val="751678CE"/>
    <w:rsid w:val="7590142E"/>
    <w:rsid w:val="75BC5C4B"/>
    <w:rsid w:val="75F06371"/>
    <w:rsid w:val="75F85AB7"/>
    <w:rsid w:val="760A5684"/>
    <w:rsid w:val="76A038F3"/>
    <w:rsid w:val="76BE1FCB"/>
    <w:rsid w:val="76CA514C"/>
    <w:rsid w:val="76CF41D8"/>
    <w:rsid w:val="76D8308D"/>
    <w:rsid w:val="76ED6F63"/>
    <w:rsid w:val="76FE568D"/>
    <w:rsid w:val="771F6F0D"/>
    <w:rsid w:val="7780540D"/>
    <w:rsid w:val="779D15C5"/>
    <w:rsid w:val="77B4524C"/>
    <w:rsid w:val="77E5662A"/>
    <w:rsid w:val="78014865"/>
    <w:rsid w:val="781E1ABF"/>
    <w:rsid w:val="784A6C59"/>
    <w:rsid w:val="7867651F"/>
    <w:rsid w:val="786D5A56"/>
    <w:rsid w:val="788C05D2"/>
    <w:rsid w:val="78A0407E"/>
    <w:rsid w:val="78AD22F7"/>
    <w:rsid w:val="78BC7906"/>
    <w:rsid w:val="78FD6DDA"/>
    <w:rsid w:val="790463BB"/>
    <w:rsid w:val="79063A1D"/>
    <w:rsid w:val="79652BD2"/>
    <w:rsid w:val="796B33C1"/>
    <w:rsid w:val="797A667D"/>
    <w:rsid w:val="79864C10"/>
    <w:rsid w:val="79A454A8"/>
    <w:rsid w:val="79B55907"/>
    <w:rsid w:val="79BB5628"/>
    <w:rsid w:val="79D20267"/>
    <w:rsid w:val="79D57D57"/>
    <w:rsid w:val="79DF2984"/>
    <w:rsid w:val="7A0348C4"/>
    <w:rsid w:val="7A7E219D"/>
    <w:rsid w:val="7AA32362"/>
    <w:rsid w:val="7AA5597C"/>
    <w:rsid w:val="7B193C74"/>
    <w:rsid w:val="7B3B063F"/>
    <w:rsid w:val="7B8732D3"/>
    <w:rsid w:val="7B8F2C26"/>
    <w:rsid w:val="7B914152"/>
    <w:rsid w:val="7B9A6B62"/>
    <w:rsid w:val="7C093CE8"/>
    <w:rsid w:val="7C176FE6"/>
    <w:rsid w:val="7C6D4277"/>
    <w:rsid w:val="7C6F1677"/>
    <w:rsid w:val="7C9F63FA"/>
    <w:rsid w:val="7CA57B9F"/>
    <w:rsid w:val="7CB12E2D"/>
    <w:rsid w:val="7CF366D0"/>
    <w:rsid w:val="7D4E6071"/>
    <w:rsid w:val="7D5D42EC"/>
    <w:rsid w:val="7DE14F1D"/>
    <w:rsid w:val="7E265025"/>
    <w:rsid w:val="7E325778"/>
    <w:rsid w:val="7E333D17"/>
    <w:rsid w:val="7E3A63DB"/>
    <w:rsid w:val="7E3C65F7"/>
    <w:rsid w:val="7E4E00D8"/>
    <w:rsid w:val="7E77762F"/>
    <w:rsid w:val="7EAE1342"/>
    <w:rsid w:val="7ED25D16"/>
    <w:rsid w:val="7EE06F82"/>
    <w:rsid w:val="7EFC18E2"/>
    <w:rsid w:val="7F572FBC"/>
    <w:rsid w:val="7F65758F"/>
    <w:rsid w:val="7F6D27E0"/>
    <w:rsid w:val="7F743B6E"/>
    <w:rsid w:val="7F74591C"/>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36"/>
    <w:autoRedefine/>
    <w:qFormat/>
    <w:uiPriority w:val="9"/>
    <w:pPr>
      <w:keepNext/>
      <w:keepLines/>
      <w:kinsoku w:val="0"/>
      <w:overflowPunct w:val="0"/>
      <w:autoSpaceDE w:val="0"/>
      <w:autoSpaceDN w:val="0"/>
      <w:contextualSpacing/>
      <w:jc w:val="both"/>
      <w:outlineLvl w:val="0"/>
    </w:pPr>
    <w:rPr>
      <w:rFonts w:eastAsia="仿宋" w:cs="Times New Roman"/>
      <w:b/>
      <w:bCs/>
      <w:kern w:val="44"/>
      <w:sz w:val="28"/>
      <w:szCs w:val="44"/>
    </w:rPr>
  </w:style>
  <w:style w:type="paragraph" w:styleId="3">
    <w:name w:val="heading 2"/>
    <w:basedOn w:val="1"/>
    <w:next w:val="1"/>
    <w:link w:val="32"/>
    <w:autoRedefine/>
    <w:unhideWhenUsed/>
    <w:qFormat/>
    <w:uiPriority w:val="0"/>
    <w:pPr>
      <w:keepNext/>
      <w:keepLines/>
      <w:outlineLvl w:val="1"/>
    </w:pPr>
    <w:rPr>
      <w:rFonts w:asciiTheme="majorHAnsi" w:hAnsiTheme="majorHAnsi" w:eastAsiaTheme="majorEastAsia" w:cstheme="majorBidi"/>
      <w:b/>
      <w:bCs/>
      <w:szCs w:val="32"/>
    </w:rPr>
  </w:style>
  <w:style w:type="paragraph" w:styleId="4">
    <w:name w:val="heading 3"/>
    <w:basedOn w:val="1"/>
    <w:next w:val="1"/>
    <w:link w:val="33"/>
    <w:autoRedefine/>
    <w:unhideWhenUsed/>
    <w:qFormat/>
    <w:uiPriority w:val="9"/>
    <w:pPr>
      <w:keepNext/>
      <w:keepLines/>
      <w:ind w:firstLine="200" w:firstLineChars="200"/>
      <w:outlineLvl w:val="2"/>
    </w:pPr>
    <w:rPr>
      <w:b/>
      <w:bCs/>
      <w:szCs w:val="32"/>
    </w:rPr>
  </w:style>
  <w:style w:type="paragraph" w:styleId="5">
    <w:name w:val="heading 4"/>
    <w:basedOn w:val="1"/>
    <w:next w:val="1"/>
    <w:unhideWhenUsed/>
    <w:qFormat/>
    <w:uiPriority w:val="0"/>
    <w:pPr>
      <w:keepNext/>
      <w:keepLines/>
      <w:outlineLvl w:val="3"/>
    </w:pPr>
    <w:rPr>
      <w:b/>
      <w:bCs/>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spacing w:line="460" w:lineRule="atLeast"/>
      <w:ind w:firstLine="420"/>
    </w:pPr>
    <w:rPr>
      <w:szCs w:val="20"/>
    </w:rPr>
  </w:style>
  <w:style w:type="paragraph" w:styleId="7">
    <w:name w:val="annotation text"/>
    <w:basedOn w:val="1"/>
    <w:link w:val="58"/>
    <w:autoRedefine/>
    <w:semiHidden/>
    <w:unhideWhenUsed/>
    <w:qFormat/>
    <w:uiPriority w:val="99"/>
  </w:style>
  <w:style w:type="paragraph" w:styleId="8">
    <w:name w:val="Body Text"/>
    <w:basedOn w:val="1"/>
    <w:next w:val="9"/>
    <w:link w:val="34"/>
    <w:autoRedefine/>
    <w:semiHidden/>
    <w:unhideWhenUsed/>
    <w:qFormat/>
    <w:uiPriority w:val="99"/>
    <w:pPr>
      <w:spacing w:after="120"/>
    </w:pPr>
  </w:style>
  <w:style w:type="paragraph" w:styleId="9">
    <w:name w:val="Body Text First Indent"/>
    <w:basedOn w:val="8"/>
    <w:autoRedefine/>
    <w:unhideWhenUsed/>
    <w:qFormat/>
    <w:uiPriority w:val="0"/>
    <w:pPr>
      <w:ind w:firstLine="420" w:firstLineChars="100"/>
    </w:pPr>
    <w:rPr>
      <w:sz w:val="21"/>
    </w:rPr>
  </w:style>
  <w:style w:type="paragraph" w:styleId="10">
    <w:name w:val="Body Text Indent"/>
    <w:basedOn w:val="1"/>
    <w:next w:val="1"/>
    <w:link w:val="37"/>
    <w:autoRedefine/>
    <w:semiHidden/>
    <w:unhideWhenUsed/>
    <w:qFormat/>
    <w:uiPriority w:val="99"/>
    <w:pPr>
      <w:spacing w:after="120"/>
      <w:ind w:left="420" w:leftChars="200"/>
    </w:pPr>
  </w:style>
  <w:style w:type="paragraph" w:styleId="11">
    <w:name w:val="Block Text"/>
    <w:basedOn w:val="1"/>
    <w:next w:val="1"/>
    <w:qFormat/>
    <w:uiPriority w:val="0"/>
    <w:pPr>
      <w:autoSpaceDE w:val="0"/>
      <w:autoSpaceDN w:val="0"/>
      <w:adjustRightInd w:val="0"/>
      <w:spacing w:line="480" w:lineRule="auto"/>
      <w:ind w:left="57" w:right="57" w:firstLine="570"/>
    </w:pPr>
    <w:rPr>
      <w:rFonts w:hint="eastAsia" w:ascii="仿宋_GB2312" w:hAnsi="宋体" w:eastAsia="仿宋_GB2312"/>
      <w:b/>
      <w:color w:val="000000"/>
      <w:kern w:val="0"/>
      <w:sz w:val="28"/>
      <w:szCs w:val="20"/>
    </w:rPr>
  </w:style>
  <w:style w:type="paragraph" w:styleId="12">
    <w:name w:val="Plain Text"/>
    <w:basedOn w:val="1"/>
    <w:autoRedefine/>
    <w:unhideWhenUsed/>
    <w:qFormat/>
    <w:uiPriority w:val="99"/>
    <w:rPr>
      <w:rFonts w:ascii="宋体" w:hAnsi="Courier New" w:cs="Courier New"/>
      <w:szCs w:val="21"/>
    </w:rPr>
  </w:style>
  <w:style w:type="paragraph" w:styleId="13">
    <w:name w:val="List Bullet 5"/>
    <w:basedOn w:val="1"/>
    <w:autoRedefine/>
    <w:semiHidden/>
    <w:unhideWhenUsed/>
    <w:qFormat/>
    <w:uiPriority w:val="99"/>
    <w:pPr>
      <w:numPr>
        <w:ilvl w:val="0"/>
        <w:numId w:val="1"/>
      </w:numPr>
    </w:pPr>
  </w:style>
  <w:style w:type="paragraph" w:styleId="14">
    <w:name w:val="Body Text Indent 2"/>
    <w:basedOn w:val="1"/>
    <w:next w:val="1"/>
    <w:autoRedefine/>
    <w:qFormat/>
    <w:uiPriority w:val="0"/>
    <w:pPr>
      <w:spacing w:after="120" w:line="480" w:lineRule="auto"/>
      <w:ind w:left="420" w:leftChars="200"/>
    </w:pPr>
  </w:style>
  <w:style w:type="paragraph" w:styleId="15">
    <w:name w:val="Balloon Text"/>
    <w:basedOn w:val="1"/>
    <w:link w:val="57"/>
    <w:autoRedefine/>
    <w:semiHidden/>
    <w:unhideWhenUsed/>
    <w:qFormat/>
    <w:uiPriority w:val="99"/>
    <w:pPr>
      <w:spacing w:line="240" w:lineRule="auto"/>
    </w:pPr>
    <w:rPr>
      <w:sz w:val="18"/>
      <w:szCs w:val="18"/>
    </w:rPr>
  </w:style>
  <w:style w:type="paragraph" w:styleId="16">
    <w:name w:val="footer"/>
    <w:basedOn w:val="1"/>
    <w:link w:val="56"/>
    <w:autoRedefine/>
    <w:qFormat/>
    <w:uiPriority w:val="99"/>
    <w:pPr>
      <w:tabs>
        <w:tab w:val="center" w:pos="4153"/>
        <w:tab w:val="right" w:pos="8306"/>
      </w:tabs>
      <w:snapToGrid w:val="0"/>
    </w:pPr>
    <w:rPr>
      <w:kern w:val="0"/>
      <w:sz w:val="18"/>
      <w:szCs w:val="20"/>
    </w:rPr>
  </w:style>
  <w:style w:type="paragraph" w:styleId="17">
    <w:name w:val="header"/>
    <w:basedOn w:val="1"/>
    <w:next w:val="18"/>
    <w:link w:val="55"/>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8">
    <w:name w:val="样式5"/>
    <w:basedOn w:val="6"/>
    <w:autoRedefine/>
    <w:qFormat/>
    <w:uiPriority w:val="0"/>
    <w:pPr>
      <w:jc w:val="center"/>
    </w:pPr>
  </w:style>
  <w:style w:type="paragraph" w:styleId="19">
    <w:name w:val="table of figures"/>
    <w:basedOn w:val="1"/>
    <w:next w:val="1"/>
    <w:autoRedefine/>
    <w:qFormat/>
    <w:uiPriority w:val="0"/>
    <w:pPr>
      <w:keepNext w:val="0"/>
      <w:keepLines w:val="0"/>
      <w:widowControl w:val="0"/>
      <w:suppressLineNumbers w:val="0"/>
      <w:spacing w:before="0" w:beforeAutospacing="0" w:after="0" w:afterAutospacing="0"/>
      <w:ind w:left="0" w:leftChars="200" w:right="0" w:hanging="200" w:hangingChars="200"/>
      <w:jc w:val="both"/>
    </w:pPr>
    <w:rPr>
      <w:rFonts w:hint="default" w:ascii="Times New Roman" w:hAnsi="Times New Roman" w:eastAsia="宋体" w:cs="Times New Roman"/>
      <w:kern w:val="2"/>
      <w:sz w:val="21"/>
      <w:szCs w:val="24"/>
      <w:lang w:val="en-US" w:eastAsia="zh-CN" w:bidi="ar"/>
    </w:rPr>
  </w:style>
  <w:style w:type="paragraph" w:styleId="20">
    <w:name w:val="Normal (Web)"/>
    <w:basedOn w:val="1"/>
    <w:autoRedefine/>
    <w:qFormat/>
    <w:uiPriority w:val="0"/>
    <w:pPr>
      <w:widowControl/>
      <w:spacing w:before="100" w:beforeAutospacing="1" w:after="100" w:afterAutospacing="1"/>
    </w:pPr>
    <w:rPr>
      <w:rFonts w:ascii="宋体" w:hAnsi="宋体"/>
      <w:kern w:val="0"/>
      <w:szCs w:val="20"/>
    </w:rPr>
  </w:style>
  <w:style w:type="paragraph" w:styleId="21">
    <w:name w:val="Title"/>
    <w:basedOn w:val="1"/>
    <w:next w:val="1"/>
    <w:autoRedefine/>
    <w:qFormat/>
    <w:uiPriority w:val="0"/>
    <w:pPr>
      <w:widowControl/>
      <w:adjustRightInd w:val="0"/>
      <w:snapToGrid w:val="0"/>
      <w:jc w:val="center"/>
    </w:pPr>
    <w:rPr>
      <w:rFonts w:hAnsi="Cambria"/>
      <w:bCs/>
      <w:szCs w:val="32"/>
    </w:rPr>
  </w:style>
  <w:style w:type="paragraph" w:styleId="22">
    <w:name w:val="annotation subject"/>
    <w:basedOn w:val="7"/>
    <w:next w:val="7"/>
    <w:link w:val="59"/>
    <w:autoRedefine/>
    <w:semiHidden/>
    <w:unhideWhenUsed/>
    <w:qFormat/>
    <w:uiPriority w:val="99"/>
    <w:rPr>
      <w:b/>
      <w:bCs/>
    </w:rPr>
  </w:style>
  <w:style w:type="paragraph" w:styleId="23">
    <w:name w:val="Body Text First Indent 2"/>
    <w:basedOn w:val="10"/>
    <w:next w:val="1"/>
    <w:link w:val="38"/>
    <w:autoRedefine/>
    <w:unhideWhenUsed/>
    <w:qFormat/>
    <w:uiPriority w:val="0"/>
    <w:pPr>
      <w:adjustRightInd w:val="0"/>
      <w:snapToGrid w:val="0"/>
      <w:spacing w:line="240" w:lineRule="auto"/>
      <w:ind w:left="0" w:leftChars="0" w:firstLine="482" w:firstLineChars="200"/>
      <w:jc w:val="both"/>
    </w:pPr>
    <w:rPr>
      <w:rFonts w:cs="Times New Roman"/>
      <w:b/>
      <w:bCs/>
      <w:color w:val="000000" w:themeColor="text1"/>
      <w:lang w:val="zh-CN"/>
      <w14:textFill>
        <w14:solidFill>
          <w14:schemeClr w14:val="tx1"/>
        </w14:solidFill>
      </w14:textFill>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style>
  <w:style w:type="character" w:styleId="28">
    <w:name w:val="Hyperlink"/>
    <w:basedOn w:val="26"/>
    <w:semiHidden/>
    <w:unhideWhenUsed/>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paragraph" w:styleId="30">
    <w:name w:val="No Spacing"/>
    <w:basedOn w:val="8"/>
    <w:link w:val="35"/>
    <w:autoRedefine/>
    <w:qFormat/>
    <w:uiPriority w:val="1"/>
    <w:pPr>
      <w:adjustRightInd w:val="0"/>
      <w:snapToGrid w:val="0"/>
      <w:spacing w:after="0" w:line="240" w:lineRule="auto"/>
      <w:jc w:val="center"/>
    </w:pPr>
    <w:rPr>
      <w:rFonts w:eastAsia="宋体" w:cs="Times New Roman"/>
      <w:color w:val="000000" w:themeColor="text1"/>
      <w:sz w:val="21"/>
      <w:szCs w:val="21"/>
      <w14:textFill>
        <w14:solidFill>
          <w14:schemeClr w14:val="tx1"/>
        </w14:solidFill>
      </w14:textFill>
    </w:rPr>
  </w:style>
  <w:style w:type="paragraph" w:customStyle="1" w:styleId="31">
    <w:name w:val="表头-图名"/>
    <w:autoRedefine/>
    <w:qFormat/>
    <w:uiPriority w:val="1"/>
    <w:pPr>
      <w:autoSpaceDE w:val="0"/>
      <w:autoSpaceDN w:val="0"/>
      <w:jc w:val="center"/>
    </w:pPr>
    <w:rPr>
      <w:rFonts w:ascii="Times New Roman" w:hAnsi="Times New Roman" w:eastAsia="宋体" w:cs="宋体"/>
      <w:b/>
      <w:color w:val="000000" w:themeColor="text1"/>
      <w:sz w:val="21"/>
      <w:szCs w:val="22"/>
      <w:lang w:val="zh-CN" w:eastAsia="zh-CN" w:bidi="zh-CN"/>
      <w14:textFill>
        <w14:solidFill>
          <w14:schemeClr w14:val="tx1"/>
        </w14:solidFill>
      </w14:textFill>
    </w:rPr>
  </w:style>
  <w:style w:type="character" w:customStyle="1" w:styleId="32">
    <w:name w:val="标题 2 字符"/>
    <w:basedOn w:val="26"/>
    <w:link w:val="3"/>
    <w:autoRedefine/>
    <w:qFormat/>
    <w:uiPriority w:val="9"/>
    <w:rPr>
      <w:rFonts w:asciiTheme="majorHAnsi" w:hAnsiTheme="majorHAnsi" w:eastAsiaTheme="majorEastAsia" w:cstheme="majorBidi"/>
      <w:b/>
      <w:bCs/>
      <w:sz w:val="24"/>
      <w:szCs w:val="32"/>
    </w:rPr>
  </w:style>
  <w:style w:type="character" w:customStyle="1" w:styleId="33">
    <w:name w:val="标题 3 字符"/>
    <w:basedOn w:val="26"/>
    <w:link w:val="4"/>
    <w:autoRedefine/>
    <w:qFormat/>
    <w:uiPriority w:val="9"/>
    <w:rPr>
      <w:rFonts w:ascii="Times New Roman" w:hAnsi="Times New Roman"/>
      <w:b/>
      <w:bCs/>
      <w:sz w:val="24"/>
      <w:szCs w:val="32"/>
    </w:rPr>
  </w:style>
  <w:style w:type="character" w:customStyle="1" w:styleId="34">
    <w:name w:val="正文文本 字符"/>
    <w:basedOn w:val="26"/>
    <w:link w:val="8"/>
    <w:autoRedefine/>
    <w:semiHidden/>
    <w:qFormat/>
    <w:uiPriority w:val="99"/>
    <w:rPr>
      <w:rFonts w:ascii="Times New Roman" w:hAnsi="Times New Roman"/>
      <w:sz w:val="24"/>
    </w:rPr>
  </w:style>
  <w:style w:type="character" w:customStyle="1" w:styleId="35">
    <w:name w:val="无间隔 字符"/>
    <w:link w:val="30"/>
    <w:autoRedefine/>
    <w:qFormat/>
    <w:uiPriority w:val="0"/>
    <w:rPr>
      <w:color w:val="000000" w:themeColor="text1"/>
      <w:kern w:val="2"/>
      <w:sz w:val="21"/>
      <w:szCs w:val="21"/>
      <w14:textFill>
        <w14:solidFill>
          <w14:schemeClr w14:val="tx1"/>
        </w14:solidFill>
      </w14:textFill>
    </w:rPr>
  </w:style>
  <w:style w:type="character" w:customStyle="1" w:styleId="36">
    <w:name w:val="标题 1 字符"/>
    <w:basedOn w:val="26"/>
    <w:link w:val="2"/>
    <w:autoRedefine/>
    <w:qFormat/>
    <w:uiPriority w:val="9"/>
    <w:rPr>
      <w:rFonts w:ascii="Times New Roman" w:hAnsi="Times New Roman" w:eastAsia="仿宋" w:cs="Times New Roman"/>
      <w:b/>
      <w:bCs/>
      <w:kern w:val="44"/>
      <w:sz w:val="28"/>
      <w:szCs w:val="44"/>
    </w:rPr>
  </w:style>
  <w:style w:type="character" w:customStyle="1" w:styleId="37">
    <w:name w:val="正文文本缩进 字符"/>
    <w:basedOn w:val="26"/>
    <w:link w:val="10"/>
    <w:autoRedefine/>
    <w:semiHidden/>
    <w:qFormat/>
    <w:uiPriority w:val="99"/>
    <w:rPr>
      <w:rFonts w:ascii="Times New Roman" w:hAnsi="Times New Roman"/>
      <w:sz w:val="24"/>
    </w:rPr>
  </w:style>
  <w:style w:type="character" w:customStyle="1" w:styleId="38">
    <w:name w:val="正文文本首行缩进 2 字符"/>
    <w:basedOn w:val="37"/>
    <w:link w:val="23"/>
    <w:autoRedefine/>
    <w:qFormat/>
    <w:uiPriority w:val="0"/>
    <w:rPr>
      <w:rFonts w:ascii="Times New Roman" w:hAnsi="Times New Roman" w:eastAsiaTheme="minorEastAsia"/>
      <w:b/>
      <w:bCs/>
      <w:color w:val="000000" w:themeColor="text1"/>
      <w:kern w:val="2"/>
      <w:sz w:val="24"/>
      <w:szCs w:val="22"/>
      <w:lang w:val="zh-CN"/>
      <w14:textFill>
        <w14:solidFill>
          <w14:schemeClr w14:val="tx1"/>
        </w14:solidFill>
      </w14:textFill>
    </w:rPr>
  </w:style>
  <w:style w:type="character" w:customStyle="1" w:styleId="39">
    <w:name w:val="font61"/>
    <w:basedOn w:val="26"/>
    <w:autoRedefine/>
    <w:qFormat/>
    <w:uiPriority w:val="0"/>
    <w:rPr>
      <w:rFonts w:hint="default" w:ascii="Times New Roman" w:hAnsi="Times New Roman" w:cs="Times New Roman"/>
      <w:b/>
      <w:bCs/>
      <w:color w:val="000000"/>
      <w:sz w:val="20"/>
      <w:szCs w:val="20"/>
      <w:u w:val="none"/>
    </w:rPr>
  </w:style>
  <w:style w:type="character" w:customStyle="1" w:styleId="40">
    <w:name w:val="font01"/>
    <w:basedOn w:val="26"/>
    <w:autoRedefine/>
    <w:qFormat/>
    <w:uiPriority w:val="0"/>
    <w:rPr>
      <w:rFonts w:hint="default" w:ascii="Times New Roman" w:hAnsi="Times New Roman" w:cs="Times New Roman"/>
      <w:color w:val="000000"/>
      <w:sz w:val="20"/>
      <w:szCs w:val="20"/>
      <w:u w:val="none"/>
    </w:rPr>
  </w:style>
  <w:style w:type="character" w:customStyle="1" w:styleId="41">
    <w:name w:val="font71"/>
    <w:basedOn w:val="26"/>
    <w:autoRedefine/>
    <w:qFormat/>
    <w:uiPriority w:val="0"/>
    <w:rPr>
      <w:rFonts w:hint="default" w:ascii="Times New Roman" w:hAnsi="Times New Roman" w:cs="Times New Roman"/>
      <w:color w:val="000000"/>
      <w:sz w:val="20"/>
      <w:szCs w:val="20"/>
      <w:u w:val="none"/>
      <w:vertAlign w:val="superscript"/>
    </w:rPr>
  </w:style>
  <w:style w:type="character" w:customStyle="1" w:styleId="42">
    <w:name w:val="font51"/>
    <w:basedOn w:val="26"/>
    <w:autoRedefine/>
    <w:qFormat/>
    <w:uiPriority w:val="0"/>
    <w:rPr>
      <w:rFonts w:hint="default" w:ascii="Times New Roman" w:hAnsi="Times New Roman" w:cs="Times New Roman"/>
      <w:color w:val="000000"/>
      <w:sz w:val="20"/>
      <w:szCs w:val="20"/>
      <w:u w:val="none"/>
    </w:rPr>
  </w:style>
  <w:style w:type="paragraph" w:customStyle="1" w:styleId="43">
    <w:name w:val="Default1"/>
    <w:next w:val="1"/>
    <w:autoRedefine/>
    <w:qFormat/>
    <w:uiPriority w:val="0"/>
    <w:pPr>
      <w:widowControl w:val="0"/>
      <w:autoSpaceDE w:val="0"/>
      <w:autoSpaceDN w:val="0"/>
      <w:adjustRightInd w:val="0"/>
      <w:jc w:val="center"/>
    </w:pPr>
    <w:rPr>
      <w:rFonts w:ascii="Times New Roman" w:hAnsi="Times New Roman" w:eastAsia="宋体" w:cs="Times New Roman"/>
      <w:sz w:val="21"/>
      <w:szCs w:val="21"/>
      <w:lang w:val="en-US" w:eastAsia="zh-CN" w:bidi="ar-SA"/>
    </w:rPr>
  </w:style>
  <w:style w:type="paragraph" w:customStyle="1" w:styleId="44">
    <w:name w:val="Table Paragraph"/>
    <w:basedOn w:val="1"/>
    <w:autoRedefine/>
    <w:qFormat/>
    <w:uiPriority w:val="1"/>
    <w:pPr>
      <w:spacing w:before="22" w:line="214" w:lineRule="exact"/>
      <w:jc w:val="center"/>
    </w:pPr>
    <w:rPr>
      <w:rFonts w:ascii="宋体" w:hAnsi="宋体" w:cs="宋体"/>
      <w:lang w:val="zh-CN" w:bidi="zh-CN"/>
    </w:rPr>
  </w:style>
  <w:style w:type="paragraph" w:customStyle="1" w:styleId="45">
    <w:name w:val="我正文"/>
    <w:basedOn w:val="1"/>
    <w:autoRedefine/>
    <w:qFormat/>
    <w:uiPriority w:val="0"/>
    <w:pPr>
      <w:ind w:firstLine="480" w:firstLineChars="200"/>
    </w:pPr>
    <w:rPr>
      <w:szCs w:val="20"/>
    </w:rPr>
  </w:style>
  <w:style w:type="paragraph" w:customStyle="1" w:styleId="46">
    <w:name w:val="样式1"/>
    <w:basedOn w:val="1"/>
    <w:autoRedefine/>
    <w:qFormat/>
    <w:uiPriority w:val="0"/>
    <w:pPr>
      <w:snapToGrid w:val="0"/>
      <w:jc w:val="center"/>
    </w:pPr>
    <w:rPr>
      <w:rFonts w:ascii="宋体"/>
      <w:szCs w:val="20"/>
    </w:rPr>
  </w:style>
  <w:style w:type="paragraph" w:customStyle="1" w:styleId="47">
    <w:name w:val="0正文表内"/>
    <w:basedOn w:val="1"/>
    <w:next w:val="1"/>
    <w:autoRedefine/>
    <w:qFormat/>
    <w:uiPriority w:val="0"/>
    <w:pPr>
      <w:spacing w:line="240" w:lineRule="auto"/>
      <w:jc w:val="center"/>
    </w:pPr>
    <w:rPr>
      <w:sz w:val="21"/>
    </w:rPr>
  </w:style>
  <w:style w:type="paragraph" w:customStyle="1" w:styleId="48">
    <w:name w:val="Default"/>
    <w:basedOn w:val="49"/>
    <w:next w:val="50"/>
    <w:autoRedefine/>
    <w:qFormat/>
    <w:uiPriority w:val="0"/>
    <w:pPr>
      <w:widowControl w:val="0"/>
      <w:autoSpaceDE w:val="0"/>
      <w:autoSpaceDN w:val="0"/>
      <w:adjustRightInd w:val="0"/>
    </w:pPr>
    <w:rPr>
      <w:rFonts w:ascii="宋体_x0008_...." w:hAnsi="Times New Roman" w:eastAsia="宋体_x0008_...." w:cs="宋体_x0008_...."/>
      <w:color w:val="000000"/>
      <w:sz w:val="24"/>
      <w:szCs w:val="24"/>
      <w:lang w:val="en-US" w:eastAsia="zh-CN" w:bidi="ar-SA"/>
    </w:rPr>
  </w:style>
  <w:style w:type="paragraph" w:customStyle="1" w:styleId="49">
    <w:name w:val="纯文本1"/>
    <w:basedOn w:val="1"/>
    <w:qFormat/>
    <w:uiPriority w:val="0"/>
    <w:pPr>
      <w:adjustRightInd w:val="0"/>
    </w:pPr>
    <w:rPr>
      <w:rFonts w:hAnsi="Courier New"/>
    </w:rPr>
  </w:style>
  <w:style w:type="paragraph" w:customStyle="1" w:styleId="5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1">
    <w:name w:val="标准段落"/>
    <w:basedOn w:val="1"/>
    <w:next w:val="1"/>
    <w:autoRedefine/>
    <w:qFormat/>
    <w:uiPriority w:val="0"/>
    <w:pPr>
      <w:adjustRightInd w:val="0"/>
      <w:snapToGrid w:val="0"/>
      <w:ind w:firstLine="504" w:firstLineChars="200"/>
    </w:pPr>
    <w:rPr>
      <w:rFonts w:cs="Times New Roman"/>
      <w:color w:val="FF0000"/>
      <w:spacing w:val="6"/>
      <w:kern w:val="0"/>
    </w:rPr>
  </w:style>
  <w:style w:type="paragraph" w:customStyle="1" w:styleId="52">
    <w:name w:val="表头"/>
    <w:basedOn w:val="8"/>
    <w:autoRedefine/>
    <w:qFormat/>
    <w:uiPriority w:val="0"/>
    <w:pPr>
      <w:spacing w:after="0" w:line="240" w:lineRule="auto"/>
      <w:jc w:val="center"/>
    </w:pPr>
    <w:rPr>
      <w:b/>
      <w:sz w:val="21"/>
    </w:rPr>
  </w:style>
  <w:style w:type="paragraph" w:customStyle="1" w:styleId="53">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54">
    <w:name w:val="文"/>
    <w:autoRedefine/>
    <w:qFormat/>
    <w:uiPriority w:val="0"/>
    <w:pPr>
      <w:spacing w:before="30" w:beforeLines="30" w:after="20" w:afterLines="20" w:line="420" w:lineRule="atLeast"/>
      <w:ind w:firstLine="200" w:firstLineChars="200"/>
      <w:jc w:val="both"/>
    </w:pPr>
    <w:rPr>
      <w:rFonts w:ascii="Times New Roman" w:hAnsi="Times New Roman" w:eastAsia="宋体" w:cs="Times New Roman"/>
      <w:bCs/>
      <w:sz w:val="24"/>
      <w:szCs w:val="28"/>
      <w:lang w:val="en-US" w:eastAsia="zh-CN" w:bidi="ar-SA"/>
    </w:rPr>
  </w:style>
  <w:style w:type="character" w:customStyle="1" w:styleId="55">
    <w:name w:val="页眉 字符"/>
    <w:basedOn w:val="26"/>
    <w:link w:val="17"/>
    <w:autoRedefine/>
    <w:qFormat/>
    <w:uiPriority w:val="99"/>
    <w:rPr>
      <w:rFonts w:eastAsiaTheme="minorEastAsia" w:cstheme="minorBidi"/>
      <w:kern w:val="2"/>
      <w:sz w:val="18"/>
      <w:szCs w:val="18"/>
    </w:rPr>
  </w:style>
  <w:style w:type="character" w:customStyle="1" w:styleId="56">
    <w:name w:val="页脚 字符"/>
    <w:basedOn w:val="26"/>
    <w:link w:val="16"/>
    <w:autoRedefine/>
    <w:qFormat/>
    <w:uiPriority w:val="99"/>
    <w:rPr>
      <w:rFonts w:eastAsiaTheme="minorEastAsia" w:cstheme="minorBidi"/>
      <w:sz w:val="18"/>
    </w:rPr>
  </w:style>
  <w:style w:type="character" w:customStyle="1" w:styleId="57">
    <w:name w:val="批注框文本 字符"/>
    <w:basedOn w:val="26"/>
    <w:link w:val="15"/>
    <w:autoRedefine/>
    <w:semiHidden/>
    <w:qFormat/>
    <w:uiPriority w:val="99"/>
    <w:rPr>
      <w:rFonts w:eastAsiaTheme="minorEastAsia" w:cstheme="minorBidi"/>
      <w:kern w:val="2"/>
      <w:sz w:val="18"/>
      <w:szCs w:val="18"/>
    </w:rPr>
  </w:style>
  <w:style w:type="character" w:customStyle="1" w:styleId="58">
    <w:name w:val="批注文字 字符"/>
    <w:basedOn w:val="26"/>
    <w:link w:val="7"/>
    <w:autoRedefine/>
    <w:semiHidden/>
    <w:qFormat/>
    <w:uiPriority w:val="99"/>
    <w:rPr>
      <w:rFonts w:eastAsiaTheme="minorEastAsia" w:cstheme="minorBidi"/>
      <w:kern w:val="2"/>
      <w:sz w:val="24"/>
      <w:szCs w:val="22"/>
    </w:rPr>
  </w:style>
  <w:style w:type="character" w:customStyle="1" w:styleId="59">
    <w:name w:val="批注主题 字符"/>
    <w:basedOn w:val="58"/>
    <w:link w:val="22"/>
    <w:autoRedefine/>
    <w:semiHidden/>
    <w:qFormat/>
    <w:uiPriority w:val="99"/>
    <w:rPr>
      <w:rFonts w:eastAsiaTheme="minorEastAsia" w:cstheme="minorBidi"/>
      <w:b/>
      <w:bCs/>
      <w:kern w:val="2"/>
      <w:sz w:val="24"/>
      <w:szCs w:val="22"/>
    </w:rPr>
  </w:style>
  <w:style w:type="character" w:styleId="60">
    <w:name w:val="Placeholder Text"/>
    <w:basedOn w:val="26"/>
    <w:autoRedefine/>
    <w:semiHidden/>
    <w:qFormat/>
    <w:uiPriority w:val="99"/>
    <w:rPr>
      <w:color w:val="666666"/>
    </w:rPr>
  </w:style>
  <w:style w:type="table" w:customStyle="1" w:styleId="61">
    <w:name w:val="Table Normal"/>
    <w:autoRedefine/>
    <w:unhideWhenUsed/>
    <w:qFormat/>
    <w:uiPriority w:val="0"/>
    <w:tblPr>
      <w:tblCellMar>
        <w:top w:w="0" w:type="dxa"/>
        <w:left w:w="0" w:type="dxa"/>
        <w:bottom w:w="0" w:type="dxa"/>
        <w:right w:w="0" w:type="dxa"/>
      </w:tblCellMar>
    </w:tblPr>
  </w:style>
  <w:style w:type="paragraph" w:customStyle="1" w:styleId="62">
    <w:name w:val="0图表名"/>
    <w:basedOn w:val="1"/>
    <w:autoRedefine/>
    <w:qFormat/>
    <w:uiPriority w:val="0"/>
    <w:pPr>
      <w:jc w:val="center"/>
    </w:pPr>
    <w:rPr>
      <w:rFonts w:eastAsia="黑体"/>
      <w:kern w:val="24"/>
      <w:szCs w:val="21"/>
    </w:rPr>
  </w:style>
  <w:style w:type="paragraph" w:customStyle="1" w:styleId="63">
    <w:name w:val="Tab"/>
    <w:basedOn w:val="1"/>
    <w:autoRedefine/>
    <w:qFormat/>
    <w:uiPriority w:val="0"/>
    <w:pPr>
      <w:jc w:val="center"/>
    </w:pPr>
    <w:rPr>
      <w:kern w:val="0"/>
      <w:sz w:val="20"/>
      <w:szCs w:val="21"/>
    </w:rPr>
  </w:style>
  <w:style w:type="paragraph" w:customStyle="1" w:styleId="64">
    <w:name w:val="0 正文"/>
    <w:basedOn w:val="1"/>
    <w:qFormat/>
    <w:uiPriority w:val="0"/>
    <w:pPr>
      <w:spacing w:line="360" w:lineRule="auto"/>
      <w:ind w:firstLine="200" w:firstLineChars="200"/>
    </w:pPr>
    <w:rPr>
      <w:kern w:val="0"/>
      <w:sz w:val="24"/>
    </w:rPr>
  </w:style>
  <w:style w:type="character" w:customStyle="1" w:styleId="65">
    <w:name w:val="fontstyle01"/>
    <w:basedOn w:val="26"/>
    <w:qFormat/>
    <w:uiPriority w:val="0"/>
    <w:rPr>
      <w:rFonts w:hint="eastAsia" w:ascii="宋体" w:hAnsi="宋体" w:eastAsia="宋体"/>
      <w:color w:val="000000"/>
      <w:sz w:val="24"/>
      <w:szCs w:val="24"/>
    </w:rPr>
  </w:style>
  <w:style w:type="paragraph" w:customStyle="1" w:styleId="66">
    <w:name w:val="萝卜"/>
    <w:basedOn w:val="1"/>
    <w:qFormat/>
    <w:uiPriority w:val="0"/>
    <w:pPr>
      <w:tabs>
        <w:tab w:val="left" w:pos="540"/>
      </w:tabs>
      <w:spacing w:line="360" w:lineRule="auto"/>
      <w:ind w:firstLine="200" w:firstLineChars="200"/>
    </w:pPr>
    <w:rPr>
      <w:kern w:val="24"/>
      <w:sz w:val="24"/>
    </w:rPr>
  </w:style>
  <w:style w:type="paragraph" w:customStyle="1" w:styleId="67">
    <w:name w:val="环评表格文字（内）"/>
    <w:basedOn w:val="68"/>
    <w:qFormat/>
    <w:uiPriority w:val="0"/>
    <w:rPr>
      <w:snapToGrid w:val="0"/>
      <w:sz w:val="21"/>
    </w:rPr>
  </w:style>
  <w:style w:type="paragraph" w:customStyle="1" w:styleId="68">
    <w:name w:val="环评表格文字（外）"/>
    <w:basedOn w:val="1"/>
    <w:qFormat/>
    <w:uiPriority w:val="0"/>
    <w:pPr>
      <w:adjustRightInd w:val="0"/>
      <w:snapToGrid w:val="0"/>
      <w:spacing w:line="240" w:lineRule="auto"/>
      <w:ind w:firstLine="0" w:firstLineChars="0"/>
      <w:jc w:val="center"/>
    </w:pPr>
    <w:rPr>
      <w:szCs w:val="21"/>
    </w:rPr>
  </w:style>
  <w:style w:type="paragraph" w:customStyle="1" w:styleId="69">
    <w:name w:val="表格文字（内）"/>
    <w:basedOn w:val="1"/>
    <w:qFormat/>
    <w:uiPriority w:val="0"/>
    <w:pPr>
      <w:adjustRightInd w:val="0"/>
      <w:snapToGrid w:val="0"/>
      <w:spacing w:line="240" w:lineRule="auto"/>
      <w:ind w:firstLine="0" w:firstLineChars="0"/>
      <w:jc w:val="center"/>
    </w:pPr>
    <w:rPr>
      <w:snapToGrid w:val="0"/>
      <w:sz w:val="21"/>
      <w:szCs w:val="21"/>
    </w:rPr>
  </w:style>
  <w:style w:type="paragraph" w:customStyle="1" w:styleId="70">
    <w:name w:val="表格文字"/>
    <w:basedOn w:val="8"/>
    <w:qFormat/>
    <w:uiPriority w:val="0"/>
    <w:pPr>
      <w:adjustRightInd w:val="0"/>
      <w:spacing w:line="320" w:lineRule="exact"/>
      <w:jc w:val="center"/>
    </w:pPr>
    <w:rPr>
      <w:sz w:val="24"/>
    </w:rPr>
  </w:style>
  <w:style w:type="paragraph" w:customStyle="1" w:styleId="71">
    <w:name w:val="表中内容"/>
    <w:basedOn w:val="1"/>
    <w:qFormat/>
    <w:uiPriority w:val="0"/>
    <w:pPr>
      <w:spacing w:line="240" w:lineRule="auto"/>
      <w:ind w:firstLine="0" w:firstLineChars="0"/>
      <w:jc w:val="center"/>
    </w:pPr>
    <w:rPr>
      <w:bCs/>
      <w:kern w:val="0"/>
      <w:szCs w:val="20"/>
    </w:rPr>
  </w:style>
  <w:style w:type="paragraph" w:customStyle="1" w:styleId="72">
    <w:name w:val="报告正文"/>
    <w:basedOn w:val="1"/>
    <w:qFormat/>
    <w:uiPriority w:val="0"/>
    <w:pPr>
      <w:adjustRightInd w:val="0"/>
      <w:snapToGrid w:val="0"/>
      <w:spacing w:line="360" w:lineRule="auto"/>
      <w:ind w:firstLine="200" w:firstLineChars="200"/>
    </w:pPr>
    <w:rPr>
      <w:sz w:val="24"/>
      <w:szCs w:val="20"/>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oleObject" Target="embeddings/oleObject47.bin"/><Relationship Id="rId91" Type="http://schemas.openxmlformats.org/officeDocument/2006/relationships/oleObject" Target="embeddings/oleObject46.bin"/><Relationship Id="rId90" Type="http://schemas.openxmlformats.org/officeDocument/2006/relationships/image" Target="media/image36.wmf"/><Relationship Id="rId9" Type="http://schemas.openxmlformats.org/officeDocument/2006/relationships/theme" Target="theme/theme1.xml"/><Relationship Id="rId89" Type="http://schemas.openxmlformats.org/officeDocument/2006/relationships/oleObject" Target="embeddings/oleObject45.bin"/><Relationship Id="rId88" Type="http://schemas.openxmlformats.org/officeDocument/2006/relationships/oleObject" Target="embeddings/oleObject44.bin"/><Relationship Id="rId87" Type="http://schemas.openxmlformats.org/officeDocument/2006/relationships/image" Target="media/image35.wmf"/><Relationship Id="rId86" Type="http://schemas.openxmlformats.org/officeDocument/2006/relationships/oleObject" Target="embeddings/oleObject43.bin"/><Relationship Id="rId85" Type="http://schemas.openxmlformats.org/officeDocument/2006/relationships/image" Target="media/image34.wmf"/><Relationship Id="rId84" Type="http://schemas.openxmlformats.org/officeDocument/2006/relationships/oleObject" Target="embeddings/oleObject42.bin"/><Relationship Id="rId83" Type="http://schemas.openxmlformats.org/officeDocument/2006/relationships/image" Target="media/image33.wmf"/><Relationship Id="rId82" Type="http://schemas.openxmlformats.org/officeDocument/2006/relationships/oleObject" Target="embeddings/oleObject41.bin"/><Relationship Id="rId81" Type="http://schemas.openxmlformats.org/officeDocument/2006/relationships/oleObject" Target="embeddings/oleObject40.bin"/><Relationship Id="rId80" Type="http://schemas.openxmlformats.org/officeDocument/2006/relationships/image" Target="media/image32.wmf"/><Relationship Id="rId8" Type="http://schemas.openxmlformats.org/officeDocument/2006/relationships/footer" Target="footer4.xml"/><Relationship Id="rId79" Type="http://schemas.openxmlformats.org/officeDocument/2006/relationships/oleObject" Target="embeddings/oleObject39.bin"/><Relationship Id="rId78" Type="http://schemas.openxmlformats.org/officeDocument/2006/relationships/oleObject" Target="embeddings/oleObject38.bin"/><Relationship Id="rId77" Type="http://schemas.openxmlformats.org/officeDocument/2006/relationships/oleObject" Target="embeddings/oleObject37.bin"/><Relationship Id="rId76" Type="http://schemas.openxmlformats.org/officeDocument/2006/relationships/image" Target="media/image31.wmf"/><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oleObject" Target="embeddings/oleObject34.bin"/><Relationship Id="rId72" Type="http://schemas.openxmlformats.org/officeDocument/2006/relationships/image" Target="media/image30.wmf"/><Relationship Id="rId71" Type="http://schemas.openxmlformats.org/officeDocument/2006/relationships/oleObject" Target="embeddings/oleObject33.bin"/><Relationship Id="rId70" Type="http://schemas.openxmlformats.org/officeDocument/2006/relationships/image" Target="media/image29.wmf"/><Relationship Id="rId7" Type="http://schemas.openxmlformats.org/officeDocument/2006/relationships/footer" Target="footer3.xml"/><Relationship Id="rId69" Type="http://schemas.openxmlformats.org/officeDocument/2006/relationships/oleObject" Target="embeddings/oleObject32.bin"/><Relationship Id="rId68" Type="http://schemas.openxmlformats.org/officeDocument/2006/relationships/oleObject" Target="embeddings/oleObject31.bin"/><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image" Target="media/image26.wmf"/><Relationship Id="rId60" Type="http://schemas.openxmlformats.org/officeDocument/2006/relationships/oleObject" Target="embeddings/oleObject26.bin"/><Relationship Id="rId6" Type="http://schemas.openxmlformats.org/officeDocument/2006/relationships/footer" Target="footer2.xml"/><Relationship Id="rId59" Type="http://schemas.openxmlformats.org/officeDocument/2006/relationships/image" Target="media/image25.wmf"/><Relationship Id="rId58" Type="http://schemas.openxmlformats.org/officeDocument/2006/relationships/oleObject" Target="embeddings/oleObject25.bin"/><Relationship Id="rId57" Type="http://schemas.openxmlformats.org/officeDocument/2006/relationships/image" Target="media/image24.wmf"/><Relationship Id="rId56" Type="http://schemas.openxmlformats.org/officeDocument/2006/relationships/oleObject" Target="embeddings/oleObject24.bin"/><Relationship Id="rId55" Type="http://schemas.openxmlformats.org/officeDocument/2006/relationships/image" Target="media/image23.wmf"/><Relationship Id="rId54" Type="http://schemas.openxmlformats.org/officeDocument/2006/relationships/oleObject" Target="embeddings/oleObject23.bin"/><Relationship Id="rId53" Type="http://schemas.openxmlformats.org/officeDocument/2006/relationships/image" Target="media/image22.wmf"/><Relationship Id="rId52" Type="http://schemas.openxmlformats.org/officeDocument/2006/relationships/oleObject" Target="embeddings/oleObject22.bin"/><Relationship Id="rId51" Type="http://schemas.openxmlformats.org/officeDocument/2006/relationships/image" Target="media/image21.wmf"/><Relationship Id="rId50" Type="http://schemas.openxmlformats.org/officeDocument/2006/relationships/oleObject" Target="embeddings/oleObject21.bin"/><Relationship Id="rId5" Type="http://schemas.openxmlformats.org/officeDocument/2006/relationships/footer" Target="footer1.xml"/><Relationship Id="rId49" Type="http://schemas.openxmlformats.org/officeDocument/2006/relationships/image" Target="media/image20.wmf"/><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image" Target="media/image18.wmf"/><Relationship Id="rId44" Type="http://schemas.openxmlformats.org/officeDocument/2006/relationships/oleObject" Target="embeddings/oleObject18.bin"/><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31340</Words>
  <Characters>34874</Characters>
  <Lines>382</Lines>
  <Paragraphs>107</Paragraphs>
  <TotalTime>6</TotalTime>
  <ScaleCrop>false</ScaleCrop>
  <LinksUpToDate>false</LinksUpToDate>
  <CharactersWithSpaces>35861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2024-03-05T06:35:00Z</dcterms:created>
  <dc:creator>Administrator</dc:creator>
  <cp:lastModifiedBy>千里共婵娟</cp:lastModifiedBy>
  <cp:lastPrinted>2024-07-16T02:26:00Z</cp:lastPrinted>
  <dcterms:modified xsi:type="dcterms:W3CDTF">2025-06-18T07:26:43Z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2FA297E9DA964B56BE62C5BADC1AE6CC_13</vt:lpwstr>
  </property>
  <property fmtid="{D5CDD505-2E9C-101B-9397-08002B2CF9AE}" pid="4" name="KSOTemplateDocerSaveRecord">
    <vt:lpwstr>eyJoZGlkIjoiNjljMDA4MmZiN2E3OTE1NWVhNmFkY2NhZjE3ZDcyYjAiLCJ1c2VySWQiOiI3OTc0MTI3MjQifQ==</vt:lpwstr>
  </property>
</Properties>
</file>