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6"/>
          <w:szCs w:val="36"/>
          <w:highlight w:val="none"/>
        </w:rPr>
      </w:pPr>
    </w:p>
    <w:p>
      <w:pPr>
        <w:jc w:val="center"/>
        <w:rPr>
          <w:rFonts w:hint="eastAsia" w:ascii="黑体" w:hAnsi="黑体" w:eastAsia="黑体" w:cs="黑体"/>
          <w:sz w:val="36"/>
          <w:szCs w:val="36"/>
          <w:highlight w:val="none"/>
          <w:lang w:eastAsia="zh-CN"/>
        </w:rPr>
      </w:pPr>
      <w:r>
        <w:rPr>
          <w:rFonts w:hint="eastAsia" w:ascii="黑体" w:hAnsi="黑体" w:eastAsia="黑体" w:cs="黑体"/>
          <w:sz w:val="36"/>
          <w:szCs w:val="36"/>
          <w:highlight w:val="none"/>
          <w:lang w:eastAsia="zh-CN"/>
        </w:rPr>
        <w:t>西安市鄠邑区蒋村街道办事处</w:t>
      </w:r>
    </w:p>
    <w:p>
      <w:pPr>
        <w:jc w:val="center"/>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rPr>
        <w:t>20</w:t>
      </w:r>
      <w:r>
        <w:rPr>
          <w:rFonts w:hint="eastAsia" w:ascii="黑体" w:hAnsi="黑体" w:eastAsia="黑体" w:cs="黑体"/>
          <w:sz w:val="36"/>
          <w:szCs w:val="36"/>
          <w:highlight w:val="none"/>
          <w:lang w:val="en-US" w:eastAsia="zh-CN"/>
        </w:rPr>
        <w:t>22</w:t>
      </w:r>
      <w:r>
        <w:rPr>
          <w:rFonts w:hint="eastAsia" w:ascii="黑体" w:hAnsi="黑体" w:eastAsia="黑体" w:cs="黑体"/>
          <w:sz w:val="36"/>
          <w:szCs w:val="36"/>
          <w:highlight w:val="none"/>
        </w:rPr>
        <w:t>年部门</w:t>
      </w:r>
      <w:r>
        <w:rPr>
          <w:rFonts w:hint="eastAsia" w:ascii="黑体" w:hAnsi="黑体" w:eastAsia="黑体" w:cs="黑体"/>
          <w:sz w:val="36"/>
          <w:szCs w:val="36"/>
          <w:highlight w:val="none"/>
          <w:lang w:eastAsia="zh-CN"/>
        </w:rPr>
        <w:t>预算公开说明</w:t>
      </w:r>
    </w:p>
    <w:p>
      <w:pPr>
        <w:jc w:val="both"/>
        <w:rPr>
          <w:rFonts w:hint="eastAsia"/>
          <w:highlight w:val="none"/>
          <w:lang w:eastAsia="zh-CN"/>
        </w:rPr>
      </w:pPr>
    </w:p>
    <w:p>
      <w:pPr>
        <w:jc w:val="center"/>
        <w:rPr>
          <w:rFonts w:hint="eastAsia"/>
          <w:sz w:val="36"/>
          <w:szCs w:val="36"/>
          <w:highlight w:val="none"/>
          <w:lang w:eastAsia="zh-CN"/>
        </w:rPr>
      </w:pPr>
      <w:r>
        <w:rPr>
          <w:rFonts w:hint="eastAsia"/>
          <w:b/>
          <w:bCs/>
          <w:sz w:val="36"/>
          <w:szCs w:val="36"/>
          <w:highlight w:val="none"/>
          <w:lang w:eastAsia="zh-CN"/>
        </w:rPr>
        <w:t>目录</w:t>
      </w:r>
    </w:p>
    <w:p>
      <w:pPr>
        <w:jc w:val="left"/>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b/>
          <w:bCs/>
          <w:sz w:val="32"/>
          <w:szCs w:val="32"/>
          <w:highlight w:val="none"/>
          <w:lang w:eastAsia="zh-CN"/>
        </w:rPr>
        <w:t>第一部分</w:t>
      </w:r>
      <w:r>
        <w:rPr>
          <w:rFonts w:hint="eastAsia" w:asciiTheme="minorEastAsia" w:hAnsiTheme="minorEastAsia" w:eastAsiaTheme="minorEastAsia" w:cstheme="minorEastAsia"/>
          <w:b/>
          <w:bCs/>
          <w:sz w:val="32"/>
          <w:szCs w:val="32"/>
          <w:highlight w:val="none"/>
          <w:lang w:val="en-US" w:eastAsia="zh-CN"/>
        </w:rPr>
        <w:t xml:space="preserve"> 部门概况</w:t>
      </w:r>
    </w:p>
    <w:p>
      <w:pPr>
        <w:jc w:val="left"/>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lang w:eastAsia="zh-CN"/>
        </w:rPr>
        <w:t>一、</w:t>
      </w:r>
      <w:r>
        <w:rPr>
          <w:rFonts w:hint="eastAsia" w:asciiTheme="minorEastAsia" w:hAnsiTheme="minorEastAsia" w:eastAsiaTheme="minorEastAsia" w:cstheme="minorEastAsia"/>
          <w:sz w:val="32"/>
          <w:szCs w:val="32"/>
          <w:highlight w:val="none"/>
        </w:rPr>
        <w:t>部门主要职责</w:t>
      </w:r>
      <w:r>
        <w:rPr>
          <w:rFonts w:hint="eastAsia" w:asciiTheme="minorEastAsia" w:hAnsiTheme="minorEastAsia" w:eastAsiaTheme="minorEastAsia" w:cstheme="minorEastAsia"/>
          <w:sz w:val="32"/>
          <w:szCs w:val="32"/>
          <w:highlight w:val="none"/>
          <w:lang w:eastAsia="zh-CN"/>
        </w:rPr>
        <w:t>及机构设置</w:t>
      </w:r>
    </w:p>
    <w:p>
      <w:pP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二、</w:t>
      </w:r>
      <w:r>
        <w:rPr>
          <w:rFonts w:hint="eastAsia" w:asciiTheme="minorEastAsia" w:hAnsiTheme="minorEastAsia" w:eastAsiaTheme="minorEastAsia" w:cstheme="minorEastAsia"/>
          <w:sz w:val="32"/>
          <w:szCs w:val="32"/>
          <w:highlight w:val="none"/>
          <w:lang w:eastAsia="zh-CN"/>
        </w:rPr>
        <w:t>202</w:t>
      </w:r>
      <w:r>
        <w:rPr>
          <w:rFonts w:hint="eastAsia" w:asciiTheme="minorEastAsia" w:hAnsiTheme="minorEastAsia" w:eastAsiaTheme="minorEastAsia" w:cstheme="minorEastAsia"/>
          <w:sz w:val="32"/>
          <w:szCs w:val="32"/>
          <w:highlight w:val="none"/>
          <w:lang w:val="en-US" w:eastAsia="zh-CN"/>
        </w:rPr>
        <w:t>2</w:t>
      </w:r>
      <w:r>
        <w:rPr>
          <w:rFonts w:hint="eastAsia" w:asciiTheme="minorEastAsia" w:hAnsiTheme="minorEastAsia" w:eastAsiaTheme="minorEastAsia" w:cstheme="minorEastAsia"/>
          <w:sz w:val="32"/>
          <w:szCs w:val="32"/>
          <w:highlight w:val="none"/>
        </w:rPr>
        <w:t>年部门工作任务</w:t>
      </w:r>
    </w:p>
    <w:p>
      <w:pP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三、部门预算单位构成</w:t>
      </w:r>
    </w:p>
    <w:p>
      <w:pP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四、部门人员情况说明</w:t>
      </w:r>
    </w:p>
    <w:p>
      <w:pPr>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b/>
          <w:bCs/>
          <w:sz w:val="32"/>
          <w:szCs w:val="32"/>
          <w:highlight w:val="none"/>
          <w:lang w:eastAsia="zh-CN"/>
        </w:rPr>
        <w:t>第二部分</w:t>
      </w:r>
      <w:r>
        <w:rPr>
          <w:rFonts w:hint="eastAsia" w:asciiTheme="minorEastAsia" w:hAnsiTheme="minorEastAsia" w:eastAsiaTheme="minorEastAsia" w:cstheme="minorEastAsia"/>
          <w:b/>
          <w:bCs/>
          <w:sz w:val="32"/>
          <w:szCs w:val="32"/>
          <w:highlight w:val="none"/>
          <w:lang w:val="en-US" w:eastAsia="zh-CN"/>
        </w:rPr>
        <w:t xml:space="preserve"> 收支情况</w:t>
      </w:r>
    </w:p>
    <w:p>
      <w:pP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lang w:eastAsia="zh-CN"/>
        </w:rPr>
        <w:t>五、202</w:t>
      </w:r>
      <w:r>
        <w:rPr>
          <w:rFonts w:hint="eastAsia" w:asciiTheme="minorEastAsia" w:hAnsiTheme="minorEastAsia" w:eastAsiaTheme="minorEastAsia" w:cstheme="minorEastAsia"/>
          <w:sz w:val="32"/>
          <w:szCs w:val="32"/>
          <w:highlight w:val="none"/>
          <w:lang w:val="en-US" w:eastAsia="zh-CN"/>
        </w:rPr>
        <w:t>2</w:t>
      </w:r>
      <w:r>
        <w:rPr>
          <w:rFonts w:hint="eastAsia" w:asciiTheme="minorEastAsia" w:hAnsiTheme="minorEastAsia" w:eastAsiaTheme="minorEastAsia" w:cstheme="minorEastAsia"/>
          <w:sz w:val="32"/>
          <w:szCs w:val="32"/>
          <w:highlight w:val="none"/>
        </w:rPr>
        <w:t>年部门预算收支说明</w:t>
      </w:r>
    </w:p>
    <w:p>
      <w:pPr>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b/>
          <w:bCs/>
          <w:sz w:val="32"/>
          <w:szCs w:val="32"/>
          <w:highlight w:val="none"/>
          <w:lang w:eastAsia="zh-CN"/>
        </w:rPr>
        <w:t>第三部分</w:t>
      </w:r>
      <w:r>
        <w:rPr>
          <w:rFonts w:hint="eastAsia" w:asciiTheme="minorEastAsia" w:hAnsiTheme="minorEastAsia" w:eastAsiaTheme="minorEastAsia" w:cstheme="minorEastAsia"/>
          <w:b/>
          <w:bCs/>
          <w:sz w:val="32"/>
          <w:szCs w:val="32"/>
          <w:highlight w:val="none"/>
          <w:lang w:val="en-US" w:eastAsia="zh-CN"/>
        </w:rPr>
        <w:t xml:space="preserve">  其他说明情况</w:t>
      </w:r>
    </w:p>
    <w:p>
      <w:pPr>
        <w:rPr>
          <w:rFonts w:hint="eastAsia" w:asciiTheme="minorEastAsia" w:hAnsiTheme="minorEastAsia" w:eastAsiaTheme="minorEastAsia" w:cstheme="minorEastAsia"/>
          <w:sz w:val="32"/>
          <w:szCs w:val="32"/>
          <w:highlight w:val="none"/>
          <w:u w:val="single"/>
          <w:lang w:eastAsia="zh-CN"/>
        </w:rPr>
      </w:pPr>
      <w:r>
        <w:rPr>
          <w:rFonts w:hint="eastAsia" w:asciiTheme="minorEastAsia" w:hAnsiTheme="minorEastAsia" w:eastAsiaTheme="minorEastAsia" w:cstheme="minorEastAsia"/>
          <w:sz w:val="32"/>
          <w:szCs w:val="32"/>
          <w:highlight w:val="none"/>
          <w:lang w:eastAsia="zh-CN"/>
        </w:rPr>
        <w:t>六</w:t>
      </w:r>
      <w:r>
        <w:rPr>
          <w:rFonts w:hint="eastAsia" w:asciiTheme="minorEastAsia" w:hAnsiTheme="minorEastAsia" w:eastAsiaTheme="minorEastAsia" w:cstheme="minorEastAsia"/>
          <w:sz w:val="32"/>
          <w:szCs w:val="32"/>
          <w:highlight w:val="none"/>
        </w:rPr>
        <w:t>、</w:t>
      </w:r>
      <w:r>
        <w:rPr>
          <w:rFonts w:hint="eastAsia" w:asciiTheme="minorEastAsia" w:hAnsiTheme="minorEastAsia" w:eastAsiaTheme="minorEastAsia" w:cstheme="minorEastAsia"/>
          <w:sz w:val="32"/>
          <w:szCs w:val="32"/>
          <w:highlight w:val="none"/>
          <w:u w:val="none"/>
        </w:rPr>
        <w:t>部门预算</w:t>
      </w:r>
      <w:r>
        <w:rPr>
          <w:rFonts w:hint="eastAsia" w:asciiTheme="minorEastAsia" w:hAnsiTheme="minorEastAsia" w:eastAsiaTheme="minorEastAsia" w:cstheme="minorEastAsia"/>
          <w:sz w:val="32"/>
          <w:szCs w:val="32"/>
          <w:highlight w:val="none"/>
          <w:u w:val="none"/>
          <w:lang w:eastAsia="zh-CN"/>
        </w:rPr>
        <w:t>“三公”经费及会议费、培训费情况说明</w:t>
      </w:r>
    </w:p>
    <w:p>
      <w:pPr>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lang w:eastAsia="zh-CN"/>
        </w:rPr>
        <w:t>七</w:t>
      </w:r>
      <w:r>
        <w:rPr>
          <w:rFonts w:hint="eastAsia" w:asciiTheme="minorEastAsia" w:hAnsiTheme="minorEastAsia" w:eastAsiaTheme="minorEastAsia" w:cstheme="minorEastAsia"/>
          <w:sz w:val="32"/>
          <w:szCs w:val="32"/>
          <w:highlight w:val="none"/>
        </w:rPr>
        <w:t>、部门国有资产占有使用</w:t>
      </w:r>
      <w:r>
        <w:rPr>
          <w:rFonts w:hint="eastAsia" w:asciiTheme="minorEastAsia" w:hAnsiTheme="minorEastAsia" w:eastAsiaTheme="minorEastAsia" w:cstheme="minorEastAsia"/>
          <w:sz w:val="32"/>
          <w:szCs w:val="32"/>
          <w:highlight w:val="none"/>
          <w:lang w:eastAsia="zh-CN"/>
        </w:rPr>
        <w:t>及资产购置</w:t>
      </w:r>
      <w:r>
        <w:rPr>
          <w:rFonts w:hint="eastAsia" w:asciiTheme="minorEastAsia" w:hAnsiTheme="minorEastAsia" w:eastAsiaTheme="minorEastAsia" w:cstheme="minorEastAsia"/>
          <w:sz w:val="32"/>
          <w:szCs w:val="32"/>
          <w:highlight w:val="none"/>
        </w:rPr>
        <w:t>情况说明</w:t>
      </w:r>
    </w:p>
    <w:p>
      <w:pP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lang w:eastAsia="zh-CN"/>
        </w:rPr>
        <w:t>八、部门政府采购</w:t>
      </w:r>
      <w:r>
        <w:rPr>
          <w:rFonts w:hint="eastAsia" w:asciiTheme="minorEastAsia" w:hAnsiTheme="minorEastAsia" w:eastAsiaTheme="minorEastAsia" w:cstheme="minorEastAsia"/>
          <w:sz w:val="32"/>
          <w:szCs w:val="32"/>
          <w:highlight w:val="none"/>
        </w:rPr>
        <w:t>情况说明</w:t>
      </w:r>
    </w:p>
    <w:p>
      <w:pP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lang w:eastAsia="zh-CN"/>
        </w:rPr>
        <w:t>九、部门预算</w:t>
      </w:r>
      <w:r>
        <w:rPr>
          <w:rFonts w:hint="eastAsia" w:asciiTheme="minorEastAsia" w:hAnsiTheme="minorEastAsia" w:eastAsiaTheme="minorEastAsia" w:cstheme="minorEastAsia"/>
          <w:sz w:val="32"/>
          <w:szCs w:val="32"/>
          <w:highlight w:val="none"/>
        </w:rPr>
        <w:t>绩效目标说明</w:t>
      </w:r>
    </w:p>
    <w:p>
      <w:pPr>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lang w:eastAsia="zh-CN"/>
        </w:rPr>
        <w:t>十</w:t>
      </w:r>
      <w:r>
        <w:rPr>
          <w:rFonts w:hint="eastAsia" w:asciiTheme="minorEastAsia" w:hAnsiTheme="minorEastAsia" w:eastAsiaTheme="minorEastAsia" w:cstheme="minorEastAsia"/>
          <w:sz w:val="32"/>
          <w:szCs w:val="32"/>
          <w:highlight w:val="none"/>
        </w:rPr>
        <w:t>、</w:t>
      </w:r>
      <w:r>
        <w:rPr>
          <w:rFonts w:hint="eastAsia" w:asciiTheme="minorEastAsia" w:hAnsiTheme="minorEastAsia" w:eastAsiaTheme="minorEastAsia" w:cstheme="minorEastAsia"/>
          <w:sz w:val="32"/>
          <w:szCs w:val="32"/>
          <w:highlight w:val="none"/>
          <w:lang w:eastAsia="zh-CN"/>
        </w:rPr>
        <w:t>机关运行经费安排说明</w:t>
      </w:r>
    </w:p>
    <w:p>
      <w:pPr>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lang w:val="en-US" w:eastAsia="zh-CN"/>
        </w:rPr>
        <w:t>十一、</w:t>
      </w:r>
      <w:r>
        <w:rPr>
          <w:rFonts w:hint="eastAsia" w:asciiTheme="minorEastAsia" w:hAnsiTheme="minorEastAsia" w:eastAsiaTheme="minorEastAsia" w:cstheme="minorEastAsia"/>
          <w:sz w:val="32"/>
          <w:szCs w:val="32"/>
          <w:highlight w:val="none"/>
          <w:lang w:eastAsia="zh-CN"/>
        </w:rPr>
        <w:t>专业名词解释</w:t>
      </w:r>
    </w:p>
    <w:p>
      <w:pPr>
        <w:jc w:val="both"/>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eastAsia="zh-CN"/>
        </w:rPr>
        <w:t>第四部分</w:t>
      </w:r>
      <w:r>
        <w:rPr>
          <w:rFonts w:hint="eastAsia" w:asciiTheme="minorEastAsia" w:hAnsiTheme="minorEastAsia" w:eastAsiaTheme="minorEastAsia" w:cstheme="minorEastAsia"/>
          <w:b/>
          <w:bCs/>
          <w:sz w:val="32"/>
          <w:szCs w:val="32"/>
          <w:highlight w:val="none"/>
          <w:lang w:val="en-US" w:eastAsia="zh-CN"/>
        </w:rPr>
        <w:t xml:space="preserve">  公开报表</w:t>
      </w:r>
    </w:p>
    <w:p>
      <w:pPr>
        <w:jc w:val="both"/>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lang w:eastAsia="zh-CN"/>
        </w:rPr>
        <w:t>（具体部门预算公开报表）</w:t>
      </w:r>
    </w:p>
    <w:p>
      <w:pPr>
        <w:jc w:val="both"/>
        <w:rPr>
          <w:rFonts w:hint="eastAsia" w:asciiTheme="minorEastAsia" w:hAnsiTheme="minorEastAsia" w:eastAsiaTheme="minorEastAsia" w:cstheme="minorEastAsia"/>
          <w:sz w:val="32"/>
          <w:szCs w:val="32"/>
          <w:highlight w:val="none"/>
          <w:lang w:eastAsia="zh-CN"/>
        </w:rPr>
      </w:pPr>
    </w:p>
    <w:p>
      <w:pPr>
        <w:jc w:val="cente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eastAsia="zh-CN"/>
        </w:rPr>
        <w:t>第一部分</w:t>
      </w:r>
      <w:r>
        <w:rPr>
          <w:rFonts w:hint="eastAsia" w:asciiTheme="majorEastAsia" w:hAnsiTheme="majorEastAsia" w:eastAsiaTheme="majorEastAsia" w:cstheme="majorEastAsia"/>
          <w:b/>
          <w:bCs/>
          <w:sz w:val="32"/>
          <w:szCs w:val="32"/>
          <w:highlight w:val="none"/>
          <w:lang w:val="en-US" w:eastAsia="zh-CN"/>
        </w:rPr>
        <w:t xml:space="preserve">  部门概况</w:t>
      </w:r>
    </w:p>
    <w:p>
      <w:p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一、部门主要职责</w:t>
      </w:r>
      <w:r>
        <w:rPr>
          <w:rFonts w:hint="eastAsia" w:ascii="仿宋_GB2312" w:hAnsi="仿宋_GB2312" w:eastAsia="仿宋_GB2312" w:cs="仿宋_GB2312"/>
          <w:b/>
          <w:bCs/>
          <w:sz w:val="32"/>
          <w:szCs w:val="32"/>
          <w:highlight w:val="none"/>
          <w:lang w:eastAsia="zh-CN"/>
        </w:rPr>
        <w:t>及机构设置</w:t>
      </w:r>
    </w:p>
    <w:p>
      <w:pPr>
        <w:keepNext w:val="0"/>
        <w:keepLines w:val="0"/>
        <w:widowControl/>
        <w:suppressLineNumbers w:val="0"/>
        <w:jc w:val="left"/>
        <w:rPr>
          <w:rFonts w:ascii="仿宋" w:hAnsi="仿宋" w:eastAsia="仿宋" w:cs="仿宋"/>
          <w:color w:val="000000"/>
          <w:kern w:val="0"/>
          <w:sz w:val="31"/>
          <w:szCs w:val="31"/>
          <w:lang w:val="en-US" w:eastAsia="zh-CN" w:bidi="ar"/>
        </w:rPr>
      </w:pPr>
      <w:r>
        <w:rPr>
          <w:rFonts w:ascii="仿宋" w:hAnsi="仿宋" w:eastAsia="仿宋" w:cs="仿宋"/>
          <w:color w:val="000000"/>
          <w:kern w:val="0"/>
          <w:sz w:val="31"/>
          <w:szCs w:val="31"/>
          <w:lang w:val="en-US" w:eastAsia="zh-CN" w:bidi="ar"/>
        </w:rPr>
        <w:t xml:space="preserve">1．主要职能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（1）、贯彻执行党和国家的方针、政策、法律和法规，调查研究并制定适合本街办实际的具体政策措施。</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（2）、组织制订街办经济发展的中、长期规划，搞好经济发展的总体布局和产业布局，制订并组织实施全街办农村现代化建设的规划和措施。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（3）、改善投资环境，做好招商引资工作，积极引导发展民营和外商投资企业。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（4）、巩固发展壮大村级集体经济，加强农村社会化服务体系建设，指导、协调农业生产和效益农业发展。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（5）、负责全街办计划生育、义务教育、卫生工作的分解落实。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（6）、编制街办财政计划，做好经费的划拨和核算工作，并指导、协调、监督农村合作经济组织的财务、会计、审计工作。</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（7）、认真贯彻社会治安治理方针原则，组织、协调指导维护全街办社会稳定工作。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（8）、负责做好兵员征集、现役军人家属优抚、退伍军人的安置、社会救灾救济、养老保险和推行殡葬改革工作。 </w:t>
      </w:r>
    </w:p>
    <w:p>
      <w:pPr>
        <w:keepNext w:val="0"/>
        <w:keepLines w:val="0"/>
        <w:widowControl/>
        <w:numPr>
          <w:ilvl w:val="0"/>
          <w:numId w:val="0"/>
        </w:numPr>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（9）、做好上级交办的其他各项工作。 </w:t>
      </w:r>
    </w:p>
    <w:p>
      <w:pPr>
        <w:keepNext w:val="0"/>
        <w:keepLines w:val="0"/>
        <w:widowControl/>
        <w:numPr>
          <w:ilvl w:val="0"/>
          <w:numId w:val="0"/>
        </w:numPr>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2、机构设置</w:t>
      </w:r>
    </w:p>
    <w:p>
      <w:pPr>
        <w:keepNext w:val="0"/>
        <w:keepLines w:val="0"/>
        <w:widowControl/>
        <w:numPr>
          <w:ilvl w:val="0"/>
          <w:numId w:val="0"/>
        </w:numPr>
        <w:suppressLineNumbers w:val="0"/>
        <w:ind w:firstLine="310" w:firstLineChars="1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一、根据街道的职能定位，设置内设机构6个：</w:t>
      </w:r>
    </w:p>
    <w:p>
      <w:pPr>
        <w:keepNext w:val="0"/>
        <w:keepLines w:val="0"/>
        <w:widowControl/>
        <w:numPr>
          <w:ilvl w:val="0"/>
          <w:numId w:val="1"/>
        </w:numPr>
        <w:suppressLineNumbers w:val="0"/>
        <w:ind w:firstLine="310" w:firstLineChars="1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、党政综合办公室。主要承担党工委、办事处日常机关党务、行政事务管理，党风廉政建设和反腐败等工作职能。</w:t>
      </w:r>
    </w:p>
    <w:p>
      <w:pPr>
        <w:keepNext w:val="0"/>
        <w:keepLines w:val="0"/>
        <w:widowControl/>
        <w:numPr>
          <w:ilvl w:val="0"/>
          <w:numId w:val="1"/>
        </w:numPr>
        <w:suppressLineNumbers w:val="0"/>
        <w:ind w:firstLine="310" w:firstLineChars="1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、党建工作办公室（人大工委办公室）。主要承担党的政治建设、组织建设工作；负责宣传、统战、民族宗教、人武、群团工作；承担人大、政协等有关工作职能。</w:t>
      </w:r>
    </w:p>
    <w:p>
      <w:pPr>
        <w:keepNext w:val="0"/>
        <w:keepLines w:val="0"/>
        <w:widowControl/>
        <w:numPr>
          <w:ilvl w:val="0"/>
          <w:numId w:val="1"/>
        </w:numPr>
        <w:suppressLineNumbers w:val="0"/>
        <w:ind w:firstLine="310" w:firstLineChars="1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、城市综合管理办公室。主要承担统筹协调区域内各条块的管理服务和执法力量，履行辖区内城市建设、城市管理、生态保护、环卫绿化等综合管理工作职能。</w:t>
      </w:r>
    </w:p>
    <w:p>
      <w:pPr>
        <w:keepNext w:val="0"/>
        <w:keepLines w:val="0"/>
        <w:widowControl/>
        <w:numPr>
          <w:ilvl w:val="0"/>
          <w:numId w:val="1"/>
        </w:numPr>
        <w:suppressLineNumbers w:val="0"/>
        <w:ind w:firstLine="310" w:firstLineChars="1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、社会事务办公室。主要承担社会事务管理、社区建设、卫生健康、食品安全、扶贫帮困、房屋和物业管理、公共服务、指导基层自治等工作职能。</w:t>
      </w:r>
    </w:p>
    <w:p>
      <w:pPr>
        <w:keepNext w:val="0"/>
        <w:keepLines w:val="0"/>
        <w:widowControl/>
        <w:numPr>
          <w:ilvl w:val="0"/>
          <w:numId w:val="1"/>
        </w:numPr>
        <w:suppressLineNumbers w:val="0"/>
        <w:ind w:firstLine="310" w:firstLineChars="1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社会治理和平安建设办公室。主要承担平安建设、综合治理、维护稳定、信访接待、调处纠纷、应急管理、安全生产、人民防空等工作职能。</w:t>
      </w:r>
    </w:p>
    <w:p>
      <w:pPr>
        <w:keepNext w:val="0"/>
        <w:keepLines w:val="0"/>
        <w:widowControl/>
        <w:numPr>
          <w:ilvl w:val="0"/>
          <w:numId w:val="1"/>
        </w:numPr>
        <w:suppressLineNumbers w:val="0"/>
        <w:ind w:firstLine="310" w:firstLineChars="1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区域发展办公室。主要承担统筹推动区域发展、优化营商环境、城市更新、社会经济统计、普查、调查等工作职能。</w:t>
      </w:r>
    </w:p>
    <w:p>
      <w:pPr>
        <w:keepNext w:val="0"/>
        <w:keepLines w:val="0"/>
        <w:widowControl/>
        <w:numPr>
          <w:ilvl w:val="0"/>
          <w:numId w:val="0"/>
        </w:numPr>
        <w:suppressLineNumbers w:val="0"/>
        <w:ind w:firstLine="62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二、综合设置街道事业机构</w:t>
      </w:r>
    </w:p>
    <w:p>
      <w:pPr>
        <w:keepNext w:val="0"/>
        <w:keepLines w:val="0"/>
        <w:widowControl/>
        <w:numPr>
          <w:ilvl w:val="0"/>
          <w:numId w:val="0"/>
        </w:numPr>
        <w:suppressLineNumbers w:val="0"/>
        <w:ind w:firstLine="62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积极构建面向基层、面向群众和社会的公共服务体系和网格化管理平台，整合基层审批服务和执法力量，加快建设“15分钟便民服务圈”，街道综合设置4个事业单位：</w:t>
      </w:r>
    </w:p>
    <w:p>
      <w:pPr>
        <w:keepNext w:val="0"/>
        <w:keepLines w:val="0"/>
        <w:widowControl/>
        <w:numPr>
          <w:ilvl w:val="0"/>
          <w:numId w:val="2"/>
        </w:numPr>
        <w:suppressLineNumbers w:val="0"/>
        <w:ind w:firstLine="62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党群服务中心（便民服务中心、退役军人服务站）。负责推进区域化城市基层建设、服务社区（村）党员群众相关事务性工作；负责街道政务服务及综合便民服务工作，承担劳动就业、社会保障、住房保障、法律咨询、城市居民最低生活保障等具体服务工作；负责街道便民服务场所和平台的管理工作；承担社区服务站的建设和运行指导工作；负责退役军人服务、拥军优属等事务性工作。</w:t>
      </w:r>
    </w:p>
    <w:p>
      <w:pPr>
        <w:keepNext w:val="0"/>
        <w:keepLines w:val="0"/>
        <w:widowControl/>
        <w:numPr>
          <w:ilvl w:val="0"/>
          <w:numId w:val="2"/>
        </w:numPr>
        <w:suppressLineNumbers w:val="0"/>
        <w:ind w:firstLine="62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综合治理和网格化服务管理中心（12345市民热线服务中心）。负责网格化管理平台的建设和运行管理，负责推进基层党建、城市治理、社会治理、公共安全和公共服务等网格实现“多网合一”；负责整合社会资源、创新社会治理方式；负责日常网格巡查、发现问题、上传下达、任务分派、协调处置等工作任务；负责街道网格员队伍建设、日常管理使用和监督考评等工作；负责街道和社区信息化建设工作；负责12345市民热线转办事项的协调办理工作。</w:t>
      </w:r>
    </w:p>
    <w:p>
      <w:pPr>
        <w:keepNext w:val="0"/>
        <w:keepLines w:val="0"/>
        <w:widowControl/>
        <w:numPr>
          <w:ilvl w:val="0"/>
          <w:numId w:val="2"/>
        </w:numPr>
        <w:suppressLineNumbers w:val="0"/>
        <w:ind w:firstLine="62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综合保障服务中心。负责组织开展群众性文化、体育、科普活动，开展社会公德宣传教育；负责组织辖区单位、居民和志愿者队伍为社区（村）发展服务，指导协助社区(村）培育发展社会组织；负责社区（村）服务体系建设，养老服务体系建设，推动社区（村）公益事业发展。</w:t>
      </w:r>
    </w:p>
    <w:p>
      <w:pPr>
        <w:keepNext w:val="0"/>
        <w:keepLines w:val="0"/>
        <w:widowControl/>
        <w:numPr>
          <w:ilvl w:val="0"/>
          <w:numId w:val="2"/>
        </w:numPr>
        <w:suppressLineNumbers w:val="0"/>
        <w:ind w:firstLine="62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农业农村综合服务中心（农村产权流转交易服务站）。负责农业技术推广应用，水资源管理工作；负责畜牧兽医和动物疾病防控，建立动物防疫责任制度等工作；负责林业服务管理等工作；负责城中村、棚户区改造的事务性、服务性工作；指导农村集体经济组织发展和有关事务性工作；负责农村产权流转交易信息的收集、审核、发布和服务等工作。</w:t>
      </w:r>
    </w:p>
    <w:p>
      <w:pPr>
        <w:keepNext w:val="0"/>
        <w:keepLines w:val="0"/>
        <w:widowControl/>
        <w:numPr>
          <w:ilvl w:val="0"/>
          <w:numId w:val="0"/>
        </w:numPr>
        <w:suppressLineNumbers w:val="0"/>
        <w:ind w:firstLine="62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三、组建综合执法队伍</w:t>
      </w:r>
    </w:p>
    <w:p>
      <w:pPr>
        <w:keepNext w:val="0"/>
        <w:keepLines w:val="0"/>
        <w:widowControl/>
        <w:numPr>
          <w:ilvl w:val="0"/>
          <w:numId w:val="0"/>
        </w:numPr>
        <w:suppressLineNumbers w:val="0"/>
        <w:ind w:firstLine="62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以街道城管综合执法中队等执法力量为基础，组建街道综合执法队，保留城管综合行政执法中队牌子，既是区城管综合执法队伍的派出机构，也是街道综合执法队伍，以街道管理为主，具体承担街道相关领域综合执法职能。执法队伍实行人员编制锁定。</w:t>
      </w:r>
    </w:p>
    <w:p>
      <w:pPr>
        <w:keepNext w:val="0"/>
        <w:keepLines w:val="0"/>
        <w:widowControl/>
        <w:numPr>
          <w:ilvl w:val="0"/>
          <w:numId w:val="0"/>
        </w:numPr>
        <w:suppressLineNumbers w:val="0"/>
        <w:ind w:firstLine="62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街道纪检监察、人武、工会、共青团、妇联等组织按有关规定设置并开展工作。街道按照相关规定建立的议事协调机构日常工作由街道内设机构承担。</w:t>
      </w:r>
    </w:p>
    <w:p>
      <w:pPr>
        <w:ind w:firstLine="64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202</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年部门工作任务</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2022年，我街道将结合发展实际，以重点、中心工作为引领，创新工作方式，增加自选动作，全面推动蒋村街道经济社会发展，确保实现蒋村街道“十四五”规划全面进行实施发力阶段。</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1、继续举全街道之力，在区疫情防控指挥部的正确指导下，街、村、组三级上下一心，严防死守，全民参战，严格落实各项防控管控措施，坚决打赢本次新冠疫情“阻击战”，“歼灭战”！</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2、集全街道之力持续打造街道辖区环境提升项目。抓住历史发展机遇，严格按照辖区编制规划，全面完成街道辖区基础设施及环境卫生改造提升工作，切实提升百姓居住环境和增加生活幸福感。</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3、依托国家乡村振兴战略，积极沟通协调各类衔接项目及建设资金落地生根，力争村村有大项目、村村有主导产业，把国家各项扶助资金及帮扶项目用足用实，人民生活水平跨入一个新阶段。</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4、积极配合荣华控股集团做好“原乡小镇”建设，重点打造以念庄、五泉、柳泉等三个自然村田园经济综合体，全力推动民宿经济取得新突破。</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5、加大秦岭保护巡查整治力度，强化管控措施，巩固提升秦岭北麓生态保护各项工作成效，坚决杜绝各类违规违法破坏秦岭生态环境事件发生。</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6、以“散乱污”企业治理、农村“煤改洁、煤改气”工作为契机，加大对农村清洁能源的综合利用力度，力争全面实现全街道农村生活取暖“低排放、零污染”目标，坚决打赢治污减霾保卫蓝天攻坚战。</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7、全面推动全域旅游新格局。继续精心组织好柳泉桃花节、同兴西瓜节、郝寨杏花节、白龙酒文化品鉴节等综合文化旅游观光活动，同时对现有的旅游资源做好科学规划包装，提升质量和档次，把旅游观光产业打造成蒋村街道新的经济增长支柱产业。</w:t>
      </w:r>
    </w:p>
    <w:p>
      <w:pPr>
        <w:keepNext w:val="0"/>
        <w:keepLines w:val="0"/>
        <w:widowControl/>
        <w:suppressLineNumbers w:val="0"/>
        <w:ind w:firstLine="620" w:firstLineChars="200"/>
        <w:jc w:val="left"/>
        <w:rPr>
          <w:rFonts w:hint="eastAsia" w:ascii="仿宋_GB2312" w:hAnsi="仿宋_GB2312" w:eastAsia="仿宋_GB2312" w:cs="仿宋_GB2312"/>
          <w:b/>
          <w:bCs/>
          <w:sz w:val="32"/>
          <w:szCs w:val="32"/>
          <w:highlight w:val="none"/>
        </w:rPr>
      </w:pPr>
      <w:r>
        <w:rPr>
          <w:rFonts w:hint="eastAsia" w:ascii="仿宋" w:hAnsi="仿宋" w:eastAsia="仿宋" w:cs="仿宋"/>
          <w:color w:val="000000"/>
          <w:kern w:val="0"/>
          <w:sz w:val="31"/>
          <w:szCs w:val="31"/>
          <w:lang w:val="en-US" w:eastAsia="zh-CN" w:bidi="ar"/>
        </w:rPr>
        <w:t>8、以“五个美丽”为抓手，持续做好农村人居环境整治提升工作，从基础设施建设、村内美化绿化、垃圾无害化处置、乡风文明一条街建设等方面入手，全面实现农村人居环境提级升档。</w:t>
      </w:r>
    </w:p>
    <w:p>
      <w:pPr>
        <w:ind w:firstLine="64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三、部门预算单位构成</w:t>
      </w:r>
    </w:p>
    <w:p>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本部门的部门预算包括西安市鄠邑区蒋村街道办事处</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4912"/>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top"/>
          </w:tcPr>
          <w:p>
            <w:pPr>
              <w:jc w:val="center"/>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序号</w:t>
            </w:r>
          </w:p>
        </w:tc>
        <w:tc>
          <w:tcPr>
            <w:tcW w:w="4912" w:type="dxa"/>
            <w:vAlign w:val="top"/>
          </w:tcPr>
          <w:p>
            <w:pPr>
              <w:jc w:val="center"/>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单位名称</w:t>
            </w:r>
          </w:p>
        </w:tc>
        <w:tc>
          <w:tcPr>
            <w:tcW w:w="2011" w:type="dxa"/>
            <w:vAlign w:val="top"/>
          </w:tcPr>
          <w:p>
            <w:pPr>
              <w:jc w:val="center"/>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拟变动情况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top"/>
          </w:tcPr>
          <w:p>
            <w:p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4912" w:type="dxa"/>
            <w:vAlign w:val="top"/>
          </w:tcPr>
          <w:p>
            <w:pP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西安市鄠邑区蒋村街道办事处</w:t>
            </w:r>
          </w:p>
        </w:tc>
        <w:tc>
          <w:tcPr>
            <w:tcW w:w="2011" w:type="dxa"/>
            <w:vAlign w:val="top"/>
          </w:tcPr>
          <w:p>
            <w:pPr>
              <w:rPr>
                <w:rFonts w:hint="eastAsia" w:ascii="仿宋_GB2312" w:hAnsi="仿宋_GB2312" w:eastAsia="仿宋_GB2312" w:cs="仿宋_GB2312"/>
                <w:sz w:val="32"/>
                <w:szCs w:val="32"/>
                <w:highlight w:val="none"/>
                <w:vertAlign w:val="baseline"/>
                <w:lang w:val="en-US" w:eastAsia="zh-CN"/>
              </w:rPr>
            </w:pPr>
          </w:p>
        </w:tc>
      </w:tr>
    </w:tbl>
    <w:p>
      <w:p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四、部门人员情况说明</w:t>
      </w:r>
    </w:p>
    <w:p>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截止</w:t>
      </w:r>
      <w:r>
        <w:rPr>
          <w:rFonts w:hint="eastAsia" w:ascii="仿宋_GB2312" w:hAnsi="仿宋_GB2312" w:eastAsia="仿宋_GB2312" w:cs="仿宋_GB2312"/>
          <w:sz w:val="32"/>
          <w:szCs w:val="32"/>
          <w:highlight w:val="none"/>
          <w:lang w:val="en-US" w:eastAsia="zh-CN"/>
        </w:rPr>
        <w:t>2021年底，</w:t>
      </w:r>
      <w:r>
        <w:rPr>
          <w:rFonts w:hint="eastAsia" w:ascii="仿宋_GB2312" w:hAnsi="仿宋_GB2312" w:eastAsia="仿宋_GB2312" w:cs="仿宋_GB2312"/>
          <w:sz w:val="32"/>
          <w:szCs w:val="32"/>
          <w:highlight w:val="none"/>
          <w:lang w:eastAsia="zh-CN"/>
        </w:rPr>
        <w:t>本部门人员编制</w:t>
      </w:r>
      <w:r>
        <w:rPr>
          <w:rFonts w:hint="eastAsia" w:ascii="仿宋_GB2312" w:hAnsi="仿宋_GB2312" w:eastAsia="仿宋_GB2312" w:cs="仿宋_GB2312"/>
          <w:sz w:val="32"/>
          <w:szCs w:val="32"/>
          <w:highlight w:val="none"/>
          <w:lang w:val="en-US" w:eastAsia="zh-CN"/>
        </w:rPr>
        <w:t>82人，其中行政编制32人、事业编制50人；实有人员83人，其中行政27人、事业56人。单位管理的退休人员47人。</w:t>
      </w:r>
    </w:p>
    <w:p>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drawing>
          <wp:inline distT="0" distB="0" distL="114300" distR="114300">
            <wp:extent cx="4212590" cy="3002280"/>
            <wp:effectExtent l="4445" t="4445" r="19685" b="10795"/>
            <wp:docPr id="2" name="图表 2" descr="7b0a202020202263686172745265734964223a2022343536383330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ind w:firstLine="640"/>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eastAsia="zh-CN"/>
        </w:rPr>
        <w:t>第二部分</w:t>
      </w:r>
      <w:r>
        <w:rPr>
          <w:rFonts w:hint="eastAsia" w:ascii="仿宋_GB2312" w:hAnsi="仿宋_GB2312" w:eastAsia="仿宋_GB2312" w:cs="仿宋_GB2312"/>
          <w:b/>
          <w:bCs/>
          <w:sz w:val="32"/>
          <w:szCs w:val="32"/>
          <w:highlight w:val="none"/>
          <w:lang w:val="en-US" w:eastAsia="zh-CN"/>
        </w:rPr>
        <w:t xml:space="preserve">  收支情况</w:t>
      </w:r>
    </w:p>
    <w:p>
      <w:p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202</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年部门预算收支说明</w:t>
      </w:r>
    </w:p>
    <w:p>
      <w:pPr>
        <w:ind w:firstLine="64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rPr>
        <w:t>收支预算总体情况</w:t>
      </w:r>
    </w:p>
    <w:p>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按照综合预算的原则，本部门所有收入和支出均纳入部门预算管理。</w:t>
      </w:r>
      <w:r>
        <w:rPr>
          <w:rFonts w:hint="eastAsia" w:ascii="仿宋_GB2312" w:hAnsi="仿宋_GB2312" w:eastAsia="仿宋_GB2312" w:cs="仿宋_GB2312"/>
          <w:sz w:val="32"/>
          <w:szCs w:val="32"/>
          <w:highlight w:val="none"/>
          <w:lang w:val="en-US" w:eastAsia="zh-CN"/>
        </w:rPr>
        <w:t>2022年本部门预算收入989.50万元，其中一般公共预算拨款收入989.50万元、政府性基金拨款收入0万元，2022年本部门预算收入较上年增加35.52万元，主要原因是社保费用增加，工资增加，业务增多；2022年本部门预算支出989.50万元，其中一般公共预算拨款支出989.50万元、政府性基金拨款支出0万元，2022年本部门预算支出较上年增加35.52万元，主要原因是社保费用增加，工资增加，业务增多。</w:t>
      </w:r>
    </w:p>
    <w:p>
      <w:pPr>
        <w:ind w:firstLine="64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（二）财政拨款收支情况</w:t>
      </w:r>
    </w:p>
    <w:p>
      <w:pPr>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lang w:eastAsia="zh-CN"/>
        </w:rPr>
        <w:t>年本部门财政拨款收入</w:t>
      </w:r>
      <w:r>
        <w:rPr>
          <w:rFonts w:hint="eastAsia" w:ascii="仿宋_GB2312" w:hAnsi="仿宋_GB2312" w:eastAsia="仿宋_GB2312" w:cs="仿宋_GB2312"/>
          <w:sz w:val="32"/>
          <w:szCs w:val="32"/>
          <w:highlight w:val="none"/>
          <w:lang w:val="en-US" w:eastAsia="zh-CN"/>
        </w:rPr>
        <w:t>989.50</w:t>
      </w:r>
      <w:r>
        <w:rPr>
          <w:rFonts w:hint="eastAsia" w:ascii="仿宋_GB2312" w:hAnsi="仿宋_GB2312" w:eastAsia="仿宋_GB2312" w:cs="仿宋_GB2312"/>
          <w:sz w:val="32"/>
          <w:szCs w:val="32"/>
          <w:highlight w:val="none"/>
          <w:lang w:eastAsia="zh-CN"/>
        </w:rPr>
        <w:t>万元，其中一般公共预算拨款收入</w:t>
      </w:r>
      <w:r>
        <w:rPr>
          <w:rFonts w:hint="eastAsia" w:ascii="仿宋_GB2312" w:hAnsi="仿宋_GB2312" w:eastAsia="仿宋_GB2312" w:cs="仿宋_GB2312"/>
          <w:sz w:val="32"/>
          <w:szCs w:val="32"/>
          <w:highlight w:val="none"/>
          <w:lang w:val="en-US" w:eastAsia="zh-CN"/>
        </w:rPr>
        <w:t>989.50</w:t>
      </w:r>
      <w:r>
        <w:rPr>
          <w:rFonts w:hint="eastAsia" w:ascii="仿宋_GB2312" w:hAnsi="仿宋_GB2312" w:eastAsia="仿宋_GB2312" w:cs="仿宋_GB2312"/>
          <w:sz w:val="32"/>
          <w:szCs w:val="32"/>
          <w:highlight w:val="none"/>
          <w:lang w:eastAsia="zh-CN"/>
        </w:rPr>
        <w:t>万元、政府性基金拨款收入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万元，202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年本部门财政拨款收入较上年增加</w:t>
      </w:r>
      <w:r>
        <w:rPr>
          <w:rFonts w:hint="eastAsia" w:ascii="仿宋_GB2312" w:hAnsi="仿宋_GB2312" w:eastAsia="仿宋_GB2312" w:cs="仿宋_GB2312"/>
          <w:sz w:val="32"/>
          <w:szCs w:val="32"/>
          <w:highlight w:val="none"/>
          <w:lang w:val="en-US" w:eastAsia="zh-CN"/>
        </w:rPr>
        <w:t>35.52</w:t>
      </w:r>
      <w:r>
        <w:rPr>
          <w:rFonts w:hint="eastAsia" w:ascii="仿宋_GB2312" w:hAnsi="仿宋_GB2312" w:eastAsia="仿宋_GB2312" w:cs="仿宋_GB2312"/>
          <w:sz w:val="32"/>
          <w:szCs w:val="32"/>
          <w:highlight w:val="none"/>
          <w:lang w:eastAsia="zh-CN"/>
        </w:rPr>
        <w:t>万元，主要原因是</w:t>
      </w:r>
      <w:r>
        <w:rPr>
          <w:rFonts w:hint="eastAsia" w:ascii="仿宋_GB2312" w:hAnsi="仿宋_GB2312" w:eastAsia="仿宋_GB2312" w:cs="仿宋_GB2312"/>
          <w:sz w:val="32"/>
          <w:szCs w:val="32"/>
          <w:highlight w:val="none"/>
          <w:lang w:val="en-US" w:eastAsia="zh-CN"/>
        </w:rPr>
        <w:t>社保费用增加，工资增加，业务增多</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年本部门财政拨款支出</w:t>
      </w:r>
      <w:r>
        <w:rPr>
          <w:rFonts w:hint="eastAsia" w:ascii="仿宋_GB2312" w:hAnsi="仿宋_GB2312" w:eastAsia="仿宋_GB2312" w:cs="仿宋_GB2312"/>
          <w:sz w:val="32"/>
          <w:szCs w:val="32"/>
          <w:highlight w:val="none"/>
          <w:lang w:val="en-US" w:eastAsia="zh-CN"/>
        </w:rPr>
        <w:t>989.50</w:t>
      </w:r>
      <w:r>
        <w:rPr>
          <w:rFonts w:hint="eastAsia" w:ascii="仿宋_GB2312" w:hAnsi="仿宋_GB2312" w:eastAsia="仿宋_GB2312" w:cs="仿宋_GB2312"/>
          <w:sz w:val="32"/>
          <w:szCs w:val="32"/>
          <w:highlight w:val="none"/>
          <w:lang w:eastAsia="zh-CN"/>
        </w:rPr>
        <w:t>万元，其中一般公共预算拨款支出</w:t>
      </w:r>
      <w:r>
        <w:rPr>
          <w:rFonts w:hint="eastAsia" w:ascii="仿宋_GB2312" w:hAnsi="仿宋_GB2312" w:eastAsia="仿宋_GB2312" w:cs="仿宋_GB2312"/>
          <w:sz w:val="32"/>
          <w:szCs w:val="32"/>
          <w:highlight w:val="none"/>
          <w:lang w:val="en-US" w:eastAsia="zh-CN"/>
        </w:rPr>
        <w:t>989.50</w:t>
      </w:r>
      <w:r>
        <w:rPr>
          <w:rFonts w:hint="eastAsia" w:ascii="仿宋_GB2312" w:hAnsi="仿宋_GB2312" w:eastAsia="仿宋_GB2312" w:cs="仿宋_GB2312"/>
          <w:sz w:val="32"/>
          <w:szCs w:val="32"/>
          <w:highlight w:val="none"/>
          <w:lang w:eastAsia="zh-CN"/>
        </w:rPr>
        <w:t>万元、政府性基金拨款支出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万元，202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年本部门财政拨款支出较上年增加</w:t>
      </w:r>
      <w:r>
        <w:rPr>
          <w:rFonts w:hint="eastAsia" w:ascii="仿宋_GB2312" w:hAnsi="仿宋_GB2312" w:eastAsia="仿宋_GB2312" w:cs="仿宋_GB2312"/>
          <w:sz w:val="32"/>
          <w:szCs w:val="32"/>
          <w:highlight w:val="none"/>
          <w:lang w:val="en-US" w:eastAsia="zh-CN"/>
        </w:rPr>
        <w:t>35.52</w:t>
      </w:r>
      <w:r>
        <w:rPr>
          <w:rFonts w:hint="eastAsia" w:ascii="仿宋_GB2312" w:hAnsi="仿宋_GB2312" w:eastAsia="仿宋_GB2312" w:cs="仿宋_GB2312"/>
          <w:sz w:val="32"/>
          <w:szCs w:val="32"/>
          <w:highlight w:val="none"/>
          <w:lang w:eastAsia="zh-CN"/>
        </w:rPr>
        <w:t>万元，主要原因是</w:t>
      </w:r>
      <w:r>
        <w:rPr>
          <w:rFonts w:hint="eastAsia" w:ascii="仿宋_GB2312" w:hAnsi="仿宋_GB2312" w:eastAsia="仿宋_GB2312" w:cs="仿宋_GB2312"/>
          <w:sz w:val="32"/>
          <w:szCs w:val="32"/>
          <w:highlight w:val="none"/>
          <w:lang w:val="en-US" w:eastAsia="zh-CN"/>
        </w:rPr>
        <w:t>社保费用增加，工资增加，业务增多。</w:t>
      </w:r>
    </w:p>
    <w:p>
      <w:pPr>
        <w:ind w:firstLine="64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（三）一般</w:t>
      </w:r>
      <w:r>
        <w:rPr>
          <w:rFonts w:hint="eastAsia" w:ascii="仿宋_GB2312" w:hAnsi="仿宋_GB2312" w:eastAsia="仿宋_GB2312" w:cs="仿宋_GB2312"/>
          <w:b/>
          <w:bCs/>
          <w:sz w:val="32"/>
          <w:szCs w:val="32"/>
          <w:highlight w:val="none"/>
        </w:rPr>
        <w:t>公共预算拨款支出明细情况</w:t>
      </w:r>
    </w:p>
    <w:p>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一般</w:t>
      </w:r>
      <w:r>
        <w:rPr>
          <w:rFonts w:hint="eastAsia" w:ascii="仿宋_GB2312" w:hAnsi="仿宋_GB2312" w:eastAsia="仿宋_GB2312" w:cs="仿宋_GB2312"/>
          <w:sz w:val="32"/>
          <w:szCs w:val="32"/>
          <w:highlight w:val="none"/>
        </w:rPr>
        <w:t>公共预算</w:t>
      </w:r>
      <w:r>
        <w:rPr>
          <w:rFonts w:hint="eastAsia" w:ascii="仿宋_GB2312" w:hAnsi="仿宋_GB2312" w:eastAsia="仿宋_GB2312" w:cs="仿宋_GB2312"/>
          <w:sz w:val="32"/>
          <w:szCs w:val="32"/>
          <w:highlight w:val="none"/>
          <w:lang w:eastAsia="zh-CN"/>
        </w:rPr>
        <w:t>当年拨款规模变化情况</w:t>
      </w:r>
    </w:p>
    <w:p>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年本部门一般公共预算拨款支出</w:t>
      </w:r>
      <w:r>
        <w:rPr>
          <w:rFonts w:hint="eastAsia" w:ascii="仿宋_GB2312" w:hAnsi="仿宋_GB2312" w:eastAsia="仿宋_GB2312" w:cs="仿宋_GB2312"/>
          <w:sz w:val="32"/>
          <w:szCs w:val="32"/>
          <w:highlight w:val="none"/>
          <w:lang w:val="en-US" w:eastAsia="zh-CN"/>
        </w:rPr>
        <w:t>989.50</w:t>
      </w:r>
      <w:r>
        <w:rPr>
          <w:rFonts w:hint="eastAsia" w:ascii="仿宋_GB2312" w:hAnsi="仿宋_GB2312" w:eastAsia="仿宋_GB2312" w:cs="仿宋_GB2312"/>
          <w:sz w:val="32"/>
          <w:szCs w:val="32"/>
          <w:highlight w:val="none"/>
          <w:lang w:eastAsia="zh-CN"/>
        </w:rPr>
        <w:t>万元，较上年增加</w:t>
      </w:r>
      <w:r>
        <w:rPr>
          <w:rFonts w:hint="eastAsia" w:ascii="仿宋_GB2312" w:hAnsi="仿宋_GB2312" w:eastAsia="仿宋_GB2312" w:cs="仿宋_GB2312"/>
          <w:sz w:val="32"/>
          <w:szCs w:val="32"/>
          <w:highlight w:val="none"/>
          <w:lang w:val="en-US" w:eastAsia="zh-CN"/>
        </w:rPr>
        <w:t>35.52</w:t>
      </w:r>
      <w:r>
        <w:rPr>
          <w:rFonts w:hint="eastAsia" w:ascii="仿宋_GB2312" w:hAnsi="仿宋_GB2312" w:eastAsia="仿宋_GB2312" w:cs="仿宋_GB2312"/>
          <w:sz w:val="32"/>
          <w:szCs w:val="32"/>
          <w:highlight w:val="none"/>
          <w:lang w:eastAsia="zh-CN"/>
        </w:rPr>
        <w:t>万元，主要原因是</w:t>
      </w:r>
      <w:r>
        <w:rPr>
          <w:rFonts w:hint="eastAsia" w:ascii="仿宋_GB2312" w:hAnsi="仿宋_GB2312" w:eastAsia="仿宋_GB2312" w:cs="仿宋_GB2312"/>
          <w:sz w:val="32"/>
          <w:szCs w:val="32"/>
          <w:highlight w:val="none"/>
          <w:lang w:val="en-US" w:eastAsia="zh-CN"/>
        </w:rPr>
        <w:t>社保费用增加，工资增加，业务增多</w:t>
      </w:r>
      <w:r>
        <w:rPr>
          <w:rFonts w:hint="eastAsia" w:ascii="仿宋_GB2312" w:hAnsi="仿宋_GB2312" w:eastAsia="仿宋_GB2312" w:cs="仿宋_GB2312"/>
          <w:sz w:val="32"/>
          <w:szCs w:val="32"/>
          <w:highlight w:val="none"/>
          <w:lang w:eastAsia="zh-CN"/>
        </w:rPr>
        <w:t>。</w:t>
      </w:r>
    </w:p>
    <w:p>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2、支出按功能科目分类的明细情况</w:t>
      </w:r>
    </w:p>
    <w:p>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w:t>
      </w:r>
      <w:r>
        <w:rPr>
          <w:rFonts w:hint="eastAsia" w:ascii="仿宋_GB2312" w:hAnsi="仿宋_GB2312" w:eastAsia="仿宋_GB2312" w:cs="仿宋_GB2312"/>
          <w:sz w:val="32"/>
          <w:szCs w:val="32"/>
          <w:highlight w:val="none"/>
          <w:lang w:eastAsia="zh-CN"/>
        </w:rPr>
        <w:t>本部门</w:t>
      </w:r>
      <w:r>
        <w:rPr>
          <w:rFonts w:hint="eastAsia" w:ascii="仿宋_GB2312" w:hAnsi="仿宋_GB2312" w:eastAsia="仿宋_GB2312" w:cs="仿宋_GB2312"/>
          <w:sz w:val="32"/>
          <w:szCs w:val="32"/>
          <w:highlight w:val="none"/>
          <w:lang w:val="en-US" w:eastAsia="zh-CN"/>
        </w:rPr>
        <w:t>一般公共预算支出989.50万元，其中：</w:t>
      </w:r>
    </w:p>
    <w:p>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）行政运行（</w:t>
      </w:r>
      <w:r>
        <w:rPr>
          <w:rFonts w:hint="eastAsia" w:ascii="仿宋_GB2312" w:hAnsi="仿宋_GB2312" w:eastAsia="仿宋_GB2312" w:cs="仿宋_GB2312"/>
          <w:sz w:val="32"/>
          <w:szCs w:val="32"/>
          <w:highlight w:val="none"/>
          <w:lang w:val="en-US" w:eastAsia="zh-CN"/>
        </w:rPr>
        <w:t>2010301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706.45万元，较上年增加26.88</w:t>
      </w:r>
      <w:r>
        <w:rPr>
          <w:rFonts w:hint="eastAsia" w:ascii="仿宋_GB2312" w:hAnsi="仿宋_GB2312" w:eastAsia="仿宋_GB2312" w:cs="仿宋_GB2312"/>
          <w:sz w:val="32"/>
          <w:szCs w:val="32"/>
          <w:highlight w:val="none"/>
          <w:lang w:eastAsia="zh-CN"/>
        </w:rPr>
        <w:t>万元，原因是业务增加；</w:t>
      </w:r>
    </w:p>
    <w:p>
      <w:pPr>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）一般行政管理事务（</w:t>
      </w:r>
      <w:r>
        <w:rPr>
          <w:rFonts w:hint="eastAsia" w:ascii="仿宋_GB2312" w:hAnsi="仿宋_GB2312" w:eastAsia="仿宋_GB2312" w:cs="仿宋_GB2312"/>
          <w:sz w:val="32"/>
          <w:szCs w:val="32"/>
          <w:highlight w:val="none"/>
          <w:lang w:val="en-US" w:eastAsia="zh-CN"/>
        </w:rPr>
        <w:t>2010302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40万元</w:t>
      </w:r>
      <w:r>
        <w:rPr>
          <w:rFonts w:hint="eastAsia" w:ascii="仿宋_GB2312" w:hAnsi="仿宋_GB2312" w:eastAsia="仿宋_GB2312" w:cs="仿宋_GB2312"/>
          <w:sz w:val="32"/>
          <w:szCs w:val="32"/>
          <w:highlight w:val="none"/>
          <w:lang w:eastAsia="zh-CN"/>
        </w:rPr>
        <w:t>；较上年增加</w:t>
      </w:r>
      <w:r>
        <w:rPr>
          <w:rFonts w:hint="eastAsia" w:ascii="仿宋_GB2312" w:hAnsi="仿宋_GB2312" w:eastAsia="仿宋_GB2312" w:cs="仿宋_GB2312"/>
          <w:sz w:val="32"/>
          <w:szCs w:val="32"/>
          <w:highlight w:val="none"/>
          <w:lang w:val="en-US" w:eastAsia="zh-CN"/>
        </w:rPr>
        <w:t>40万元，原因是增加专项业务经费；</w:t>
      </w:r>
    </w:p>
    <w:p>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）机关事业单位基本养老保险缴费支出</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2080505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84.63万元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较上年</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3.18</w:t>
      </w:r>
      <w:r>
        <w:rPr>
          <w:rFonts w:hint="eastAsia" w:ascii="仿宋_GB2312" w:hAnsi="仿宋_GB2312" w:eastAsia="仿宋_GB2312" w:cs="仿宋_GB2312"/>
          <w:sz w:val="32"/>
          <w:szCs w:val="32"/>
          <w:highlight w:val="none"/>
          <w:lang w:eastAsia="zh-CN"/>
        </w:rPr>
        <w:t>万元，原因是人员减少；</w:t>
      </w:r>
    </w:p>
    <w:p>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）其他社会保障和就业支出（</w:t>
      </w:r>
      <w:r>
        <w:rPr>
          <w:rFonts w:hint="eastAsia" w:ascii="仿宋_GB2312" w:hAnsi="仿宋_GB2312" w:eastAsia="仿宋_GB2312" w:cs="仿宋_GB2312"/>
          <w:sz w:val="32"/>
          <w:szCs w:val="32"/>
          <w:highlight w:val="none"/>
          <w:lang w:val="en-US" w:eastAsia="zh-CN"/>
        </w:rPr>
        <w:t>2089999</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1.04万元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较上年</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lang w:eastAsia="zh-CN"/>
        </w:rPr>
        <w:t>万元，原因是人员减少；</w:t>
      </w:r>
    </w:p>
    <w:p>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）行政事业单位医疗（</w:t>
      </w:r>
      <w:r>
        <w:rPr>
          <w:rFonts w:hint="eastAsia" w:ascii="仿宋_GB2312" w:hAnsi="仿宋_GB2312" w:eastAsia="仿宋_GB2312" w:cs="仿宋_GB2312"/>
          <w:sz w:val="32"/>
          <w:szCs w:val="32"/>
          <w:highlight w:val="none"/>
          <w:lang w:val="en-US" w:eastAsia="zh-CN"/>
        </w:rPr>
        <w:t>2101101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40.36万元，较上年减少0.17万元，原因是人员减少；</w:t>
      </w:r>
    </w:p>
    <w:p>
      <w:pPr>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（6）住房公积金（2210201）117.03万元，较上年增加25.18万元，原因是公积金缴费基数调整；</w:t>
      </w:r>
    </w:p>
    <w:p>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3、支出按经济科目分类的明细情况</w:t>
      </w:r>
    </w:p>
    <w:p>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按照部门</w:t>
      </w:r>
      <w:r>
        <w:rPr>
          <w:rFonts w:hint="eastAsia" w:ascii="仿宋_GB2312" w:hAnsi="仿宋_GB2312" w:eastAsia="仿宋_GB2312" w:cs="仿宋_GB2312"/>
          <w:sz w:val="32"/>
          <w:szCs w:val="32"/>
          <w:highlight w:val="none"/>
          <w:lang w:eastAsia="zh-CN"/>
        </w:rPr>
        <w:t>预算</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eastAsia="zh-CN"/>
        </w:rPr>
        <w:t>经济</w:t>
      </w:r>
      <w:r>
        <w:rPr>
          <w:rFonts w:hint="eastAsia" w:ascii="仿宋_GB2312" w:hAnsi="仿宋_GB2312" w:eastAsia="仿宋_GB2312" w:cs="仿宋_GB2312"/>
          <w:sz w:val="32"/>
          <w:szCs w:val="32"/>
          <w:highlight w:val="none"/>
        </w:rPr>
        <w:t>分类的类级科目</w:t>
      </w:r>
      <w:r>
        <w:rPr>
          <w:rFonts w:hint="eastAsia" w:ascii="仿宋_GB2312" w:hAnsi="仿宋_GB2312" w:eastAsia="仿宋_GB2312" w:cs="仿宋_GB2312"/>
          <w:sz w:val="32"/>
          <w:szCs w:val="32"/>
          <w:highlight w:val="none"/>
          <w:lang w:eastAsia="zh-CN"/>
        </w:rPr>
        <w:t>说明。</w:t>
      </w:r>
    </w:p>
    <w:p>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2022年本部门当年一般公共预算支出989.50万元，其中：</w:t>
      </w:r>
    </w:p>
    <w:p>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工资福利支出（</w:t>
      </w:r>
      <w:r>
        <w:rPr>
          <w:rFonts w:hint="eastAsia" w:ascii="仿宋_GB2312" w:hAnsi="仿宋_GB2312" w:eastAsia="仿宋_GB2312" w:cs="仿宋_GB2312"/>
          <w:sz w:val="32"/>
          <w:szCs w:val="32"/>
          <w:highlight w:val="none"/>
          <w:lang w:val="en-US" w:eastAsia="zh-CN"/>
        </w:rPr>
        <w:t>301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868.74万元，较上年</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2.66</w:t>
      </w:r>
      <w:r>
        <w:rPr>
          <w:rFonts w:hint="eastAsia" w:ascii="仿宋_GB2312" w:hAnsi="仿宋_GB2312" w:eastAsia="仿宋_GB2312" w:cs="仿宋_GB2312"/>
          <w:sz w:val="32"/>
          <w:szCs w:val="32"/>
          <w:highlight w:val="none"/>
          <w:lang w:eastAsia="zh-CN"/>
        </w:rPr>
        <w:t>万元，原因是人员减少；</w:t>
      </w:r>
    </w:p>
    <w:p>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商品和服务支出（</w:t>
      </w:r>
      <w:r>
        <w:rPr>
          <w:rFonts w:hint="eastAsia" w:ascii="仿宋_GB2312" w:hAnsi="仿宋_GB2312" w:eastAsia="仿宋_GB2312" w:cs="仿宋_GB2312"/>
          <w:sz w:val="32"/>
          <w:szCs w:val="32"/>
          <w:highlight w:val="none"/>
          <w:lang w:val="en-US" w:eastAsia="zh-CN"/>
        </w:rPr>
        <w:t>302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112.17万元，较上年增加38.15</w:t>
      </w:r>
      <w:r>
        <w:rPr>
          <w:rFonts w:hint="eastAsia" w:ascii="仿宋_GB2312" w:hAnsi="仿宋_GB2312" w:eastAsia="仿宋_GB2312" w:cs="仿宋_GB2312"/>
          <w:sz w:val="32"/>
          <w:szCs w:val="32"/>
          <w:highlight w:val="none"/>
          <w:lang w:eastAsia="zh-CN"/>
        </w:rPr>
        <w:t>万元，原因是专项业务经费增加；</w:t>
      </w:r>
    </w:p>
    <w:p>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对个人和家庭的补助支出（303）8.59万元，较上年</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0.03</w:t>
      </w:r>
      <w:r>
        <w:rPr>
          <w:rFonts w:hint="eastAsia" w:ascii="仿宋_GB2312" w:hAnsi="仿宋_GB2312" w:eastAsia="仿宋_GB2312" w:cs="仿宋_GB2312"/>
          <w:sz w:val="32"/>
          <w:szCs w:val="32"/>
          <w:highlight w:val="none"/>
          <w:lang w:eastAsia="zh-CN"/>
        </w:rPr>
        <w:t>万元，原因是领取遗属补助人员减少；</w:t>
      </w:r>
    </w:p>
    <w:p>
      <w:pPr>
        <w:numPr>
          <w:ilvl w:val="0"/>
          <w:numId w:val="3"/>
        </w:num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政府预算</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eastAsia="zh-CN"/>
        </w:rPr>
        <w:t>经济</w:t>
      </w:r>
      <w:r>
        <w:rPr>
          <w:rFonts w:hint="eastAsia" w:ascii="仿宋_GB2312" w:hAnsi="仿宋_GB2312" w:eastAsia="仿宋_GB2312" w:cs="仿宋_GB2312"/>
          <w:sz w:val="32"/>
          <w:szCs w:val="32"/>
          <w:highlight w:val="none"/>
        </w:rPr>
        <w:t>分类的类级科目</w:t>
      </w:r>
      <w:r>
        <w:rPr>
          <w:rFonts w:hint="eastAsia" w:ascii="仿宋_GB2312" w:hAnsi="仿宋_GB2312" w:eastAsia="仿宋_GB2312" w:cs="仿宋_GB2312"/>
          <w:sz w:val="32"/>
          <w:szCs w:val="32"/>
          <w:highlight w:val="none"/>
          <w:lang w:eastAsia="zh-CN"/>
        </w:rPr>
        <w:t>说明。</w:t>
      </w:r>
    </w:p>
    <w:p>
      <w:pPr>
        <w:numPr>
          <w:ilvl w:val="0"/>
          <w:numId w:val="0"/>
        </w:num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2022年本部门一般公共预算支出989.50万元，其中：</w:t>
      </w:r>
    </w:p>
    <w:p>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机关工资福利支出（</w:t>
      </w:r>
      <w:r>
        <w:rPr>
          <w:rFonts w:hint="eastAsia" w:ascii="仿宋_GB2312" w:hAnsi="仿宋_GB2312" w:eastAsia="仿宋_GB2312" w:cs="仿宋_GB2312"/>
          <w:sz w:val="32"/>
          <w:szCs w:val="32"/>
          <w:highlight w:val="none"/>
          <w:lang w:val="en-US" w:eastAsia="zh-CN"/>
        </w:rPr>
        <w:t>501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868.74万元，较上年</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2.66</w:t>
      </w:r>
      <w:r>
        <w:rPr>
          <w:rFonts w:hint="eastAsia" w:ascii="仿宋_GB2312" w:hAnsi="仿宋_GB2312" w:eastAsia="仿宋_GB2312" w:cs="仿宋_GB2312"/>
          <w:sz w:val="32"/>
          <w:szCs w:val="32"/>
          <w:highlight w:val="none"/>
          <w:lang w:eastAsia="zh-CN"/>
        </w:rPr>
        <w:t>万元，原因是人员减少；</w:t>
      </w:r>
    </w:p>
    <w:p>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对个人和家庭的补助支出（509）8.59万元，较上年</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0.03</w:t>
      </w:r>
      <w:r>
        <w:rPr>
          <w:rFonts w:hint="eastAsia" w:ascii="仿宋_GB2312" w:hAnsi="仿宋_GB2312" w:eastAsia="仿宋_GB2312" w:cs="仿宋_GB2312"/>
          <w:sz w:val="32"/>
          <w:szCs w:val="32"/>
          <w:highlight w:val="none"/>
          <w:lang w:eastAsia="zh-CN"/>
        </w:rPr>
        <w:t>万元，原因是领取遗属补助人员减少；</w:t>
      </w:r>
    </w:p>
    <w:p>
      <w:pPr>
        <w:numPr>
          <w:ilvl w:val="0"/>
          <w:numId w:val="4"/>
        </w:numPr>
        <w:ind w:firstLine="64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上年结转财政资金一般公共预算拨款支出情况</w:t>
      </w:r>
    </w:p>
    <w:p>
      <w:pPr>
        <w:ind w:firstLine="64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本部门无2021年结转的一般公共预算拨款资金支出。</w:t>
      </w:r>
    </w:p>
    <w:p>
      <w:pPr>
        <w:ind w:firstLine="64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政府性基金预算支出情况</w:t>
      </w:r>
    </w:p>
    <w:p>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本部门无</w:t>
      </w:r>
      <w:r>
        <w:rPr>
          <w:rFonts w:hint="eastAsia" w:ascii="仿宋_GB2312" w:hAnsi="仿宋_GB2312" w:eastAsia="仿宋_GB2312" w:cs="仿宋_GB2312"/>
          <w:sz w:val="32"/>
          <w:szCs w:val="32"/>
          <w:highlight w:val="none"/>
          <w:lang w:eastAsia="zh-CN"/>
        </w:rPr>
        <w:t>当年</w:t>
      </w:r>
      <w:r>
        <w:rPr>
          <w:rFonts w:hint="eastAsia" w:ascii="仿宋_GB2312" w:hAnsi="仿宋_GB2312" w:eastAsia="仿宋_GB2312" w:cs="仿宋_GB2312"/>
          <w:sz w:val="32"/>
          <w:szCs w:val="32"/>
          <w:highlight w:val="none"/>
        </w:rPr>
        <w:t>政府性基金预算</w:t>
      </w:r>
      <w:r>
        <w:rPr>
          <w:rFonts w:hint="eastAsia" w:ascii="仿宋_GB2312" w:hAnsi="仿宋_GB2312" w:eastAsia="仿宋_GB2312" w:cs="仿宋_GB2312"/>
          <w:sz w:val="32"/>
          <w:szCs w:val="32"/>
          <w:highlight w:val="none"/>
          <w:lang w:eastAsia="zh-CN"/>
        </w:rPr>
        <w:t>收支，并</w:t>
      </w:r>
      <w:r>
        <w:rPr>
          <w:rFonts w:hint="eastAsia" w:ascii="仿宋_GB2312" w:hAnsi="仿宋_GB2312" w:eastAsia="仿宋_GB2312" w:cs="仿宋_GB2312"/>
          <w:sz w:val="32"/>
          <w:szCs w:val="32"/>
          <w:highlight w:val="none"/>
        </w:rPr>
        <w:t>已公开空表</w:t>
      </w:r>
      <w:r>
        <w:rPr>
          <w:rFonts w:hint="eastAsia" w:ascii="仿宋_GB2312" w:hAnsi="仿宋_GB2312" w:eastAsia="仿宋_GB2312" w:cs="仿宋_GB2312"/>
          <w:sz w:val="32"/>
          <w:szCs w:val="32"/>
          <w:highlight w:val="none"/>
          <w:lang w:eastAsia="zh-CN"/>
        </w:rPr>
        <w:t>。</w:t>
      </w:r>
    </w:p>
    <w:p>
      <w:pPr>
        <w:ind w:firstLine="64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2、本部门无2021年结转的政府性基金预算拨款支出。</w:t>
      </w:r>
    </w:p>
    <w:p>
      <w:pPr>
        <w:ind w:firstLine="64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国有资本经营预算拨款收支情况</w:t>
      </w:r>
    </w:p>
    <w:p>
      <w:p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本部门无</w:t>
      </w:r>
      <w:r>
        <w:rPr>
          <w:rFonts w:hint="eastAsia" w:ascii="仿宋_GB2312" w:hAnsi="仿宋_GB2312" w:eastAsia="仿宋_GB2312" w:cs="仿宋_GB2312"/>
          <w:sz w:val="32"/>
          <w:szCs w:val="32"/>
          <w:highlight w:val="none"/>
          <w:lang w:eastAsia="zh-CN"/>
        </w:rPr>
        <w:t>当年</w:t>
      </w:r>
      <w:r>
        <w:rPr>
          <w:rFonts w:hint="eastAsia" w:ascii="仿宋_GB2312" w:hAnsi="仿宋_GB2312" w:eastAsia="仿宋_GB2312" w:cs="仿宋_GB2312"/>
          <w:sz w:val="32"/>
          <w:szCs w:val="32"/>
          <w:highlight w:val="none"/>
        </w:rPr>
        <w:t>国有资本经营预算拨款收支</w:t>
      </w:r>
      <w:r>
        <w:rPr>
          <w:rFonts w:hint="eastAsia" w:ascii="仿宋_GB2312" w:hAnsi="仿宋_GB2312" w:eastAsia="仿宋_GB2312" w:cs="仿宋_GB2312"/>
          <w:sz w:val="32"/>
          <w:szCs w:val="32"/>
          <w:highlight w:val="none"/>
          <w:lang w:eastAsia="zh-CN"/>
        </w:rPr>
        <w:t>，并在财政拨款收支总体情况表中列示</w:t>
      </w:r>
      <w:r>
        <w:rPr>
          <w:rFonts w:hint="eastAsia" w:ascii="仿宋_GB2312" w:hAnsi="仿宋_GB2312" w:eastAsia="仿宋_GB2312" w:cs="仿宋_GB2312"/>
          <w:sz w:val="32"/>
          <w:szCs w:val="32"/>
          <w:highlight w:val="none"/>
        </w:rPr>
        <w:t>。</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2、本部门无2021年结转的国有资本经营预算拨款支出。</w:t>
      </w:r>
    </w:p>
    <w:p>
      <w:pPr>
        <w:jc w:val="center"/>
        <w:rPr>
          <w:rFonts w:hint="eastAsia" w:asciiTheme="minorEastAsia" w:hAnsiTheme="minorEastAsia" w:eastAsiaTheme="minorEastAsia" w:cstheme="minorEastAsia"/>
          <w:b/>
          <w:bCs/>
          <w:sz w:val="32"/>
          <w:szCs w:val="32"/>
          <w:highlight w:val="none"/>
          <w:lang w:eastAsia="zh-CN"/>
        </w:rPr>
      </w:pPr>
    </w:p>
    <w:p>
      <w:pPr>
        <w:jc w:val="center"/>
        <w:rPr>
          <w:rFonts w:hint="default" w:ascii="仿宋_GB2312" w:hAnsi="仿宋_GB2312" w:eastAsia="仿宋_GB2312" w:cs="仿宋_GB2312"/>
          <w:sz w:val="32"/>
          <w:szCs w:val="32"/>
          <w:highlight w:val="none"/>
          <w:lang w:val="en-US" w:eastAsia="zh-CN"/>
        </w:rPr>
      </w:pPr>
      <w:r>
        <w:rPr>
          <w:rFonts w:hint="eastAsia" w:asciiTheme="minorEastAsia" w:hAnsiTheme="minorEastAsia" w:eastAsiaTheme="minorEastAsia" w:cstheme="minorEastAsia"/>
          <w:b/>
          <w:bCs/>
          <w:sz w:val="32"/>
          <w:szCs w:val="32"/>
          <w:highlight w:val="none"/>
          <w:lang w:eastAsia="zh-CN"/>
        </w:rPr>
        <w:t>第三部分</w:t>
      </w:r>
      <w:r>
        <w:rPr>
          <w:rFonts w:hint="eastAsia" w:asciiTheme="minorEastAsia" w:hAnsiTheme="minorEastAsia" w:eastAsiaTheme="minorEastAsia" w:cstheme="minorEastAsia"/>
          <w:b/>
          <w:bCs/>
          <w:sz w:val="32"/>
          <w:szCs w:val="32"/>
          <w:highlight w:val="none"/>
          <w:lang w:val="en-US" w:eastAsia="zh-CN"/>
        </w:rPr>
        <w:t xml:space="preserve">  其他说明情况</w:t>
      </w:r>
    </w:p>
    <w:p>
      <w:pPr>
        <w:ind w:firstLine="640"/>
        <w:rPr>
          <w:rFonts w:hint="eastAsia" w:ascii="仿宋_GB2312" w:hAnsi="仿宋_GB2312" w:eastAsia="仿宋_GB2312" w:cs="仿宋_GB2312"/>
          <w:b w:val="0"/>
          <w:bCs w:val="0"/>
          <w:sz w:val="32"/>
          <w:szCs w:val="32"/>
          <w:highlight w:val="none"/>
          <w:u w:val="single"/>
        </w:rPr>
      </w:pPr>
      <w:r>
        <w:rPr>
          <w:rFonts w:hint="eastAsia" w:ascii="仿宋_GB2312" w:hAnsi="仿宋_GB2312" w:eastAsia="仿宋_GB2312" w:cs="仿宋_GB2312"/>
          <w:b/>
          <w:bCs/>
          <w:sz w:val="32"/>
          <w:szCs w:val="32"/>
          <w:highlight w:val="none"/>
          <w:lang w:eastAsia="zh-CN"/>
        </w:rPr>
        <w:t>六</w:t>
      </w:r>
      <w:r>
        <w:rPr>
          <w:rFonts w:hint="eastAsia" w:ascii="仿宋_GB2312" w:hAnsi="仿宋_GB2312" w:eastAsia="仿宋_GB2312" w:cs="仿宋_GB2312"/>
          <w:b/>
          <w:bCs/>
          <w:sz w:val="32"/>
          <w:szCs w:val="32"/>
          <w:highlight w:val="none"/>
          <w:u w:val="none"/>
        </w:rPr>
        <w:t>、</w:t>
      </w:r>
      <w:r>
        <w:rPr>
          <w:rFonts w:hint="eastAsia" w:ascii="仿宋_GB2312" w:hAnsi="仿宋_GB2312" w:eastAsia="仿宋_GB2312" w:cs="仿宋_GB2312"/>
          <w:b/>
          <w:bCs/>
          <w:sz w:val="32"/>
          <w:szCs w:val="32"/>
          <w:highlight w:val="none"/>
          <w:u w:val="none"/>
          <w:lang w:eastAsia="zh-CN"/>
        </w:rPr>
        <w:t>部门预算</w:t>
      </w:r>
      <w:r>
        <w:rPr>
          <w:rFonts w:hint="eastAsia" w:ascii="仿宋_GB2312" w:hAnsi="仿宋_GB2312" w:eastAsia="仿宋_GB2312" w:cs="仿宋_GB2312"/>
          <w:b/>
          <w:bCs/>
          <w:sz w:val="32"/>
          <w:szCs w:val="32"/>
          <w:highlight w:val="none"/>
          <w:u w:val="none"/>
        </w:rPr>
        <w:t>“三公”经费</w:t>
      </w:r>
      <w:r>
        <w:rPr>
          <w:rFonts w:hint="eastAsia" w:ascii="仿宋_GB2312" w:hAnsi="仿宋_GB2312" w:eastAsia="仿宋_GB2312" w:cs="仿宋_GB2312"/>
          <w:b/>
          <w:bCs/>
          <w:sz w:val="32"/>
          <w:szCs w:val="32"/>
          <w:highlight w:val="none"/>
          <w:u w:val="none"/>
          <w:lang w:eastAsia="zh-CN"/>
        </w:rPr>
        <w:t>及会议费、培训费</w:t>
      </w:r>
      <w:r>
        <w:rPr>
          <w:rFonts w:hint="eastAsia" w:ascii="仿宋_GB2312" w:hAnsi="仿宋_GB2312" w:eastAsia="仿宋_GB2312" w:cs="仿宋_GB2312"/>
          <w:b/>
          <w:bCs/>
          <w:sz w:val="32"/>
          <w:szCs w:val="32"/>
          <w:highlight w:val="none"/>
          <w:u w:val="none"/>
        </w:rPr>
        <w:t>情况</w:t>
      </w:r>
      <w:r>
        <w:rPr>
          <w:rFonts w:hint="eastAsia" w:ascii="仿宋_GB2312" w:hAnsi="仿宋_GB2312" w:eastAsia="仿宋_GB2312" w:cs="仿宋_GB2312"/>
          <w:b/>
          <w:bCs/>
          <w:sz w:val="32"/>
          <w:szCs w:val="32"/>
          <w:highlight w:val="none"/>
          <w:u w:val="none"/>
          <w:lang w:eastAsia="zh-CN"/>
        </w:rPr>
        <w:t>说明</w:t>
      </w:r>
    </w:p>
    <w:p>
      <w:pPr>
        <w:ind w:firstLine="640"/>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1、2022年本部门当年一般公共预算“三公”经费预算支出9.47万元，较上年减少0.01万元，减少的主要原因是节约开支。其中：因公出国（境）经费0万元，较上年无变化；公务接待费费0万元，较上年无变化；公务用车运行维护费9.47万元，较上年减少0.01万元，减少的主要原因是节约开支；公务用车购置费0万元，较上年无变化。</w:t>
      </w:r>
      <w:r>
        <w:rPr>
          <w:rFonts w:hint="eastAsia" w:ascii="仿宋_GB2312" w:hAnsi="仿宋_GB2312" w:eastAsia="仿宋_GB2312" w:cs="仿宋_GB2312"/>
          <w:sz w:val="32"/>
          <w:szCs w:val="32"/>
          <w:highlight w:val="none"/>
          <w:u w:val="none"/>
          <w:lang w:val="en-US" w:eastAsia="zh-CN"/>
        </w:rPr>
        <w:t>2022年本部门当年一般公共预算会议费预算支出0万元，较上年无变化。2022年本部门当年一般公共预算培训费预算支出0万元，较上年无变化。</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2、本部门无2021年结转的</w:t>
      </w:r>
      <w:bookmarkStart w:id="0" w:name="_GoBack"/>
      <w:bookmarkEnd w:id="0"/>
      <w:r>
        <w:rPr>
          <w:rFonts w:hint="eastAsia" w:ascii="仿宋_GB2312" w:hAnsi="仿宋_GB2312" w:eastAsia="仿宋_GB2312" w:cs="仿宋_GB2312"/>
          <w:sz w:val="32"/>
          <w:szCs w:val="32"/>
          <w:highlight w:val="none"/>
          <w:lang w:val="en-US" w:eastAsia="zh-CN"/>
        </w:rPr>
        <w:t>“三公”经费支出。</w:t>
      </w:r>
    </w:p>
    <w:p>
      <w:pPr>
        <w:ind w:firstLine="64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七、</w:t>
      </w:r>
      <w:r>
        <w:rPr>
          <w:rFonts w:hint="eastAsia" w:ascii="仿宋_GB2312" w:hAnsi="仿宋_GB2312" w:eastAsia="仿宋_GB2312" w:cs="仿宋_GB2312"/>
          <w:b/>
          <w:bCs/>
          <w:sz w:val="32"/>
          <w:szCs w:val="32"/>
          <w:highlight w:val="none"/>
        </w:rPr>
        <w:t>部门国有资产占有使用</w:t>
      </w:r>
      <w:r>
        <w:rPr>
          <w:rFonts w:hint="eastAsia" w:ascii="仿宋_GB2312" w:hAnsi="仿宋_GB2312" w:eastAsia="仿宋_GB2312" w:cs="仿宋_GB2312"/>
          <w:b/>
          <w:bCs/>
          <w:sz w:val="32"/>
          <w:szCs w:val="32"/>
          <w:highlight w:val="none"/>
          <w:lang w:eastAsia="zh-CN"/>
        </w:rPr>
        <w:t>及资产购置</w:t>
      </w:r>
      <w:r>
        <w:rPr>
          <w:rFonts w:hint="eastAsia" w:ascii="仿宋_GB2312" w:hAnsi="仿宋_GB2312" w:eastAsia="仿宋_GB2312" w:cs="仿宋_GB2312"/>
          <w:b/>
          <w:bCs/>
          <w:sz w:val="32"/>
          <w:szCs w:val="32"/>
          <w:highlight w:val="none"/>
        </w:rPr>
        <w:t>情况说明</w:t>
      </w:r>
    </w:p>
    <w:p>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本部门无20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lang w:eastAsia="zh-CN"/>
        </w:rPr>
        <w:t>年结转的财政拨款支出资产购置。</w:t>
      </w:r>
    </w:p>
    <w:p>
      <w:pPr>
        <w:ind w:firstLine="64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八</w:t>
      </w:r>
      <w:r>
        <w:rPr>
          <w:rFonts w:hint="eastAsia" w:ascii="仿宋_GB2312" w:hAnsi="仿宋_GB2312" w:eastAsia="仿宋_GB2312" w:cs="仿宋_GB2312"/>
          <w:b/>
          <w:bCs/>
          <w:sz w:val="32"/>
          <w:szCs w:val="32"/>
          <w:highlight w:val="none"/>
        </w:rPr>
        <w:t>、政府采购情况</w:t>
      </w:r>
      <w:r>
        <w:rPr>
          <w:rFonts w:hint="eastAsia" w:ascii="仿宋_GB2312" w:hAnsi="仿宋_GB2312" w:eastAsia="仿宋_GB2312" w:cs="仿宋_GB2312"/>
          <w:b/>
          <w:bCs/>
          <w:sz w:val="32"/>
          <w:szCs w:val="32"/>
          <w:highlight w:val="none"/>
          <w:lang w:eastAsia="zh-CN"/>
        </w:rPr>
        <w:t>说明</w:t>
      </w:r>
    </w:p>
    <w:p>
      <w:p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本部门</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rPr>
        <w:t>无政府</w:t>
      </w:r>
      <w:r>
        <w:rPr>
          <w:rFonts w:hint="eastAsia" w:ascii="仿宋_GB2312" w:hAnsi="仿宋_GB2312" w:eastAsia="仿宋_GB2312" w:cs="仿宋_GB2312"/>
          <w:sz w:val="32"/>
          <w:szCs w:val="32"/>
          <w:highlight w:val="none"/>
          <w:lang w:eastAsia="zh-CN"/>
        </w:rPr>
        <w:t>采购预算，并</w:t>
      </w:r>
      <w:r>
        <w:rPr>
          <w:rFonts w:hint="eastAsia" w:ascii="仿宋_GB2312" w:hAnsi="仿宋_GB2312" w:eastAsia="仿宋_GB2312" w:cs="仿宋_GB2312"/>
          <w:sz w:val="32"/>
          <w:szCs w:val="32"/>
          <w:highlight w:val="none"/>
        </w:rPr>
        <w:t>已公开空表。</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2、本部门无2021年结转的政府采购资金支出。</w:t>
      </w:r>
    </w:p>
    <w:p>
      <w:pPr>
        <w:ind w:firstLine="64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九、</w:t>
      </w:r>
      <w:r>
        <w:rPr>
          <w:rFonts w:hint="eastAsia" w:ascii="仿宋_GB2312" w:hAnsi="仿宋_GB2312" w:eastAsia="仿宋_GB2312" w:cs="仿宋_GB2312"/>
          <w:b/>
          <w:bCs/>
          <w:sz w:val="32"/>
          <w:szCs w:val="32"/>
          <w:highlight w:val="none"/>
        </w:rPr>
        <w:t>部门预算绩效目标</w:t>
      </w:r>
      <w:r>
        <w:rPr>
          <w:rFonts w:hint="eastAsia" w:ascii="仿宋_GB2312" w:hAnsi="仿宋_GB2312" w:eastAsia="仿宋_GB2312" w:cs="仿宋_GB2312"/>
          <w:b/>
          <w:bCs/>
          <w:sz w:val="32"/>
          <w:szCs w:val="32"/>
          <w:highlight w:val="none"/>
          <w:lang w:eastAsia="zh-CN"/>
        </w:rPr>
        <w:t>情况</w:t>
      </w:r>
      <w:r>
        <w:rPr>
          <w:rFonts w:hint="eastAsia" w:ascii="仿宋_GB2312" w:hAnsi="仿宋_GB2312" w:eastAsia="仿宋_GB2312" w:cs="仿宋_GB2312"/>
          <w:b/>
          <w:bCs/>
          <w:sz w:val="32"/>
          <w:szCs w:val="32"/>
          <w:highlight w:val="none"/>
        </w:rPr>
        <w:t>说明</w:t>
      </w:r>
    </w:p>
    <w:p>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2022年本部门绩效目标管理全覆盖，涉及当年一般公共预算拨款989.50万元。（详见公开报表中的绩效目标表）。</w:t>
      </w:r>
    </w:p>
    <w:p>
      <w:pPr>
        <w:ind w:firstLine="64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lang w:eastAsia="zh-CN"/>
        </w:rPr>
        <w:t>本部门无20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lang w:eastAsia="zh-CN"/>
        </w:rPr>
        <w:t>年结转的财政拨款支出涉及的绩效目标管理。</w:t>
      </w:r>
    </w:p>
    <w:p>
      <w:pPr>
        <w:ind w:firstLine="64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bCs/>
          <w:sz w:val="32"/>
          <w:szCs w:val="32"/>
          <w:highlight w:val="none"/>
          <w:lang w:eastAsia="zh-CN"/>
        </w:rPr>
        <w:t>十、</w:t>
      </w:r>
      <w:r>
        <w:rPr>
          <w:rFonts w:hint="eastAsia" w:ascii="仿宋_GB2312" w:hAnsi="仿宋_GB2312" w:eastAsia="仿宋_GB2312" w:cs="仿宋_GB2312"/>
          <w:b/>
          <w:bCs/>
          <w:sz w:val="32"/>
          <w:szCs w:val="32"/>
          <w:highlight w:val="none"/>
        </w:rPr>
        <w:t>机关运行经费安排情况</w:t>
      </w:r>
      <w:r>
        <w:rPr>
          <w:rFonts w:hint="eastAsia" w:ascii="仿宋_GB2312" w:hAnsi="仿宋_GB2312" w:eastAsia="仿宋_GB2312" w:cs="仿宋_GB2312"/>
          <w:b/>
          <w:bCs/>
          <w:sz w:val="32"/>
          <w:szCs w:val="32"/>
          <w:highlight w:val="none"/>
          <w:lang w:eastAsia="zh-CN"/>
        </w:rPr>
        <w:t>说明</w:t>
      </w:r>
    </w:p>
    <w:p>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本部门</w:t>
      </w:r>
      <w:r>
        <w:rPr>
          <w:rFonts w:hint="eastAsia" w:ascii="仿宋_GB2312" w:hAnsi="仿宋_GB2312" w:eastAsia="仿宋_GB2312" w:cs="仿宋_GB2312"/>
          <w:sz w:val="32"/>
          <w:szCs w:val="32"/>
          <w:highlight w:val="none"/>
          <w:lang w:val="en-US" w:eastAsia="zh-CN"/>
        </w:rPr>
        <w:t>当年机关运行经费预算安排52.25万元，较上年增加4.25万元，主要原因是业务增加。</w:t>
      </w:r>
    </w:p>
    <w:p>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本部门无2021年结转的财政拨款机关运行费支出。</w:t>
      </w:r>
    </w:p>
    <w:p>
      <w:pPr>
        <w:ind w:firstLine="64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lang w:eastAsia="zh-CN"/>
        </w:rPr>
        <w:t>十一</w:t>
      </w:r>
      <w:r>
        <w:rPr>
          <w:rFonts w:hint="eastAsia" w:ascii="仿宋_GB2312" w:hAnsi="仿宋_GB2312" w:eastAsia="仿宋_GB2312" w:cs="仿宋_GB2312"/>
          <w:b/>
          <w:bCs/>
          <w:sz w:val="32"/>
          <w:szCs w:val="32"/>
          <w:highlight w:val="none"/>
        </w:rPr>
        <w:t>、专业名词解释</w:t>
      </w:r>
    </w:p>
    <w:p>
      <w:pPr>
        <w:ind w:firstLine="640"/>
        <w:rPr>
          <w:rFonts w:hint="eastAsia" w:ascii="仿宋_GB2312" w:hAnsi="仿宋_GB2312" w:eastAsia="仿宋_GB2312" w:cs="仿宋_GB2312"/>
          <w:sz w:val="32"/>
          <w:szCs w:val="32"/>
          <w:highlight w:val="none"/>
          <w:lang w:val="en-US" w:eastAsia="zh-CN"/>
        </w:rPr>
      </w:pPr>
      <w:r>
        <w:rPr>
          <w:rFonts w:hint="eastAsia" w:ascii="仿宋" w:hAnsi="仿宋" w:eastAsia="仿宋" w:cs="仿宋"/>
          <w:sz w:val="32"/>
          <w:szCs w:val="32"/>
        </w:rPr>
        <w:t>1.公共预算财政拨款收入：区级财政当年拨付的公共预算资金财政拨款。</w:t>
      </w:r>
    </w:p>
    <w:p>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机关运行经费：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 w:hAnsi="仿宋" w:eastAsia="仿宋" w:cs="仿宋"/>
          <w:sz w:val="32"/>
          <w:szCs w:val="32"/>
        </w:rPr>
        <w:t>“三公”经费支出</w:t>
      </w:r>
      <w:r>
        <w:rPr>
          <w:rFonts w:hint="eastAsia" w:ascii="仿宋" w:hAnsi="仿宋" w:eastAsia="仿宋" w:cs="仿宋"/>
          <w:sz w:val="32"/>
          <w:szCs w:val="32"/>
          <w:lang w:eastAsia="zh-CN"/>
        </w:rPr>
        <w:t>：</w:t>
      </w:r>
      <w:r>
        <w:rPr>
          <w:rFonts w:hint="eastAsia" w:ascii="仿宋" w:hAnsi="仿宋" w:eastAsia="仿宋" w:cs="仿宋"/>
          <w:sz w:val="32"/>
          <w:szCs w:val="32"/>
        </w:rPr>
        <w:t>包括因公出国（境）费用，公务用车运行维修维护费和公务接待费的支出情况。</w:t>
      </w:r>
    </w:p>
    <w:p>
      <w:p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第四部分</w:t>
      </w:r>
      <w:r>
        <w:rPr>
          <w:rFonts w:hint="eastAsia" w:ascii="仿宋_GB2312" w:hAnsi="仿宋_GB2312" w:eastAsia="仿宋_GB2312" w:cs="仿宋_GB2312"/>
          <w:b/>
          <w:bCs/>
          <w:sz w:val="32"/>
          <w:szCs w:val="32"/>
          <w:highlight w:val="none"/>
          <w:lang w:val="en-US" w:eastAsia="zh-CN"/>
        </w:rPr>
        <w:t xml:space="preserve">  公开报表</w:t>
      </w:r>
      <w:r>
        <w:rPr>
          <w:rFonts w:hint="eastAsia" w:ascii="仿宋_GB2312" w:hAnsi="仿宋_GB2312" w:eastAsia="仿宋_GB2312" w:cs="仿宋_GB2312"/>
          <w:sz w:val="32"/>
          <w:szCs w:val="32"/>
          <w:highlight w:val="none"/>
        </w:rPr>
        <w:tab/>
      </w:r>
    </w:p>
    <w:p>
      <w:p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 w:hAnsi="仿宋" w:eastAsia="仿宋" w:cs="仿宋"/>
          <w:sz w:val="32"/>
          <w:szCs w:val="32"/>
        </w:rPr>
        <w:t>见附件内容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ab/>
      </w:r>
    </w:p>
    <w:p>
      <w:pPr>
        <w:rPr>
          <w:highlight w:val="none"/>
        </w:rPr>
      </w:pPr>
    </w:p>
    <w:sectPr>
      <w:pgSz w:w="11906" w:h="16838"/>
      <w:pgMar w:top="1440" w:right="1800" w:bottom="1440" w:left="1800" w:header="851" w:footer="992"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6AE5D"/>
    <w:multiLevelType w:val="singleLevel"/>
    <w:tmpl w:val="9196AE5D"/>
    <w:lvl w:ilvl="0" w:tentative="0">
      <w:start w:val="1"/>
      <w:numFmt w:val="decimal"/>
      <w:suff w:val="nothing"/>
      <w:lvlText w:val="（%1）"/>
      <w:lvlJc w:val="left"/>
    </w:lvl>
  </w:abstractNum>
  <w:abstractNum w:abstractNumId="1">
    <w:nsid w:val="B3AF1989"/>
    <w:multiLevelType w:val="singleLevel"/>
    <w:tmpl w:val="B3AF1989"/>
    <w:lvl w:ilvl="0" w:tentative="0">
      <w:start w:val="1"/>
      <w:numFmt w:val="decimal"/>
      <w:suff w:val="nothing"/>
      <w:lvlText w:val="（%1）"/>
      <w:lvlJc w:val="left"/>
    </w:lvl>
  </w:abstractNum>
  <w:abstractNum w:abstractNumId="2">
    <w:nsid w:val="D71EDE3C"/>
    <w:multiLevelType w:val="singleLevel"/>
    <w:tmpl w:val="D71EDE3C"/>
    <w:lvl w:ilvl="0" w:tentative="0">
      <w:start w:val="2"/>
      <w:numFmt w:val="decimal"/>
      <w:suff w:val="nothing"/>
      <w:lvlText w:val="（%1）"/>
      <w:lvlJc w:val="left"/>
    </w:lvl>
  </w:abstractNum>
  <w:abstractNum w:abstractNumId="3">
    <w:nsid w:val="E918BF23"/>
    <w:multiLevelType w:val="singleLevel"/>
    <w:tmpl w:val="E918BF23"/>
    <w:lvl w:ilvl="0" w:tentative="0">
      <w:start w:val="4"/>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F745F"/>
    <w:rsid w:val="00C00F40"/>
    <w:rsid w:val="01113680"/>
    <w:rsid w:val="031447C4"/>
    <w:rsid w:val="044538BC"/>
    <w:rsid w:val="04A805C4"/>
    <w:rsid w:val="059F2A0D"/>
    <w:rsid w:val="05A32412"/>
    <w:rsid w:val="081E7997"/>
    <w:rsid w:val="08487125"/>
    <w:rsid w:val="08867E9A"/>
    <w:rsid w:val="09FD68C4"/>
    <w:rsid w:val="0A474525"/>
    <w:rsid w:val="0DCB4BB8"/>
    <w:rsid w:val="0EF6587D"/>
    <w:rsid w:val="0FC5722A"/>
    <w:rsid w:val="105631F0"/>
    <w:rsid w:val="133920A3"/>
    <w:rsid w:val="14C1360F"/>
    <w:rsid w:val="162346D3"/>
    <w:rsid w:val="169C65B3"/>
    <w:rsid w:val="173F0DFD"/>
    <w:rsid w:val="17C870C9"/>
    <w:rsid w:val="19F24C5F"/>
    <w:rsid w:val="1A25019A"/>
    <w:rsid w:val="1A6F701C"/>
    <w:rsid w:val="1DC31186"/>
    <w:rsid w:val="1F2C267C"/>
    <w:rsid w:val="236B263C"/>
    <w:rsid w:val="23AE6EBB"/>
    <w:rsid w:val="24E73B22"/>
    <w:rsid w:val="251554EC"/>
    <w:rsid w:val="2557349B"/>
    <w:rsid w:val="2A452C34"/>
    <w:rsid w:val="2D3E4FD2"/>
    <w:rsid w:val="2ED82B60"/>
    <w:rsid w:val="30C577EA"/>
    <w:rsid w:val="35A427DE"/>
    <w:rsid w:val="35A46EDD"/>
    <w:rsid w:val="36EC7F8B"/>
    <w:rsid w:val="3A5C7525"/>
    <w:rsid w:val="3CE377DB"/>
    <w:rsid w:val="3E2A25EB"/>
    <w:rsid w:val="3E713280"/>
    <w:rsid w:val="3F356F4C"/>
    <w:rsid w:val="3F573F6E"/>
    <w:rsid w:val="453C00C2"/>
    <w:rsid w:val="45E5510A"/>
    <w:rsid w:val="460E1C13"/>
    <w:rsid w:val="4753067C"/>
    <w:rsid w:val="4A076BC2"/>
    <w:rsid w:val="4BAD2347"/>
    <w:rsid w:val="4F6277FF"/>
    <w:rsid w:val="4F884A98"/>
    <w:rsid w:val="514C1BF3"/>
    <w:rsid w:val="520B39FF"/>
    <w:rsid w:val="521A35B4"/>
    <w:rsid w:val="52605E63"/>
    <w:rsid w:val="53A8551F"/>
    <w:rsid w:val="557135E6"/>
    <w:rsid w:val="55FB083A"/>
    <w:rsid w:val="56067571"/>
    <w:rsid w:val="562F2C38"/>
    <w:rsid w:val="56A521D2"/>
    <w:rsid w:val="56C96F99"/>
    <w:rsid w:val="57F55BBB"/>
    <w:rsid w:val="589F30C4"/>
    <w:rsid w:val="591A374C"/>
    <w:rsid w:val="591B0C29"/>
    <w:rsid w:val="5B0E1EC0"/>
    <w:rsid w:val="5BD0106A"/>
    <w:rsid w:val="5E1E048F"/>
    <w:rsid w:val="5F995123"/>
    <w:rsid w:val="612E157B"/>
    <w:rsid w:val="61497698"/>
    <w:rsid w:val="61546607"/>
    <w:rsid w:val="62862F25"/>
    <w:rsid w:val="66A210E1"/>
    <w:rsid w:val="672672DB"/>
    <w:rsid w:val="69B56598"/>
    <w:rsid w:val="6A753CD8"/>
    <w:rsid w:val="6C1067CF"/>
    <w:rsid w:val="6CD86803"/>
    <w:rsid w:val="6CE3025C"/>
    <w:rsid w:val="7A7B1A42"/>
    <w:rsid w:val="7A7F745F"/>
    <w:rsid w:val="7AFA18DE"/>
    <w:rsid w:val="7C191941"/>
    <w:rsid w:val="7E953FD1"/>
    <w:rsid w:val="7EEF299E"/>
    <w:rsid w:val="7FF80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bg1">
                    <a:lumMod val="65000"/>
                  </a:schemeClr>
                </a:solidFill>
                <a:effectLst/>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机构人数</a:t>
            </a:r>
          </a:p>
        </c:rich>
      </c:tx>
      <c:layout>
        <c:manualLayout>
          <c:xMode val="edge"/>
          <c:yMode val="edge"/>
          <c:x val="0.0192056441076561"/>
          <c:y val="0.0308710033076075"/>
        </c:manualLayout>
      </c:layout>
      <c:overlay val="0"/>
      <c:spPr>
        <a:noFill/>
        <a:ln>
          <a:noFill/>
        </a:ln>
        <a:effectLst/>
      </c:spPr>
    </c:title>
    <c:autoTitleDeleted val="0"/>
    <c:plotArea>
      <c:layout>
        <c:manualLayout>
          <c:layoutTarget val="inner"/>
          <c:xMode val="edge"/>
          <c:yMode val="edge"/>
          <c:x val="0.0900312532791253"/>
          <c:y val="0.180255753587582"/>
          <c:w val="0.873734694843312"/>
          <c:h val="0.686161352212451"/>
        </c:manualLayout>
      </c:layout>
      <c:barChart>
        <c:barDir val="col"/>
        <c:grouping val="clustered"/>
        <c:varyColors val="0"/>
        <c:ser>
          <c:idx val="3"/>
          <c:order val="0"/>
          <c:tx>
            <c:strRef>
              <c:f>Sheet1!$B$1</c:f>
              <c:strCache>
                <c:ptCount val="1"/>
                <c:pt idx="0">
                  <c:v>行政</c:v>
                </c:pt>
              </c:strCache>
            </c:strRef>
          </c:tx>
          <c:spPr>
            <a:solidFill>
              <a:srgbClr val="9884F4">
                <a:alpha val="70000"/>
              </a:srgbClr>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编制</c:v>
                </c:pt>
                <c:pt idx="1">
                  <c:v>实有</c:v>
                </c:pt>
                <c:pt idx="2">
                  <c:v>退休</c:v>
                </c:pt>
              </c:strCache>
            </c:strRef>
          </c:cat>
          <c:val>
            <c:numRef>
              <c:f>Sheet1!$B$2:$B$4</c:f>
              <c:numCache>
                <c:formatCode>General</c:formatCode>
                <c:ptCount val="3"/>
                <c:pt idx="0">
                  <c:v>32</c:v>
                </c:pt>
                <c:pt idx="1">
                  <c:v>27</c:v>
                </c:pt>
                <c:pt idx="2">
                  <c:v>20</c:v>
                </c:pt>
              </c:numCache>
            </c:numRef>
          </c:val>
        </c:ser>
        <c:ser>
          <c:idx val="4"/>
          <c:order val="1"/>
          <c:tx>
            <c:strRef>
              <c:f>Sheet1!$C$1</c:f>
              <c:strCache>
                <c:ptCount val="1"/>
                <c:pt idx="0">
                  <c:v>事业</c:v>
                </c:pt>
              </c:strCache>
            </c:strRef>
          </c:tx>
          <c:spPr>
            <a:solidFill>
              <a:srgbClr val="93CCE9">
                <a:alpha val="70000"/>
              </a:srgbClr>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编制</c:v>
                </c:pt>
                <c:pt idx="1">
                  <c:v>实有</c:v>
                </c:pt>
                <c:pt idx="2">
                  <c:v>退休</c:v>
                </c:pt>
              </c:strCache>
            </c:strRef>
          </c:cat>
          <c:val>
            <c:numRef>
              <c:f>Sheet1!$C$2:$C$4</c:f>
              <c:numCache>
                <c:formatCode>General</c:formatCode>
                <c:ptCount val="3"/>
                <c:pt idx="0">
                  <c:v>50</c:v>
                </c:pt>
                <c:pt idx="1">
                  <c:v>56</c:v>
                </c:pt>
                <c:pt idx="2">
                  <c:v>27</c:v>
                </c:pt>
              </c:numCache>
            </c:numRef>
          </c:val>
        </c:ser>
        <c:dLbls>
          <c:showLegendKey val="0"/>
          <c:showVal val="1"/>
          <c:showCatName val="0"/>
          <c:showSerName val="0"/>
          <c:showPercent val="0"/>
          <c:showBubbleSize val="0"/>
        </c:dLbls>
        <c:gapWidth val="120"/>
        <c:overlap val="20"/>
        <c:axId val="571527676"/>
        <c:axId val="320751115"/>
      </c:barChart>
      <c:catAx>
        <c:axId val="571527676"/>
        <c:scaling>
          <c:orientation val="minMax"/>
        </c:scaling>
        <c:delete val="0"/>
        <c:axPos val="b"/>
        <c:majorGridlines>
          <c:spPr>
            <a:ln w="3175" cap="flat" cmpd="sng" algn="ctr">
              <a:solidFill>
                <a:schemeClr val="bg1">
                  <a:lumMod val="85000"/>
                </a:schemeClr>
              </a:solidFill>
              <a:round/>
            </a:ln>
            <a:effectLst/>
          </c:spPr>
        </c:majorGridlines>
        <c:minorGridlines>
          <c:spPr>
            <a:ln w="3175" cap="flat" cmpd="sng" algn="ctr">
              <a:solidFill>
                <a:schemeClr val="bg1">
                  <a:lumMod val="85000"/>
                </a:schemeClr>
              </a:solidFill>
              <a:round/>
            </a:ln>
            <a:effectLst/>
          </c:spPr>
        </c:minorGridlines>
        <c:numFmt formatCode="General" sourceLinked="0"/>
        <c:majorTickMark val="in"/>
        <c:minorTickMark val="none"/>
        <c:tickLblPos val="nextTo"/>
        <c:spPr>
          <a:noFill/>
          <a:ln w="317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bg1">
                    <a:lumMod val="65000"/>
                  </a:schemeClr>
                </a:solidFill>
                <a:effectLst/>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320751115"/>
        <c:crosses val="autoZero"/>
        <c:auto val="1"/>
        <c:lblAlgn val="ctr"/>
        <c:lblOffset val="100"/>
        <c:noMultiLvlLbl val="0"/>
      </c:catAx>
      <c:valAx>
        <c:axId val="320751115"/>
        <c:scaling>
          <c:orientation val="minMax"/>
        </c:scaling>
        <c:delete val="0"/>
        <c:axPos val="l"/>
        <c:majorGridlines>
          <c:spPr>
            <a:ln w="317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bg1">
                    <a:lumMod val="6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571527676"/>
        <c:crosses val="autoZero"/>
        <c:crossBetween val="between"/>
      </c:valAx>
      <c:spPr>
        <a:solidFill>
          <a:schemeClr val="bg1"/>
        </a:solidFill>
        <a:ln w="3175">
          <a:noFill/>
        </a:ln>
        <a:effectLst/>
      </c:spPr>
    </c:plotArea>
    <c:legend>
      <c:legendPos val="t"/>
      <c:layout>
        <c:manualLayout>
          <c:xMode val="edge"/>
          <c:yMode val="edge"/>
          <c:x val="0.788919591217808"/>
          <c:y val="0.0485997794928335"/>
          <c:w val="0.179934324906538"/>
          <c:h val="0.0783293543654342"/>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lumMod val="65000"/>
                </a:schemeClr>
              </a:solidFill>
              <a:effectLst/>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3175" cap="flat" cmpd="sng" algn="ctr">
      <a:solidFill>
        <a:schemeClr val="tx1">
          <a:lumMod val="15000"/>
          <a:lumOff val="85000"/>
        </a:schemeClr>
      </a:solidFill>
      <a:round/>
    </a:ln>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4768</Words>
  <Characters>5110</Characters>
  <Lines>0</Lines>
  <Paragraphs>0</Paragraphs>
  <TotalTime>0</TotalTime>
  <ScaleCrop>false</ScaleCrop>
  <LinksUpToDate>false</LinksUpToDate>
  <CharactersWithSpaces>5152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2019-10-12T01:15:00Z</dcterms:created>
  <dc:creator>郭超(退回修改.)</dc:creator>
  <cp:lastModifiedBy>张超颖</cp:lastModifiedBy>
  <cp:lastPrinted>2022-01-27T07:33:00Z</cp:lastPrinted>
  <dcterms:modified xsi:type="dcterms:W3CDTF">2025-05-19T02:04:46Z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BAA8C1DE4DED4A5E8E3D579C7BDB0EB6</vt:lpwstr>
  </property>
</Properties>
</file>