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</w:p>
    <w:tbl>
      <w:tblPr>
        <w:tblStyle w:val="2"/>
        <w:tblW w:w="14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45"/>
        <w:gridCol w:w="7665"/>
        <w:gridCol w:w="1320"/>
        <w:gridCol w:w="1200"/>
        <w:gridCol w:w="115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5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鄠邑区农业农村局2024年第四批次衔接资金拟入库项目明细表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项目摘要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计划投资（万元）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村/社区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新村涝渭金湾配套农业机械项目。购置2台拖拉机及配套2台土豆种植机、2台土豆收获机、1台耕地机，1台旋耕机。项目建成后资产确权至保新村村集体，由村集体落实项目收益监管、经营及固定资产后续管护责任。预计每年增加村集体收入3万元，带动本村集体经济壮大，收益资金按照村集体分配方案执行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渭丰街道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产业配套基础设施项目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侯村产业路硬化项目：1.村东西路硬化长525米、宽4.5米、厚18厘米、面积2362.5平米；2.村北南北路硬化，长85米、宽4.5米、厚18厘米、面积382.5平米。产业路硬化面积共2745平米。项目建成后，财政资金投入所形成的资产资产确权至晋侯村，由晋侯村负责后期维护管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玉蝉街道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晋侯村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产业配套基础设施项目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神策村农田排水项目：村北积水点至清水河新修710米农田排水暗管（材质：波纹管、管径：800㎜）。项目建成后，财政资金投入所形成的资产资产确权至神策村，由神策庄村负责后期维护管理。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神策庄村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产业配套基础设施项目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村小型农田水利设施项目。1.新建农田灌溉井3眼、水泵3台（9.5kw）、铺设地埋管500米、地埋线700米等设施设备；2.用于21眼井配套设施更换，包括：更换水泵21个（9.5kw）、泵管820米、井内用线820米及新装配电箱21个（含空开和软启动）。项目建成后，财政资金投入所形成的资产资产确权至董村，由董村负责后期维护管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五竹街道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产业配套基础设施项目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赵王镇村产业路硬化项目：村北路硬化长675米、宽4米、厚18厘米、面积2700平米。项目建成后，财政资金投入所形成的资产资产确权至赵王镇村，由赵王镇村负责后期维护管理。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五竹街道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赵王镇村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产业配套基础设施项目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索村产业路硬化项目：村北产业路硬化长556米、宽4.5米、厚18厘米、面积2502平米。项目建成后，财政资金投入所形成的资产资产确权至索村，由索村负责后期维护管理。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五竹街道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鄠邑鲜到供应链项目：1.“鄠邑生鲜”电子化融合服务平台建设，打造集生鲜农产品、展示、交易、物流于一体的线上线下融合服务平台。2.鄠邑鲜到农产品形象及初加工店、前置仓储、恒温库改造约60平方，购置冷藏、冷冻柜，打包机、封口机、塑封机、周转箱、托盘、农产品初加工设备等。3.鄠邑鲜到智慧物流智能化建设，建设集物流、追溯、库存、配送等实时采集数据分析系统开发；5G智能数字化软件、监控，GPS等设备采购；4.农产品配送车辆购置，冷藏车1辆、常温车2辆、叉车、生鲜产品分拣线等。利益联结机制：本项目提升鄠邑农产品市场的竞争力，提升农产品品牌知名度。项目建成后资产权属确权至全区15个重点帮扶村，由鄠邑农业集团负责项目收益监管、运营及固定资产后续管护责任。项目按照财政资金投资的5%保底+利润分红，分红资金用于带动全区15个重点帮扶村，同时优先向建档立卡户提供就业岗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甘亭街道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西安鄠邑农业产业发展集团有限公司一楼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GFlYTkyZGRkMjk3NGU5MmI5MGYxMGMzNjNjZTEifQ=="/>
  </w:docVars>
  <w:rsids>
    <w:rsidRoot w:val="53C710DE"/>
    <w:rsid w:val="1D1E2CB8"/>
    <w:rsid w:val="20E5088E"/>
    <w:rsid w:val="48112BAA"/>
    <w:rsid w:val="4CCE5B0C"/>
    <w:rsid w:val="53C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2024-03-28T08:53:00Z</dcterms:created>
  <dc:creator>Administrator</dc:creator>
  <cp:lastModifiedBy>Vickyyy_wwq </cp:lastModifiedBy>
  <dcterms:modified xsi:type="dcterms:W3CDTF">2024-03-28T09:59:08Z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84A39C2B5D53491D881B764C7AF74534_12</vt:lpwstr>
  </property>
</Properties>
</file>