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6"/>
          <w:szCs w:val="36"/>
        </w:rPr>
      </w:pPr>
      <w:bookmarkStart w:id="3" w:name="_GoBack"/>
      <w:bookmarkEnd w:id="3"/>
    </w:p>
    <w:p>
      <w:pPr>
        <w:rPr>
          <w:rFonts w:eastAsia="仿宋_GB2312"/>
          <w:sz w:val="36"/>
          <w:szCs w:val="36"/>
        </w:rPr>
      </w:pPr>
    </w:p>
    <w:p>
      <w:pPr>
        <w:rPr>
          <w:rFonts w:eastAsia="仿宋_GB2312"/>
          <w:sz w:val="36"/>
          <w:szCs w:val="36"/>
        </w:rPr>
      </w:pPr>
    </w:p>
    <w:p>
      <w:pPr>
        <w:adjustRightInd w:val="0"/>
        <w:snapToGrid w:val="0"/>
        <w:jc w:val="center"/>
        <w:outlineLvl w:val="0"/>
        <w:rPr>
          <w:rFonts w:eastAsia="方正小标宋_GBK"/>
          <w:bCs/>
          <w:sz w:val="72"/>
          <w:szCs w:val="72"/>
        </w:rPr>
      </w:pPr>
      <w:r>
        <w:rPr>
          <w:rFonts w:hint="eastAsia" w:eastAsia="方正小标宋_GBK"/>
          <w:bCs/>
          <w:sz w:val="72"/>
          <w:szCs w:val="72"/>
        </w:rPr>
        <w:t>建设项目环境影响报告表</w:t>
      </w:r>
    </w:p>
    <w:p>
      <w:pPr>
        <w:adjustRightInd w:val="0"/>
        <w:snapToGrid w:val="0"/>
        <w:spacing w:beforeLines="80"/>
        <w:jc w:val="center"/>
        <w:rPr>
          <w:rFonts w:eastAsia="楷体_GB2312"/>
          <w:bCs/>
          <w:sz w:val="48"/>
          <w:szCs w:val="48"/>
        </w:rPr>
      </w:pPr>
      <w:r>
        <w:rPr>
          <w:rFonts w:hint="eastAsia" w:eastAsia="楷体_GB2312"/>
          <w:bCs/>
          <w:sz w:val="48"/>
          <w:szCs w:val="48"/>
        </w:rPr>
        <w:t>（污染影响类）</w:t>
      </w:r>
    </w:p>
    <w:p/>
    <w:p/>
    <w:p/>
    <w:p/>
    <w:p/>
    <w:p/>
    <w:p/>
    <w:p/>
    <w:p/>
    <w:p/>
    <w:p/>
    <w:p/>
    <w:p/>
    <w:p/>
    <w:p/>
    <w:p/>
    <w:p/>
    <w:p/>
    <w:p>
      <w:pPr>
        <w:ind w:firstLine="1040"/>
        <w:rPr>
          <w:rFonts w:eastAsia="仿宋"/>
          <w:sz w:val="44"/>
          <w:szCs w:val="44"/>
        </w:rPr>
      </w:pPr>
    </w:p>
    <w:p>
      <w:pPr>
        <w:adjustRightInd w:val="0"/>
        <w:snapToGrid w:val="0"/>
        <w:spacing w:line="360" w:lineRule="auto"/>
        <w:ind w:firstLine="737"/>
        <w:rPr>
          <w:rFonts w:eastAsia="仿宋_GB2312"/>
          <w:sz w:val="32"/>
          <w:szCs w:val="32"/>
        </w:rPr>
      </w:pPr>
      <w:r>
        <w:rPr>
          <w:rFonts w:hint="eastAsia" w:eastAsia="仿宋_GB2312"/>
          <w:sz w:val="32"/>
          <w:szCs w:val="32"/>
        </w:rPr>
        <w:t>项目名称：</w:t>
      </w:r>
      <w:r>
        <w:rPr>
          <w:rFonts w:eastAsia="仿宋_GB2312"/>
          <w:sz w:val="32"/>
          <w:szCs w:val="32"/>
          <w:u w:val="single"/>
        </w:rPr>
        <w:t xml:space="preserve">      </w:t>
      </w:r>
      <w:r>
        <w:rPr>
          <w:rFonts w:hint="eastAsia" w:eastAsia="仿宋_GB2312"/>
          <w:sz w:val="32"/>
          <w:szCs w:val="32"/>
          <w:u w:val="single"/>
        </w:rPr>
        <w:t>汽车核心零部件生产建设项目</w:t>
      </w:r>
      <w:r>
        <w:rPr>
          <w:rFonts w:eastAsia="仿宋_GB2312"/>
          <w:sz w:val="32"/>
          <w:szCs w:val="32"/>
          <w:u w:val="single"/>
        </w:rPr>
        <w:t xml:space="preserve">     </w:t>
      </w:r>
    </w:p>
    <w:p>
      <w:pPr>
        <w:adjustRightInd w:val="0"/>
        <w:snapToGrid w:val="0"/>
        <w:spacing w:line="360" w:lineRule="auto"/>
        <w:ind w:firstLine="737"/>
        <w:rPr>
          <w:rFonts w:eastAsia="仿宋_GB2312"/>
          <w:sz w:val="32"/>
          <w:szCs w:val="32"/>
          <w:u w:val="single"/>
        </w:rPr>
      </w:pPr>
      <w:r>
        <w:rPr>
          <w:rFonts w:hint="eastAsia" w:eastAsia="仿宋_GB2312"/>
          <w:sz w:val="32"/>
          <w:szCs w:val="32"/>
        </w:rPr>
        <w:t>建设单位（盖章）：</w:t>
      </w:r>
      <w:r>
        <w:rPr>
          <w:rFonts w:hint="eastAsia" w:eastAsia="仿宋_GB2312"/>
          <w:sz w:val="32"/>
          <w:szCs w:val="32"/>
          <w:u w:val="single"/>
        </w:rPr>
        <w:t>西安粹益汽车配件有限公司</w:t>
      </w:r>
      <w:r>
        <w:rPr>
          <w:rFonts w:eastAsia="仿宋_GB2312"/>
          <w:sz w:val="32"/>
          <w:szCs w:val="32"/>
          <w:u w:val="single"/>
        </w:rPr>
        <w:t xml:space="preserve">     </w:t>
      </w:r>
    </w:p>
    <w:p>
      <w:pPr>
        <w:adjustRightInd w:val="0"/>
        <w:snapToGrid w:val="0"/>
        <w:spacing w:line="360" w:lineRule="auto"/>
        <w:ind w:firstLine="737"/>
        <w:rPr>
          <w:rFonts w:eastAsia="仿宋_GB2312"/>
          <w:sz w:val="32"/>
          <w:szCs w:val="32"/>
          <w:u w:val="single"/>
        </w:rPr>
      </w:pPr>
      <w:r>
        <w:rPr>
          <w:rFonts w:hint="eastAsia" w:eastAsia="仿宋_GB2312"/>
          <w:sz w:val="32"/>
          <w:szCs w:val="32"/>
        </w:rPr>
        <w:t>编制日期：</w:t>
      </w:r>
      <w:r>
        <w:rPr>
          <w:rFonts w:eastAsia="仿宋_GB2312"/>
          <w:sz w:val="32"/>
          <w:szCs w:val="32"/>
          <w:u w:val="single"/>
        </w:rPr>
        <w:t xml:space="preserve">              2023</w:t>
      </w:r>
      <w:r>
        <w:rPr>
          <w:rFonts w:hint="eastAsia" w:eastAsia="仿宋_GB2312"/>
          <w:sz w:val="32"/>
          <w:szCs w:val="32"/>
          <w:u w:val="single"/>
        </w:rPr>
        <w:t>年</w:t>
      </w:r>
      <w:r>
        <w:rPr>
          <w:rFonts w:eastAsia="仿宋_GB2312"/>
          <w:sz w:val="32"/>
          <w:szCs w:val="32"/>
          <w:u w:val="single"/>
        </w:rPr>
        <w:t>8</w:t>
      </w:r>
      <w:r>
        <w:rPr>
          <w:rFonts w:hint="eastAsia" w:eastAsia="仿宋_GB2312"/>
          <w:sz w:val="32"/>
          <w:szCs w:val="32"/>
          <w:u w:val="single"/>
        </w:rPr>
        <w:t>月</w:t>
      </w:r>
      <w:r>
        <w:rPr>
          <w:rFonts w:eastAsia="仿宋_GB2312"/>
          <w:sz w:val="32"/>
          <w:szCs w:val="32"/>
          <w:u w:val="single"/>
        </w:rPr>
        <w:t xml:space="preserve">             </w:t>
      </w:r>
    </w:p>
    <w:p>
      <w:pPr>
        <w:adjustRightInd w:val="0"/>
        <w:snapToGrid w:val="0"/>
        <w:spacing w:line="288" w:lineRule="auto"/>
        <w:ind w:firstLine="1040"/>
        <w:rPr>
          <w:rFonts w:eastAsia="仿宋_GB2312"/>
          <w:sz w:val="32"/>
          <w:szCs w:val="32"/>
          <w:u w:val="single"/>
        </w:rPr>
      </w:pPr>
      <w:bookmarkStart w:id="0" w:name="_Hlk57884087"/>
    </w:p>
    <w:p>
      <w:pPr>
        <w:adjustRightInd w:val="0"/>
        <w:snapToGrid w:val="0"/>
        <w:spacing w:line="288" w:lineRule="auto"/>
        <w:ind w:firstLine="1040"/>
        <w:rPr>
          <w:rFonts w:eastAsia="仿宋_GB2312"/>
          <w:sz w:val="36"/>
          <w:szCs w:val="36"/>
        </w:rPr>
      </w:pPr>
    </w:p>
    <w:p>
      <w:pPr>
        <w:adjustRightInd w:val="0"/>
        <w:snapToGrid w:val="0"/>
        <w:spacing w:line="288" w:lineRule="auto"/>
        <w:ind w:firstLine="1040"/>
        <w:rPr>
          <w:rFonts w:eastAsia="仿宋_GB2312"/>
          <w:sz w:val="36"/>
          <w:szCs w:val="36"/>
        </w:rPr>
      </w:pPr>
    </w:p>
    <w:p>
      <w:pPr>
        <w:adjustRightInd w:val="0"/>
        <w:snapToGrid w:val="0"/>
        <w:spacing w:line="288" w:lineRule="auto"/>
        <w:rPr>
          <w:rFonts w:eastAsia="仿宋_GB2312"/>
          <w:sz w:val="36"/>
          <w:szCs w:val="36"/>
        </w:rPr>
      </w:pPr>
    </w:p>
    <w:bookmarkEnd w:id="0"/>
    <w:p>
      <w:pPr>
        <w:adjustRightInd w:val="0"/>
        <w:snapToGrid w:val="0"/>
        <w:spacing w:line="288" w:lineRule="auto"/>
        <w:jc w:val="center"/>
        <w:rPr>
          <w:rFonts w:eastAsia="楷体_GB2312"/>
          <w:sz w:val="36"/>
          <w:szCs w:val="36"/>
        </w:rPr>
      </w:pPr>
      <w:r>
        <w:rPr>
          <w:rFonts w:hint="eastAsia" w:eastAsia="楷体_GB2312"/>
          <w:sz w:val="36"/>
          <w:szCs w:val="36"/>
        </w:rPr>
        <w:t>中华人民共和国生态环境部制</w:t>
      </w:r>
    </w:p>
    <w:p>
      <w:pPr>
        <w:adjustRightInd w:val="0"/>
        <w:snapToGrid w:val="0"/>
        <w:spacing w:line="288" w:lineRule="auto"/>
        <w:ind w:firstLine="1040"/>
        <w:rPr>
          <w:rFonts w:eastAsia="仿宋_GB2312"/>
          <w:sz w:val="36"/>
          <w:szCs w:val="36"/>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2"/>
        <w:jc w:val="center"/>
      </w:pPr>
      <w:r>
        <w:rPr>
          <w:rFonts w:hint="eastAsia"/>
        </w:rPr>
        <w:t>一、建设项目基本情况</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92"/>
        <w:gridCol w:w="2927"/>
        <w:gridCol w:w="1894"/>
        <w:gridCol w:w="29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Borders>
              <w:top w:val="single" w:color="auto" w:sz="8" w:space="0"/>
            </w:tcBorders>
            <w:tcMar>
              <w:top w:w="16" w:type="dxa"/>
              <w:left w:w="16" w:type="dxa"/>
              <w:right w:w="16" w:type="dxa"/>
            </w:tcMar>
            <w:vAlign w:val="center"/>
          </w:tcPr>
          <w:p>
            <w:pPr>
              <w:adjustRightInd w:val="0"/>
              <w:snapToGrid w:val="0"/>
              <w:jc w:val="center"/>
              <w:rPr>
                <w:sz w:val="24"/>
              </w:rPr>
            </w:pPr>
            <w:r>
              <w:rPr>
                <w:rFonts w:hint="eastAsia"/>
                <w:sz w:val="24"/>
              </w:rPr>
              <w:t>建设项目名称</w:t>
            </w:r>
          </w:p>
        </w:tc>
        <w:tc>
          <w:tcPr>
            <w:tcW w:w="7778" w:type="dxa"/>
            <w:gridSpan w:val="3"/>
            <w:tcBorders>
              <w:top w:val="single" w:color="auto" w:sz="8" w:space="0"/>
            </w:tcBorders>
            <w:vAlign w:val="center"/>
          </w:tcPr>
          <w:p>
            <w:pPr>
              <w:adjustRightInd w:val="0"/>
              <w:snapToGrid w:val="0"/>
              <w:jc w:val="center"/>
              <w:rPr>
                <w:sz w:val="24"/>
              </w:rPr>
            </w:pPr>
            <w:r>
              <w:rPr>
                <w:rFonts w:hint="eastAsia"/>
                <w:sz w:val="24"/>
              </w:rPr>
              <w:t>汽车核心零部件生产建设项目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项目代码</w:t>
            </w:r>
          </w:p>
        </w:tc>
        <w:tc>
          <w:tcPr>
            <w:tcW w:w="7778" w:type="dxa"/>
            <w:gridSpan w:val="3"/>
            <w:vAlign w:val="center"/>
          </w:tcPr>
          <w:p>
            <w:pPr>
              <w:adjustRightInd w:val="0"/>
              <w:snapToGrid w:val="0"/>
              <w:jc w:val="center"/>
              <w:rPr>
                <w:sz w:val="24"/>
              </w:rPr>
            </w:pPr>
            <w:r>
              <w:rPr>
                <w:sz w:val="24"/>
              </w:rPr>
              <w:t>2210-610125-04-05-639675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建设单位联系人</w:t>
            </w:r>
          </w:p>
        </w:tc>
        <w:tc>
          <w:tcPr>
            <w:tcW w:w="2927" w:type="dxa"/>
            <w:vAlign w:val="center"/>
          </w:tcPr>
          <w:p>
            <w:pPr>
              <w:adjustRightInd w:val="0"/>
              <w:snapToGrid w:val="0"/>
              <w:jc w:val="center"/>
              <w:rPr>
                <w:sz w:val="24"/>
              </w:rPr>
            </w:pPr>
            <w:r>
              <w:rPr>
                <w:rFonts w:hint="eastAsia"/>
                <w:sz w:val="24"/>
              </w:rPr>
              <w:t>张宏伟</w:t>
            </w:r>
          </w:p>
        </w:tc>
        <w:tc>
          <w:tcPr>
            <w:tcW w:w="1894" w:type="dxa"/>
            <w:vAlign w:val="center"/>
          </w:tcPr>
          <w:p>
            <w:pPr>
              <w:adjustRightInd w:val="0"/>
              <w:snapToGrid w:val="0"/>
              <w:jc w:val="center"/>
              <w:rPr>
                <w:sz w:val="24"/>
              </w:rPr>
            </w:pPr>
            <w:r>
              <w:rPr>
                <w:rFonts w:hint="eastAsia"/>
                <w:sz w:val="24"/>
              </w:rPr>
              <w:t>联系方式</w:t>
            </w:r>
          </w:p>
        </w:tc>
        <w:tc>
          <w:tcPr>
            <w:tcW w:w="2957" w:type="dxa"/>
            <w:vAlign w:val="center"/>
          </w:tcPr>
          <w:p>
            <w:pPr>
              <w:adjustRightInd w:val="0"/>
              <w:snapToGrid w:val="0"/>
              <w:jc w:val="center"/>
              <w:rPr>
                <w:sz w:val="24"/>
              </w:rPr>
            </w:pPr>
            <w:r>
              <w:rPr>
                <w:sz w:val="24"/>
              </w:rPr>
              <w:t>139*****277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建设地点</w:t>
            </w:r>
          </w:p>
        </w:tc>
        <w:tc>
          <w:tcPr>
            <w:tcW w:w="7778" w:type="dxa"/>
            <w:gridSpan w:val="3"/>
            <w:vAlign w:val="center"/>
          </w:tcPr>
          <w:p>
            <w:pPr>
              <w:adjustRightInd w:val="0"/>
              <w:snapToGrid w:val="0"/>
              <w:jc w:val="center"/>
              <w:rPr>
                <w:sz w:val="24"/>
              </w:rPr>
            </w:pPr>
            <w:r>
              <w:rPr>
                <w:rFonts w:hint="eastAsia"/>
                <w:sz w:val="24"/>
              </w:rPr>
              <w:t>西安市鄠邑区沣京工业园潭滨北路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地理坐标</w:t>
            </w:r>
          </w:p>
        </w:tc>
        <w:tc>
          <w:tcPr>
            <w:tcW w:w="7778" w:type="dxa"/>
            <w:gridSpan w:val="3"/>
            <w:vAlign w:val="center"/>
          </w:tcPr>
          <w:p>
            <w:pPr>
              <w:jc w:val="center"/>
              <w:rPr>
                <w:sz w:val="24"/>
              </w:rPr>
            </w:pPr>
            <w:r>
              <w:rPr>
                <w:rFonts w:hint="eastAsia"/>
                <w:sz w:val="24"/>
              </w:rPr>
              <w:t>（</w:t>
            </w:r>
            <w:r>
              <w:rPr>
                <w:sz w:val="24"/>
                <w:u w:val="single"/>
              </w:rPr>
              <w:t>108</w:t>
            </w:r>
            <w:r>
              <w:rPr>
                <w:rFonts w:hint="eastAsia"/>
                <w:sz w:val="24"/>
              </w:rPr>
              <w:t>度</w:t>
            </w:r>
            <w:r>
              <w:rPr>
                <w:sz w:val="24"/>
                <w:u w:val="single"/>
              </w:rPr>
              <w:t>38</w:t>
            </w:r>
            <w:r>
              <w:rPr>
                <w:rFonts w:hint="eastAsia"/>
                <w:sz w:val="24"/>
              </w:rPr>
              <w:t>分</w:t>
            </w:r>
            <w:r>
              <w:rPr>
                <w:sz w:val="24"/>
                <w:u w:val="single"/>
              </w:rPr>
              <w:t>51.080</w:t>
            </w:r>
            <w:r>
              <w:rPr>
                <w:rFonts w:hint="eastAsia"/>
                <w:sz w:val="24"/>
              </w:rPr>
              <w:t>秒，</w:t>
            </w:r>
            <w:r>
              <w:rPr>
                <w:sz w:val="24"/>
                <w:u w:val="single"/>
              </w:rPr>
              <w:t>34</w:t>
            </w:r>
            <w:r>
              <w:rPr>
                <w:rFonts w:hint="eastAsia"/>
                <w:sz w:val="24"/>
              </w:rPr>
              <w:t>度</w:t>
            </w:r>
            <w:r>
              <w:rPr>
                <w:sz w:val="24"/>
                <w:u w:val="single"/>
              </w:rPr>
              <w:t>7</w:t>
            </w:r>
            <w:r>
              <w:rPr>
                <w:rFonts w:hint="eastAsia"/>
                <w:sz w:val="24"/>
              </w:rPr>
              <w:t>分</w:t>
            </w:r>
            <w:r>
              <w:rPr>
                <w:sz w:val="24"/>
                <w:u w:val="single"/>
              </w:rPr>
              <w:t>1.520</w:t>
            </w:r>
            <w:r>
              <w:rPr>
                <w:rFonts w:hint="eastAsia"/>
                <w:sz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国民经济</w:t>
            </w:r>
          </w:p>
          <w:p>
            <w:pPr>
              <w:adjustRightInd w:val="0"/>
              <w:snapToGrid w:val="0"/>
              <w:jc w:val="center"/>
              <w:rPr>
                <w:sz w:val="24"/>
              </w:rPr>
            </w:pPr>
            <w:r>
              <w:rPr>
                <w:rFonts w:hint="eastAsia"/>
                <w:sz w:val="24"/>
              </w:rPr>
              <w:t>行业类别</w:t>
            </w:r>
          </w:p>
        </w:tc>
        <w:tc>
          <w:tcPr>
            <w:tcW w:w="2927" w:type="dxa"/>
            <w:vAlign w:val="center"/>
          </w:tcPr>
          <w:p>
            <w:pPr>
              <w:adjustRightInd w:val="0"/>
              <w:snapToGrid w:val="0"/>
              <w:jc w:val="center"/>
              <w:rPr>
                <w:sz w:val="24"/>
              </w:rPr>
            </w:pPr>
            <w:r>
              <w:rPr>
                <w:sz w:val="24"/>
              </w:rPr>
              <w:t>C3670</w:t>
            </w:r>
            <w:r>
              <w:rPr>
                <w:rFonts w:hint="eastAsia"/>
                <w:sz w:val="24"/>
              </w:rPr>
              <w:t>汽车零部件及配件制造</w:t>
            </w:r>
          </w:p>
        </w:tc>
        <w:tc>
          <w:tcPr>
            <w:tcW w:w="1894" w:type="dxa"/>
            <w:vAlign w:val="center"/>
          </w:tcPr>
          <w:p>
            <w:pPr>
              <w:adjustRightInd w:val="0"/>
              <w:snapToGrid w:val="0"/>
              <w:jc w:val="center"/>
              <w:rPr>
                <w:sz w:val="24"/>
              </w:rPr>
            </w:pPr>
            <w:bookmarkStart w:id="1" w:name="_Hlk49843745"/>
            <w:r>
              <w:rPr>
                <w:rFonts w:hint="eastAsia"/>
                <w:sz w:val="24"/>
              </w:rPr>
              <w:t>建设项目</w:t>
            </w:r>
          </w:p>
          <w:p>
            <w:pPr>
              <w:adjustRightInd w:val="0"/>
              <w:snapToGrid w:val="0"/>
              <w:jc w:val="center"/>
              <w:rPr>
                <w:sz w:val="24"/>
              </w:rPr>
            </w:pPr>
            <w:r>
              <w:rPr>
                <w:rFonts w:hint="eastAsia"/>
                <w:sz w:val="24"/>
              </w:rPr>
              <w:t>行业类别</w:t>
            </w:r>
            <w:bookmarkEnd w:id="1"/>
          </w:p>
        </w:tc>
        <w:tc>
          <w:tcPr>
            <w:tcW w:w="2957" w:type="dxa"/>
            <w:vAlign w:val="center"/>
          </w:tcPr>
          <w:p>
            <w:pPr>
              <w:adjustRightInd w:val="0"/>
              <w:snapToGrid w:val="0"/>
              <w:rPr>
                <w:sz w:val="24"/>
              </w:rPr>
            </w:pPr>
            <w:r>
              <w:rPr>
                <w:sz w:val="24"/>
              </w:rPr>
              <w:t>71</w:t>
            </w:r>
            <w:r>
              <w:rPr>
                <w:rFonts w:hint="eastAsia"/>
                <w:sz w:val="24"/>
              </w:rPr>
              <w:t>汽车零部件及配件制造</w:t>
            </w:r>
            <w:r>
              <w:rPr>
                <w:sz w:val="24"/>
              </w:rPr>
              <w:t>367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建设性质</w:t>
            </w:r>
          </w:p>
        </w:tc>
        <w:tc>
          <w:tcPr>
            <w:tcW w:w="2927" w:type="dxa"/>
            <w:vAlign w:val="center"/>
          </w:tcPr>
          <w:p>
            <w:pPr>
              <w:jc w:val="left"/>
              <w:rPr>
                <w:sz w:val="24"/>
              </w:rPr>
            </w:pPr>
            <w:r>
              <w:rPr>
                <w:sz w:val="24"/>
              </w:rPr>
              <w:sym w:font="Wingdings 2" w:char="F052"/>
            </w:r>
            <w:r>
              <w:rPr>
                <w:rFonts w:hint="eastAsia"/>
                <w:sz w:val="24"/>
              </w:rPr>
              <w:t>新建（迁建）</w:t>
            </w:r>
          </w:p>
          <w:p>
            <w:pPr>
              <w:jc w:val="left"/>
              <w:rPr>
                <w:sz w:val="24"/>
              </w:rPr>
            </w:pPr>
            <w:r>
              <w:rPr>
                <w:sz w:val="24"/>
              </w:rPr>
              <w:t>□</w:t>
            </w:r>
            <w:r>
              <w:rPr>
                <w:rFonts w:hint="eastAsia"/>
                <w:sz w:val="24"/>
              </w:rPr>
              <w:t>改建</w:t>
            </w:r>
          </w:p>
          <w:p>
            <w:pPr>
              <w:jc w:val="left"/>
              <w:rPr>
                <w:sz w:val="24"/>
              </w:rPr>
            </w:pPr>
            <w:r>
              <w:rPr>
                <w:sz w:val="24"/>
              </w:rPr>
              <w:t>□</w:t>
            </w:r>
            <w:r>
              <w:rPr>
                <w:rFonts w:hint="eastAsia"/>
                <w:sz w:val="24"/>
              </w:rPr>
              <w:t>扩建</w:t>
            </w:r>
          </w:p>
          <w:p>
            <w:pPr>
              <w:jc w:val="left"/>
              <w:rPr>
                <w:sz w:val="24"/>
              </w:rPr>
            </w:pPr>
            <w:r>
              <w:rPr>
                <w:sz w:val="24"/>
              </w:rPr>
              <w:t>□</w:t>
            </w:r>
            <w:r>
              <w:rPr>
                <w:rFonts w:hint="eastAsia"/>
                <w:sz w:val="24"/>
              </w:rPr>
              <w:t>技术改造</w:t>
            </w:r>
          </w:p>
        </w:tc>
        <w:tc>
          <w:tcPr>
            <w:tcW w:w="1894" w:type="dxa"/>
            <w:vAlign w:val="center"/>
          </w:tcPr>
          <w:p>
            <w:pPr>
              <w:adjustRightInd w:val="0"/>
              <w:snapToGrid w:val="0"/>
              <w:jc w:val="center"/>
              <w:rPr>
                <w:sz w:val="24"/>
              </w:rPr>
            </w:pPr>
            <w:r>
              <w:rPr>
                <w:rFonts w:hint="eastAsia"/>
                <w:sz w:val="24"/>
              </w:rPr>
              <w:t>建设项目</w:t>
            </w:r>
          </w:p>
          <w:p>
            <w:pPr>
              <w:adjustRightInd w:val="0"/>
              <w:snapToGrid w:val="0"/>
              <w:jc w:val="center"/>
              <w:rPr>
                <w:sz w:val="24"/>
              </w:rPr>
            </w:pPr>
            <w:r>
              <w:rPr>
                <w:rFonts w:hint="eastAsia"/>
                <w:sz w:val="24"/>
              </w:rPr>
              <w:t>申报情形</w:t>
            </w:r>
          </w:p>
        </w:tc>
        <w:tc>
          <w:tcPr>
            <w:tcW w:w="2957" w:type="dxa"/>
            <w:vAlign w:val="center"/>
          </w:tcPr>
          <w:p>
            <w:pPr>
              <w:jc w:val="left"/>
              <w:rPr>
                <w:sz w:val="24"/>
              </w:rPr>
            </w:pPr>
            <w:r>
              <w:rPr>
                <w:sz w:val="24"/>
              </w:rPr>
              <w:sym w:font="Wingdings 2" w:char="F0A3"/>
            </w:r>
            <w:r>
              <w:rPr>
                <w:rFonts w:hint="eastAsia"/>
                <w:sz w:val="24"/>
              </w:rPr>
              <w:t>首次申报项目</w:t>
            </w:r>
          </w:p>
          <w:p>
            <w:pPr>
              <w:jc w:val="left"/>
              <w:rPr>
                <w:sz w:val="24"/>
              </w:rPr>
            </w:pPr>
            <w:r>
              <w:rPr>
                <w:sz w:val="24"/>
              </w:rPr>
              <w:sym w:font="Wingdings 2" w:char="F0A3"/>
            </w:r>
            <w:r>
              <w:rPr>
                <w:rFonts w:hint="eastAsia"/>
                <w:sz w:val="24"/>
              </w:rPr>
              <w:t>不予批准后再次申报项目</w:t>
            </w:r>
          </w:p>
          <w:p>
            <w:pPr>
              <w:jc w:val="left"/>
              <w:rPr>
                <w:sz w:val="24"/>
              </w:rPr>
            </w:pPr>
            <w:r>
              <w:rPr>
                <w:sz w:val="24"/>
              </w:rPr>
              <w:sym w:font="Wingdings 2" w:char="F0A3"/>
            </w:r>
            <w:r>
              <w:rPr>
                <w:rFonts w:hint="eastAsia"/>
                <w:sz w:val="24"/>
              </w:rPr>
              <w:t>超五年重新审核项目</w:t>
            </w:r>
          </w:p>
          <w:p>
            <w:pPr>
              <w:jc w:val="left"/>
              <w:rPr>
                <w:sz w:val="24"/>
              </w:rPr>
            </w:pPr>
            <w:r>
              <w:rPr>
                <w:sz w:val="24"/>
              </w:rPr>
              <w:sym w:font="Wingdings 2" w:char="F052"/>
            </w:r>
            <w:r>
              <w:rPr>
                <w:rFonts w:hint="eastAsia"/>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项目审批（核准</w:t>
            </w:r>
            <w:r>
              <w:rPr>
                <w:sz w:val="24"/>
              </w:rPr>
              <w:t>/</w:t>
            </w:r>
          </w:p>
          <w:p>
            <w:pPr>
              <w:adjustRightInd w:val="0"/>
              <w:snapToGrid w:val="0"/>
              <w:jc w:val="center"/>
              <w:rPr>
                <w:sz w:val="24"/>
              </w:rPr>
            </w:pPr>
            <w:r>
              <w:rPr>
                <w:rFonts w:hint="eastAsia"/>
                <w:sz w:val="24"/>
              </w:rPr>
              <w:t>备案）部门（选填）</w:t>
            </w:r>
          </w:p>
        </w:tc>
        <w:tc>
          <w:tcPr>
            <w:tcW w:w="2927" w:type="dxa"/>
            <w:vAlign w:val="center"/>
          </w:tcPr>
          <w:p>
            <w:pPr>
              <w:adjustRightInd w:val="0"/>
              <w:snapToGrid w:val="0"/>
              <w:jc w:val="center"/>
              <w:rPr>
                <w:sz w:val="24"/>
              </w:rPr>
            </w:pPr>
            <w:r>
              <w:rPr>
                <w:rFonts w:hint="eastAsia"/>
                <w:sz w:val="24"/>
              </w:rPr>
              <w:t>西安市鄠邑区行政审批服务局</w:t>
            </w:r>
          </w:p>
        </w:tc>
        <w:tc>
          <w:tcPr>
            <w:tcW w:w="1894" w:type="dxa"/>
            <w:vAlign w:val="center"/>
          </w:tcPr>
          <w:p>
            <w:pPr>
              <w:adjustRightInd w:val="0"/>
              <w:snapToGrid w:val="0"/>
              <w:jc w:val="center"/>
              <w:rPr>
                <w:sz w:val="24"/>
              </w:rPr>
            </w:pPr>
            <w:r>
              <w:rPr>
                <w:rFonts w:hint="eastAsia"/>
                <w:sz w:val="24"/>
              </w:rPr>
              <w:t>项目审批（核准</w:t>
            </w:r>
            <w:r>
              <w:rPr>
                <w:sz w:val="24"/>
              </w:rPr>
              <w:t>/</w:t>
            </w:r>
          </w:p>
          <w:p>
            <w:pPr>
              <w:adjustRightInd w:val="0"/>
              <w:snapToGrid w:val="0"/>
              <w:jc w:val="center"/>
              <w:rPr>
                <w:sz w:val="24"/>
              </w:rPr>
            </w:pPr>
            <w:r>
              <w:rPr>
                <w:rFonts w:hint="eastAsia"/>
                <w:sz w:val="24"/>
              </w:rPr>
              <w:t>备案）文号（选填）</w:t>
            </w:r>
          </w:p>
        </w:tc>
        <w:tc>
          <w:tcPr>
            <w:tcW w:w="2957" w:type="dxa"/>
            <w:vAlign w:val="center"/>
          </w:tcPr>
          <w:p>
            <w:pPr>
              <w:adjustRightInd w:val="0"/>
              <w:snapToGrid w:val="0"/>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总投资（万元）</w:t>
            </w:r>
          </w:p>
        </w:tc>
        <w:tc>
          <w:tcPr>
            <w:tcW w:w="2927" w:type="dxa"/>
            <w:vAlign w:val="center"/>
          </w:tcPr>
          <w:p>
            <w:pPr>
              <w:adjustRightInd w:val="0"/>
              <w:snapToGrid w:val="0"/>
              <w:jc w:val="center"/>
              <w:rPr>
                <w:sz w:val="24"/>
              </w:rPr>
            </w:pPr>
            <w:r>
              <w:rPr>
                <w:sz w:val="24"/>
              </w:rPr>
              <w:t>2000</w:t>
            </w:r>
          </w:p>
        </w:tc>
        <w:tc>
          <w:tcPr>
            <w:tcW w:w="1894" w:type="dxa"/>
            <w:tcMar>
              <w:top w:w="16" w:type="dxa"/>
              <w:left w:w="16" w:type="dxa"/>
              <w:right w:w="16" w:type="dxa"/>
            </w:tcMar>
            <w:vAlign w:val="center"/>
          </w:tcPr>
          <w:p>
            <w:pPr>
              <w:adjustRightInd w:val="0"/>
              <w:snapToGrid w:val="0"/>
              <w:jc w:val="center"/>
              <w:rPr>
                <w:sz w:val="24"/>
              </w:rPr>
            </w:pPr>
            <w:r>
              <w:rPr>
                <w:rFonts w:hint="eastAsia"/>
                <w:sz w:val="24"/>
              </w:rPr>
              <w:t>环保投资（万元）</w:t>
            </w:r>
          </w:p>
        </w:tc>
        <w:tc>
          <w:tcPr>
            <w:tcW w:w="2957" w:type="dxa"/>
            <w:vAlign w:val="center"/>
          </w:tcPr>
          <w:p>
            <w:pPr>
              <w:adjustRightInd w:val="0"/>
              <w:snapToGrid w:val="0"/>
              <w:jc w:val="center"/>
              <w:rPr>
                <w:sz w:val="24"/>
              </w:rPr>
            </w:pPr>
            <w:r>
              <w:rPr>
                <w:sz w:val="24"/>
              </w:rPr>
              <w:t>26.6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环保投资占比（</w:t>
            </w:r>
            <w:r>
              <w:rPr>
                <w:sz w:val="24"/>
              </w:rPr>
              <w:t>%</w:t>
            </w:r>
            <w:r>
              <w:rPr>
                <w:rFonts w:hint="eastAsia"/>
                <w:sz w:val="24"/>
              </w:rPr>
              <w:t>）</w:t>
            </w:r>
          </w:p>
        </w:tc>
        <w:tc>
          <w:tcPr>
            <w:tcW w:w="2927" w:type="dxa"/>
            <w:vAlign w:val="center"/>
          </w:tcPr>
          <w:p>
            <w:pPr>
              <w:adjustRightInd w:val="0"/>
              <w:snapToGrid w:val="0"/>
              <w:jc w:val="center"/>
              <w:rPr>
                <w:sz w:val="24"/>
              </w:rPr>
            </w:pPr>
            <w:r>
              <w:rPr>
                <w:sz w:val="24"/>
              </w:rPr>
              <w:t>1.33</w:t>
            </w:r>
          </w:p>
        </w:tc>
        <w:tc>
          <w:tcPr>
            <w:tcW w:w="1894" w:type="dxa"/>
            <w:tcMar>
              <w:top w:w="16" w:type="dxa"/>
              <w:left w:w="16" w:type="dxa"/>
              <w:right w:w="16" w:type="dxa"/>
            </w:tcMar>
            <w:vAlign w:val="center"/>
          </w:tcPr>
          <w:p>
            <w:pPr>
              <w:adjustRightInd w:val="0"/>
              <w:snapToGrid w:val="0"/>
              <w:jc w:val="center"/>
              <w:rPr>
                <w:sz w:val="24"/>
              </w:rPr>
            </w:pPr>
            <w:r>
              <w:rPr>
                <w:rFonts w:hint="eastAsia"/>
                <w:sz w:val="24"/>
              </w:rPr>
              <w:t>施工工期</w:t>
            </w:r>
          </w:p>
        </w:tc>
        <w:tc>
          <w:tcPr>
            <w:tcW w:w="2957" w:type="dxa"/>
            <w:vAlign w:val="center"/>
          </w:tcPr>
          <w:p>
            <w:pPr>
              <w:adjustRightInd w:val="0"/>
              <w:snapToGrid w:val="0"/>
              <w:jc w:val="center"/>
              <w:rPr>
                <w:sz w:val="24"/>
              </w:rPr>
            </w:pPr>
            <w:r>
              <w:rPr>
                <w:sz w:val="24"/>
              </w:rPr>
              <w:t>2023</w:t>
            </w:r>
            <w:r>
              <w:rPr>
                <w:rFonts w:hint="eastAsia"/>
                <w:sz w:val="24"/>
              </w:rPr>
              <w:t>年</w:t>
            </w:r>
            <w:r>
              <w:rPr>
                <w:sz w:val="24"/>
              </w:rPr>
              <w:t>9~10</w:t>
            </w:r>
            <w:r>
              <w:rPr>
                <w:rFonts w:hint="eastAsia"/>
                <w:sz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92" w:type="dxa"/>
            <w:tcMar>
              <w:top w:w="16" w:type="dxa"/>
              <w:left w:w="16" w:type="dxa"/>
              <w:right w:w="16" w:type="dxa"/>
            </w:tcMar>
            <w:vAlign w:val="center"/>
          </w:tcPr>
          <w:p>
            <w:pPr>
              <w:adjustRightInd w:val="0"/>
              <w:snapToGrid w:val="0"/>
              <w:jc w:val="center"/>
              <w:rPr>
                <w:sz w:val="24"/>
              </w:rPr>
            </w:pPr>
            <w:r>
              <w:rPr>
                <w:rFonts w:hint="eastAsia"/>
                <w:sz w:val="24"/>
              </w:rPr>
              <w:t>是否开工建设</w:t>
            </w:r>
          </w:p>
        </w:tc>
        <w:tc>
          <w:tcPr>
            <w:tcW w:w="2927" w:type="dxa"/>
            <w:vAlign w:val="center"/>
          </w:tcPr>
          <w:p>
            <w:pPr>
              <w:adjustRightInd w:val="0"/>
              <w:snapToGrid w:val="0"/>
              <w:rPr>
                <w:sz w:val="24"/>
              </w:rPr>
            </w:pPr>
            <w:r>
              <w:rPr>
                <w:sz w:val="24"/>
              </w:rPr>
              <w:sym w:font="Wingdings 2" w:char="F0A3"/>
            </w:r>
            <w:r>
              <w:rPr>
                <w:rFonts w:hint="eastAsia"/>
                <w:sz w:val="24"/>
              </w:rPr>
              <w:t>否</w:t>
            </w:r>
          </w:p>
          <w:p>
            <w:pPr>
              <w:adjustRightInd w:val="0"/>
              <w:snapToGrid w:val="0"/>
              <w:rPr>
                <w:sz w:val="24"/>
              </w:rPr>
            </w:pPr>
            <w:r>
              <w:rPr>
                <w:sz w:val="24"/>
              </w:rPr>
              <w:sym w:font="Wingdings 2" w:char="F052"/>
            </w:r>
            <w:r>
              <w:rPr>
                <w:rFonts w:hint="eastAsia"/>
                <w:sz w:val="24"/>
              </w:rPr>
              <w:t>是：</w:t>
            </w:r>
            <w:r>
              <w:rPr>
                <w:rFonts w:hint="eastAsia"/>
                <w:sz w:val="24"/>
                <w:u w:val="single"/>
              </w:rPr>
              <w:t>吸音棉生产线已建，模内发泡和轻质发泡生产线暂未建</w:t>
            </w:r>
          </w:p>
        </w:tc>
        <w:tc>
          <w:tcPr>
            <w:tcW w:w="1894" w:type="dxa"/>
            <w:tcMar>
              <w:top w:w="16" w:type="dxa"/>
              <w:left w:w="16" w:type="dxa"/>
              <w:right w:w="16" w:type="dxa"/>
            </w:tcMar>
            <w:vAlign w:val="center"/>
          </w:tcPr>
          <w:p>
            <w:pPr>
              <w:adjustRightInd w:val="0"/>
              <w:snapToGrid w:val="0"/>
              <w:jc w:val="center"/>
              <w:rPr>
                <w:spacing w:val="-6"/>
                <w:sz w:val="24"/>
              </w:rPr>
            </w:pPr>
            <w:r>
              <w:rPr>
                <w:rFonts w:hint="eastAsia"/>
                <w:spacing w:val="-6"/>
                <w:sz w:val="24"/>
              </w:rPr>
              <w:t>用地（用海）</w:t>
            </w:r>
          </w:p>
          <w:p>
            <w:pPr>
              <w:adjustRightInd w:val="0"/>
              <w:snapToGrid w:val="0"/>
              <w:jc w:val="center"/>
              <w:rPr>
                <w:sz w:val="24"/>
              </w:rPr>
            </w:pPr>
            <w:r>
              <w:rPr>
                <w:rFonts w:hint="eastAsia"/>
                <w:spacing w:val="-6"/>
                <w:sz w:val="24"/>
              </w:rPr>
              <w:t>面积（</w:t>
            </w:r>
            <w:r>
              <w:rPr>
                <w:spacing w:val="-6"/>
                <w:sz w:val="24"/>
              </w:rPr>
              <w:t>m</w:t>
            </w:r>
            <w:r>
              <w:rPr>
                <w:spacing w:val="-6"/>
                <w:sz w:val="24"/>
                <w:vertAlign w:val="superscript"/>
              </w:rPr>
              <w:t>2</w:t>
            </w:r>
            <w:r>
              <w:rPr>
                <w:rFonts w:hint="eastAsia"/>
                <w:spacing w:val="-6"/>
                <w:sz w:val="24"/>
              </w:rPr>
              <w:t>）</w:t>
            </w:r>
          </w:p>
        </w:tc>
        <w:tc>
          <w:tcPr>
            <w:tcW w:w="2957" w:type="dxa"/>
            <w:vAlign w:val="center"/>
          </w:tcPr>
          <w:p>
            <w:pPr>
              <w:adjustRightInd w:val="0"/>
              <w:snapToGrid w:val="0"/>
              <w:jc w:val="center"/>
              <w:rPr>
                <w:sz w:val="24"/>
              </w:rPr>
            </w:pPr>
            <w:r>
              <w:rPr>
                <w:sz w:val="24"/>
              </w:rPr>
              <w:t>2700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pPr>
              <w:autoSpaceDE w:val="0"/>
              <w:autoSpaceDN w:val="0"/>
              <w:adjustRightInd w:val="0"/>
              <w:snapToGrid w:val="0"/>
              <w:jc w:val="center"/>
              <w:rPr>
                <w:kern w:val="0"/>
                <w:sz w:val="24"/>
              </w:rPr>
            </w:pPr>
            <w:r>
              <w:rPr>
                <w:rFonts w:hint="eastAsia"/>
                <w:kern w:val="0"/>
                <w:sz w:val="24"/>
              </w:rPr>
              <w:t>专项评价设置情况</w:t>
            </w:r>
          </w:p>
        </w:tc>
        <w:tc>
          <w:tcPr>
            <w:tcW w:w="7778" w:type="dxa"/>
            <w:gridSpan w:val="3"/>
            <w:vAlign w:val="center"/>
          </w:tcPr>
          <w:p>
            <w:pPr>
              <w:autoSpaceDE w:val="0"/>
              <w:autoSpaceDN w:val="0"/>
              <w:adjustRightInd w:val="0"/>
              <w:snapToGrid w:val="0"/>
              <w:jc w:val="center"/>
              <w:rPr>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pPr>
              <w:autoSpaceDE w:val="0"/>
              <w:autoSpaceDN w:val="0"/>
              <w:adjustRightInd w:val="0"/>
              <w:snapToGrid w:val="0"/>
              <w:jc w:val="center"/>
              <w:rPr>
                <w:kern w:val="0"/>
                <w:sz w:val="24"/>
              </w:rPr>
            </w:pPr>
            <w:r>
              <w:rPr>
                <w:rFonts w:hint="eastAsia"/>
                <w:sz w:val="24"/>
              </w:rPr>
              <w:t>规划情况</w:t>
            </w:r>
          </w:p>
        </w:tc>
        <w:tc>
          <w:tcPr>
            <w:tcW w:w="7778" w:type="dxa"/>
            <w:gridSpan w:val="3"/>
            <w:vAlign w:val="center"/>
          </w:tcPr>
          <w:p>
            <w:pPr>
              <w:rPr>
                <w:kern w:val="0"/>
                <w:sz w:val="24"/>
              </w:rPr>
            </w:pPr>
            <w:r>
              <w:rPr>
                <w:rFonts w:hint="eastAsia"/>
                <w:kern w:val="0"/>
                <w:sz w:val="24"/>
              </w:rPr>
              <w:t>规划文件名称：《西安沣京产业新城总体规划（</w:t>
            </w:r>
            <w:r>
              <w:rPr>
                <w:kern w:val="0"/>
                <w:sz w:val="24"/>
              </w:rPr>
              <w:t>2011-2030</w:t>
            </w:r>
            <w:r>
              <w:rPr>
                <w:rFonts w:hint="eastAsia"/>
                <w:kern w:val="0"/>
                <w:sz w:val="24"/>
              </w:rPr>
              <w:t>）》</w:t>
            </w:r>
          </w:p>
          <w:p>
            <w:pPr>
              <w:rPr>
                <w:kern w:val="0"/>
                <w:sz w:val="24"/>
              </w:rPr>
            </w:pPr>
            <w:r>
              <w:rPr>
                <w:rFonts w:hint="eastAsia"/>
                <w:kern w:val="0"/>
                <w:sz w:val="24"/>
              </w:rPr>
              <w:t>审查机关：西安市户县人民政府</w:t>
            </w:r>
          </w:p>
          <w:p>
            <w:pPr>
              <w:rPr>
                <w:kern w:val="0"/>
                <w:sz w:val="24"/>
              </w:rPr>
            </w:pPr>
            <w:r>
              <w:rPr>
                <w:rFonts w:hint="eastAsia"/>
                <w:kern w:val="0"/>
                <w:sz w:val="24"/>
              </w:rPr>
              <w:t>审查文件：《关于西安沣京产业新城总体规划（</w:t>
            </w:r>
            <w:r>
              <w:rPr>
                <w:kern w:val="0"/>
                <w:sz w:val="24"/>
              </w:rPr>
              <w:t>2011-2030</w:t>
            </w:r>
            <w:r>
              <w:rPr>
                <w:rFonts w:hint="eastAsia"/>
                <w:kern w:val="0"/>
                <w:sz w:val="24"/>
              </w:rPr>
              <w:t>）的批复》（县政发</w:t>
            </w:r>
            <w:r>
              <w:rPr>
                <w:kern w:val="0"/>
                <w:sz w:val="24"/>
              </w:rPr>
              <w:t>[2012]61</w:t>
            </w:r>
            <w:r>
              <w:rPr>
                <w:rFonts w:hint="eastAsia"/>
                <w:kern w:val="0"/>
                <w:sz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pPr>
              <w:adjustRightInd w:val="0"/>
              <w:snapToGrid w:val="0"/>
              <w:jc w:val="center"/>
              <w:rPr>
                <w:sz w:val="24"/>
              </w:rPr>
            </w:pPr>
            <w:r>
              <w:rPr>
                <w:rFonts w:hint="eastAsia"/>
                <w:sz w:val="24"/>
              </w:rPr>
              <w:t>规划环境影响</w:t>
            </w:r>
          </w:p>
          <w:p>
            <w:pPr>
              <w:adjustRightInd w:val="0"/>
              <w:snapToGrid w:val="0"/>
              <w:jc w:val="center"/>
              <w:rPr>
                <w:kern w:val="0"/>
                <w:sz w:val="24"/>
              </w:rPr>
            </w:pPr>
            <w:r>
              <w:rPr>
                <w:rFonts w:hint="eastAsia"/>
                <w:sz w:val="24"/>
              </w:rPr>
              <w:t>评价情况</w:t>
            </w:r>
          </w:p>
        </w:tc>
        <w:tc>
          <w:tcPr>
            <w:tcW w:w="7778" w:type="dxa"/>
            <w:gridSpan w:val="3"/>
            <w:vAlign w:val="center"/>
          </w:tcPr>
          <w:p>
            <w:pPr>
              <w:jc w:val="left"/>
              <w:rPr>
                <w:kern w:val="0"/>
                <w:sz w:val="24"/>
              </w:rPr>
            </w:pPr>
            <w:r>
              <w:rPr>
                <w:rFonts w:hint="eastAsia"/>
                <w:kern w:val="0"/>
                <w:sz w:val="24"/>
              </w:rPr>
              <w:t>规划环评名称：《西安沣京产业新城总体规划（</w:t>
            </w:r>
            <w:r>
              <w:rPr>
                <w:kern w:val="0"/>
                <w:sz w:val="24"/>
              </w:rPr>
              <w:t>2011-2030</w:t>
            </w:r>
            <w:r>
              <w:rPr>
                <w:rFonts w:hint="eastAsia"/>
                <w:kern w:val="0"/>
                <w:sz w:val="24"/>
              </w:rPr>
              <w:t>）环境影响报告书》</w:t>
            </w:r>
          </w:p>
          <w:p>
            <w:pPr>
              <w:jc w:val="left"/>
              <w:rPr>
                <w:kern w:val="0"/>
                <w:sz w:val="24"/>
              </w:rPr>
            </w:pPr>
            <w:r>
              <w:rPr>
                <w:rFonts w:hint="eastAsia"/>
                <w:kern w:val="0"/>
                <w:sz w:val="24"/>
              </w:rPr>
              <w:t>审查机关：西安市环境保护区鄠邑分局</w:t>
            </w:r>
          </w:p>
          <w:p>
            <w:pPr>
              <w:jc w:val="left"/>
              <w:rPr>
                <w:kern w:val="0"/>
                <w:sz w:val="24"/>
              </w:rPr>
            </w:pPr>
            <w:r>
              <w:rPr>
                <w:rFonts w:hint="eastAsia"/>
                <w:kern w:val="0"/>
                <w:sz w:val="24"/>
              </w:rPr>
              <w:t>审查文件：《关于西安沣京产业新城总体规划（</w:t>
            </w:r>
            <w:r>
              <w:rPr>
                <w:kern w:val="0"/>
                <w:sz w:val="24"/>
              </w:rPr>
              <w:t>2011-2030</w:t>
            </w:r>
            <w:r>
              <w:rPr>
                <w:rFonts w:hint="eastAsia"/>
                <w:kern w:val="0"/>
                <w:sz w:val="24"/>
              </w:rPr>
              <w:t>）环境影响报告书审查意见的函》（鄠环函</w:t>
            </w:r>
            <w:r>
              <w:rPr>
                <w:kern w:val="0"/>
                <w:sz w:val="24"/>
              </w:rPr>
              <w:t>[2018]02</w:t>
            </w:r>
            <w:r>
              <w:rPr>
                <w:rFonts w:hint="eastAsia"/>
                <w:kern w:val="0"/>
                <w:sz w:val="24"/>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92" w:type="dxa"/>
            <w:vAlign w:val="center"/>
          </w:tcPr>
          <w:p>
            <w:pPr>
              <w:autoSpaceDE w:val="0"/>
              <w:autoSpaceDN w:val="0"/>
              <w:adjustRightInd w:val="0"/>
              <w:snapToGrid w:val="0"/>
              <w:jc w:val="center"/>
              <w:rPr>
                <w:kern w:val="0"/>
                <w:sz w:val="24"/>
              </w:rPr>
            </w:pPr>
            <w:r>
              <w:rPr>
                <w:rFonts w:hint="eastAsia"/>
                <w:kern w:val="0"/>
                <w:sz w:val="24"/>
              </w:rPr>
              <w:t>规划及规划环境</w:t>
            </w:r>
          </w:p>
          <w:p>
            <w:pPr>
              <w:autoSpaceDE w:val="0"/>
              <w:autoSpaceDN w:val="0"/>
              <w:adjustRightInd w:val="0"/>
              <w:snapToGrid w:val="0"/>
              <w:jc w:val="center"/>
              <w:rPr>
                <w:kern w:val="0"/>
                <w:sz w:val="24"/>
              </w:rPr>
            </w:pPr>
            <w:r>
              <w:rPr>
                <w:rFonts w:hint="eastAsia"/>
                <w:kern w:val="0"/>
                <w:sz w:val="24"/>
              </w:rPr>
              <w:t>影响评价符合性分析</w:t>
            </w:r>
          </w:p>
        </w:tc>
        <w:tc>
          <w:tcPr>
            <w:tcW w:w="7778" w:type="dxa"/>
            <w:gridSpan w:val="3"/>
            <w:vAlign w:val="center"/>
          </w:tcPr>
          <w:p>
            <w:pPr>
              <w:pStyle w:val="7"/>
              <w:spacing w:after="0" w:line="360" w:lineRule="auto"/>
              <w:ind w:left="0" w:leftChars="0"/>
              <w:rPr>
                <w:szCs w:val="24"/>
              </w:rPr>
            </w:pPr>
            <w:r>
              <w:rPr>
                <w:rFonts w:hint="eastAsia"/>
                <w:szCs w:val="24"/>
              </w:rPr>
              <w:t>本项目规划及规划环境影响评价符合性分析见表</w:t>
            </w:r>
            <w:r>
              <w:rPr>
                <w:szCs w:val="24"/>
              </w:rPr>
              <w:t>1-1</w:t>
            </w:r>
            <w:r>
              <w:rPr>
                <w:rFonts w:hint="eastAsia"/>
                <w:szCs w:val="24"/>
              </w:rPr>
              <w:t>。</w:t>
            </w:r>
          </w:p>
          <w:p>
            <w:pPr>
              <w:pStyle w:val="7"/>
              <w:spacing w:after="0"/>
              <w:ind w:left="0" w:leftChars="0"/>
              <w:jc w:val="center"/>
              <w:rPr>
                <w:b/>
                <w:sz w:val="21"/>
                <w:szCs w:val="21"/>
              </w:rPr>
            </w:pPr>
            <w:r>
              <w:rPr>
                <w:rFonts w:hint="eastAsia"/>
                <w:b/>
                <w:sz w:val="21"/>
                <w:szCs w:val="21"/>
              </w:rPr>
              <w:t>表</w:t>
            </w:r>
            <w:r>
              <w:rPr>
                <w:b/>
                <w:sz w:val="21"/>
                <w:szCs w:val="21"/>
              </w:rPr>
              <w:t xml:space="preserve">1-1   </w:t>
            </w:r>
            <w:r>
              <w:rPr>
                <w:rFonts w:hint="eastAsia"/>
                <w:b/>
                <w:sz w:val="21"/>
                <w:szCs w:val="21"/>
              </w:rPr>
              <w:t>项目规划符合性分析判定表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96"/>
              <w:gridCol w:w="762"/>
              <w:gridCol w:w="337"/>
              <w:gridCol w:w="324"/>
              <w:gridCol w:w="2976"/>
              <w:gridCol w:w="2008"/>
              <w:gridCol w:w="6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tcBorders>
                    <w:top w:val="single" w:color="auto" w:sz="12" w:space="0"/>
                    <w:left w:val="single" w:color="auto" w:sz="12" w:space="0"/>
                    <w:bottom w:val="single" w:color="auto" w:sz="6" w:space="0"/>
                    <w:right w:val="single" w:color="auto" w:sz="6"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rFonts w:hint="eastAsia"/>
                      <w:szCs w:val="21"/>
                    </w:rPr>
                    <w:t>序号</w:t>
                  </w:r>
                </w:p>
              </w:tc>
              <w:tc>
                <w:tcPr>
                  <w:tcW w:w="506" w:type="pct"/>
                  <w:tcBorders>
                    <w:top w:val="single" w:color="auto" w:sz="12" w:space="0"/>
                    <w:left w:val="single" w:color="auto" w:sz="6" w:space="0"/>
                    <w:bottom w:val="single" w:color="auto" w:sz="6" w:space="0"/>
                    <w:right w:val="single" w:color="auto" w:sz="6"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rFonts w:hint="eastAsia"/>
                      <w:szCs w:val="21"/>
                    </w:rPr>
                    <w:t>相关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rFonts w:hint="eastAsia"/>
                      <w:szCs w:val="21"/>
                    </w:rPr>
                    <w:t>规划</w:t>
                  </w:r>
                </w:p>
              </w:tc>
              <w:tc>
                <w:tcPr>
                  <w:tcW w:w="2415" w:type="pct"/>
                  <w:gridSpan w:val="3"/>
                  <w:tcBorders>
                    <w:top w:val="single" w:color="auto" w:sz="12" w:space="0"/>
                    <w:left w:val="single" w:color="auto" w:sz="6" w:space="0"/>
                    <w:bottom w:val="single" w:color="auto" w:sz="6" w:space="0"/>
                    <w:right w:val="single" w:color="auto" w:sz="6"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rFonts w:hint="eastAsia"/>
                      <w:szCs w:val="21"/>
                    </w:rPr>
                    <w:t>要求</w:t>
                  </w:r>
                </w:p>
              </w:tc>
              <w:tc>
                <w:tcPr>
                  <w:tcW w:w="1333" w:type="pct"/>
                  <w:tcBorders>
                    <w:top w:val="single" w:color="auto" w:sz="12" w:space="0"/>
                    <w:left w:val="single" w:color="auto" w:sz="6" w:space="0"/>
                    <w:bottom w:val="single" w:color="auto" w:sz="6" w:space="0"/>
                    <w:right w:val="single" w:color="auto" w:sz="6"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rFonts w:hint="eastAsia"/>
                      <w:szCs w:val="21"/>
                    </w:rPr>
                    <w:t>说明</w:t>
                  </w:r>
                </w:p>
              </w:tc>
              <w:tc>
                <w:tcPr>
                  <w:tcW w:w="414" w:type="pct"/>
                  <w:tcBorders>
                    <w:top w:val="single" w:color="auto" w:sz="12" w:space="0"/>
                    <w:left w:val="single" w:color="auto" w:sz="6" w:space="0"/>
                    <w:bottom w:val="single" w:color="auto" w:sz="6" w:space="0"/>
                    <w:right w:val="single" w:color="auto" w:sz="12" w:space="0"/>
                  </w:tcBorders>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szCs w:val="21"/>
                    </w:rPr>
                  </w:pPr>
                  <w:r>
                    <w:rPr>
                      <w:rFonts w:hint="eastAsia"/>
                      <w:szCs w:val="21"/>
                    </w:rPr>
                    <w:t>符合性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tcBorders>
                    <w:top w:val="single" w:color="auto" w:sz="6" w:space="0"/>
                    <w:left w:val="single" w:color="auto" w:sz="12" w:space="0"/>
                    <w:bottom w:val="single" w:color="auto" w:sz="4" w:space="0"/>
                    <w:right w:val="single" w:color="auto" w:sz="6" w:space="0"/>
                  </w:tcBorders>
                  <w:vAlign w:val="center"/>
                </w:tcPr>
                <w:p>
                  <w:pPr>
                    <w:adjustRightInd w:val="0"/>
                    <w:snapToGrid w:val="0"/>
                    <w:jc w:val="center"/>
                    <w:rPr>
                      <w:szCs w:val="21"/>
                    </w:rPr>
                  </w:pPr>
                  <w:r>
                    <w:rPr>
                      <w:szCs w:val="21"/>
                    </w:rPr>
                    <w:t>1</w:t>
                  </w:r>
                </w:p>
              </w:tc>
              <w:tc>
                <w:tcPr>
                  <w:tcW w:w="506" w:type="pct"/>
                  <w:tcBorders>
                    <w:top w:val="single" w:color="auto" w:sz="6" w:space="0"/>
                    <w:left w:val="single" w:color="auto" w:sz="6" w:space="0"/>
                    <w:bottom w:val="single" w:color="auto" w:sz="4" w:space="0"/>
                    <w:right w:val="single" w:color="auto" w:sz="6" w:space="0"/>
                  </w:tcBorders>
                  <w:vAlign w:val="center"/>
                </w:tcPr>
                <w:p>
                  <w:pPr>
                    <w:adjustRightInd w:val="0"/>
                    <w:snapToGrid w:val="0"/>
                    <w:jc w:val="center"/>
                    <w:rPr>
                      <w:szCs w:val="21"/>
                    </w:rPr>
                  </w:pPr>
                  <w:r>
                    <w:rPr>
                      <w:rFonts w:hint="eastAsia"/>
                      <w:szCs w:val="21"/>
                    </w:rPr>
                    <w:t>西安沣京产业新城总体规划（</w:t>
                  </w:r>
                  <w:r>
                    <w:rPr>
                      <w:szCs w:val="21"/>
                    </w:rPr>
                    <w:t>2011-2030</w:t>
                  </w:r>
                  <w:r>
                    <w:rPr>
                      <w:rFonts w:hint="eastAsia"/>
                      <w:szCs w:val="21"/>
                    </w:rPr>
                    <w:t>）</w:t>
                  </w:r>
                </w:p>
              </w:tc>
              <w:tc>
                <w:tcPr>
                  <w:tcW w:w="439" w:type="pct"/>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beforeLines="20"/>
                    <w:jc w:val="center"/>
                    <w:rPr>
                      <w:szCs w:val="21"/>
                    </w:rPr>
                  </w:pPr>
                  <w:r>
                    <w:rPr>
                      <w:rFonts w:hint="eastAsia"/>
                      <w:szCs w:val="21"/>
                    </w:rPr>
                    <w:t>引进的项目类型</w:t>
                  </w:r>
                </w:p>
              </w:tc>
              <w:tc>
                <w:tcPr>
                  <w:tcW w:w="1975"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szCs w:val="21"/>
                    </w:rPr>
                  </w:pPr>
                  <w:r>
                    <w:rPr>
                      <w:rFonts w:hint="eastAsia"/>
                      <w:szCs w:val="21"/>
                    </w:rPr>
                    <w:t>沣京工业园分为四个区域，其中</w:t>
                  </w:r>
                  <w:r>
                    <w:rPr>
                      <w:rFonts w:hint="eastAsia" w:ascii="宋体" w:hAnsi="宋体" w:cs="宋体"/>
                      <w:szCs w:val="21"/>
                    </w:rPr>
                    <w:t>Ⅱ</w:t>
                  </w:r>
                  <w:r>
                    <w:rPr>
                      <w:rFonts w:hint="eastAsia"/>
                      <w:szCs w:val="21"/>
                    </w:rPr>
                    <w:t>区为行政区与工业区，区域内为沣京工业园园区管委会、西安电镀精饰园和其他机械加工、塑料制作等企业。</w:t>
                  </w:r>
                </w:p>
                <w:p>
                  <w:pPr>
                    <w:pStyle w:val="8"/>
                    <w:wordWrap w:val="0"/>
                    <w:adjustRightInd w:val="0"/>
                    <w:snapToGrid w:val="0"/>
                    <w:spacing w:before="0"/>
                    <w:ind w:left="0" w:right="0"/>
                    <w:rPr>
                      <w:rFonts w:ascii="Times New Roman" w:hAnsi="Times New Roman"/>
                      <w:sz w:val="21"/>
                      <w:szCs w:val="21"/>
                    </w:rPr>
                  </w:pPr>
                  <w:r>
                    <w:rPr>
                      <w:rFonts w:hint="eastAsia" w:ascii="宋体" w:hAnsi="宋体" w:cs="宋体"/>
                      <w:sz w:val="21"/>
                      <w:szCs w:val="21"/>
                    </w:rPr>
                    <w:t>Ⅱ</w:t>
                  </w:r>
                  <w:r>
                    <w:rPr>
                      <w:rFonts w:hint="eastAsia" w:ascii="Times New Roman" w:hAnsi="Times New Roman"/>
                      <w:sz w:val="21"/>
                      <w:szCs w:val="21"/>
                    </w:rPr>
                    <w:t>区（行政区和工业区）除电镀园入园企业外布设低污染、废水零排放的工业项目。</w:t>
                  </w:r>
                </w:p>
              </w:tc>
              <w:tc>
                <w:tcPr>
                  <w:tcW w:w="1333" w:type="pct"/>
                  <w:tcBorders>
                    <w:top w:val="single" w:color="auto" w:sz="6" w:space="0"/>
                    <w:left w:val="single" w:color="auto" w:sz="6" w:space="0"/>
                    <w:bottom w:val="single" w:color="auto" w:sz="6" w:space="0"/>
                    <w:right w:val="single" w:color="auto" w:sz="6" w:space="0"/>
                  </w:tcBorders>
                  <w:vAlign w:val="center"/>
                </w:tcPr>
                <w:p>
                  <w:pPr>
                    <w:pStyle w:val="8"/>
                    <w:spacing w:before="0"/>
                    <w:ind w:left="0" w:right="0"/>
                    <w:rPr>
                      <w:rFonts w:ascii="Times New Roman" w:hAnsi="Times New Roman"/>
                      <w:sz w:val="21"/>
                      <w:szCs w:val="21"/>
                    </w:rPr>
                  </w:pPr>
                  <w:r>
                    <w:rPr>
                      <w:rFonts w:hint="eastAsia" w:ascii="宋体" w:hAnsi="宋体" w:cs="宋体"/>
                      <w:sz w:val="21"/>
                      <w:szCs w:val="21"/>
                    </w:rPr>
                    <w:t>①</w:t>
                  </w:r>
                  <w:r>
                    <w:rPr>
                      <w:rFonts w:hint="eastAsia" w:ascii="Times New Roman" w:hAnsi="Times New Roman"/>
                      <w:sz w:val="21"/>
                      <w:szCs w:val="21"/>
                    </w:rPr>
                    <w:t>本项目为汽车零部件生产建设项目，项目租赁园区现有已建厂房进行设备安装及生产，项目污染物排放量较小，符合园区产业定位；企业已取得西安沣京工业园管理委员会《关于西安粹益汽车配件有限公司建设汽车核心零部件生产建设项目备案的函》（鄠沣京函【</w:t>
                  </w:r>
                  <w:r>
                    <w:rPr>
                      <w:rFonts w:ascii="Times New Roman" w:hAnsi="Times New Roman"/>
                      <w:sz w:val="21"/>
                      <w:szCs w:val="21"/>
                    </w:rPr>
                    <w:t>2022</w:t>
                  </w:r>
                  <w:r>
                    <w:rPr>
                      <w:rFonts w:hint="eastAsia" w:ascii="Times New Roman" w:hAnsi="Times New Roman"/>
                      <w:sz w:val="21"/>
                      <w:szCs w:val="21"/>
                    </w:rPr>
                    <w:t>】</w:t>
                  </w:r>
                  <w:r>
                    <w:rPr>
                      <w:rFonts w:ascii="Times New Roman" w:hAnsi="Times New Roman"/>
                      <w:sz w:val="21"/>
                      <w:szCs w:val="21"/>
                    </w:rPr>
                    <w:t>80</w:t>
                  </w:r>
                  <w:r>
                    <w:rPr>
                      <w:rFonts w:hint="eastAsia" w:ascii="Times New Roman" w:hAnsi="Times New Roman"/>
                      <w:sz w:val="21"/>
                      <w:szCs w:val="21"/>
                    </w:rPr>
                    <w:t>号）（详见附件</w:t>
                  </w:r>
                  <w:r>
                    <w:rPr>
                      <w:rFonts w:ascii="Times New Roman" w:hAnsi="Times New Roman"/>
                      <w:sz w:val="21"/>
                      <w:szCs w:val="21"/>
                    </w:rPr>
                    <w:t>3</w:t>
                  </w:r>
                  <w:r>
                    <w:rPr>
                      <w:rFonts w:hint="eastAsia" w:ascii="Times New Roman" w:hAnsi="Times New Roman"/>
                      <w:sz w:val="21"/>
                      <w:szCs w:val="21"/>
                    </w:rPr>
                    <w:t>）。</w:t>
                  </w:r>
                </w:p>
                <w:p>
                  <w:pPr>
                    <w:pStyle w:val="8"/>
                    <w:spacing w:before="0"/>
                    <w:ind w:left="0" w:right="0"/>
                    <w:rPr>
                      <w:rFonts w:ascii="Times New Roman" w:hAnsi="Times New Roman"/>
                      <w:sz w:val="21"/>
                      <w:szCs w:val="21"/>
                    </w:rPr>
                  </w:pPr>
                  <w:r>
                    <w:rPr>
                      <w:rFonts w:hint="eastAsia" w:ascii="宋体" w:hAnsi="宋体" w:cs="宋体"/>
                      <w:sz w:val="21"/>
                      <w:szCs w:val="21"/>
                    </w:rPr>
                    <w:t>②</w:t>
                  </w:r>
                  <w:r>
                    <w:rPr>
                      <w:rFonts w:hint="eastAsia" w:ascii="Times New Roman" w:hAnsi="Times New Roman"/>
                      <w:sz w:val="21"/>
                      <w:szCs w:val="21"/>
                    </w:rPr>
                    <w:t>项目生产过程中不产生废水，生活污水通过管网进入园区现有化粪池预处理，处理后经市政污水管网进入鄠邑区第二污水处理厂。</w:t>
                  </w:r>
                </w:p>
                <w:p>
                  <w:pPr>
                    <w:pStyle w:val="8"/>
                    <w:wordWrap w:val="0"/>
                    <w:adjustRightInd w:val="0"/>
                    <w:snapToGrid w:val="0"/>
                    <w:spacing w:before="0"/>
                    <w:ind w:left="0" w:right="0"/>
                    <w:rPr>
                      <w:rFonts w:ascii="Times New Roman" w:hAnsi="Times New Roman"/>
                      <w:sz w:val="21"/>
                      <w:szCs w:val="21"/>
                    </w:rPr>
                  </w:pPr>
                  <w:r>
                    <w:rPr>
                      <w:rFonts w:hint="eastAsia" w:ascii="宋体" w:hAnsi="宋体" w:cs="宋体"/>
                      <w:sz w:val="21"/>
                      <w:szCs w:val="21"/>
                    </w:rPr>
                    <w:t>③</w:t>
                  </w:r>
                  <w:r>
                    <w:rPr>
                      <w:rFonts w:hint="eastAsia" w:ascii="Times New Roman" w:hAnsi="Times New Roman"/>
                      <w:sz w:val="21"/>
                      <w:szCs w:val="21"/>
                    </w:rPr>
                    <w:t>项目不属于国家产业政策中限制类和淘汰类；</w:t>
                  </w:r>
                </w:p>
              </w:tc>
              <w:tc>
                <w:tcPr>
                  <w:tcW w:w="414"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vMerge w:val="restart"/>
                  <w:tcBorders>
                    <w:top w:val="single" w:color="auto" w:sz="4" w:space="0"/>
                    <w:left w:val="single" w:color="auto" w:sz="12" w:space="0"/>
                    <w:bottom w:val="single" w:color="auto" w:sz="6" w:space="0"/>
                    <w:right w:val="single" w:color="auto" w:sz="6" w:space="0"/>
                  </w:tcBorders>
                  <w:vAlign w:val="center"/>
                </w:tcPr>
                <w:p>
                  <w:pPr>
                    <w:adjustRightInd w:val="0"/>
                    <w:snapToGrid w:val="0"/>
                    <w:jc w:val="center"/>
                    <w:rPr>
                      <w:szCs w:val="21"/>
                    </w:rPr>
                  </w:pPr>
                  <w:r>
                    <w:rPr>
                      <w:szCs w:val="21"/>
                    </w:rPr>
                    <w:t>2</w:t>
                  </w:r>
                </w:p>
              </w:tc>
              <w:tc>
                <w:tcPr>
                  <w:tcW w:w="506" w:type="pct"/>
                  <w:vMerge w:val="restart"/>
                  <w:tcBorders>
                    <w:top w:val="single" w:color="auto" w:sz="4"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《西安沣京产业新城总体规划（</w:t>
                  </w:r>
                  <w:r>
                    <w:rPr>
                      <w:szCs w:val="21"/>
                    </w:rPr>
                    <w:t>2011-2030</w:t>
                  </w:r>
                  <w:r>
                    <w:rPr>
                      <w:rFonts w:hint="eastAsia"/>
                      <w:szCs w:val="21"/>
                    </w:rPr>
                    <w:t>）环境影响报告书》及审查意见</w:t>
                  </w:r>
                </w:p>
              </w:tc>
              <w:tc>
                <w:tcPr>
                  <w:tcW w:w="224"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环境影响减缓对策措施及环境管理要求</w:t>
                  </w:r>
                </w:p>
              </w:tc>
              <w:tc>
                <w:tcPr>
                  <w:tcW w:w="21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废气</w:t>
                  </w:r>
                </w:p>
              </w:tc>
              <w:tc>
                <w:tcPr>
                  <w:tcW w:w="1975" w:type="pct"/>
                  <w:tcBorders>
                    <w:top w:val="single" w:color="auto" w:sz="6" w:space="0"/>
                    <w:left w:val="single" w:color="auto" w:sz="6" w:space="0"/>
                    <w:bottom w:val="single" w:color="auto" w:sz="6" w:space="0"/>
                    <w:right w:val="single" w:color="auto" w:sz="6" w:space="0"/>
                  </w:tcBorders>
                  <w:vAlign w:val="center"/>
                </w:tcPr>
                <w:p>
                  <w:pPr>
                    <w:widowControl/>
                    <w:jc w:val="left"/>
                    <w:rPr>
                      <w:szCs w:val="21"/>
                    </w:rPr>
                  </w:pPr>
                  <w:r>
                    <w:rPr>
                      <w:rFonts w:hint="eastAsia" w:ascii="宋体" w:hAnsi="宋体" w:cs="宋体"/>
                      <w:kern w:val="0"/>
                      <w:szCs w:val="21"/>
                    </w:rPr>
                    <w:t>①禁止企业自建燃煤锅炉，园区供热依托集中供热站的天然气锅炉。</w:t>
                  </w:r>
                  <w:r>
                    <w:rPr>
                      <w:rFonts w:ascii="宋体" w:hAnsi="宋体" w:cs="宋体"/>
                      <w:kern w:val="0"/>
                      <w:szCs w:val="21"/>
                    </w:rPr>
                    <w:t xml:space="preserve"> </w:t>
                  </w:r>
                </w:p>
                <w:p>
                  <w:pPr>
                    <w:widowControl/>
                    <w:jc w:val="left"/>
                    <w:rPr>
                      <w:rFonts w:ascii="宋体" w:cs="宋体"/>
                      <w:kern w:val="0"/>
                      <w:szCs w:val="21"/>
                    </w:rPr>
                  </w:pPr>
                  <w:r>
                    <w:rPr>
                      <w:rFonts w:hint="eastAsia" w:ascii="宋体" w:hAnsi="宋体" w:cs="宋体"/>
                      <w:kern w:val="0"/>
                      <w:szCs w:val="21"/>
                    </w:rPr>
                    <w:t>②园区污染源尽量全部采用高架源排放等措施，以有效减轻其影响。加强园区企业大气污染源头治理措施监管，保证大气污染源</w:t>
                  </w:r>
                  <w:r>
                    <w:rPr>
                      <w:kern w:val="0"/>
                      <w:szCs w:val="21"/>
                    </w:rPr>
                    <w:t>100%</w:t>
                  </w:r>
                  <w:r>
                    <w:rPr>
                      <w:rFonts w:hint="eastAsia" w:ascii="宋体" w:hAnsi="宋体" w:cs="宋体"/>
                      <w:kern w:val="0"/>
                      <w:szCs w:val="21"/>
                    </w:rPr>
                    <w:t>达标排放。</w:t>
                  </w:r>
                </w:p>
                <w:p>
                  <w:pPr>
                    <w:widowControl/>
                    <w:jc w:val="left"/>
                    <w:rPr>
                      <w:szCs w:val="21"/>
                    </w:rPr>
                  </w:pPr>
                  <w:r>
                    <w:rPr>
                      <w:rFonts w:hint="eastAsia" w:ascii="宋体" w:hAnsi="宋体" w:cs="宋体"/>
                      <w:kern w:val="0"/>
                      <w:szCs w:val="21"/>
                    </w:rPr>
                    <w:t>③机械制造企业应采用先进生产工艺、推广使用低毒、低挥发性的有机溶剂，支持非有机溶剂型涂料的生产和使用，减少挥发性有机物排放。对于产生</w:t>
                  </w:r>
                  <w:r>
                    <w:rPr>
                      <w:kern w:val="0"/>
                      <w:szCs w:val="21"/>
                    </w:rPr>
                    <w:t>VOC</w:t>
                  </w:r>
                  <w:r>
                    <w:rPr>
                      <w:rFonts w:hint="eastAsia" w:ascii="宋体" w:hAnsi="宋体" w:cs="宋体"/>
                      <w:kern w:val="0"/>
                      <w:szCs w:val="21"/>
                    </w:rPr>
                    <w:t>等特征大气污染物的企业，应对企业产生的废气进行处理，防止对周围空气环境产生不良影响。</w:t>
                  </w:r>
                </w:p>
              </w:tc>
              <w:tc>
                <w:tcPr>
                  <w:tcW w:w="1333" w:type="pct"/>
                  <w:tcBorders>
                    <w:top w:val="single" w:color="auto" w:sz="6" w:space="0"/>
                    <w:left w:val="single" w:color="auto" w:sz="6" w:space="0"/>
                    <w:bottom w:val="single" w:color="auto" w:sz="6" w:space="0"/>
                    <w:right w:val="single" w:color="auto" w:sz="6" w:space="0"/>
                  </w:tcBorders>
                  <w:vAlign w:val="center"/>
                </w:tcPr>
                <w:p>
                  <w:pPr>
                    <w:adjustRightInd w:val="0"/>
                    <w:snapToGrid w:val="0"/>
                    <w:rPr>
                      <w:szCs w:val="21"/>
                    </w:rPr>
                  </w:pPr>
                  <w:r>
                    <w:rPr>
                      <w:rFonts w:hint="eastAsia" w:ascii="宋体" w:hAnsi="宋体" w:cs="宋体"/>
                      <w:szCs w:val="21"/>
                    </w:rPr>
                    <w:t>①</w:t>
                  </w:r>
                  <w:r>
                    <w:rPr>
                      <w:rFonts w:hint="eastAsia"/>
                      <w:szCs w:val="21"/>
                    </w:rPr>
                    <w:t>项目办公楼依托园区已建工程，采用空调挂机采暖、制冷，生产区不需要供暖制冷；</w:t>
                  </w:r>
                </w:p>
                <w:p>
                  <w:pPr>
                    <w:adjustRightInd w:val="0"/>
                    <w:snapToGrid w:val="0"/>
                    <w:rPr>
                      <w:szCs w:val="21"/>
                    </w:rPr>
                  </w:pPr>
                  <w:r>
                    <w:rPr>
                      <w:rFonts w:hint="eastAsia" w:ascii="宋体" w:hAnsi="宋体" w:cs="宋体"/>
                      <w:szCs w:val="21"/>
                    </w:rPr>
                    <w:t>②</w:t>
                  </w:r>
                  <w:r>
                    <w:rPr>
                      <w:rFonts w:hint="eastAsia"/>
                      <w:szCs w:val="21"/>
                    </w:rPr>
                    <w:t>项目工程废气经相应措施处理后，可达标排放；</w:t>
                  </w:r>
                </w:p>
                <w:p>
                  <w:pPr>
                    <w:pStyle w:val="8"/>
                    <w:adjustRightInd w:val="0"/>
                    <w:snapToGrid w:val="0"/>
                    <w:spacing w:before="0"/>
                    <w:ind w:left="0"/>
                    <w:rPr>
                      <w:rFonts w:ascii="Times New Roman" w:hAnsi="Times New Roman"/>
                      <w:sz w:val="21"/>
                      <w:szCs w:val="21"/>
                    </w:rPr>
                  </w:pPr>
                  <w:r>
                    <w:rPr>
                      <w:rFonts w:hint="eastAsia" w:ascii="宋体" w:hAnsi="宋体" w:cs="宋体"/>
                      <w:sz w:val="21"/>
                      <w:szCs w:val="21"/>
                    </w:rPr>
                    <w:t>③</w:t>
                  </w:r>
                  <w:r>
                    <w:rPr>
                      <w:rFonts w:hint="eastAsia" w:ascii="Times New Roman" w:hAnsi="Times New Roman"/>
                      <w:sz w:val="21"/>
                      <w:szCs w:val="21"/>
                    </w:rPr>
                    <w:t>项目不使用煤，生产和生活过程中主要使用电能及天然气。</w:t>
                  </w:r>
                </w:p>
              </w:tc>
              <w:tc>
                <w:tcPr>
                  <w:tcW w:w="414"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2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1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废水</w:t>
                  </w:r>
                </w:p>
              </w:tc>
              <w:tc>
                <w:tcPr>
                  <w:tcW w:w="1975" w:type="pct"/>
                  <w:tcBorders>
                    <w:top w:val="single" w:color="auto" w:sz="6" w:space="0"/>
                    <w:left w:val="single" w:color="auto" w:sz="6" w:space="0"/>
                    <w:bottom w:val="single" w:color="auto" w:sz="6" w:space="0"/>
                    <w:right w:val="single" w:color="auto" w:sz="6" w:space="0"/>
                  </w:tcBorders>
                  <w:vAlign w:val="center"/>
                </w:tcPr>
                <w:p>
                  <w:pPr>
                    <w:widowControl/>
                    <w:jc w:val="left"/>
                    <w:rPr>
                      <w:szCs w:val="21"/>
                    </w:rPr>
                  </w:pPr>
                  <w:r>
                    <w:rPr>
                      <w:rFonts w:hint="eastAsia" w:ascii="宋体" w:hAnsi="宋体" w:cs="宋体"/>
                      <w:kern w:val="0"/>
                      <w:szCs w:val="21"/>
                    </w:rPr>
                    <w:t>①园区应该完善再生水利用设施，工业生产、绿化、道路清扫、车辆冲洗、建筑施工以及生态景观等用水，要优先使用再生水。②各入区企业应根据实际情况建设污水预处理设施，使产生的污水进行预处理达到污水处理厂接纳要求后再排入园区污水处理厂，保证处理效</w:t>
                  </w:r>
                  <w:r>
                    <w:rPr>
                      <w:rFonts w:ascii="宋体" w:hAnsi="宋体" w:cs="宋体"/>
                      <w:kern w:val="0"/>
                      <w:szCs w:val="21"/>
                    </w:rPr>
                    <w:t xml:space="preserve"> </w:t>
                  </w:r>
                </w:p>
                <w:p>
                  <w:pPr>
                    <w:widowControl/>
                    <w:jc w:val="left"/>
                    <w:rPr>
                      <w:szCs w:val="21"/>
                    </w:rPr>
                  </w:pPr>
                  <w:r>
                    <w:rPr>
                      <w:rFonts w:hint="eastAsia" w:ascii="宋体" w:hAnsi="宋体" w:cs="宋体"/>
                      <w:kern w:val="0"/>
                      <w:szCs w:val="21"/>
                    </w:rPr>
                    <w:t>果。规划区内企业污水</w:t>
                  </w:r>
                  <w:r>
                    <w:rPr>
                      <w:kern w:val="0"/>
                      <w:szCs w:val="21"/>
                    </w:rPr>
                    <w:t>100%</w:t>
                  </w:r>
                  <w:r>
                    <w:rPr>
                      <w:rFonts w:hint="eastAsia" w:ascii="宋体" w:hAnsi="宋体" w:cs="宋体"/>
                      <w:kern w:val="0"/>
                      <w:szCs w:val="21"/>
                    </w:rPr>
                    <w:t>达标排放，</w:t>
                  </w:r>
                  <w:r>
                    <w:rPr>
                      <w:kern w:val="0"/>
                      <w:szCs w:val="21"/>
                    </w:rPr>
                    <w:t>100%</w:t>
                  </w:r>
                  <w:r>
                    <w:rPr>
                      <w:rFonts w:hint="eastAsia" w:ascii="宋体" w:hAnsi="宋体" w:cs="宋体"/>
                      <w:kern w:val="0"/>
                      <w:szCs w:val="21"/>
                    </w:rPr>
                    <w:t>纳入园区管网。</w:t>
                  </w:r>
                </w:p>
              </w:tc>
              <w:tc>
                <w:tcPr>
                  <w:tcW w:w="1333"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szCs w:val="21"/>
                    </w:rPr>
                  </w:pPr>
                  <w:r>
                    <w:rPr>
                      <w:rFonts w:hint="eastAsia"/>
                      <w:szCs w:val="21"/>
                    </w:rPr>
                    <w:t>生活污水经化粪池预处理后，再经市政污水管网排入鄠邑区第二污水处理厂。</w:t>
                  </w:r>
                </w:p>
              </w:tc>
              <w:tc>
                <w:tcPr>
                  <w:tcW w:w="414"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2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1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噪声</w:t>
                  </w:r>
                </w:p>
              </w:tc>
              <w:tc>
                <w:tcPr>
                  <w:tcW w:w="1975" w:type="pct"/>
                  <w:tcBorders>
                    <w:top w:val="single" w:color="auto" w:sz="6" w:space="0"/>
                    <w:left w:val="single" w:color="auto" w:sz="6" w:space="0"/>
                    <w:bottom w:val="single" w:color="auto" w:sz="6" w:space="0"/>
                    <w:right w:val="single" w:color="auto" w:sz="6" w:space="0"/>
                  </w:tcBorders>
                  <w:vAlign w:val="center"/>
                </w:tcPr>
                <w:p>
                  <w:pPr>
                    <w:widowControl/>
                    <w:jc w:val="left"/>
                    <w:rPr>
                      <w:szCs w:val="21"/>
                    </w:rPr>
                  </w:pPr>
                  <w:r>
                    <w:rPr>
                      <w:rFonts w:hint="eastAsia" w:ascii="宋体" w:hAnsi="宋体" w:cs="宋体"/>
                      <w:kern w:val="0"/>
                      <w:szCs w:val="21"/>
                    </w:rPr>
                    <w:t>园区企业选用低噪声设备，并进行减振处理。具体项目实施过程中，应优先选取高效、低噪的先进设备作为首选设备，从声污染产生的根本上采取防治措施，减轻设备噪声对环境的影响。设备安装过程中应采取减振和隔振措施，降低设备噪声和震动源强，设备运行过程及时维护，使设备保持良好的运行状态。</w:t>
                  </w:r>
                </w:p>
              </w:tc>
              <w:tc>
                <w:tcPr>
                  <w:tcW w:w="1333"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szCs w:val="21"/>
                    </w:rPr>
                  </w:pPr>
                  <w:r>
                    <w:rPr>
                      <w:rFonts w:hint="eastAsia"/>
                      <w:szCs w:val="21"/>
                    </w:rPr>
                    <w:t>根据预测结果，项目运营期厂界噪声满足《工业企业厂界环境噪声排放标准》（</w:t>
                  </w:r>
                  <w:r>
                    <w:rPr>
                      <w:szCs w:val="21"/>
                    </w:rPr>
                    <w:t>GB12348-2008</w:t>
                  </w:r>
                  <w:r>
                    <w:rPr>
                      <w:rFonts w:hint="eastAsia"/>
                      <w:szCs w:val="21"/>
                    </w:rPr>
                    <w:t>）中</w:t>
                  </w:r>
                  <w:r>
                    <w:rPr>
                      <w:szCs w:val="21"/>
                    </w:rPr>
                    <w:t>3</w:t>
                  </w:r>
                  <w:r>
                    <w:rPr>
                      <w:rFonts w:hint="eastAsia"/>
                      <w:szCs w:val="21"/>
                    </w:rPr>
                    <w:t>类标准。</w:t>
                  </w:r>
                </w:p>
              </w:tc>
              <w:tc>
                <w:tcPr>
                  <w:tcW w:w="414"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2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1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固废</w:t>
                  </w:r>
                </w:p>
              </w:tc>
              <w:tc>
                <w:tcPr>
                  <w:tcW w:w="1975"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szCs w:val="21"/>
                    </w:rPr>
                  </w:pPr>
                  <w:r>
                    <w:rPr>
                      <w:rFonts w:hint="eastAsia" w:cs="宋体"/>
                      <w:kern w:val="18"/>
                      <w:szCs w:val="21"/>
                    </w:rPr>
                    <w:t>园区应按照循环经济理念设计产业链，固体废物应按“减量化、资源化、无害化”的原则利用和处置。加强固体废物分类管理，防止在储运、处理处置过程中对土壤和地下水造成不利影响。</w:t>
                  </w:r>
                </w:p>
              </w:tc>
              <w:tc>
                <w:tcPr>
                  <w:tcW w:w="1333"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szCs w:val="21"/>
                    </w:rPr>
                  </w:pPr>
                  <w:r>
                    <w:rPr>
                      <w:rFonts w:hint="eastAsia" w:ascii="宋体" w:hAnsi="宋体" w:cs="宋体"/>
                      <w:szCs w:val="21"/>
                    </w:rPr>
                    <w:t>①</w:t>
                  </w:r>
                  <w:r>
                    <w:rPr>
                      <w:rFonts w:hint="eastAsia"/>
                      <w:szCs w:val="21"/>
                    </w:rPr>
                    <w:t>生活垃圾经垃圾桶收集后交由环卫部门处置。</w:t>
                  </w:r>
                </w:p>
                <w:p>
                  <w:pPr>
                    <w:wordWrap w:val="0"/>
                    <w:adjustRightInd w:val="0"/>
                    <w:snapToGrid w:val="0"/>
                    <w:rPr>
                      <w:szCs w:val="21"/>
                    </w:rPr>
                  </w:pPr>
                  <w:r>
                    <w:rPr>
                      <w:rFonts w:hint="eastAsia" w:ascii="宋体" w:hAnsi="宋体" w:cs="宋体"/>
                      <w:szCs w:val="21"/>
                    </w:rPr>
                    <w:t>②</w:t>
                  </w:r>
                  <w:r>
                    <w:rPr>
                      <w:rFonts w:hint="eastAsia"/>
                      <w:szCs w:val="21"/>
                    </w:rPr>
                    <w:t>危险废物暂存于危废暂存间，并交由有资质单位处理。</w:t>
                  </w:r>
                </w:p>
                <w:p>
                  <w:pPr>
                    <w:wordWrap w:val="0"/>
                    <w:adjustRightInd w:val="0"/>
                    <w:snapToGrid w:val="0"/>
                    <w:rPr>
                      <w:szCs w:val="21"/>
                    </w:rPr>
                  </w:pPr>
                  <w:r>
                    <w:rPr>
                      <w:szCs w:val="21"/>
                    </w:rPr>
                    <w:fldChar w:fldCharType="begin"/>
                  </w:r>
                  <w:r>
                    <w:rPr>
                      <w:szCs w:val="21"/>
                    </w:rPr>
                    <w:instrText xml:space="preserve"> = 3 \* GB3 \* MERGEFORMAT </w:instrText>
                  </w:r>
                  <w:r>
                    <w:rPr>
                      <w:szCs w:val="21"/>
                    </w:rPr>
                    <w:fldChar w:fldCharType="separate"/>
                  </w:r>
                  <w:r>
                    <w:rPr>
                      <w:rFonts w:hint="eastAsia" w:ascii="宋体" w:hAnsi="宋体" w:cs="宋体"/>
                      <w:szCs w:val="21"/>
                    </w:rPr>
                    <w:t>③</w:t>
                  </w:r>
                  <w:r>
                    <w:rPr>
                      <w:szCs w:val="21"/>
                    </w:rPr>
                    <w:fldChar w:fldCharType="end"/>
                  </w:r>
                  <w:r>
                    <w:rPr>
                      <w:rFonts w:hint="eastAsia"/>
                      <w:szCs w:val="21"/>
                    </w:rPr>
                    <w:t>一般固废厂区分类暂存后合理处理。</w:t>
                  </w:r>
                </w:p>
              </w:tc>
              <w:tc>
                <w:tcPr>
                  <w:tcW w:w="414"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p>
              </w:tc>
              <w:tc>
                <w:tcPr>
                  <w:tcW w:w="506"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24"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p>
              </w:tc>
              <w:tc>
                <w:tcPr>
                  <w:tcW w:w="21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清洁生产</w:t>
                  </w:r>
                </w:p>
              </w:tc>
              <w:tc>
                <w:tcPr>
                  <w:tcW w:w="1975"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rFonts w:cs="宋体"/>
                      <w:kern w:val="18"/>
                      <w:szCs w:val="21"/>
                    </w:rPr>
                  </w:pPr>
                  <w:r>
                    <w:rPr>
                      <w:rFonts w:hint="eastAsia" w:cs="宋体"/>
                      <w:kern w:val="18"/>
                      <w:szCs w:val="21"/>
                    </w:rPr>
                    <w:t>遵循“清洁生产、源头控制”的理念，入园项目的清洁生产水平应至少达到国内先进水平，并应采取节水新技术、新措施和水资源综合利用措施，减少新鲜水消耗，提高废水回用率。</w:t>
                  </w:r>
                </w:p>
              </w:tc>
              <w:tc>
                <w:tcPr>
                  <w:tcW w:w="1333" w:type="pct"/>
                  <w:tcBorders>
                    <w:top w:val="single" w:color="auto" w:sz="6" w:space="0"/>
                    <w:left w:val="single" w:color="auto" w:sz="6" w:space="0"/>
                    <w:bottom w:val="single" w:color="auto" w:sz="6" w:space="0"/>
                    <w:right w:val="single" w:color="auto" w:sz="6" w:space="0"/>
                  </w:tcBorders>
                  <w:vAlign w:val="center"/>
                </w:tcPr>
                <w:p>
                  <w:pPr>
                    <w:wordWrap w:val="0"/>
                    <w:adjustRightInd w:val="0"/>
                    <w:snapToGrid w:val="0"/>
                    <w:rPr>
                      <w:szCs w:val="21"/>
                    </w:rPr>
                  </w:pPr>
                  <w:r>
                    <w:rPr>
                      <w:rFonts w:hint="eastAsia"/>
                      <w:szCs w:val="21"/>
                    </w:rPr>
                    <w:t>项目生产过程中仅使用设备冷却水，冷却水收集冷却后循环使用不外排，提升了废水回用率。</w:t>
                  </w:r>
                </w:p>
              </w:tc>
              <w:tc>
                <w:tcPr>
                  <w:tcW w:w="414"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szCs w:val="21"/>
                    </w:rPr>
                  </w:pPr>
                  <w:r>
                    <w:rPr>
                      <w:rFonts w:hint="eastAsia"/>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330" w:type="pct"/>
                  <w:vMerge w:val="continue"/>
                  <w:tcBorders>
                    <w:top w:val="single" w:color="auto" w:sz="6" w:space="0"/>
                    <w:left w:val="single" w:color="auto" w:sz="12" w:space="0"/>
                    <w:bottom w:val="single" w:color="auto" w:sz="12" w:space="0"/>
                    <w:right w:val="single" w:color="auto" w:sz="6" w:space="0"/>
                  </w:tcBorders>
                  <w:vAlign w:val="center"/>
                </w:tcPr>
                <w:p>
                  <w:pPr>
                    <w:adjustRightInd w:val="0"/>
                    <w:snapToGrid w:val="0"/>
                    <w:jc w:val="center"/>
                    <w:rPr>
                      <w:szCs w:val="21"/>
                    </w:rPr>
                  </w:pPr>
                </w:p>
              </w:tc>
              <w:tc>
                <w:tcPr>
                  <w:tcW w:w="506" w:type="pct"/>
                  <w:vMerge w:val="continue"/>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szCs w:val="21"/>
                    </w:rPr>
                  </w:pPr>
                </w:p>
              </w:tc>
              <w:tc>
                <w:tcPr>
                  <w:tcW w:w="224" w:type="pct"/>
                  <w:vMerge w:val="continue"/>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szCs w:val="21"/>
                    </w:rPr>
                  </w:pPr>
                </w:p>
              </w:tc>
              <w:tc>
                <w:tcPr>
                  <w:tcW w:w="215" w:type="pct"/>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szCs w:val="21"/>
                    </w:rPr>
                  </w:pPr>
                  <w:r>
                    <w:rPr>
                      <w:rFonts w:hint="eastAsia"/>
                      <w:szCs w:val="21"/>
                    </w:rPr>
                    <w:t>环境监测体系</w:t>
                  </w:r>
                </w:p>
              </w:tc>
              <w:tc>
                <w:tcPr>
                  <w:tcW w:w="1975" w:type="pct"/>
                  <w:tcBorders>
                    <w:top w:val="single" w:color="auto" w:sz="6" w:space="0"/>
                    <w:left w:val="single" w:color="auto" w:sz="6" w:space="0"/>
                    <w:bottom w:val="single" w:color="auto" w:sz="12" w:space="0"/>
                    <w:right w:val="single" w:color="auto" w:sz="6" w:space="0"/>
                  </w:tcBorders>
                  <w:vAlign w:val="center"/>
                </w:tcPr>
                <w:p>
                  <w:pPr>
                    <w:wordWrap w:val="0"/>
                    <w:adjustRightInd w:val="0"/>
                    <w:snapToGrid w:val="0"/>
                    <w:rPr>
                      <w:rFonts w:cs="宋体"/>
                      <w:kern w:val="18"/>
                      <w:szCs w:val="21"/>
                    </w:rPr>
                  </w:pPr>
                  <w:r>
                    <w:rPr>
                      <w:rFonts w:hint="eastAsia" w:cs="宋体"/>
                      <w:kern w:val="18"/>
                      <w:szCs w:val="21"/>
                    </w:rPr>
                    <w:t>建立健全长期稳定的环境监测体系。根据开发区规划功能分区、产业布局、重点企业分布、特征污染物的排放种类和状况、环境敏感目标的分布等，建立和完善环境空气、地表水、地下水、土壤等环境要素的监控体系。</w:t>
                  </w:r>
                </w:p>
              </w:tc>
              <w:tc>
                <w:tcPr>
                  <w:tcW w:w="1333" w:type="pct"/>
                  <w:tcBorders>
                    <w:top w:val="single" w:color="auto" w:sz="6" w:space="0"/>
                    <w:left w:val="single" w:color="auto" w:sz="6" w:space="0"/>
                    <w:bottom w:val="single" w:color="auto" w:sz="12" w:space="0"/>
                    <w:right w:val="single" w:color="auto" w:sz="6" w:space="0"/>
                  </w:tcBorders>
                  <w:vAlign w:val="center"/>
                </w:tcPr>
                <w:p>
                  <w:pPr>
                    <w:wordWrap w:val="0"/>
                    <w:adjustRightInd w:val="0"/>
                    <w:snapToGrid w:val="0"/>
                    <w:rPr>
                      <w:szCs w:val="21"/>
                    </w:rPr>
                  </w:pPr>
                  <w:r>
                    <w:rPr>
                      <w:rFonts w:hint="eastAsia" w:cs="宋体"/>
                      <w:kern w:val="18"/>
                      <w:szCs w:val="21"/>
                    </w:rPr>
                    <w:t>项目运营期制定污染源监测计划，对产生的废气、噪声均进行例行监测（仅排放生活污水且为间接排放，因此不设废水监测计划），建立环境空气、噪声等环境要素的监控体系。</w:t>
                  </w:r>
                </w:p>
              </w:tc>
              <w:tc>
                <w:tcPr>
                  <w:tcW w:w="414" w:type="pct"/>
                  <w:tcBorders>
                    <w:top w:val="single" w:color="auto" w:sz="6" w:space="0"/>
                    <w:left w:val="single" w:color="auto" w:sz="6" w:space="0"/>
                    <w:bottom w:val="single" w:color="auto" w:sz="12" w:space="0"/>
                    <w:right w:val="single" w:color="auto" w:sz="12" w:space="0"/>
                  </w:tcBorders>
                  <w:vAlign w:val="center"/>
                </w:tcPr>
                <w:p>
                  <w:pPr>
                    <w:adjustRightInd w:val="0"/>
                    <w:snapToGrid w:val="0"/>
                    <w:jc w:val="center"/>
                    <w:rPr>
                      <w:szCs w:val="21"/>
                    </w:rPr>
                  </w:pPr>
                  <w:r>
                    <w:rPr>
                      <w:rFonts w:hint="eastAsia"/>
                    </w:rPr>
                    <w:t>符合</w:t>
                  </w:r>
                </w:p>
              </w:tc>
            </w:tr>
          </w:tbl>
          <w:p>
            <w:pPr>
              <w:autoSpaceDE w:val="0"/>
              <w:autoSpaceDN w:val="0"/>
              <w:adjustRightInd w:val="0"/>
              <w:snapToGrid w:val="0"/>
              <w:rPr>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tcBorders>
              <w:bottom w:val="single" w:color="auto" w:sz="8" w:space="0"/>
            </w:tcBorders>
            <w:vAlign w:val="center"/>
          </w:tcPr>
          <w:p>
            <w:pPr>
              <w:autoSpaceDE w:val="0"/>
              <w:autoSpaceDN w:val="0"/>
              <w:adjustRightInd w:val="0"/>
              <w:snapToGrid w:val="0"/>
              <w:jc w:val="center"/>
              <w:rPr>
                <w:kern w:val="0"/>
                <w:sz w:val="24"/>
              </w:rPr>
            </w:pPr>
            <w:r>
              <w:rPr>
                <w:rFonts w:hint="eastAsia"/>
                <w:kern w:val="0"/>
                <w:sz w:val="24"/>
              </w:rPr>
              <w:t>其他符合性分析</w:t>
            </w:r>
          </w:p>
        </w:tc>
        <w:tc>
          <w:tcPr>
            <w:tcW w:w="7778" w:type="dxa"/>
            <w:gridSpan w:val="3"/>
            <w:tcBorders>
              <w:bottom w:val="single" w:color="auto" w:sz="8" w:space="0"/>
            </w:tcBorders>
            <w:vAlign w:val="center"/>
          </w:tcPr>
          <w:p>
            <w:pPr>
              <w:pStyle w:val="4"/>
              <w:spacing w:line="360" w:lineRule="auto"/>
              <w:ind w:firstLine="482" w:firstLineChars="200"/>
              <w:rPr>
                <w:rFonts w:ascii="Times New Roman" w:hAnsi="Times New Roman"/>
                <w:lang w:val="zh-CN"/>
              </w:rPr>
            </w:pPr>
            <w:r>
              <w:rPr>
                <w:rFonts w:hint="eastAsia" w:ascii="Times New Roman" w:hAnsi="Times New Roman"/>
              </w:rPr>
              <w:t>一、项目重大变动判定</w:t>
            </w:r>
          </w:p>
          <w:p>
            <w:pPr>
              <w:pStyle w:val="6"/>
              <w:widowControl/>
              <w:spacing w:after="0" w:line="360" w:lineRule="auto"/>
              <w:ind w:firstLine="480" w:firstLineChars="200"/>
              <w:rPr>
                <w:rFonts w:hAnsi="宋体"/>
                <w:sz w:val="24"/>
              </w:rPr>
            </w:pPr>
            <w:r>
              <w:rPr>
                <w:rFonts w:hint="eastAsia" w:hAnsi="宋体"/>
                <w:sz w:val="24"/>
                <w:lang w:val="zh-CN"/>
              </w:rPr>
              <w:t>西安粹益汽车配件有限公司于</w:t>
            </w:r>
            <w:r>
              <w:rPr>
                <w:rFonts w:hAnsi="宋体"/>
                <w:sz w:val="24"/>
                <w:lang w:val="zh-CN"/>
              </w:rPr>
              <w:t>20</w:t>
            </w:r>
            <w:r>
              <w:rPr>
                <w:rFonts w:hAnsi="宋体"/>
                <w:sz w:val="24"/>
              </w:rPr>
              <w:t>22</w:t>
            </w:r>
            <w:r>
              <w:rPr>
                <w:rFonts w:hint="eastAsia" w:hAnsi="宋体"/>
                <w:sz w:val="24"/>
                <w:lang w:val="zh-CN"/>
              </w:rPr>
              <w:t>年</w:t>
            </w:r>
            <w:r>
              <w:rPr>
                <w:rFonts w:hAnsi="宋体"/>
                <w:sz w:val="24"/>
              </w:rPr>
              <w:t>10</w:t>
            </w:r>
            <w:r>
              <w:rPr>
                <w:rFonts w:hint="eastAsia" w:hAnsi="宋体"/>
                <w:sz w:val="24"/>
                <w:lang w:val="zh-CN"/>
              </w:rPr>
              <w:t>月委托</w:t>
            </w:r>
            <w:r>
              <w:rPr>
                <w:rFonts w:hint="eastAsia" w:hAnsi="宋体"/>
                <w:sz w:val="24"/>
              </w:rPr>
              <w:t>陕西恒绿环保科技有限公司</w:t>
            </w:r>
            <w:r>
              <w:rPr>
                <w:rFonts w:hint="eastAsia" w:hAnsi="宋体"/>
                <w:sz w:val="24"/>
                <w:lang w:val="zh-CN"/>
              </w:rPr>
              <w:t>编制完成了《汽车核心零部件生产建设项目环境影响报告</w:t>
            </w:r>
            <w:r>
              <w:rPr>
                <w:rFonts w:hint="eastAsia" w:hAnsi="宋体"/>
                <w:sz w:val="24"/>
              </w:rPr>
              <w:t>表</w:t>
            </w:r>
            <w:r>
              <w:rPr>
                <w:rFonts w:hint="eastAsia" w:hAnsi="宋体"/>
                <w:sz w:val="24"/>
                <w:lang w:val="zh-CN"/>
              </w:rPr>
              <w:t>》，</w:t>
            </w:r>
            <w:r>
              <w:rPr>
                <w:rFonts w:hAnsi="宋体"/>
                <w:sz w:val="24"/>
              </w:rPr>
              <w:t>2022</w:t>
            </w:r>
            <w:r>
              <w:rPr>
                <w:rFonts w:hint="eastAsia" w:hAnsi="宋体"/>
                <w:sz w:val="24"/>
              </w:rPr>
              <w:t>年</w:t>
            </w:r>
            <w:r>
              <w:rPr>
                <w:rFonts w:hAnsi="宋体"/>
                <w:sz w:val="24"/>
              </w:rPr>
              <w:t>12</w:t>
            </w:r>
            <w:r>
              <w:rPr>
                <w:rFonts w:hint="eastAsia" w:hAnsi="宋体"/>
                <w:sz w:val="24"/>
              </w:rPr>
              <w:t>月</w:t>
            </w:r>
            <w:r>
              <w:rPr>
                <w:rFonts w:hAnsi="宋体"/>
                <w:sz w:val="24"/>
              </w:rPr>
              <w:t>12</w:t>
            </w:r>
            <w:r>
              <w:rPr>
                <w:rFonts w:hint="eastAsia" w:hAnsi="宋体"/>
                <w:sz w:val="24"/>
              </w:rPr>
              <w:t>日，西安市生态环境局鄠邑分局鄠环批复</w:t>
            </w:r>
            <w:r>
              <w:rPr>
                <w:rFonts w:hAnsi="宋体"/>
                <w:sz w:val="24"/>
              </w:rPr>
              <w:t>[2022]45</w:t>
            </w:r>
            <w:r>
              <w:rPr>
                <w:rFonts w:hint="eastAsia" w:hAnsi="宋体"/>
                <w:sz w:val="24"/>
              </w:rPr>
              <w:t>号下达了环评批复。</w:t>
            </w:r>
          </w:p>
          <w:p>
            <w:pPr>
              <w:pStyle w:val="6"/>
              <w:widowControl/>
              <w:spacing w:after="0" w:line="360" w:lineRule="auto"/>
              <w:ind w:firstLine="480" w:firstLineChars="200"/>
              <w:rPr>
                <w:rFonts w:hAnsi="宋体"/>
                <w:sz w:val="24"/>
              </w:rPr>
            </w:pPr>
            <w:r>
              <w:rPr>
                <w:rFonts w:hint="eastAsia" w:hAnsi="宋体"/>
                <w:sz w:val="24"/>
              </w:rPr>
              <w:t>根据《中华人民共和国环境影响评价法》、《建设项目环境保护管理条例》及生态环境部办公厅关于印发《污染影响类建设项目重大变动清单（试行）》的通知（环办环评函〔</w:t>
            </w:r>
            <w:r>
              <w:rPr>
                <w:rFonts w:hAnsi="宋体"/>
                <w:sz w:val="24"/>
              </w:rPr>
              <w:t>2020</w:t>
            </w:r>
            <w:r>
              <w:rPr>
                <w:rFonts w:hint="eastAsia" w:hAnsi="宋体"/>
                <w:sz w:val="24"/>
              </w:rPr>
              <w:t>〕</w:t>
            </w:r>
            <w:r>
              <w:rPr>
                <w:rFonts w:hAnsi="宋体"/>
                <w:sz w:val="24"/>
              </w:rPr>
              <w:t>688</w:t>
            </w:r>
            <w:r>
              <w:rPr>
                <w:rFonts w:hint="eastAsia" w:hAnsi="宋体"/>
                <w:sz w:val="24"/>
              </w:rPr>
              <w:t>号）有关规定，建设项目的性质、规模、地点、生产工艺和环境保护措施五个因素中的一项或一项以上发生重大变动，且可能导致环境影响显著变化（特别是不利环境影响加重）的，界定为重大变动，本项目由于生产工艺及原辅料变化，向不利环境影响加重，属于重大变动的应当重新报批环境影响评价文件。</w:t>
            </w:r>
          </w:p>
          <w:p>
            <w:pPr>
              <w:pStyle w:val="6"/>
              <w:widowControl/>
              <w:spacing w:after="0" w:line="360" w:lineRule="auto"/>
              <w:ind w:firstLine="480" w:firstLineChars="200"/>
              <w:rPr>
                <w:rFonts w:hAnsi="宋体"/>
                <w:sz w:val="24"/>
              </w:rPr>
            </w:pPr>
            <w:r>
              <w:rPr>
                <w:rFonts w:hint="eastAsia" w:hAnsi="宋体"/>
                <w:sz w:val="24"/>
              </w:rPr>
              <w:t>本项目实际建设与原环评的变动情况见下表。</w:t>
            </w:r>
          </w:p>
          <w:p>
            <w:pPr>
              <w:widowControl/>
              <w:jc w:val="center"/>
              <w:rPr>
                <w:b/>
                <w:bCs/>
                <w:szCs w:val="21"/>
              </w:rPr>
            </w:pPr>
            <w:r>
              <w:rPr>
                <w:rFonts w:hint="eastAsia"/>
                <w:b/>
                <w:bCs/>
                <w:szCs w:val="21"/>
              </w:rPr>
              <w:t>表</w:t>
            </w:r>
            <w:r>
              <w:rPr>
                <w:b/>
                <w:bCs/>
                <w:szCs w:val="21"/>
              </w:rPr>
              <w:t xml:space="preserve">1-2   </w:t>
            </w:r>
            <w:r>
              <w:rPr>
                <w:rFonts w:hint="eastAsia"/>
                <w:b/>
                <w:bCs/>
                <w:szCs w:val="21"/>
              </w:rPr>
              <w:t>项目重大变动情况判定表</w:t>
            </w:r>
          </w:p>
          <w:tbl>
            <w:tblPr>
              <w:tblStyle w:val="1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28" w:type="dxa"/>
                <w:bottom w:w="28" w:type="dxa"/>
                <w:right w:w="28" w:type="dxa"/>
              </w:tblCellMar>
            </w:tblPr>
            <w:tblGrid>
              <w:gridCol w:w="495"/>
              <w:gridCol w:w="1481"/>
              <w:gridCol w:w="1480"/>
              <w:gridCol w:w="661"/>
              <w:gridCol w:w="1797"/>
              <w:gridCol w:w="1076"/>
              <w:gridCol w:w="5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28" w:type="pct"/>
                  <w:vMerge w:val="restart"/>
                  <w:tcBorders>
                    <w:top w:val="single" w:color="auto" w:sz="12" w:space="0"/>
                    <w:left w:val="single" w:color="auto" w:sz="12"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类别</w:t>
                  </w:r>
                </w:p>
              </w:tc>
              <w:tc>
                <w:tcPr>
                  <w:tcW w:w="982" w:type="pct"/>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环评及批复要求</w:t>
                  </w:r>
                </w:p>
              </w:tc>
              <w:tc>
                <w:tcPr>
                  <w:tcW w:w="982" w:type="pct"/>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实际建设内容</w:t>
                  </w:r>
                </w:p>
              </w:tc>
              <w:tc>
                <w:tcPr>
                  <w:tcW w:w="439" w:type="pct"/>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是否涉及变动</w:t>
                  </w:r>
                </w:p>
              </w:tc>
              <w:tc>
                <w:tcPr>
                  <w:tcW w:w="1193" w:type="pct"/>
                  <w:tcBorders>
                    <w:top w:val="single" w:color="auto" w:sz="12"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变动依据</w:t>
                  </w:r>
                </w:p>
              </w:tc>
              <w:tc>
                <w:tcPr>
                  <w:tcW w:w="714" w:type="pct"/>
                  <w:vMerge w:val="restart"/>
                  <w:tcBorders>
                    <w:top w:val="single" w:color="auto" w:sz="12"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本项目情况</w:t>
                  </w:r>
                </w:p>
              </w:tc>
              <w:tc>
                <w:tcPr>
                  <w:tcW w:w="357" w:type="pct"/>
                  <w:vMerge w:val="restart"/>
                  <w:tcBorders>
                    <w:top w:val="single" w:color="auto" w:sz="12" w:space="0"/>
                    <w:left w:val="single" w:color="auto" w:sz="4" w:space="0"/>
                    <w:bottom w:val="single" w:color="auto" w:sz="4" w:space="0"/>
                    <w:right w:val="single" w:color="auto" w:sz="12" w:space="0"/>
                  </w:tcBorders>
                  <w:vAlign w:val="center"/>
                </w:tcPr>
                <w:p>
                  <w:pPr>
                    <w:widowControl/>
                    <w:spacing w:line="240" w:lineRule="atLeast"/>
                    <w:jc w:val="center"/>
                    <w:rPr>
                      <w:szCs w:val="21"/>
                    </w:rPr>
                  </w:pPr>
                  <w:r>
                    <w:rPr>
                      <w:rFonts w:hint="eastAsia"/>
                      <w:szCs w:val="21"/>
                    </w:rPr>
                    <w:t>是否属于重大变动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28" w:type="pct"/>
                  <w:vMerge w:val="continue"/>
                  <w:tcBorders>
                    <w:top w:val="single" w:color="auto" w:sz="4" w:space="0"/>
                    <w:left w:val="single" w:color="auto" w:sz="12"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p>
              </w:tc>
              <w:tc>
                <w:tcPr>
                  <w:tcW w:w="982" w:type="pct"/>
                  <w:vMerge w:val="continue"/>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p>
              </w:tc>
              <w:tc>
                <w:tcPr>
                  <w:tcW w:w="982" w:type="pct"/>
                  <w:vMerge w:val="continue"/>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p>
              </w:tc>
              <w:tc>
                <w:tcPr>
                  <w:tcW w:w="119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生态环境部办公厅关于印发《污染影响类建设项目重大变动清单（试行）》的通知（环办环评函〔</w:t>
                  </w:r>
                  <w:r>
                    <w:rPr>
                      <w:szCs w:val="21"/>
                    </w:rPr>
                    <w:t>2020</w:t>
                  </w:r>
                  <w:r>
                    <w:rPr>
                      <w:rFonts w:hint="eastAsia"/>
                      <w:szCs w:val="21"/>
                    </w:rPr>
                    <w:t>〕</w:t>
                  </w:r>
                  <w:r>
                    <w:rPr>
                      <w:szCs w:val="21"/>
                    </w:rPr>
                    <w:t>688</w:t>
                  </w:r>
                  <w:r>
                    <w:rPr>
                      <w:rFonts w:hint="eastAsia"/>
                      <w:szCs w:val="21"/>
                    </w:rPr>
                    <w:t>号）</w:t>
                  </w:r>
                </w:p>
              </w:tc>
              <w:tc>
                <w:tcPr>
                  <w:tcW w:w="714" w:type="pct"/>
                  <w:vMerge w:val="continue"/>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p>
              </w:tc>
              <w:tc>
                <w:tcPr>
                  <w:tcW w:w="357" w:type="pct"/>
                  <w:vMerge w:val="continue"/>
                  <w:tcBorders>
                    <w:top w:val="single" w:color="auto" w:sz="4" w:space="0"/>
                    <w:left w:val="single" w:color="auto" w:sz="4" w:space="0"/>
                    <w:bottom w:val="single" w:color="auto" w:sz="4" w:space="0"/>
                    <w:right w:val="single" w:color="auto" w:sz="12" w:space="0"/>
                  </w:tcBorders>
                  <w:vAlign w:val="center"/>
                </w:tcPr>
                <w:p>
                  <w:pPr>
                    <w:pStyle w:val="53"/>
                    <w:spacing w:line="240" w:lineRule="atLeast"/>
                    <w:ind w:firstLine="0" w:firstLineChars="0"/>
                    <w:jc w:val="center"/>
                    <w:rPr>
                      <w:rFonts w:ascii="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28" w:type="pct"/>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center"/>
                    <w:rPr>
                      <w:szCs w:val="21"/>
                      <w:lang w:eastAsia="en-US"/>
                    </w:rPr>
                  </w:pPr>
                  <w:r>
                    <w:rPr>
                      <w:rFonts w:hint="eastAsia"/>
                      <w:szCs w:val="21"/>
                    </w:rPr>
                    <w:t>性</w:t>
                  </w:r>
                </w:p>
                <w:p>
                  <w:pPr>
                    <w:widowControl/>
                    <w:spacing w:line="240" w:lineRule="atLeast"/>
                    <w:jc w:val="center"/>
                    <w:rPr>
                      <w:szCs w:val="21"/>
                    </w:rPr>
                  </w:pPr>
                  <w:r>
                    <w:rPr>
                      <w:rFonts w:hint="eastAsia"/>
                      <w:szCs w:val="21"/>
                    </w:rPr>
                    <w:t>质</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lang w:eastAsia="en-US"/>
                    </w:rPr>
                    <w:t>新建</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lang w:eastAsia="en-US"/>
                    </w:rPr>
                    <w:t>新建</w:t>
                  </w:r>
                </w:p>
              </w:tc>
              <w:tc>
                <w:tcPr>
                  <w:tcW w:w="439"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lang w:eastAsia="en-US"/>
                    </w:rPr>
                    <w:t>否</w:t>
                  </w:r>
                </w:p>
              </w:tc>
              <w:tc>
                <w:tcPr>
                  <w:tcW w:w="119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szCs w:val="21"/>
                    </w:rPr>
                    <w:t>1</w:t>
                  </w:r>
                  <w:r>
                    <w:rPr>
                      <w:rFonts w:hint="eastAsia"/>
                      <w:szCs w:val="21"/>
                    </w:rPr>
                    <w:t>、建设项目开发、使用功能发生变化的。</w:t>
                  </w:r>
                </w:p>
              </w:tc>
              <w:tc>
                <w:tcPr>
                  <w:tcW w:w="714" w:type="pct"/>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未变化</w:t>
                  </w:r>
                </w:p>
              </w:tc>
              <w:tc>
                <w:tcPr>
                  <w:tcW w:w="357" w:type="pct"/>
                  <w:tcBorders>
                    <w:top w:val="single" w:color="auto" w:sz="4" w:space="0"/>
                    <w:left w:val="single" w:color="auto" w:sz="4" w:space="0"/>
                    <w:bottom w:val="single" w:color="auto" w:sz="4" w:space="0"/>
                    <w:right w:val="single" w:color="auto" w:sz="12" w:space="0"/>
                  </w:tcBorders>
                  <w:vAlign w:val="center"/>
                </w:tcPr>
                <w:p>
                  <w:pPr>
                    <w:pStyle w:val="53"/>
                    <w:spacing w:line="240" w:lineRule="atLeast"/>
                    <w:ind w:firstLine="0" w:firstLineChars="0"/>
                    <w:jc w:val="center"/>
                    <w:rPr>
                      <w:rFonts w:ascii="Times New Roman"/>
                      <w:szCs w:val="21"/>
                    </w:rPr>
                  </w:pPr>
                  <w:r>
                    <w:rPr>
                      <w:rFonts w:hint="eastAsia" w:ascii="Times New Roman"/>
                      <w:szCs w:val="21"/>
                      <w:lang w:eastAsia="en-US"/>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28" w:type="pct"/>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center"/>
                    <w:rPr>
                      <w:szCs w:val="21"/>
                      <w:lang w:eastAsia="en-US"/>
                    </w:rPr>
                  </w:pPr>
                  <w:r>
                    <w:rPr>
                      <w:rFonts w:hint="eastAsia"/>
                      <w:szCs w:val="21"/>
                    </w:rPr>
                    <w:t>规</w:t>
                  </w:r>
                </w:p>
                <w:p>
                  <w:pPr>
                    <w:widowControl/>
                    <w:spacing w:line="240" w:lineRule="atLeast"/>
                    <w:jc w:val="center"/>
                    <w:rPr>
                      <w:szCs w:val="21"/>
                    </w:rPr>
                  </w:pPr>
                  <w:r>
                    <w:rPr>
                      <w:rFonts w:hint="eastAsia"/>
                      <w:szCs w:val="21"/>
                    </w:rPr>
                    <w:t>模</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年产</w:t>
                  </w:r>
                  <w:r>
                    <w:rPr>
                      <w:szCs w:val="21"/>
                    </w:rPr>
                    <w:t>PET</w:t>
                  </w:r>
                  <w:r>
                    <w:rPr>
                      <w:rFonts w:hint="eastAsia"/>
                      <w:szCs w:val="21"/>
                    </w:rPr>
                    <w:t>吸音棉</w:t>
                  </w:r>
                  <w:r>
                    <w:rPr>
                      <w:szCs w:val="21"/>
                    </w:rPr>
                    <w:t>420</w:t>
                  </w:r>
                  <w:r>
                    <w:rPr>
                      <w:rFonts w:hint="eastAsia"/>
                      <w:szCs w:val="21"/>
                    </w:rPr>
                    <w:t>万件、</w:t>
                  </w:r>
                  <w:r>
                    <w:rPr>
                      <w:szCs w:val="21"/>
                    </w:rPr>
                    <w:t>PU</w:t>
                  </w:r>
                  <w:r>
                    <w:rPr>
                      <w:rFonts w:hint="eastAsia"/>
                      <w:szCs w:val="21"/>
                    </w:rPr>
                    <w:t>模内发泡件</w:t>
                  </w:r>
                  <w:r>
                    <w:rPr>
                      <w:szCs w:val="21"/>
                    </w:rPr>
                    <w:t>55</w:t>
                  </w:r>
                  <w:r>
                    <w:rPr>
                      <w:rFonts w:hint="eastAsia"/>
                      <w:szCs w:val="21"/>
                    </w:rPr>
                    <w:t>万件、轻质发泡件</w:t>
                  </w:r>
                  <w:r>
                    <w:rPr>
                      <w:szCs w:val="21"/>
                    </w:rPr>
                    <w:t>112</w:t>
                  </w:r>
                  <w:r>
                    <w:rPr>
                      <w:rFonts w:hint="eastAsia"/>
                      <w:szCs w:val="21"/>
                    </w:rPr>
                    <w:t>万件</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年产</w:t>
                  </w:r>
                  <w:r>
                    <w:rPr>
                      <w:szCs w:val="21"/>
                    </w:rPr>
                    <w:t>PET</w:t>
                  </w:r>
                  <w:r>
                    <w:rPr>
                      <w:rFonts w:hint="eastAsia"/>
                      <w:szCs w:val="21"/>
                    </w:rPr>
                    <w:t>吸音棉</w:t>
                  </w:r>
                  <w:r>
                    <w:rPr>
                      <w:szCs w:val="21"/>
                    </w:rPr>
                    <w:t>420</w:t>
                  </w:r>
                  <w:r>
                    <w:rPr>
                      <w:rFonts w:hint="eastAsia"/>
                      <w:szCs w:val="21"/>
                    </w:rPr>
                    <w:t>万件、</w:t>
                  </w:r>
                  <w:r>
                    <w:rPr>
                      <w:szCs w:val="21"/>
                    </w:rPr>
                    <w:t>PU</w:t>
                  </w:r>
                  <w:r>
                    <w:rPr>
                      <w:rFonts w:hint="eastAsia"/>
                      <w:szCs w:val="21"/>
                    </w:rPr>
                    <w:t>模内发泡件</w:t>
                  </w:r>
                  <w:r>
                    <w:rPr>
                      <w:szCs w:val="21"/>
                    </w:rPr>
                    <w:t>55</w:t>
                  </w:r>
                  <w:r>
                    <w:rPr>
                      <w:rFonts w:hint="eastAsia"/>
                      <w:szCs w:val="21"/>
                    </w:rPr>
                    <w:t>万件、轻质发泡件</w:t>
                  </w:r>
                  <w:r>
                    <w:rPr>
                      <w:szCs w:val="21"/>
                    </w:rPr>
                    <w:t>112</w:t>
                  </w:r>
                  <w:r>
                    <w:rPr>
                      <w:rFonts w:hint="eastAsia"/>
                      <w:szCs w:val="21"/>
                    </w:rPr>
                    <w:t>万件</w:t>
                  </w:r>
                </w:p>
              </w:tc>
              <w:tc>
                <w:tcPr>
                  <w:tcW w:w="439"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lang w:eastAsia="en-US"/>
                    </w:rPr>
                    <w:t>否</w:t>
                  </w:r>
                </w:p>
              </w:tc>
              <w:tc>
                <w:tcPr>
                  <w:tcW w:w="119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szCs w:val="21"/>
                    </w:rPr>
                    <w:t>2</w:t>
                  </w:r>
                  <w:r>
                    <w:rPr>
                      <w:rFonts w:hint="eastAsia"/>
                      <w:szCs w:val="21"/>
                    </w:rPr>
                    <w:t>、生产、处置或储存能力增大</w:t>
                  </w:r>
                  <w:r>
                    <w:rPr>
                      <w:szCs w:val="21"/>
                    </w:rPr>
                    <w:t>30%</w:t>
                  </w:r>
                  <w:r>
                    <w:rPr>
                      <w:rFonts w:hint="eastAsia"/>
                      <w:szCs w:val="21"/>
                    </w:rPr>
                    <w:t>及以上的。</w:t>
                  </w:r>
                </w:p>
                <w:p>
                  <w:pPr>
                    <w:widowControl/>
                    <w:spacing w:line="240" w:lineRule="atLeast"/>
                    <w:jc w:val="center"/>
                    <w:rPr>
                      <w:szCs w:val="21"/>
                    </w:rPr>
                  </w:pPr>
                  <w:r>
                    <w:rPr>
                      <w:szCs w:val="21"/>
                    </w:rPr>
                    <w:t>3</w:t>
                  </w:r>
                  <w:r>
                    <w:rPr>
                      <w:rFonts w:hint="eastAsia"/>
                      <w:szCs w:val="21"/>
                    </w:rPr>
                    <w:t>、生产、处置或储存能力增大，导致废水第一类污染物排放量增加的。</w:t>
                  </w:r>
                </w:p>
                <w:p>
                  <w:pPr>
                    <w:widowControl/>
                    <w:spacing w:line="240" w:lineRule="atLeast"/>
                    <w:jc w:val="center"/>
                    <w:rPr>
                      <w:szCs w:val="21"/>
                    </w:rPr>
                  </w:pPr>
                  <w:r>
                    <w:rPr>
                      <w:szCs w:val="21"/>
                    </w:rPr>
                    <w:t>4</w:t>
                  </w:r>
                  <w:r>
                    <w:rPr>
                      <w:rFonts w:hint="eastAsia"/>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w:t>
                  </w:r>
                </w:p>
                <w:p>
                  <w:pPr>
                    <w:widowControl/>
                    <w:spacing w:line="240" w:lineRule="atLeast"/>
                    <w:jc w:val="center"/>
                    <w:rPr>
                      <w:szCs w:val="21"/>
                    </w:rPr>
                  </w:pPr>
                  <w:r>
                    <w:rPr>
                      <w:rFonts w:hint="eastAsia"/>
                      <w:szCs w:val="21"/>
                    </w:rPr>
                    <w:t>子）；位于达标区的建设项目生产、处置或储存能力增大，导致污染物排放量增加</w:t>
                  </w:r>
                  <w:r>
                    <w:rPr>
                      <w:szCs w:val="21"/>
                    </w:rPr>
                    <w:t>10%</w:t>
                  </w:r>
                  <w:r>
                    <w:rPr>
                      <w:rFonts w:hint="eastAsia"/>
                      <w:szCs w:val="21"/>
                    </w:rPr>
                    <w:t>及以上的。</w:t>
                  </w:r>
                </w:p>
              </w:tc>
              <w:tc>
                <w:tcPr>
                  <w:tcW w:w="714" w:type="pct"/>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未变化</w:t>
                  </w:r>
                </w:p>
              </w:tc>
              <w:tc>
                <w:tcPr>
                  <w:tcW w:w="357" w:type="pct"/>
                  <w:tcBorders>
                    <w:top w:val="single" w:color="auto" w:sz="4" w:space="0"/>
                    <w:left w:val="single" w:color="auto" w:sz="4" w:space="0"/>
                    <w:bottom w:val="single" w:color="auto" w:sz="4" w:space="0"/>
                    <w:right w:val="single" w:color="auto" w:sz="12" w:space="0"/>
                  </w:tcBorders>
                  <w:vAlign w:val="center"/>
                </w:tcPr>
                <w:p>
                  <w:pPr>
                    <w:pStyle w:val="53"/>
                    <w:spacing w:line="240" w:lineRule="atLeast"/>
                    <w:ind w:firstLine="0" w:firstLineChars="0"/>
                    <w:jc w:val="center"/>
                    <w:rPr>
                      <w:rFonts w:ascii="Times New Roman"/>
                      <w:szCs w:val="21"/>
                    </w:rPr>
                  </w:pPr>
                  <w:r>
                    <w:rPr>
                      <w:rFonts w:hint="eastAsia" w:ascii="Times New Roman"/>
                      <w:szCs w:val="21"/>
                      <w:lang w:eastAsia="en-US"/>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28" w:type="pct"/>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center"/>
                    <w:rPr>
                      <w:szCs w:val="21"/>
                      <w:lang w:eastAsia="en-US"/>
                    </w:rPr>
                  </w:pPr>
                  <w:r>
                    <w:rPr>
                      <w:rFonts w:hint="eastAsia"/>
                      <w:szCs w:val="21"/>
                    </w:rPr>
                    <w:t>地</w:t>
                  </w:r>
                </w:p>
                <w:p>
                  <w:pPr>
                    <w:widowControl/>
                    <w:spacing w:line="240" w:lineRule="atLeast"/>
                    <w:jc w:val="center"/>
                    <w:rPr>
                      <w:szCs w:val="21"/>
                    </w:rPr>
                  </w:pPr>
                  <w:r>
                    <w:rPr>
                      <w:rFonts w:hint="eastAsia"/>
                      <w:szCs w:val="21"/>
                    </w:rPr>
                    <w:t>点</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西安市鄠邑区沣京工业园潭滨北路</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西安市鄠邑区沣京工业园潭滨北路</w:t>
                  </w:r>
                </w:p>
              </w:tc>
              <w:tc>
                <w:tcPr>
                  <w:tcW w:w="439"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lang w:eastAsia="en-US"/>
                    </w:rPr>
                    <w:t>否</w:t>
                  </w:r>
                </w:p>
              </w:tc>
              <w:tc>
                <w:tcPr>
                  <w:tcW w:w="119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szCs w:val="21"/>
                    </w:rPr>
                    <w:t>5</w:t>
                  </w:r>
                  <w:r>
                    <w:rPr>
                      <w:rFonts w:hint="eastAsia"/>
                      <w:szCs w:val="21"/>
                    </w:rPr>
                    <w:t>、重新选址；在原厂址附近调整（包括总平面布置变化）导致环境防护距离范围变化且新增敏感点的。</w:t>
                  </w:r>
                </w:p>
              </w:tc>
              <w:tc>
                <w:tcPr>
                  <w:tcW w:w="714" w:type="pct"/>
                  <w:tcBorders>
                    <w:top w:val="single" w:color="auto" w:sz="4" w:space="0"/>
                    <w:left w:val="single" w:color="auto" w:sz="4" w:space="0"/>
                    <w:bottom w:val="single" w:color="auto" w:sz="4" w:space="0"/>
                    <w:right w:val="single" w:color="auto" w:sz="4" w:space="0"/>
                  </w:tcBorders>
                  <w:vAlign w:val="center"/>
                </w:tcPr>
                <w:p>
                  <w:pPr>
                    <w:spacing w:beforeLines="20" w:afterLines="20" w:line="240" w:lineRule="atLeast"/>
                    <w:jc w:val="center"/>
                    <w:rPr>
                      <w:szCs w:val="21"/>
                    </w:rPr>
                  </w:pPr>
                  <w:r>
                    <w:rPr>
                      <w:rFonts w:hint="eastAsia"/>
                      <w:szCs w:val="21"/>
                    </w:rPr>
                    <w:t>未变化</w:t>
                  </w:r>
                </w:p>
              </w:tc>
              <w:tc>
                <w:tcPr>
                  <w:tcW w:w="357" w:type="pct"/>
                  <w:tcBorders>
                    <w:top w:val="single" w:color="auto" w:sz="4" w:space="0"/>
                    <w:left w:val="single" w:color="auto" w:sz="4" w:space="0"/>
                    <w:bottom w:val="single" w:color="auto" w:sz="4" w:space="0"/>
                    <w:right w:val="single" w:color="auto" w:sz="12" w:space="0"/>
                  </w:tcBorders>
                  <w:vAlign w:val="center"/>
                </w:tcPr>
                <w:p>
                  <w:pPr>
                    <w:spacing w:beforeLines="20" w:afterLines="20" w:line="240" w:lineRule="atLeast"/>
                    <w:rPr>
                      <w:szCs w:val="21"/>
                    </w:rPr>
                  </w:pPr>
                  <w:r>
                    <w:rPr>
                      <w:rFonts w:hint="eastAsia"/>
                      <w:szCs w:val="21"/>
                      <w:lang w:eastAsia="en-US"/>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397" w:hRule="atLeast"/>
                <w:jc w:val="center"/>
              </w:trPr>
              <w:tc>
                <w:tcPr>
                  <w:tcW w:w="328" w:type="pct"/>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生</w:t>
                  </w:r>
                </w:p>
                <w:p>
                  <w:pPr>
                    <w:widowControl/>
                    <w:spacing w:line="240" w:lineRule="atLeast"/>
                    <w:jc w:val="center"/>
                    <w:rPr>
                      <w:szCs w:val="21"/>
                    </w:rPr>
                  </w:pPr>
                  <w:r>
                    <w:rPr>
                      <w:rFonts w:hint="eastAsia"/>
                      <w:szCs w:val="21"/>
                    </w:rPr>
                    <w:t>产</w:t>
                  </w:r>
                </w:p>
                <w:p>
                  <w:pPr>
                    <w:widowControl/>
                    <w:spacing w:line="240" w:lineRule="atLeast"/>
                    <w:jc w:val="center"/>
                    <w:rPr>
                      <w:szCs w:val="21"/>
                    </w:rPr>
                  </w:pPr>
                  <w:r>
                    <w:rPr>
                      <w:rFonts w:hint="eastAsia"/>
                      <w:szCs w:val="21"/>
                    </w:rPr>
                    <w:t>工</w:t>
                  </w:r>
                </w:p>
                <w:p>
                  <w:pPr>
                    <w:widowControl/>
                    <w:spacing w:line="240" w:lineRule="atLeast"/>
                    <w:jc w:val="center"/>
                    <w:rPr>
                      <w:szCs w:val="21"/>
                    </w:rPr>
                  </w:pPr>
                  <w:r>
                    <w:rPr>
                      <w:rFonts w:hint="eastAsia"/>
                      <w:szCs w:val="21"/>
                    </w:rPr>
                    <w:t>艺</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吸音棉：主要为开松</w:t>
                  </w:r>
                  <w:r>
                    <w:rPr>
                      <w:szCs w:val="21"/>
                    </w:rPr>
                    <w:t>-</w:t>
                  </w:r>
                  <w:r>
                    <w:rPr>
                      <w:rFonts w:hint="eastAsia"/>
                      <w:szCs w:val="21"/>
                    </w:rPr>
                    <w:t>梳理</w:t>
                  </w:r>
                  <w:r>
                    <w:rPr>
                      <w:szCs w:val="21"/>
                    </w:rPr>
                    <w:t>-</w:t>
                  </w:r>
                  <w:r>
                    <w:rPr>
                      <w:rFonts w:hint="eastAsia"/>
                      <w:szCs w:val="21"/>
                    </w:rPr>
                    <w:t>热熔定型（电加热）</w:t>
                  </w:r>
                  <w:r>
                    <w:rPr>
                      <w:szCs w:val="21"/>
                    </w:rPr>
                    <w:t>-</w:t>
                  </w:r>
                  <w:r>
                    <w:rPr>
                      <w:rFonts w:hint="eastAsia"/>
                      <w:szCs w:val="21"/>
                    </w:rPr>
                    <w:t>收卷分切</w:t>
                  </w:r>
                  <w:r>
                    <w:rPr>
                      <w:szCs w:val="21"/>
                    </w:rPr>
                    <w:t>-</w:t>
                  </w:r>
                  <w:r>
                    <w:rPr>
                      <w:rFonts w:hint="eastAsia"/>
                      <w:szCs w:val="21"/>
                    </w:rPr>
                    <w:t>模具冲切</w:t>
                  </w:r>
                  <w:r>
                    <w:rPr>
                      <w:szCs w:val="21"/>
                    </w:rPr>
                    <w:t>-</w:t>
                  </w:r>
                  <w:r>
                    <w:rPr>
                      <w:rFonts w:hint="eastAsia"/>
                      <w:szCs w:val="21"/>
                    </w:rPr>
                    <w:t>包装</w:t>
                  </w:r>
                </w:p>
                <w:p>
                  <w:pPr>
                    <w:widowControl/>
                    <w:spacing w:line="240" w:lineRule="atLeast"/>
                    <w:jc w:val="center"/>
                    <w:rPr>
                      <w:szCs w:val="21"/>
                    </w:rPr>
                  </w:pPr>
                  <w:r>
                    <w:rPr>
                      <w:rFonts w:hint="eastAsia"/>
                      <w:szCs w:val="21"/>
                    </w:rPr>
                    <w:t>模内发泡：主要为配料</w:t>
                  </w:r>
                  <w:r>
                    <w:rPr>
                      <w:szCs w:val="21"/>
                    </w:rPr>
                    <w:t>-</w:t>
                  </w:r>
                  <w:r>
                    <w:rPr>
                      <w:rFonts w:hint="eastAsia"/>
                      <w:szCs w:val="21"/>
                    </w:rPr>
                    <w:t>浇注</w:t>
                  </w:r>
                  <w:r>
                    <w:rPr>
                      <w:szCs w:val="21"/>
                    </w:rPr>
                    <w:t>-</w:t>
                  </w:r>
                  <w:r>
                    <w:rPr>
                      <w:rFonts w:hint="eastAsia"/>
                      <w:szCs w:val="21"/>
                    </w:rPr>
                    <w:t>发泡熟化</w:t>
                  </w:r>
                  <w:r>
                    <w:rPr>
                      <w:szCs w:val="21"/>
                    </w:rPr>
                    <w:t>-</w:t>
                  </w:r>
                  <w:r>
                    <w:rPr>
                      <w:rFonts w:hint="eastAsia"/>
                      <w:szCs w:val="21"/>
                    </w:rPr>
                    <w:t>后处理</w:t>
                  </w:r>
                  <w:r>
                    <w:rPr>
                      <w:szCs w:val="21"/>
                    </w:rPr>
                    <w:t>-</w:t>
                  </w:r>
                  <w:r>
                    <w:rPr>
                      <w:rFonts w:hint="eastAsia"/>
                      <w:szCs w:val="21"/>
                    </w:rPr>
                    <w:t>包装</w:t>
                  </w:r>
                </w:p>
                <w:p>
                  <w:pPr>
                    <w:widowControl/>
                    <w:spacing w:line="240" w:lineRule="atLeast"/>
                    <w:jc w:val="center"/>
                    <w:rPr>
                      <w:szCs w:val="21"/>
                    </w:rPr>
                  </w:pPr>
                  <w:r>
                    <w:rPr>
                      <w:rFonts w:hint="eastAsia"/>
                      <w:szCs w:val="21"/>
                    </w:rPr>
                    <w:t>轻质发泡：</w:t>
                  </w:r>
                </w:p>
                <w:p>
                  <w:pPr>
                    <w:widowControl/>
                    <w:spacing w:line="240" w:lineRule="atLeast"/>
                    <w:jc w:val="center"/>
                    <w:rPr>
                      <w:szCs w:val="21"/>
                    </w:rPr>
                  </w:pPr>
                  <w:r>
                    <w:rPr>
                      <w:rFonts w:hint="eastAsia"/>
                      <w:szCs w:val="21"/>
                    </w:rPr>
                    <w:t>主要为配料</w:t>
                  </w:r>
                  <w:r>
                    <w:rPr>
                      <w:szCs w:val="21"/>
                    </w:rPr>
                    <w:t>-</w:t>
                  </w:r>
                  <w:r>
                    <w:rPr>
                      <w:rFonts w:hint="eastAsia"/>
                      <w:szCs w:val="21"/>
                    </w:rPr>
                    <w:t>浇注</w:t>
                  </w:r>
                  <w:r>
                    <w:rPr>
                      <w:szCs w:val="21"/>
                    </w:rPr>
                    <w:t>-</w:t>
                  </w:r>
                  <w:r>
                    <w:rPr>
                      <w:rFonts w:hint="eastAsia"/>
                      <w:szCs w:val="21"/>
                    </w:rPr>
                    <w:t>发泡熟化</w:t>
                  </w:r>
                  <w:r>
                    <w:rPr>
                      <w:szCs w:val="21"/>
                    </w:rPr>
                    <w:t>-</w:t>
                  </w:r>
                  <w:r>
                    <w:rPr>
                      <w:rFonts w:hint="eastAsia"/>
                      <w:szCs w:val="21"/>
                    </w:rPr>
                    <w:t>分切</w:t>
                  </w:r>
                  <w:r>
                    <w:rPr>
                      <w:szCs w:val="21"/>
                    </w:rPr>
                    <w:t>-</w:t>
                  </w:r>
                  <w:r>
                    <w:rPr>
                      <w:rFonts w:hint="eastAsia"/>
                      <w:szCs w:val="21"/>
                    </w:rPr>
                    <w:t>复合</w:t>
                  </w:r>
                  <w:r>
                    <w:rPr>
                      <w:szCs w:val="21"/>
                    </w:rPr>
                    <w:t>/</w:t>
                  </w:r>
                  <w:r>
                    <w:rPr>
                      <w:rFonts w:hint="eastAsia"/>
                      <w:szCs w:val="21"/>
                    </w:rPr>
                    <w:t>烘烤</w:t>
                  </w:r>
                  <w:r>
                    <w:rPr>
                      <w:szCs w:val="21"/>
                    </w:rPr>
                    <w:t>-</w:t>
                  </w:r>
                  <w:r>
                    <w:rPr>
                      <w:rFonts w:hint="eastAsia"/>
                      <w:szCs w:val="21"/>
                    </w:rPr>
                    <w:t>热压成型</w:t>
                  </w:r>
                  <w:r>
                    <w:rPr>
                      <w:szCs w:val="21"/>
                    </w:rPr>
                    <w:t>-</w:t>
                  </w:r>
                  <w:r>
                    <w:rPr>
                      <w:rFonts w:hint="eastAsia"/>
                      <w:szCs w:val="21"/>
                    </w:rPr>
                    <w:t>包装</w:t>
                  </w:r>
                </w:p>
              </w:tc>
              <w:tc>
                <w:tcPr>
                  <w:tcW w:w="98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吸音棉：主要为开松</w:t>
                  </w:r>
                  <w:r>
                    <w:rPr>
                      <w:szCs w:val="21"/>
                    </w:rPr>
                    <w:t>-</w:t>
                  </w:r>
                  <w:r>
                    <w:rPr>
                      <w:rFonts w:hint="eastAsia"/>
                      <w:szCs w:val="21"/>
                    </w:rPr>
                    <w:t>梳理</w:t>
                  </w:r>
                  <w:r>
                    <w:rPr>
                      <w:szCs w:val="21"/>
                    </w:rPr>
                    <w:t>-</w:t>
                  </w:r>
                  <w:r>
                    <w:rPr>
                      <w:rFonts w:hint="eastAsia"/>
                      <w:szCs w:val="21"/>
                    </w:rPr>
                    <w:t>热熔定型（天然气加热）</w:t>
                  </w:r>
                  <w:r>
                    <w:rPr>
                      <w:szCs w:val="21"/>
                    </w:rPr>
                    <w:t>-</w:t>
                  </w:r>
                  <w:r>
                    <w:rPr>
                      <w:rFonts w:hint="eastAsia"/>
                      <w:szCs w:val="21"/>
                    </w:rPr>
                    <w:t>收卷分切</w:t>
                  </w:r>
                  <w:r>
                    <w:rPr>
                      <w:szCs w:val="21"/>
                    </w:rPr>
                    <w:t>-</w:t>
                  </w:r>
                  <w:r>
                    <w:rPr>
                      <w:rFonts w:hint="eastAsia"/>
                      <w:szCs w:val="21"/>
                    </w:rPr>
                    <w:t>模具冲切</w:t>
                  </w:r>
                  <w:r>
                    <w:rPr>
                      <w:szCs w:val="21"/>
                    </w:rPr>
                    <w:t>-</w:t>
                  </w:r>
                  <w:r>
                    <w:rPr>
                      <w:rFonts w:hint="eastAsia"/>
                      <w:szCs w:val="21"/>
                    </w:rPr>
                    <w:t>包装</w:t>
                  </w:r>
                </w:p>
                <w:p>
                  <w:pPr>
                    <w:widowControl/>
                    <w:spacing w:line="240" w:lineRule="atLeast"/>
                    <w:jc w:val="center"/>
                    <w:rPr>
                      <w:szCs w:val="21"/>
                    </w:rPr>
                  </w:pPr>
                  <w:r>
                    <w:rPr>
                      <w:rFonts w:hint="eastAsia"/>
                      <w:szCs w:val="21"/>
                    </w:rPr>
                    <w:t>模内发泡：主要为配料</w:t>
                  </w:r>
                  <w:r>
                    <w:rPr>
                      <w:szCs w:val="21"/>
                    </w:rPr>
                    <w:t>-</w:t>
                  </w:r>
                  <w:r>
                    <w:rPr>
                      <w:rFonts w:hint="eastAsia"/>
                      <w:szCs w:val="21"/>
                    </w:rPr>
                    <w:t>浇注</w:t>
                  </w:r>
                  <w:r>
                    <w:rPr>
                      <w:szCs w:val="21"/>
                    </w:rPr>
                    <w:t>-</w:t>
                  </w:r>
                  <w:r>
                    <w:rPr>
                      <w:rFonts w:hint="eastAsia"/>
                      <w:szCs w:val="21"/>
                    </w:rPr>
                    <w:t>发泡熟化</w:t>
                  </w:r>
                  <w:r>
                    <w:rPr>
                      <w:szCs w:val="21"/>
                    </w:rPr>
                    <w:t>-</w:t>
                  </w:r>
                  <w:r>
                    <w:rPr>
                      <w:rFonts w:hint="eastAsia"/>
                      <w:szCs w:val="21"/>
                    </w:rPr>
                    <w:t>后处理</w:t>
                  </w:r>
                  <w:r>
                    <w:rPr>
                      <w:szCs w:val="21"/>
                    </w:rPr>
                    <w:t>-</w:t>
                  </w:r>
                  <w:r>
                    <w:rPr>
                      <w:rFonts w:hint="eastAsia"/>
                      <w:szCs w:val="21"/>
                    </w:rPr>
                    <w:t>包装</w:t>
                  </w:r>
                </w:p>
                <w:p>
                  <w:pPr>
                    <w:widowControl/>
                    <w:spacing w:line="240" w:lineRule="atLeast"/>
                    <w:jc w:val="center"/>
                    <w:rPr>
                      <w:szCs w:val="21"/>
                    </w:rPr>
                  </w:pPr>
                  <w:r>
                    <w:rPr>
                      <w:rFonts w:hint="eastAsia"/>
                      <w:szCs w:val="21"/>
                    </w:rPr>
                    <w:t>轻质发泡：</w:t>
                  </w:r>
                </w:p>
                <w:p>
                  <w:pPr>
                    <w:widowControl/>
                    <w:spacing w:line="240" w:lineRule="atLeast"/>
                    <w:jc w:val="center"/>
                    <w:rPr>
                      <w:szCs w:val="21"/>
                    </w:rPr>
                  </w:pPr>
                  <w:r>
                    <w:rPr>
                      <w:rFonts w:hint="eastAsia"/>
                      <w:szCs w:val="21"/>
                    </w:rPr>
                    <w:t>主要为配料</w:t>
                  </w:r>
                  <w:r>
                    <w:rPr>
                      <w:szCs w:val="21"/>
                    </w:rPr>
                    <w:t>-</w:t>
                  </w:r>
                  <w:r>
                    <w:rPr>
                      <w:rFonts w:hint="eastAsia"/>
                      <w:szCs w:val="21"/>
                    </w:rPr>
                    <w:t>浇注</w:t>
                  </w:r>
                  <w:r>
                    <w:rPr>
                      <w:szCs w:val="21"/>
                    </w:rPr>
                    <w:t>-</w:t>
                  </w:r>
                  <w:r>
                    <w:rPr>
                      <w:rFonts w:hint="eastAsia"/>
                      <w:szCs w:val="21"/>
                    </w:rPr>
                    <w:t>发泡熟化</w:t>
                  </w:r>
                  <w:r>
                    <w:rPr>
                      <w:szCs w:val="21"/>
                    </w:rPr>
                    <w:t>-</w:t>
                  </w:r>
                  <w:r>
                    <w:rPr>
                      <w:rFonts w:hint="eastAsia"/>
                      <w:szCs w:val="21"/>
                    </w:rPr>
                    <w:t>分切</w:t>
                  </w:r>
                  <w:r>
                    <w:rPr>
                      <w:szCs w:val="21"/>
                    </w:rPr>
                    <w:t>-</w:t>
                  </w:r>
                  <w:r>
                    <w:rPr>
                      <w:rFonts w:hint="eastAsia"/>
                      <w:szCs w:val="21"/>
                    </w:rPr>
                    <w:t>复合</w:t>
                  </w:r>
                  <w:r>
                    <w:rPr>
                      <w:szCs w:val="21"/>
                    </w:rPr>
                    <w:t>/</w:t>
                  </w:r>
                  <w:r>
                    <w:rPr>
                      <w:rFonts w:hint="eastAsia"/>
                      <w:szCs w:val="21"/>
                    </w:rPr>
                    <w:t>烘烤</w:t>
                  </w:r>
                  <w:r>
                    <w:rPr>
                      <w:szCs w:val="21"/>
                    </w:rPr>
                    <w:t>-</w:t>
                  </w:r>
                  <w:r>
                    <w:rPr>
                      <w:rFonts w:hint="eastAsia"/>
                      <w:szCs w:val="21"/>
                    </w:rPr>
                    <w:t>热压成型</w:t>
                  </w:r>
                  <w:r>
                    <w:rPr>
                      <w:szCs w:val="21"/>
                    </w:rPr>
                    <w:t>-</w:t>
                  </w:r>
                  <w:r>
                    <w:rPr>
                      <w:rFonts w:hint="eastAsia"/>
                      <w:szCs w:val="21"/>
                    </w:rPr>
                    <w:t>包装</w:t>
                  </w:r>
                </w:p>
              </w:tc>
              <w:tc>
                <w:tcPr>
                  <w:tcW w:w="439"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rFonts w:hint="eastAsia"/>
                      <w:szCs w:val="21"/>
                    </w:rPr>
                    <w:t>是</w:t>
                  </w:r>
                </w:p>
              </w:tc>
              <w:tc>
                <w:tcPr>
                  <w:tcW w:w="1193"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szCs w:val="21"/>
                    </w:rPr>
                  </w:pPr>
                  <w:r>
                    <w:rPr>
                      <w:szCs w:val="21"/>
                    </w:rPr>
                    <w:t>6</w:t>
                  </w:r>
                  <w:r>
                    <w:rPr>
                      <w:rFonts w:hint="eastAsia"/>
                      <w:szCs w:val="21"/>
                    </w:rPr>
                    <w:t>、新增产品品种或生产工艺（含主要生产装置、设备及配套设施）、主要原辅材料、燃料变化，导致以下情形之一：</w:t>
                  </w:r>
                </w:p>
                <w:p>
                  <w:pPr>
                    <w:widowControl/>
                    <w:spacing w:line="240" w:lineRule="atLeast"/>
                    <w:jc w:val="center"/>
                    <w:rPr>
                      <w:szCs w:val="21"/>
                    </w:rPr>
                  </w:pPr>
                  <w:r>
                    <w:rPr>
                      <w:rFonts w:hint="eastAsia"/>
                      <w:szCs w:val="21"/>
                    </w:rPr>
                    <w:t>（</w:t>
                  </w:r>
                  <w:r>
                    <w:rPr>
                      <w:szCs w:val="21"/>
                    </w:rPr>
                    <w:t>1</w:t>
                  </w:r>
                  <w:r>
                    <w:rPr>
                      <w:rFonts w:hint="eastAsia"/>
                      <w:szCs w:val="21"/>
                    </w:rPr>
                    <w:t>）新增排放污染物种类的（毒性、挥发性降低的除外）；</w:t>
                  </w:r>
                </w:p>
                <w:p>
                  <w:pPr>
                    <w:widowControl/>
                    <w:spacing w:line="240" w:lineRule="atLeast"/>
                    <w:jc w:val="center"/>
                    <w:rPr>
                      <w:szCs w:val="21"/>
                    </w:rPr>
                  </w:pPr>
                  <w:r>
                    <w:rPr>
                      <w:rFonts w:hint="eastAsia"/>
                      <w:szCs w:val="21"/>
                    </w:rPr>
                    <w:t>（</w:t>
                  </w:r>
                  <w:r>
                    <w:rPr>
                      <w:szCs w:val="21"/>
                    </w:rPr>
                    <w:t>2</w:t>
                  </w:r>
                  <w:r>
                    <w:rPr>
                      <w:rFonts w:hint="eastAsia"/>
                      <w:szCs w:val="21"/>
                    </w:rPr>
                    <w:t>）位于环境质量不达标区的建设项目相应污染物排放量增加的；</w:t>
                  </w:r>
                </w:p>
                <w:p>
                  <w:pPr>
                    <w:widowControl/>
                    <w:spacing w:line="240" w:lineRule="atLeast"/>
                    <w:jc w:val="center"/>
                    <w:rPr>
                      <w:szCs w:val="21"/>
                    </w:rPr>
                  </w:pPr>
                  <w:r>
                    <w:rPr>
                      <w:rFonts w:hint="eastAsia"/>
                      <w:szCs w:val="21"/>
                    </w:rPr>
                    <w:t>（</w:t>
                  </w:r>
                  <w:r>
                    <w:rPr>
                      <w:szCs w:val="21"/>
                    </w:rPr>
                    <w:t>3</w:t>
                  </w:r>
                  <w:r>
                    <w:rPr>
                      <w:rFonts w:hint="eastAsia"/>
                      <w:szCs w:val="21"/>
                    </w:rPr>
                    <w:t>）废水第一类污染物排放量增加的；</w:t>
                  </w:r>
                </w:p>
                <w:p>
                  <w:pPr>
                    <w:widowControl/>
                    <w:spacing w:line="240" w:lineRule="atLeast"/>
                    <w:jc w:val="center"/>
                    <w:rPr>
                      <w:szCs w:val="21"/>
                    </w:rPr>
                  </w:pPr>
                  <w:r>
                    <w:rPr>
                      <w:rFonts w:hint="eastAsia"/>
                      <w:szCs w:val="21"/>
                    </w:rPr>
                    <w:t>（</w:t>
                  </w:r>
                  <w:r>
                    <w:rPr>
                      <w:szCs w:val="21"/>
                    </w:rPr>
                    <w:t>4</w:t>
                  </w:r>
                  <w:r>
                    <w:rPr>
                      <w:rFonts w:hint="eastAsia"/>
                      <w:szCs w:val="21"/>
                    </w:rPr>
                    <w:t>）其他污染物排放量增加</w:t>
                  </w:r>
                  <w:r>
                    <w:rPr>
                      <w:szCs w:val="21"/>
                    </w:rPr>
                    <w:t>10%</w:t>
                  </w:r>
                  <w:r>
                    <w:rPr>
                      <w:rFonts w:hint="eastAsia"/>
                      <w:szCs w:val="21"/>
                    </w:rPr>
                    <w:t>及以上的。</w:t>
                  </w:r>
                </w:p>
                <w:p>
                  <w:pPr>
                    <w:widowControl/>
                    <w:spacing w:line="240" w:lineRule="atLeast"/>
                    <w:jc w:val="center"/>
                    <w:rPr>
                      <w:szCs w:val="21"/>
                    </w:rPr>
                  </w:pPr>
                  <w:r>
                    <w:rPr>
                      <w:szCs w:val="21"/>
                    </w:rPr>
                    <w:t>7</w:t>
                  </w:r>
                  <w:r>
                    <w:rPr>
                      <w:rFonts w:hint="eastAsia"/>
                      <w:szCs w:val="21"/>
                    </w:rPr>
                    <w:t>、物料运输、装卸、贮存方式变化，导致大气污染物无组织排放量</w:t>
                  </w:r>
                  <w:r>
                    <w:rPr>
                      <w:szCs w:val="21"/>
                    </w:rPr>
                    <w:t xml:space="preserve"> </w:t>
                  </w:r>
                  <w:r>
                    <w:rPr>
                      <w:rFonts w:hint="eastAsia"/>
                      <w:szCs w:val="21"/>
                    </w:rPr>
                    <w:t>增加</w:t>
                  </w:r>
                  <w:r>
                    <w:rPr>
                      <w:szCs w:val="21"/>
                    </w:rPr>
                    <w:t xml:space="preserve"> 10%</w:t>
                  </w:r>
                  <w:r>
                    <w:rPr>
                      <w:rFonts w:hint="eastAsia"/>
                      <w:szCs w:val="21"/>
                    </w:rPr>
                    <w:t>及以上的。</w:t>
                  </w:r>
                </w:p>
              </w:tc>
              <w:tc>
                <w:tcPr>
                  <w:tcW w:w="714" w:type="pct"/>
                  <w:tcBorders>
                    <w:top w:val="single" w:color="auto" w:sz="4" w:space="0"/>
                    <w:left w:val="single" w:color="auto" w:sz="4" w:space="0"/>
                    <w:bottom w:val="single" w:color="auto" w:sz="4" w:space="0"/>
                    <w:right w:val="single" w:color="auto" w:sz="4"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吸音棉热熔定型工序使用的热能由电加热改为天然气加热，导致项目新增污染物</w:t>
                  </w:r>
                  <w:r>
                    <w:rPr>
                      <w:rFonts w:ascii="Times New Roman"/>
                      <w:szCs w:val="21"/>
                    </w:rPr>
                    <w:t>SO2</w:t>
                  </w:r>
                  <w:r>
                    <w:rPr>
                      <w:rFonts w:hint="eastAsia" w:ascii="Times New Roman"/>
                      <w:szCs w:val="21"/>
                    </w:rPr>
                    <w:t>、</w:t>
                  </w:r>
                  <w:r>
                    <w:rPr>
                      <w:rFonts w:ascii="Times New Roman"/>
                      <w:szCs w:val="21"/>
                    </w:rPr>
                    <w:t>NOx</w:t>
                  </w:r>
                  <w:r>
                    <w:rPr>
                      <w:rFonts w:hint="eastAsia" w:ascii="Times New Roman"/>
                      <w:szCs w:val="21"/>
                    </w:rPr>
                    <w:t>；颗粒物、</w:t>
                  </w:r>
                  <w:r>
                    <w:rPr>
                      <w:rFonts w:ascii="Times New Roman"/>
                      <w:szCs w:val="21"/>
                    </w:rPr>
                    <w:t>SO2</w:t>
                  </w:r>
                  <w:r>
                    <w:rPr>
                      <w:rFonts w:hint="eastAsia" w:ascii="Times New Roman"/>
                      <w:szCs w:val="21"/>
                    </w:rPr>
                    <w:t>、</w:t>
                  </w:r>
                  <w:r>
                    <w:rPr>
                      <w:rFonts w:ascii="Times New Roman"/>
                      <w:szCs w:val="21"/>
                    </w:rPr>
                    <w:t>NOx</w:t>
                  </w:r>
                  <w:r>
                    <w:rPr>
                      <w:rFonts w:hint="eastAsia" w:ascii="Times New Roman"/>
                      <w:szCs w:val="21"/>
                    </w:rPr>
                    <w:t>排放量增加，增加量分别为</w:t>
                  </w:r>
                  <w:r>
                    <w:rPr>
                      <w:rFonts w:ascii="Times New Roman"/>
                      <w:szCs w:val="21"/>
                    </w:rPr>
                    <w:t>0.026t/a</w:t>
                  </w:r>
                  <w:r>
                    <w:rPr>
                      <w:rFonts w:hint="eastAsia" w:ascii="Times New Roman"/>
                      <w:szCs w:val="21"/>
                    </w:rPr>
                    <w:t>、</w:t>
                  </w:r>
                  <w:r>
                    <w:rPr>
                      <w:rFonts w:ascii="Times New Roman"/>
                      <w:szCs w:val="21"/>
                    </w:rPr>
                    <w:t>0.026t/a</w:t>
                  </w:r>
                  <w:r>
                    <w:rPr>
                      <w:rFonts w:hint="eastAsia" w:ascii="Times New Roman"/>
                      <w:szCs w:val="21"/>
                    </w:rPr>
                    <w:t>、</w:t>
                  </w:r>
                  <w:r>
                    <w:rPr>
                      <w:rFonts w:ascii="Times New Roman"/>
                      <w:szCs w:val="21"/>
                    </w:rPr>
                    <w:t>0.391t/a</w:t>
                  </w:r>
                  <w:r>
                    <w:rPr>
                      <w:rFonts w:hint="eastAsia" w:ascii="Times New Roman"/>
                      <w:szCs w:val="21"/>
                    </w:rPr>
                    <w:t>。</w:t>
                  </w:r>
                </w:p>
              </w:tc>
              <w:tc>
                <w:tcPr>
                  <w:tcW w:w="357" w:type="pct"/>
                  <w:tcBorders>
                    <w:top w:val="single" w:color="auto" w:sz="4" w:space="0"/>
                    <w:left w:val="single" w:color="auto" w:sz="4" w:space="0"/>
                    <w:bottom w:val="single" w:color="auto" w:sz="4" w:space="0"/>
                    <w:right w:val="single" w:color="auto" w:sz="12"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846" w:hRule="atLeast"/>
                <w:jc w:val="center"/>
              </w:trPr>
              <w:tc>
                <w:tcPr>
                  <w:tcW w:w="328" w:type="pct"/>
                  <w:vMerge w:val="restart"/>
                  <w:tcBorders>
                    <w:top w:val="single" w:color="auto" w:sz="4" w:space="0"/>
                    <w:left w:val="single" w:color="auto" w:sz="12" w:space="0"/>
                    <w:bottom w:val="single" w:color="auto" w:sz="4" w:space="0"/>
                    <w:right w:val="single" w:color="auto" w:sz="4" w:space="0"/>
                  </w:tcBorders>
                  <w:vAlign w:val="center"/>
                </w:tcPr>
                <w:p>
                  <w:pPr>
                    <w:widowControl/>
                    <w:spacing w:beforeLines="20" w:afterLines="20" w:line="240" w:lineRule="atLeast"/>
                    <w:jc w:val="center"/>
                    <w:rPr>
                      <w:szCs w:val="21"/>
                    </w:rPr>
                  </w:pPr>
                  <w:r>
                    <w:rPr>
                      <w:rFonts w:hint="eastAsia"/>
                      <w:szCs w:val="21"/>
                    </w:rPr>
                    <w:t>环</w:t>
                  </w:r>
                </w:p>
                <w:p>
                  <w:pPr>
                    <w:widowControl/>
                    <w:spacing w:beforeLines="20" w:afterLines="20" w:line="240" w:lineRule="atLeast"/>
                    <w:jc w:val="center"/>
                    <w:rPr>
                      <w:szCs w:val="21"/>
                    </w:rPr>
                  </w:pPr>
                  <w:r>
                    <w:rPr>
                      <w:rFonts w:hint="eastAsia"/>
                      <w:szCs w:val="21"/>
                    </w:rPr>
                    <w:t>境</w:t>
                  </w:r>
                </w:p>
                <w:p>
                  <w:pPr>
                    <w:widowControl/>
                    <w:spacing w:beforeLines="20" w:afterLines="20" w:line="240" w:lineRule="atLeast"/>
                    <w:jc w:val="center"/>
                    <w:rPr>
                      <w:szCs w:val="21"/>
                    </w:rPr>
                  </w:pPr>
                  <w:r>
                    <w:rPr>
                      <w:rFonts w:hint="eastAsia"/>
                      <w:szCs w:val="21"/>
                    </w:rPr>
                    <w:t>保</w:t>
                  </w:r>
                </w:p>
                <w:p>
                  <w:pPr>
                    <w:widowControl/>
                    <w:spacing w:beforeLines="20" w:afterLines="20" w:line="240" w:lineRule="atLeast"/>
                    <w:jc w:val="center"/>
                    <w:rPr>
                      <w:szCs w:val="21"/>
                    </w:rPr>
                  </w:pPr>
                  <w:r>
                    <w:rPr>
                      <w:rFonts w:hint="eastAsia"/>
                      <w:szCs w:val="21"/>
                    </w:rPr>
                    <w:t>护</w:t>
                  </w:r>
                </w:p>
                <w:p>
                  <w:pPr>
                    <w:widowControl/>
                    <w:spacing w:beforeLines="20" w:afterLines="20" w:line="240" w:lineRule="atLeast"/>
                    <w:jc w:val="center"/>
                    <w:rPr>
                      <w:szCs w:val="21"/>
                    </w:rPr>
                  </w:pPr>
                  <w:r>
                    <w:rPr>
                      <w:rFonts w:hint="eastAsia"/>
                      <w:szCs w:val="21"/>
                    </w:rPr>
                    <w:t>措</w:t>
                  </w:r>
                </w:p>
                <w:p>
                  <w:pPr>
                    <w:widowControl/>
                    <w:spacing w:beforeLines="20" w:afterLines="20" w:line="240" w:lineRule="atLeast"/>
                    <w:jc w:val="center"/>
                    <w:rPr>
                      <w:szCs w:val="21"/>
                    </w:rPr>
                  </w:pPr>
                  <w:r>
                    <w:rPr>
                      <w:rFonts w:hint="eastAsia"/>
                      <w:szCs w:val="21"/>
                    </w:rPr>
                    <w:t>施</w:t>
                  </w:r>
                </w:p>
                <w:p>
                  <w:pPr>
                    <w:widowControl/>
                    <w:spacing w:beforeLines="20" w:afterLines="20" w:line="240" w:lineRule="atLeast"/>
                    <w:jc w:val="center"/>
                    <w:rPr>
                      <w:szCs w:val="21"/>
                    </w:rPr>
                  </w:pPr>
                </w:p>
              </w:tc>
              <w:tc>
                <w:tcPr>
                  <w:tcW w:w="982"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szCs w:val="21"/>
                    </w:rPr>
                  </w:pPr>
                  <w:r>
                    <w:rPr>
                      <w:rFonts w:hint="eastAsia"/>
                      <w:szCs w:val="21"/>
                    </w:rPr>
                    <w:t>项目吸音棉开松梳理粉尘经设备自带的收集和处理设施（布袋除尘器，</w:t>
                  </w:r>
                  <w:r>
                    <w:rPr>
                      <w:szCs w:val="21"/>
                    </w:rPr>
                    <w:t>TA002</w:t>
                  </w:r>
                  <w:r>
                    <w:rPr>
                      <w:rFonts w:hint="eastAsia"/>
                      <w:szCs w:val="21"/>
                    </w:rPr>
                    <w:t>）处理后车间无组织排放；吸音棉热熔定型工序设备自带密闭集气装置，有机废气由自带集气管道收集，发泡熟化、复合及热压工序有机废气采用集气罩收集，废气统一经</w:t>
                  </w:r>
                  <w:r>
                    <w:rPr>
                      <w:szCs w:val="21"/>
                    </w:rPr>
                    <w:t>1</w:t>
                  </w:r>
                  <w:r>
                    <w:rPr>
                      <w:rFonts w:hint="eastAsia"/>
                      <w:szCs w:val="21"/>
                    </w:rPr>
                    <w:t>套二级活性炭吸附装置（</w:t>
                  </w:r>
                  <w:r>
                    <w:rPr>
                      <w:szCs w:val="21"/>
                    </w:rPr>
                    <w:t>TA001</w:t>
                  </w:r>
                  <w:r>
                    <w:rPr>
                      <w:rFonts w:hint="eastAsia"/>
                      <w:szCs w:val="21"/>
                    </w:rPr>
                    <w:t>）处理后经</w:t>
                  </w:r>
                  <w:r>
                    <w:rPr>
                      <w:szCs w:val="21"/>
                    </w:rPr>
                    <w:t>15m</w:t>
                  </w:r>
                  <w:r>
                    <w:rPr>
                      <w:rFonts w:hint="eastAsia"/>
                      <w:szCs w:val="21"/>
                    </w:rPr>
                    <w:t>高排气筒排放（</w:t>
                  </w:r>
                  <w:r>
                    <w:rPr>
                      <w:szCs w:val="21"/>
                    </w:rPr>
                    <w:t>DA001</w:t>
                  </w:r>
                  <w:r>
                    <w:rPr>
                      <w:rFonts w:hint="eastAsia"/>
                      <w:szCs w:val="21"/>
                    </w:rPr>
                    <w:t>）。</w:t>
                  </w:r>
                </w:p>
              </w:tc>
              <w:tc>
                <w:tcPr>
                  <w:tcW w:w="982" w:type="pct"/>
                  <w:vMerge w:val="restar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szCs w:val="21"/>
                    </w:rPr>
                  </w:pPr>
                  <w:r>
                    <w:rPr>
                      <w:rFonts w:hint="eastAsia"/>
                      <w:szCs w:val="21"/>
                    </w:rPr>
                    <w:t>项目吸音棉开松梳理粉尘经布袋除尘器（</w:t>
                  </w:r>
                  <w:r>
                    <w:rPr>
                      <w:szCs w:val="21"/>
                    </w:rPr>
                    <w:t>TA002</w:t>
                  </w:r>
                  <w:r>
                    <w:rPr>
                      <w:rFonts w:hint="eastAsia"/>
                      <w:szCs w:val="21"/>
                    </w:rPr>
                    <w:t>）处理后经过</w:t>
                  </w:r>
                  <w:r>
                    <w:rPr>
                      <w:szCs w:val="21"/>
                    </w:rPr>
                    <w:t>15m</w:t>
                  </w:r>
                  <w:r>
                    <w:rPr>
                      <w:rFonts w:hint="eastAsia"/>
                      <w:szCs w:val="21"/>
                    </w:rPr>
                    <w:t>高（</w:t>
                  </w:r>
                  <w:r>
                    <w:rPr>
                      <w:szCs w:val="21"/>
                    </w:rPr>
                    <w:t>DA002</w:t>
                  </w:r>
                  <w:r>
                    <w:rPr>
                      <w:rFonts w:hint="eastAsia"/>
                      <w:szCs w:val="21"/>
                    </w:rPr>
                    <w:t>）排气筒排放；吸音棉热熔定型工序设备自带密闭集气装置，热熔定型有机废气及天然气燃烧废气统一进自带集气管道收集，发泡熟化、复合及热压工序有机废气采用集气罩收集，废气统一经</w:t>
                  </w:r>
                  <w:r>
                    <w:rPr>
                      <w:szCs w:val="21"/>
                    </w:rPr>
                    <w:t>1</w:t>
                  </w:r>
                  <w:r>
                    <w:rPr>
                      <w:rFonts w:hint="eastAsia"/>
                      <w:szCs w:val="21"/>
                    </w:rPr>
                    <w:t>套二级活性炭吸附装置（</w:t>
                  </w:r>
                  <w:r>
                    <w:rPr>
                      <w:szCs w:val="21"/>
                    </w:rPr>
                    <w:t>TA001</w:t>
                  </w:r>
                  <w:r>
                    <w:rPr>
                      <w:rFonts w:hint="eastAsia"/>
                      <w:szCs w:val="21"/>
                    </w:rPr>
                    <w:t>）处理后经</w:t>
                  </w:r>
                  <w:r>
                    <w:rPr>
                      <w:szCs w:val="21"/>
                    </w:rPr>
                    <w:t>15m</w:t>
                  </w:r>
                  <w:r>
                    <w:rPr>
                      <w:rFonts w:hint="eastAsia"/>
                      <w:szCs w:val="21"/>
                    </w:rPr>
                    <w:t>高排气筒排放（</w:t>
                  </w:r>
                  <w:r>
                    <w:rPr>
                      <w:szCs w:val="21"/>
                    </w:rPr>
                    <w:t>DA001</w:t>
                  </w:r>
                  <w:r>
                    <w:rPr>
                      <w:rFonts w:hint="eastAsia"/>
                      <w:szCs w:val="21"/>
                    </w:rPr>
                    <w:t>）。</w:t>
                  </w:r>
                </w:p>
              </w:tc>
              <w:tc>
                <w:tcPr>
                  <w:tcW w:w="439" w:type="pct"/>
                  <w:vMerge w:val="restart"/>
                  <w:tcBorders>
                    <w:top w:val="single" w:color="auto" w:sz="4" w:space="0"/>
                    <w:left w:val="single" w:color="auto" w:sz="4" w:space="0"/>
                    <w:bottom w:val="single" w:color="auto" w:sz="4" w:space="0"/>
                    <w:right w:val="single" w:color="auto" w:sz="4" w:space="0"/>
                  </w:tcBorders>
                  <w:vAlign w:val="center"/>
                </w:tcPr>
                <w:p>
                  <w:pPr>
                    <w:widowControl/>
                    <w:spacing w:beforeLines="20" w:afterLines="20" w:line="240" w:lineRule="atLeast"/>
                    <w:jc w:val="center"/>
                    <w:rPr>
                      <w:szCs w:val="21"/>
                    </w:rPr>
                  </w:pPr>
                  <w:r>
                    <w:rPr>
                      <w:rFonts w:hint="eastAsia"/>
                      <w:szCs w:val="21"/>
                    </w:rPr>
                    <w:t>是</w:t>
                  </w:r>
                </w:p>
              </w:tc>
              <w:tc>
                <w:tcPr>
                  <w:tcW w:w="1193" w:type="pct"/>
                  <w:vMerge w:val="restart"/>
                  <w:tcBorders>
                    <w:top w:val="single" w:color="auto" w:sz="4" w:space="0"/>
                    <w:left w:val="single" w:color="auto" w:sz="4" w:space="0"/>
                    <w:bottom w:val="single" w:color="auto" w:sz="4" w:space="0"/>
                    <w:right w:val="single" w:color="auto" w:sz="4" w:space="0"/>
                  </w:tcBorders>
                  <w:vAlign w:val="center"/>
                </w:tcPr>
                <w:p>
                  <w:pPr>
                    <w:widowControl/>
                    <w:spacing w:beforeLines="20" w:afterLines="20" w:line="240" w:lineRule="atLeast"/>
                    <w:rPr>
                      <w:szCs w:val="21"/>
                    </w:rPr>
                  </w:pPr>
                  <w:r>
                    <w:rPr>
                      <w:szCs w:val="21"/>
                    </w:rPr>
                    <w:t>8</w:t>
                  </w:r>
                  <w:r>
                    <w:rPr>
                      <w:rFonts w:hint="eastAsia"/>
                      <w:szCs w:val="21"/>
                    </w:rPr>
                    <w:t>、废气、废水污染防治措施变化，导致第</w:t>
                  </w:r>
                  <w:r>
                    <w:rPr>
                      <w:szCs w:val="21"/>
                    </w:rPr>
                    <w:t>6</w:t>
                  </w:r>
                  <w:r>
                    <w:rPr>
                      <w:rFonts w:hint="eastAsia"/>
                      <w:szCs w:val="21"/>
                    </w:rPr>
                    <w:t>条中所列情形之一（废气无组织排放改为有组织排放、污染防治措施强化或改进的除外）或大气污染物无组织排放量增加</w:t>
                  </w:r>
                  <w:r>
                    <w:rPr>
                      <w:szCs w:val="21"/>
                    </w:rPr>
                    <w:t>10%</w:t>
                  </w:r>
                  <w:r>
                    <w:rPr>
                      <w:rFonts w:hint="eastAsia"/>
                      <w:szCs w:val="21"/>
                    </w:rPr>
                    <w:t>及以上的。</w:t>
                  </w:r>
                </w:p>
                <w:p>
                  <w:pPr>
                    <w:widowControl/>
                    <w:spacing w:beforeLines="20" w:afterLines="20" w:line="240" w:lineRule="atLeast"/>
                    <w:rPr>
                      <w:szCs w:val="21"/>
                    </w:rPr>
                  </w:pPr>
                  <w:r>
                    <w:rPr>
                      <w:szCs w:val="21"/>
                    </w:rPr>
                    <w:t>10</w:t>
                  </w:r>
                  <w:r>
                    <w:rPr>
                      <w:rFonts w:hint="eastAsia"/>
                      <w:szCs w:val="21"/>
                    </w:rPr>
                    <w:t>、新增废气主要排放口（废气无组织排放改为有组织排放的除外）；</w:t>
                  </w:r>
                </w:p>
                <w:p>
                  <w:pPr>
                    <w:widowControl/>
                    <w:spacing w:beforeLines="20" w:afterLines="20" w:line="240" w:lineRule="atLeast"/>
                    <w:rPr>
                      <w:szCs w:val="21"/>
                    </w:rPr>
                  </w:pPr>
                  <w:r>
                    <w:rPr>
                      <w:rFonts w:hint="eastAsia"/>
                      <w:szCs w:val="21"/>
                    </w:rPr>
                    <w:t>主要排放口排气筒高度降低</w:t>
                  </w:r>
                  <w:r>
                    <w:rPr>
                      <w:szCs w:val="21"/>
                    </w:rPr>
                    <w:t>10%</w:t>
                  </w:r>
                  <w:r>
                    <w:rPr>
                      <w:rFonts w:hint="eastAsia"/>
                      <w:szCs w:val="21"/>
                    </w:rPr>
                    <w:t>及以上的。</w:t>
                  </w:r>
                </w:p>
              </w:tc>
              <w:tc>
                <w:tcPr>
                  <w:tcW w:w="714" w:type="pct"/>
                  <w:tcBorders>
                    <w:top w:val="single" w:color="auto" w:sz="4" w:space="0"/>
                    <w:left w:val="single" w:color="auto" w:sz="4" w:space="0"/>
                    <w:bottom w:val="single" w:color="auto" w:sz="4" w:space="0"/>
                    <w:right w:val="single" w:color="auto" w:sz="4" w:space="0"/>
                  </w:tcBorders>
                  <w:vAlign w:val="center"/>
                </w:tcPr>
                <w:p>
                  <w:pPr>
                    <w:widowControl/>
                    <w:spacing w:beforeLines="20" w:afterLines="20" w:line="240" w:lineRule="atLeast"/>
                    <w:jc w:val="center"/>
                    <w:rPr>
                      <w:szCs w:val="21"/>
                    </w:rPr>
                  </w:pPr>
                  <w:r>
                    <w:rPr>
                      <w:rFonts w:hint="eastAsia"/>
                      <w:szCs w:val="21"/>
                    </w:rPr>
                    <w:t>吸音棉开松梳理粉尘由无组织排放变为有组织排放</w:t>
                  </w:r>
                </w:p>
              </w:tc>
              <w:tc>
                <w:tcPr>
                  <w:tcW w:w="357" w:type="pct"/>
                  <w:tcBorders>
                    <w:top w:val="single" w:color="auto" w:sz="4" w:space="0"/>
                    <w:left w:val="single" w:color="auto" w:sz="4" w:space="0"/>
                    <w:bottom w:val="single" w:color="auto" w:sz="4" w:space="0"/>
                    <w:right w:val="single" w:color="auto" w:sz="12"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28" w:type="dxa"/>
                  <w:bottom w:w="28" w:type="dxa"/>
                  <w:right w:w="28" w:type="dxa"/>
                </w:tblCellMar>
              </w:tblPrEx>
              <w:trPr>
                <w:trHeight w:val="1846" w:hRule="atLeast"/>
                <w:jc w:val="center"/>
              </w:trPr>
              <w:tc>
                <w:tcPr>
                  <w:tcW w:w="328" w:type="pct"/>
                  <w:vMerge w:val="continue"/>
                  <w:tcBorders>
                    <w:top w:val="single" w:color="auto" w:sz="4" w:space="0"/>
                    <w:left w:val="single" w:color="auto" w:sz="12" w:space="0"/>
                    <w:bottom w:val="single" w:color="auto" w:sz="12" w:space="0"/>
                    <w:right w:val="single" w:color="auto" w:sz="4" w:space="0"/>
                  </w:tcBorders>
                  <w:vAlign w:val="center"/>
                </w:tcPr>
                <w:p>
                  <w:pPr>
                    <w:pStyle w:val="53"/>
                    <w:spacing w:line="240" w:lineRule="atLeast"/>
                    <w:ind w:firstLine="0" w:firstLineChars="0"/>
                    <w:jc w:val="center"/>
                    <w:rPr>
                      <w:rFonts w:ascii="Times New Roman"/>
                      <w:szCs w:val="21"/>
                    </w:rPr>
                  </w:pPr>
                </w:p>
              </w:tc>
              <w:tc>
                <w:tcPr>
                  <w:tcW w:w="982" w:type="pct"/>
                  <w:vMerge w:val="continue"/>
                  <w:tcBorders>
                    <w:top w:val="single" w:color="auto" w:sz="4" w:space="0"/>
                    <w:left w:val="single" w:color="auto" w:sz="4" w:space="0"/>
                    <w:bottom w:val="single" w:color="auto" w:sz="12" w:space="0"/>
                    <w:right w:val="single" w:color="auto" w:sz="4" w:space="0"/>
                  </w:tcBorders>
                  <w:vAlign w:val="center"/>
                </w:tcPr>
                <w:p>
                  <w:pPr>
                    <w:pStyle w:val="53"/>
                    <w:spacing w:line="240" w:lineRule="atLeast"/>
                    <w:ind w:firstLine="0" w:firstLineChars="0"/>
                    <w:jc w:val="center"/>
                    <w:rPr>
                      <w:rFonts w:ascii="Times New Roman"/>
                      <w:szCs w:val="21"/>
                    </w:rPr>
                  </w:pPr>
                </w:p>
              </w:tc>
              <w:tc>
                <w:tcPr>
                  <w:tcW w:w="982" w:type="pct"/>
                  <w:vMerge w:val="continue"/>
                  <w:tcBorders>
                    <w:top w:val="single" w:color="auto" w:sz="4" w:space="0"/>
                    <w:left w:val="single" w:color="auto" w:sz="4" w:space="0"/>
                    <w:bottom w:val="single" w:color="auto" w:sz="12" w:space="0"/>
                    <w:right w:val="single" w:color="auto" w:sz="4" w:space="0"/>
                  </w:tcBorders>
                  <w:vAlign w:val="center"/>
                </w:tcPr>
                <w:p>
                  <w:pPr>
                    <w:pStyle w:val="53"/>
                    <w:spacing w:line="240" w:lineRule="atLeast"/>
                    <w:ind w:firstLine="0" w:firstLineChars="0"/>
                    <w:jc w:val="center"/>
                    <w:rPr>
                      <w:rFonts w:ascii="Times New Roman"/>
                      <w:szCs w:val="21"/>
                    </w:rPr>
                  </w:pPr>
                </w:p>
              </w:tc>
              <w:tc>
                <w:tcPr>
                  <w:tcW w:w="439" w:type="pct"/>
                  <w:vMerge w:val="continue"/>
                  <w:tcBorders>
                    <w:top w:val="single" w:color="auto" w:sz="4" w:space="0"/>
                    <w:left w:val="single" w:color="auto" w:sz="4" w:space="0"/>
                    <w:bottom w:val="single" w:color="auto" w:sz="12" w:space="0"/>
                    <w:right w:val="single" w:color="auto" w:sz="4" w:space="0"/>
                  </w:tcBorders>
                  <w:vAlign w:val="center"/>
                </w:tcPr>
                <w:p>
                  <w:pPr>
                    <w:pStyle w:val="53"/>
                    <w:spacing w:line="240" w:lineRule="atLeast"/>
                    <w:ind w:firstLine="0" w:firstLineChars="0"/>
                    <w:jc w:val="center"/>
                    <w:rPr>
                      <w:rFonts w:ascii="Times New Roman"/>
                      <w:szCs w:val="21"/>
                    </w:rPr>
                  </w:pPr>
                </w:p>
              </w:tc>
              <w:tc>
                <w:tcPr>
                  <w:tcW w:w="1193" w:type="pct"/>
                  <w:vMerge w:val="continue"/>
                  <w:tcBorders>
                    <w:top w:val="single" w:color="auto" w:sz="4" w:space="0"/>
                    <w:left w:val="single" w:color="auto" w:sz="4" w:space="0"/>
                    <w:bottom w:val="single" w:color="auto" w:sz="12" w:space="0"/>
                    <w:right w:val="single" w:color="auto" w:sz="4" w:space="0"/>
                  </w:tcBorders>
                  <w:vAlign w:val="center"/>
                </w:tcPr>
                <w:p>
                  <w:pPr>
                    <w:pStyle w:val="53"/>
                    <w:spacing w:line="240" w:lineRule="atLeast"/>
                    <w:ind w:firstLine="0" w:firstLineChars="0"/>
                    <w:jc w:val="center"/>
                    <w:rPr>
                      <w:rFonts w:ascii="Times New Roman"/>
                      <w:szCs w:val="21"/>
                    </w:rPr>
                  </w:pPr>
                </w:p>
              </w:tc>
              <w:tc>
                <w:tcPr>
                  <w:tcW w:w="714" w:type="pct"/>
                  <w:tcBorders>
                    <w:top w:val="single" w:color="auto" w:sz="4" w:space="0"/>
                    <w:left w:val="single" w:color="auto" w:sz="4" w:space="0"/>
                    <w:bottom w:val="single" w:color="auto" w:sz="12" w:space="0"/>
                    <w:right w:val="single" w:color="auto" w:sz="4"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新增天然气燃烧废气，新增污染物</w:t>
                  </w:r>
                  <w:r>
                    <w:rPr>
                      <w:rFonts w:ascii="Times New Roman"/>
                      <w:szCs w:val="21"/>
                    </w:rPr>
                    <w:t>SO2</w:t>
                  </w:r>
                  <w:r>
                    <w:rPr>
                      <w:rFonts w:hint="eastAsia" w:ascii="Times New Roman"/>
                      <w:szCs w:val="21"/>
                    </w:rPr>
                    <w:t>、</w:t>
                  </w:r>
                  <w:r>
                    <w:rPr>
                      <w:rFonts w:ascii="Times New Roman"/>
                      <w:szCs w:val="21"/>
                    </w:rPr>
                    <w:t>NOX</w:t>
                  </w:r>
                  <w:r>
                    <w:rPr>
                      <w:rFonts w:hint="eastAsia" w:ascii="Times New Roman"/>
                      <w:szCs w:val="21"/>
                    </w:rPr>
                    <w:t>，颗粒物、</w:t>
                  </w:r>
                  <w:r>
                    <w:rPr>
                      <w:rFonts w:ascii="Times New Roman"/>
                      <w:szCs w:val="21"/>
                    </w:rPr>
                    <w:t>SO2</w:t>
                  </w:r>
                  <w:r>
                    <w:rPr>
                      <w:rFonts w:hint="eastAsia" w:ascii="Times New Roman"/>
                      <w:szCs w:val="21"/>
                    </w:rPr>
                    <w:t>、</w:t>
                  </w:r>
                  <w:r>
                    <w:rPr>
                      <w:rFonts w:ascii="Times New Roman"/>
                      <w:szCs w:val="21"/>
                    </w:rPr>
                    <w:t>NOx</w:t>
                  </w:r>
                  <w:r>
                    <w:rPr>
                      <w:rFonts w:hint="eastAsia" w:ascii="Times New Roman"/>
                      <w:szCs w:val="21"/>
                    </w:rPr>
                    <w:t>排放量增加</w:t>
                  </w:r>
                </w:p>
              </w:tc>
              <w:tc>
                <w:tcPr>
                  <w:tcW w:w="357" w:type="pct"/>
                  <w:tcBorders>
                    <w:top w:val="single" w:color="auto" w:sz="4" w:space="0"/>
                    <w:left w:val="single" w:color="auto" w:sz="4" w:space="0"/>
                    <w:bottom w:val="single" w:color="auto" w:sz="12" w:space="0"/>
                    <w:right w:val="single" w:color="auto" w:sz="12" w:space="0"/>
                  </w:tcBorders>
                  <w:vAlign w:val="center"/>
                </w:tcPr>
                <w:p>
                  <w:pPr>
                    <w:pStyle w:val="53"/>
                    <w:spacing w:line="240" w:lineRule="atLeast"/>
                    <w:ind w:firstLine="0" w:firstLineChars="0"/>
                    <w:jc w:val="center"/>
                    <w:rPr>
                      <w:rFonts w:ascii="Times New Roman"/>
                      <w:szCs w:val="21"/>
                    </w:rPr>
                  </w:pPr>
                  <w:r>
                    <w:rPr>
                      <w:rFonts w:hint="eastAsia" w:ascii="Times New Roman"/>
                      <w:szCs w:val="21"/>
                    </w:rPr>
                    <w:t>是</w:t>
                  </w:r>
                </w:p>
              </w:tc>
            </w:tr>
          </w:tbl>
          <w:p>
            <w:pPr>
              <w:pStyle w:val="4"/>
              <w:spacing w:line="360" w:lineRule="auto"/>
              <w:ind w:firstLine="482" w:firstLineChars="200"/>
              <w:rPr>
                <w:rFonts w:ascii="Times New Roman" w:hAnsi="Times New Roman"/>
              </w:rPr>
            </w:pPr>
            <w:r>
              <w:rPr>
                <w:rFonts w:hint="eastAsia" w:ascii="Times New Roman" w:hAnsi="Times New Roman"/>
              </w:rPr>
              <w:t>二、项目建设历程和目前建设情况</w:t>
            </w:r>
          </w:p>
          <w:p>
            <w:pPr>
              <w:spacing w:line="360" w:lineRule="auto"/>
              <w:ind w:firstLine="480" w:firstLineChars="200"/>
              <w:rPr>
                <w:rFonts w:hAnsi="宋体"/>
                <w:sz w:val="24"/>
                <w:lang w:val="zh-CN"/>
              </w:rPr>
            </w:pPr>
            <w:r>
              <w:rPr>
                <w:rFonts w:hint="eastAsia" w:hAnsi="宋体"/>
                <w:sz w:val="24"/>
                <w:lang w:val="zh-CN"/>
              </w:rPr>
              <w:t>西安粹益汽车配件有限公司于</w:t>
            </w:r>
            <w:r>
              <w:rPr>
                <w:rFonts w:hAnsi="宋体"/>
                <w:sz w:val="24"/>
                <w:lang w:val="zh-CN"/>
              </w:rPr>
              <w:t>20</w:t>
            </w:r>
            <w:r>
              <w:rPr>
                <w:rFonts w:hAnsi="宋体"/>
                <w:sz w:val="24"/>
              </w:rPr>
              <w:t>22</w:t>
            </w:r>
            <w:r>
              <w:rPr>
                <w:rFonts w:hint="eastAsia" w:hAnsi="宋体"/>
                <w:sz w:val="24"/>
                <w:lang w:val="zh-CN"/>
              </w:rPr>
              <w:t>年</w:t>
            </w:r>
            <w:r>
              <w:rPr>
                <w:rFonts w:hAnsi="宋体"/>
                <w:sz w:val="24"/>
              </w:rPr>
              <w:t>10</w:t>
            </w:r>
            <w:r>
              <w:rPr>
                <w:rFonts w:hint="eastAsia" w:hAnsi="宋体"/>
                <w:sz w:val="24"/>
                <w:lang w:val="zh-CN"/>
              </w:rPr>
              <w:t>月委托</w:t>
            </w:r>
            <w:r>
              <w:rPr>
                <w:rFonts w:hint="eastAsia" w:hAnsi="宋体"/>
                <w:sz w:val="24"/>
              </w:rPr>
              <w:t>陕西恒绿环保科技有限公司</w:t>
            </w:r>
            <w:r>
              <w:rPr>
                <w:rFonts w:hint="eastAsia" w:hAnsi="宋体"/>
                <w:sz w:val="24"/>
                <w:lang w:val="zh-CN"/>
              </w:rPr>
              <w:t>编制完成了《汽车核心零部件生产建设项目环境影响报告</w:t>
            </w:r>
            <w:r>
              <w:rPr>
                <w:rFonts w:hint="eastAsia" w:hAnsi="宋体"/>
                <w:sz w:val="24"/>
              </w:rPr>
              <w:t>表</w:t>
            </w:r>
            <w:r>
              <w:rPr>
                <w:rFonts w:hint="eastAsia" w:hAnsi="宋体"/>
                <w:sz w:val="24"/>
                <w:lang w:val="zh-CN"/>
              </w:rPr>
              <w:t>》，</w:t>
            </w:r>
            <w:r>
              <w:rPr>
                <w:rFonts w:hAnsi="宋体"/>
                <w:sz w:val="24"/>
              </w:rPr>
              <w:t>2022</w:t>
            </w:r>
            <w:r>
              <w:rPr>
                <w:rFonts w:hint="eastAsia" w:hAnsi="宋体"/>
                <w:sz w:val="24"/>
              </w:rPr>
              <w:t>年</w:t>
            </w:r>
            <w:r>
              <w:rPr>
                <w:rFonts w:hAnsi="宋体"/>
                <w:sz w:val="24"/>
              </w:rPr>
              <w:t>12</w:t>
            </w:r>
            <w:r>
              <w:rPr>
                <w:rFonts w:hint="eastAsia" w:hAnsi="宋体"/>
                <w:sz w:val="24"/>
              </w:rPr>
              <w:t>月</w:t>
            </w:r>
            <w:r>
              <w:rPr>
                <w:rFonts w:hAnsi="宋体"/>
                <w:sz w:val="24"/>
              </w:rPr>
              <w:t>12</w:t>
            </w:r>
            <w:r>
              <w:rPr>
                <w:rFonts w:hint="eastAsia" w:hAnsi="宋体"/>
                <w:sz w:val="24"/>
              </w:rPr>
              <w:t>日，西安市生态环境局鄠邑分局鄠环批复</w:t>
            </w:r>
            <w:r>
              <w:rPr>
                <w:rFonts w:hAnsi="宋体"/>
                <w:sz w:val="24"/>
              </w:rPr>
              <w:t>[2022]45</w:t>
            </w:r>
            <w:r>
              <w:rPr>
                <w:rFonts w:hint="eastAsia" w:hAnsi="宋体"/>
                <w:sz w:val="24"/>
              </w:rPr>
              <w:t>号下达了环评批复，未进行竣工环境保护验收。</w:t>
            </w:r>
          </w:p>
          <w:p>
            <w:pPr>
              <w:widowControl/>
              <w:spacing w:line="360" w:lineRule="auto"/>
              <w:ind w:firstLine="480" w:firstLineChars="200"/>
              <w:rPr>
                <w:b/>
                <w:sz w:val="24"/>
                <w:szCs w:val="32"/>
              </w:rPr>
            </w:pPr>
            <w:r>
              <w:rPr>
                <w:rFonts w:hint="eastAsia"/>
                <w:sz w:val="24"/>
                <w:szCs w:val="32"/>
              </w:rPr>
              <w:t>根据现场踏勘，本项目吸音棉生产线已建成，模内发泡和轻质发泡生产线暂未建设，项目建设与原环评建设内容对比，吸音棉热熔定型工序由电加热变为天然气加热，新增污染物种类</w:t>
            </w:r>
            <w:r>
              <w:rPr>
                <w:sz w:val="24"/>
                <w:szCs w:val="32"/>
              </w:rPr>
              <w:t>SO</w:t>
            </w:r>
            <w:r>
              <w:rPr>
                <w:sz w:val="24"/>
                <w:szCs w:val="32"/>
                <w:vertAlign w:val="subscript"/>
              </w:rPr>
              <w:t>2</w:t>
            </w:r>
            <w:r>
              <w:rPr>
                <w:rFonts w:hint="eastAsia"/>
                <w:sz w:val="24"/>
                <w:szCs w:val="32"/>
              </w:rPr>
              <w:t>、</w:t>
            </w:r>
            <w:r>
              <w:rPr>
                <w:sz w:val="24"/>
                <w:szCs w:val="32"/>
              </w:rPr>
              <w:t>NO</w:t>
            </w:r>
            <w:r>
              <w:rPr>
                <w:sz w:val="24"/>
                <w:szCs w:val="32"/>
                <w:vertAlign w:val="subscript"/>
              </w:rPr>
              <w:t>x</w:t>
            </w:r>
            <w:r>
              <w:rPr>
                <w:rFonts w:hint="eastAsia"/>
                <w:sz w:val="24"/>
                <w:szCs w:val="32"/>
              </w:rPr>
              <w:t>，颗粒物、</w:t>
            </w:r>
            <w:r>
              <w:rPr>
                <w:sz w:val="24"/>
                <w:szCs w:val="32"/>
              </w:rPr>
              <w:t>SO</w:t>
            </w:r>
            <w:r>
              <w:rPr>
                <w:sz w:val="24"/>
                <w:szCs w:val="32"/>
                <w:vertAlign w:val="subscript"/>
              </w:rPr>
              <w:t>2</w:t>
            </w:r>
            <w:r>
              <w:rPr>
                <w:rFonts w:hint="eastAsia"/>
                <w:sz w:val="24"/>
                <w:szCs w:val="32"/>
              </w:rPr>
              <w:t>、</w:t>
            </w:r>
            <w:r>
              <w:rPr>
                <w:sz w:val="24"/>
                <w:szCs w:val="32"/>
              </w:rPr>
              <w:t>NO</w:t>
            </w:r>
            <w:r>
              <w:rPr>
                <w:sz w:val="24"/>
                <w:szCs w:val="32"/>
                <w:vertAlign w:val="subscript"/>
              </w:rPr>
              <w:t>x</w:t>
            </w:r>
            <w:r>
              <w:rPr>
                <w:rFonts w:hint="eastAsia"/>
                <w:sz w:val="24"/>
                <w:szCs w:val="32"/>
              </w:rPr>
              <w:t>排放量增加，</w:t>
            </w:r>
            <w:r>
              <w:rPr>
                <w:rFonts w:hint="eastAsia"/>
                <w:bCs/>
                <w:iCs/>
                <w:sz w:val="24"/>
              </w:rPr>
              <w:t>其他生产线生产工艺及污染物排放均不变，变动后项目总产能不变；项目变动导致污染物颗粒物、二氧化硫、氮氧化物的排放量均增加，属于重大变动</w:t>
            </w:r>
            <w:r>
              <w:rPr>
                <w:rFonts w:hint="eastAsia"/>
                <w:sz w:val="24"/>
                <w:szCs w:val="32"/>
              </w:rPr>
              <w:t>，需重新报批环评</w:t>
            </w:r>
            <w:r>
              <w:rPr>
                <w:rFonts w:hint="eastAsia"/>
                <w:b/>
                <w:sz w:val="24"/>
                <w:szCs w:val="32"/>
              </w:rPr>
              <w:t>。</w:t>
            </w:r>
          </w:p>
          <w:p>
            <w:pPr>
              <w:pStyle w:val="35"/>
              <w:snapToGrid w:val="0"/>
              <w:spacing w:line="360" w:lineRule="auto"/>
              <w:ind w:firstLine="482" w:firstLineChars="200"/>
              <w:rPr>
                <w:color w:val="auto"/>
              </w:rPr>
            </w:pPr>
            <w:r>
              <w:rPr>
                <w:rFonts w:hint="eastAsia" w:ascii="Times New Roman" w:eastAsia="宋体" w:cs="Times New Roman"/>
                <w:b/>
                <w:color w:val="auto"/>
                <w:szCs w:val="32"/>
              </w:rPr>
              <w:t>三、三线一单符合性分析</w:t>
            </w:r>
          </w:p>
          <w:p>
            <w:pPr>
              <w:pStyle w:val="44"/>
              <w:adjustRightInd w:val="0"/>
              <w:snapToGrid w:val="0"/>
              <w:spacing w:line="360" w:lineRule="auto"/>
              <w:ind w:firstLine="480" w:firstLineChars="200"/>
              <w:jc w:val="left"/>
              <w:rPr>
                <w:b w:val="0"/>
                <w:bCs w:val="0"/>
                <w:sz w:val="24"/>
                <w:szCs w:val="24"/>
              </w:rPr>
            </w:pPr>
            <w:r>
              <w:rPr>
                <w:rFonts w:hint="eastAsia"/>
                <w:b w:val="0"/>
                <w:bCs w:val="0"/>
                <w:sz w:val="24"/>
                <w:szCs w:val="24"/>
              </w:rPr>
              <w:t>根据《陕西省人民政府关于加快实施</w:t>
            </w:r>
            <w:r>
              <w:rPr>
                <w:b w:val="0"/>
                <w:bCs w:val="0"/>
                <w:sz w:val="24"/>
                <w:szCs w:val="24"/>
              </w:rPr>
              <w:t>“</w:t>
            </w:r>
            <w:r>
              <w:rPr>
                <w:rFonts w:hint="eastAsia"/>
                <w:b w:val="0"/>
                <w:bCs w:val="0"/>
                <w:sz w:val="24"/>
                <w:szCs w:val="24"/>
              </w:rPr>
              <w:t>三线一单</w:t>
            </w:r>
            <w:r>
              <w:rPr>
                <w:b w:val="0"/>
                <w:bCs w:val="0"/>
                <w:sz w:val="24"/>
                <w:szCs w:val="24"/>
              </w:rPr>
              <w:t>”</w:t>
            </w:r>
            <w:r>
              <w:rPr>
                <w:rFonts w:hint="eastAsia"/>
                <w:b w:val="0"/>
                <w:bCs w:val="0"/>
                <w:sz w:val="24"/>
                <w:szCs w:val="24"/>
              </w:rPr>
              <w:t>生态环境分区管控的意见》（陕政发〔</w:t>
            </w:r>
            <w:r>
              <w:rPr>
                <w:b w:val="0"/>
                <w:bCs w:val="0"/>
                <w:sz w:val="24"/>
                <w:szCs w:val="24"/>
              </w:rPr>
              <w:t>2020</w:t>
            </w:r>
            <w:r>
              <w:rPr>
                <w:rFonts w:hint="eastAsia"/>
                <w:b w:val="0"/>
                <w:bCs w:val="0"/>
                <w:sz w:val="24"/>
                <w:szCs w:val="24"/>
              </w:rPr>
              <w:t>〕</w:t>
            </w:r>
            <w:r>
              <w:rPr>
                <w:b w:val="0"/>
                <w:bCs w:val="0"/>
                <w:sz w:val="24"/>
                <w:szCs w:val="24"/>
              </w:rPr>
              <w:t>11</w:t>
            </w:r>
            <w:r>
              <w:rPr>
                <w:rFonts w:hint="eastAsia"/>
                <w:b w:val="0"/>
                <w:bCs w:val="0"/>
                <w:sz w:val="24"/>
                <w:szCs w:val="24"/>
              </w:rPr>
              <w:t>号）、《西安市</w:t>
            </w:r>
            <w:r>
              <w:rPr>
                <w:b w:val="0"/>
                <w:bCs w:val="0"/>
                <w:sz w:val="24"/>
                <w:szCs w:val="24"/>
              </w:rPr>
              <w:t>“</w:t>
            </w:r>
            <w:r>
              <w:rPr>
                <w:rFonts w:hint="eastAsia"/>
                <w:b w:val="0"/>
                <w:bCs w:val="0"/>
                <w:sz w:val="24"/>
                <w:szCs w:val="24"/>
              </w:rPr>
              <w:t>三线一单</w:t>
            </w:r>
            <w:r>
              <w:rPr>
                <w:b w:val="0"/>
                <w:bCs w:val="0"/>
                <w:sz w:val="24"/>
                <w:szCs w:val="24"/>
              </w:rPr>
              <w:t>”</w:t>
            </w:r>
            <w:r>
              <w:rPr>
                <w:rFonts w:hint="eastAsia"/>
                <w:b w:val="0"/>
                <w:bCs w:val="0"/>
                <w:sz w:val="24"/>
                <w:szCs w:val="24"/>
              </w:rPr>
              <w:t>生态环境分区管控方案》（市政发〔</w:t>
            </w:r>
            <w:r>
              <w:rPr>
                <w:b w:val="0"/>
                <w:bCs w:val="0"/>
                <w:sz w:val="24"/>
                <w:szCs w:val="24"/>
              </w:rPr>
              <w:t>2021</w:t>
            </w:r>
            <w:r>
              <w:rPr>
                <w:rFonts w:hint="eastAsia"/>
                <w:b w:val="0"/>
                <w:bCs w:val="0"/>
                <w:sz w:val="24"/>
                <w:szCs w:val="24"/>
              </w:rPr>
              <w:t>〕</w:t>
            </w:r>
            <w:r>
              <w:rPr>
                <w:b w:val="0"/>
                <w:bCs w:val="0"/>
                <w:sz w:val="24"/>
                <w:szCs w:val="24"/>
              </w:rPr>
              <w:t>22</w:t>
            </w:r>
            <w:r>
              <w:rPr>
                <w:rFonts w:hint="eastAsia"/>
                <w:b w:val="0"/>
                <w:bCs w:val="0"/>
                <w:sz w:val="24"/>
                <w:szCs w:val="24"/>
              </w:rPr>
              <w:t>号）、《陕西省</w:t>
            </w:r>
            <w:r>
              <w:rPr>
                <w:b w:val="0"/>
                <w:bCs w:val="0"/>
                <w:sz w:val="24"/>
                <w:szCs w:val="24"/>
              </w:rPr>
              <w:t>“</w:t>
            </w:r>
            <w:r>
              <w:rPr>
                <w:rFonts w:hint="eastAsia"/>
                <w:b w:val="0"/>
                <w:bCs w:val="0"/>
                <w:sz w:val="24"/>
                <w:szCs w:val="24"/>
              </w:rPr>
              <w:t>三线一单</w:t>
            </w:r>
            <w:r>
              <w:rPr>
                <w:b w:val="0"/>
                <w:bCs w:val="0"/>
                <w:sz w:val="24"/>
                <w:szCs w:val="24"/>
              </w:rPr>
              <w:t>”</w:t>
            </w:r>
            <w:r>
              <w:rPr>
                <w:rFonts w:hint="eastAsia"/>
                <w:b w:val="0"/>
                <w:bCs w:val="0"/>
                <w:sz w:val="24"/>
                <w:szCs w:val="24"/>
              </w:rPr>
              <w:t>生态环境分区管控应用技术指南：环境影响评价（试行）》（陕环办发〔</w:t>
            </w:r>
            <w:r>
              <w:rPr>
                <w:b w:val="0"/>
                <w:bCs w:val="0"/>
                <w:sz w:val="24"/>
                <w:szCs w:val="24"/>
              </w:rPr>
              <w:t>2022</w:t>
            </w:r>
            <w:r>
              <w:rPr>
                <w:rFonts w:hint="eastAsia"/>
                <w:b w:val="0"/>
                <w:bCs w:val="0"/>
                <w:sz w:val="24"/>
                <w:szCs w:val="24"/>
              </w:rPr>
              <w:t>〕</w:t>
            </w:r>
            <w:r>
              <w:rPr>
                <w:b w:val="0"/>
                <w:bCs w:val="0"/>
                <w:sz w:val="24"/>
                <w:szCs w:val="24"/>
              </w:rPr>
              <w:t>76</w:t>
            </w:r>
            <w:r>
              <w:rPr>
                <w:rFonts w:hint="eastAsia"/>
                <w:b w:val="0"/>
                <w:bCs w:val="0"/>
                <w:sz w:val="24"/>
                <w:szCs w:val="24"/>
              </w:rPr>
              <w:t>号）的通知，</w:t>
            </w:r>
            <w:r>
              <w:rPr>
                <w:rFonts w:hint="eastAsia"/>
                <w:b w:val="0"/>
                <w:bCs w:val="0"/>
                <w:sz w:val="24"/>
                <w:szCs w:val="24"/>
                <w:lang w:val="zh-CN"/>
              </w:rPr>
              <w:t>西安粹益汽车配件有限公司汽车核心零部件生产建设项目</w:t>
            </w:r>
            <w:r>
              <w:rPr>
                <w:rFonts w:hint="eastAsia"/>
                <w:b w:val="0"/>
                <w:bCs w:val="0"/>
                <w:sz w:val="24"/>
                <w:szCs w:val="24"/>
              </w:rPr>
              <w:t>与环境管控单元比对，项目位于西安市鄠邑区重点管控单元。</w:t>
            </w:r>
          </w:p>
          <w:p>
            <w:pPr>
              <w:spacing w:line="360" w:lineRule="auto"/>
              <w:ind w:firstLine="482" w:firstLineChars="200"/>
              <w:rPr>
                <w:sz w:val="24"/>
              </w:rPr>
            </w:pPr>
            <w:r>
              <w:rPr>
                <w:b/>
                <w:bCs/>
                <w:sz w:val="24"/>
              </w:rPr>
              <w:t>1</w:t>
            </w:r>
            <w:r>
              <w:rPr>
                <w:rFonts w:hint="eastAsia"/>
                <w:b/>
                <w:bCs/>
                <w:sz w:val="24"/>
              </w:rPr>
              <w:t>、项目与环境管控单元对照分析示意图</w:t>
            </w:r>
          </w:p>
          <w:p>
            <w:pPr>
              <w:spacing w:line="360" w:lineRule="auto"/>
              <w:ind w:firstLine="480" w:firstLineChars="200"/>
              <w:rPr>
                <w:sz w:val="24"/>
              </w:rPr>
            </w:pPr>
            <w:r>
              <w:rPr>
                <w:rFonts w:hint="eastAsia"/>
                <w:sz w:val="24"/>
              </w:rPr>
              <w:t>项目与环境管控单元示意图见附图</w:t>
            </w:r>
            <w:r>
              <w:rPr>
                <w:sz w:val="24"/>
              </w:rPr>
              <w:t>6</w:t>
            </w:r>
            <w:r>
              <w:rPr>
                <w:rFonts w:hint="eastAsia"/>
                <w:sz w:val="24"/>
              </w:rPr>
              <w:t>。</w:t>
            </w:r>
          </w:p>
          <w:p>
            <w:pPr>
              <w:spacing w:line="360" w:lineRule="auto"/>
              <w:ind w:firstLine="482" w:firstLineChars="200"/>
              <w:rPr>
                <w:b/>
                <w:bCs/>
                <w:sz w:val="24"/>
              </w:rPr>
            </w:pPr>
            <w:r>
              <w:rPr>
                <w:b/>
                <w:bCs/>
                <w:sz w:val="24"/>
              </w:rPr>
              <w:t>2</w:t>
            </w:r>
            <w:r>
              <w:rPr>
                <w:rFonts w:hint="eastAsia"/>
                <w:b/>
                <w:bCs/>
                <w:sz w:val="24"/>
              </w:rPr>
              <w:t>、环境管控单元涉及情况</w:t>
            </w:r>
          </w:p>
          <w:p>
            <w:pPr>
              <w:jc w:val="center"/>
              <w:rPr>
                <w:b/>
                <w:bCs/>
                <w:szCs w:val="21"/>
              </w:rPr>
            </w:pPr>
            <w:r>
              <w:rPr>
                <w:rFonts w:hint="eastAsia"/>
                <w:b/>
                <w:bCs/>
                <w:szCs w:val="21"/>
              </w:rPr>
              <w:t>表</w:t>
            </w:r>
            <w:r>
              <w:rPr>
                <w:b/>
                <w:bCs/>
                <w:szCs w:val="21"/>
              </w:rPr>
              <w:t xml:space="preserve">1-3   </w:t>
            </w:r>
            <w:r>
              <w:rPr>
                <w:rFonts w:hint="eastAsia"/>
                <w:b/>
                <w:bCs/>
                <w:szCs w:val="21"/>
              </w:rPr>
              <w:t>项目与环境管控单元涉及情况</w:t>
            </w:r>
          </w:p>
          <w:tbl>
            <w:tblPr>
              <w:tblStyle w:val="18"/>
              <w:tblW w:w="494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28" w:type="dxa"/>
                <w:left w:w="28" w:type="dxa"/>
                <w:bottom w:w="28" w:type="dxa"/>
                <w:right w:w="28" w:type="dxa"/>
              </w:tblCellMar>
            </w:tblPr>
            <w:tblGrid>
              <w:gridCol w:w="2485"/>
              <w:gridCol w:w="2485"/>
              <w:gridCol w:w="248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op w:val="single" w:color="000000" w:sz="12" w:space="0"/>
                    <w:left w:val="single" w:color="000000" w:sz="12" w:space="0"/>
                    <w:bottom w:val="single" w:color="000000" w:sz="4" w:space="0"/>
                    <w:right w:val="single" w:color="000000" w:sz="4" w:space="0"/>
                  </w:tcBorders>
                  <w:vAlign w:val="center"/>
                </w:tcPr>
                <w:p>
                  <w:pPr>
                    <w:pStyle w:val="38"/>
                    <w:autoSpaceDE w:val="0"/>
                    <w:autoSpaceDN w:val="0"/>
                    <w:spacing w:line="240" w:lineRule="atLeast"/>
                    <w:rPr>
                      <w:rFonts w:eastAsia="宋体"/>
                      <w:b/>
                      <w:bCs/>
                      <w:sz w:val="21"/>
                      <w:szCs w:val="21"/>
                    </w:rPr>
                  </w:pPr>
                  <w:r>
                    <w:rPr>
                      <w:rFonts w:hint="eastAsia" w:eastAsia="宋体"/>
                      <w:b/>
                      <w:bCs/>
                      <w:sz w:val="21"/>
                      <w:szCs w:val="21"/>
                    </w:rPr>
                    <w:t>环境管控单元分类</w:t>
                  </w:r>
                </w:p>
              </w:tc>
              <w:tc>
                <w:tcPr>
                  <w:tcW w:w="2648" w:type="dxa"/>
                  <w:tcBorders>
                    <w:top w:val="single" w:color="000000" w:sz="12" w:space="0"/>
                    <w:left w:val="single" w:color="000000" w:sz="4" w:space="0"/>
                    <w:bottom w:val="single" w:color="000000" w:sz="4" w:space="0"/>
                    <w:right w:val="single" w:color="000000" w:sz="4" w:space="0"/>
                  </w:tcBorders>
                  <w:vAlign w:val="center"/>
                </w:tcPr>
                <w:p>
                  <w:pPr>
                    <w:pStyle w:val="38"/>
                    <w:autoSpaceDE w:val="0"/>
                    <w:autoSpaceDN w:val="0"/>
                    <w:spacing w:line="240" w:lineRule="atLeast"/>
                    <w:rPr>
                      <w:rFonts w:eastAsia="宋体"/>
                      <w:b/>
                      <w:bCs/>
                      <w:sz w:val="21"/>
                      <w:szCs w:val="21"/>
                    </w:rPr>
                  </w:pPr>
                  <w:r>
                    <w:rPr>
                      <w:rFonts w:hint="eastAsia" w:eastAsia="宋体"/>
                      <w:b/>
                      <w:bCs/>
                      <w:sz w:val="21"/>
                      <w:szCs w:val="21"/>
                    </w:rPr>
                    <w:t>是否涉及</w:t>
                  </w:r>
                </w:p>
              </w:tc>
              <w:tc>
                <w:tcPr>
                  <w:tcW w:w="2648" w:type="dxa"/>
                  <w:tcBorders>
                    <w:top w:val="single" w:color="000000" w:sz="12" w:space="0"/>
                    <w:left w:val="single" w:color="000000" w:sz="4" w:space="0"/>
                    <w:bottom w:val="single" w:color="000000" w:sz="4" w:space="0"/>
                    <w:right w:val="single" w:color="000000" w:sz="12" w:space="0"/>
                  </w:tcBorders>
                  <w:vAlign w:val="center"/>
                </w:tcPr>
                <w:p>
                  <w:pPr>
                    <w:pStyle w:val="38"/>
                    <w:autoSpaceDE w:val="0"/>
                    <w:autoSpaceDN w:val="0"/>
                    <w:spacing w:line="240" w:lineRule="atLeast"/>
                    <w:rPr>
                      <w:rFonts w:eastAsia="宋体"/>
                      <w:b/>
                      <w:bCs/>
                      <w:sz w:val="21"/>
                      <w:szCs w:val="21"/>
                    </w:rPr>
                  </w:pPr>
                  <w:r>
                    <w:rPr>
                      <w:rFonts w:hint="eastAsia" w:eastAsia="宋体"/>
                      <w:b/>
                      <w:bCs/>
                      <w:sz w:val="21"/>
                      <w:szCs w:val="21"/>
                    </w:rPr>
                    <w:t>面积</w:t>
                  </w:r>
                  <w:r>
                    <w:rPr>
                      <w:rFonts w:eastAsia="宋体"/>
                      <w:b/>
                      <w:bCs/>
                      <w:sz w:val="21"/>
                      <w:szCs w:val="21"/>
                    </w:rPr>
                    <w:t>/</w:t>
                  </w:r>
                  <w:r>
                    <w:rPr>
                      <w:rFonts w:hint="eastAsia" w:eastAsia="宋体"/>
                      <w:b/>
                      <w:bCs/>
                      <w:sz w:val="21"/>
                      <w:szCs w:val="21"/>
                    </w:rPr>
                    <w:t>长度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op w:val="single" w:color="000000" w:sz="4" w:space="0"/>
                    <w:left w:val="single" w:color="000000" w:sz="12" w:space="0"/>
                    <w:bottom w:val="single" w:color="000000" w:sz="4" w:space="0"/>
                    <w:right w:val="single" w:color="000000" w:sz="4" w:space="0"/>
                  </w:tcBorders>
                  <w:vAlign w:val="center"/>
                </w:tcPr>
                <w:p>
                  <w:pPr>
                    <w:pStyle w:val="38"/>
                    <w:autoSpaceDE w:val="0"/>
                    <w:autoSpaceDN w:val="0"/>
                    <w:spacing w:line="240" w:lineRule="atLeast"/>
                    <w:rPr>
                      <w:rFonts w:eastAsia="宋体"/>
                      <w:sz w:val="21"/>
                      <w:szCs w:val="21"/>
                    </w:rPr>
                  </w:pPr>
                  <w:r>
                    <w:rPr>
                      <w:rFonts w:hint="eastAsia" w:eastAsia="宋体"/>
                      <w:sz w:val="21"/>
                      <w:szCs w:val="21"/>
                    </w:rPr>
                    <w:t>优先保护单元</w:t>
                  </w:r>
                </w:p>
              </w:tc>
              <w:tc>
                <w:tcPr>
                  <w:tcW w:w="2648"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spacing w:line="240" w:lineRule="atLeast"/>
                    <w:rPr>
                      <w:rFonts w:eastAsia="宋体"/>
                      <w:sz w:val="21"/>
                      <w:szCs w:val="21"/>
                    </w:rPr>
                  </w:pPr>
                  <w:r>
                    <w:rPr>
                      <w:rFonts w:hint="eastAsia" w:eastAsia="宋体"/>
                      <w:sz w:val="21"/>
                      <w:szCs w:val="21"/>
                    </w:rPr>
                    <w:t>否</w:t>
                  </w:r>
                </w:p>
              </w:tc>
              <w:tc>
                <w:tcPr>
                  <w:tcW w:w="2648" w:type="dxa"/>
                  <w:tcBorders>
                    <w:top w:val="single" w:color="000000" w:sz="4" w:space="0"/>
                    <w:left w:val="single" w:color="000000" w:sz="4" w:space="0"/>
                    <w:bottom w:val="single" w:color="000000" w:sz="4" w:space="0"/>
                    <w:right w:val="single" w:color="000000" w:sz="12" w:space="0"/>
                  </w:tcBorders>
                  <w:vAlign w:val="center"/>
                </w:tcPr>
                <w:p>
                  <w:pPr>
                    <w:pStyle w:val="38"/>
                    <w:autoSpaceDE w:val="0"/>
                    <w:autoSpaceDN w:val="0"/>
                    <w:spacing w:line="240" w:lineRule="atLeast"/>
                    <w:rPr>
                      <w:rFonts w:eastAsia="宋体"/>
                      <w:sz w:val="21"/>
                      <w:szCs w:val="21"/>
                    </w:rPr>
                  </w:pPr>
                  <w:r>
                    <w:rPr>
                      <w:rFonts w:eastAsia="宋体"/>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op w:val="single" w:color="000000" w:sz="4" w:space="0"/>
                    <w:left w:val="single" w:color="000000" w:sz="12" w:space="0"/>
                    <w:bottom w:val="single" w:color="000000" w:sz="4" w:space="0"/>
                    <w:right w:val="single" w:color="000000" w:sz="4" w:space="0"/>
                  </w:tcBorders>
                  <w:vAlign w:val="center"/>
                </w:tcPr>
                <w:p>
                  <w:pPr>
                    <w:pStyle w:val="38"/>
                    <w:autoSpaceDE w:val="0"/>
                    <w:autoSpaceDN w:val="0"/>
                    <w:spacing w:line="240" w:lineRule="atLeast"/>
                    <w:rPr>
                      <w:rFonts w:eastAsia="宋体"/>
                      <w:sz w:val="21"/>
                      <w:szCs w:val="21"/>
                    </w:rPr>
                  </w:pPr>
                  <w:r>
                    <w:rPr>
                      <w:rFonts w:hint="eastAsia" w:eastAsia="宋体"/>
                      <w:sz w:val="21"/>
                      <w:szCs w:val="21"/>
                    </w:rPr>
                    <w:t>重点管控单元</w:t>
                  </w:r>
                </w:p>
              </w:tc>
              <w:tc>
                <w:tcPr>
                  <w:tcW w:w="2648"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spacing w:line="240" w:lineRule="atLeast"/>
                    <w:rPr>
                      <w:rFonts w:eastAsia="宋体"/>
                      <w:sz w:val="21"/>
                      <w:szCs w:val="21"/>
                    </w:rPr>
                  </w:pPr>
                  <w:r>
                    <w:rPr>
                      <w:rFonts w:hint="eastAsia" w:eastAsia="宋体"/>
                      <w:sz w:val="21"/>
                      <w:szCs w:val="21"/>
                    </w:rPr>
                    <w:t>是</w:t>
                  </w:r>
                </w:p>
              </w:tc>
              <w:tc>
                <w:tcPr>
                  <w:tcW w:w="2648" w:type="dxa"/>
                  <w:tcBorders>
                    <w:top w:val="single" w:color="000000" w:sz="4" w:space="0"/>
                    <w:left w:val="single" w:color="000000" w:sz="4" w:space="0"/>
                    <w:bottom w:val="single" w:color="000000" w:sz="4" w:space="0"/>
                    <w:right w:val="single" w:color="000000" w:sz="12" w:space="0"/>
                  </w:tcBorders>
                  <w:vAlign w:val="center"/>
                </w:tcPr>
                <w:p>
                  <w:pPr>
                    <w:pStyle w:val="38"/>
                    <w:autoSpaceDE w:val="0"/>
                    <w:autoSpaceDN w:val="0"/>
                    <w:spacing w:line="240" w:lineRule="atLeast"/>
                    <w:rPr>
                      <w:rFonts w:eastAsia="宋体"/>
                      <w:sz w:val="21"/>
                      <w:szCs w:val="21"/>
                    </w:rPr>
                  </w:pPr>
                  <w:r>
                    <w:rPr>
                      <w:rFonts w:eastAsia="宋体"/>
                      <w:sz w:val="21"/>
                      <w:szCs w:val="21"/>
                    </w:rPr>
                    <w:t>2700</w:t>
                  </w:r>
                  <w:r>
                    <w:rPr>
                      <w:rFonts w:hint="eastAsia" w:eastAsia="宋体"/>
                      <w:sz w:val="21"/>
                      <w:szCs w:val="21"/>
                    </w:rPr>
                    <w:t>平方米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2647" w:type="dxa"/>
                  <w:tcBorders>
                    <w:top w:val="single" w:color="000000" w:sz="4" w:space="0"/>
                    <w:left w:val="single" w:color="000000" w:sz="12" w:space="0"/>
                    <w:bottom w:val="single" w:color="000000" w:sz="12" w:space="0"/>
                    <w:right w:val="single" w:color="000000" w:sz="4" w:space="0"/>
                  </w:tcBorders>
                  <w:vAlign w:val="center"/>
                </w:tcPr>
                <w:p>
                  <w:pPr>
                    <w:pStyle w:val="38"/>
                    <w:autoSpaceDE w:val="0"/>
                    <w:autoSpaceDN w:val="0"/>
                    <w:spacing w:line="240" w:lineRule="atLeast"/>
                    <w:rPr>
                      <w:rFonts w:eastAsia="宋体"/>
                      <w:sz w:val="21"/>
                      <w:szCs w:val="21"/>
                    </w:rPr>
                  </w:pPr>
                  <w:r>
                    <w:rPr>
                      <w:rFonts w:hint="eastAsia" w:eastAsia="宋体"/>
                      <w:sz w:val="21"/>
                      <w:szCs w:val="21"/>
                    </w:rPr>
                    <w:t>一般管控单元</w:t>
                  </w:r>
                </w:p>
              </w:tc>
              <w:tc>
                <w:tcPr>
                  <w:tcW w:w="2648" w:type="dxa"/>
                  <w:tcBorders>
                    <w:top w:val="single" w:color="000000" w:sz="4" w:space="0"/>
                    <w:left w:val="single" w:color="000000" w:sz="4" w:space="0"/>
                    <w:bottom w:val="single" w:color="000000" w:sz="12" w:space="0"/>
                    <w:right w:val="single" w:color="000000" w:sz="4" w:space="0"/>
                  </w:tcBorders>
                  <w:vAlign w:val="center"/>
                </w:tcPr>
                <w:p>
                  <w:pPr>
                    <w:pStyle w:val="38"/>
                    <w:autoSpaceDE w:val="0"/>
                    <w:autoSpaceDN w:val="0"/>
                    <w:spacing w:line="240" w:lineRule="atLeast"/>
                    <w:rPr>
                      <w:rFonts w:eastAsia="宋体"/>
                      <w:sz w:val="21"/>
                      <w:szCs w:val="21"/>
                    </w:rPr>
                  </w:pPr>
                  <w:r>
                    <w:rPr>
                      <w:rFonts w:hint="eastAsia" w:eastAsia="宋体"/>
                      <w:sz w:val="21"/>
                      <w:szCs w:val="21"/>
                    </w:rPr>
                    <w:t>否</w:t>
                  </w:r>
                </w:p>
              </w:tc>
              <w:tc>
                <w:tcPr>
                  <w:tcW w:w="2648" w:type="dxa"/>
                  <w:tcBorders>
                    <w:top w:val="single" w:color="000000" w:sz="4" w:space="0"/>
                    <w:left w:val="single" w:color="000000" w:sz="4" w:space="0"/>
                    <w:bottom w:val="single" w:color="000000" w:sz="12" w:space="0"/>
                    <w:right w:val="single" w:color="000000" w:sz="12" w:space="0"/>
                  </w:tcBorders>
                  <w:vAlign w:val="center"/>
                </w:tcPr>
                <w:p>
                  <w:pPr>
                    <w:pStyle w:val="38"/>
                    <w:autoSpaceDE w:val="0"/>
                    <w:autoSpaceDN w:val="0"/>
                    <w:spacing w:line="240" w:lineRule="atLeast"/>
                    <w:rPr>
                      <w:rFonts w:eastAsia="宋体"/>
                      <w:sz w:val="21"/>
                      <w:szCs w:val="21"/>
                    </w:rPr>
                  </w:pPr>
                </w:p>
              </w:tc>
            </w:tr>
          </w:tbl>
          <w:p>
            <w:pPr>
              <w:autoSpaceDE w:val="0"/>
              <w:autoSpaceDN w:val="0"/>
              <w:rPr>
                <w:b/>
                <w:bCs/>
                <w:spacing w:val="12"/>
                <w:sz w:val="24"/>
              </w:rPr>
            </w:pPr>
            <w:r>
              <w:drawing>
                <wp:inline distT="0" distB="0" distL="114300" distR="114300">
                  <wp:extent cx="4791075" cy="3600450"/>
                  <wp:effectExtent l="0" t="0" r="9525" b="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8"/>
                          <a:stretch>
                            <a:fillRect/>
                          </a:stretch>
                        </pic:blipFill>
                        <pic:spPr>
                          <a:xfrm>
                            <a:off x="0" y="0"/>
                            <a:ext cx="4791075" cy="3600450"/>
                          </a:xfrm>
                          <a:prstGeom prst="rect">
                            <a:avLst/>
                          </a:prstGeom>
                          <a:noFill/>
                          <a:ln>
                            <a:noFill/>
                          </a:ln>
                        </pic:spPr>
                      </pic:pic>
                    </a:graphicData>
                  </a:graphic>
                </wp:inline>
              </w:drawing>
            </w:r>
          </w:p>
          <w:p>
            <w:pPr>
              <w:autoSpaceDE w:val="0"/>
              <w:autoSpaceDN w:val="0"/>
              <w:adjustRightInd w:val="0"/>
              <w:snapToGrid w:val="0"/>
              <w:spacing w:line="480" w:lineRule="exact"/>
              <w:jc w:val="center"/>
              <w:rPr>
                <w:b/>
                <w:bCs/>
                <w:spacing w:val="12"/>
                <w:sz w:val="24"/>
              </w:rPr>
            </w:pPr>
            <w:r>
              <w:rPr>
                <w:rFonts w:hint="eastAsia"/>
                <w:b/>
                <w:bCs/>
              </w:rPr>
              <w:t>图</w:t>
            </w:r>
            <w:r>
              <w:rPr>
                <w:b/>
                <w:bCs/>
              </w:rPr>
              <w:t xml:space="preserve">1-1   </w:t>
            </w:r>
            <w:r>
              <w:rPr>
                <w:rFonts w:hint="eastAsia"/>
                <w:b/>
                <w:bCs/>
              </w:rPr>
              <w:t>项目与陕西省“三线一单”环境管控单元空间冲突分析图</w:t>
            </w:r>
          </w:p>
          <w:p>
            <w:pPr>
              <w:autoSpaceDE w:val="0"/>
              <w:autoSpaceDN w:val="0"/>
              <w:spacing w:line="480" w:lineRule="exact"/>
              <w:ind w:firstLine="530" w:firstLineChars="200"/>
              <w:rPr>
                <w:b/>
                <w:bCs/>
                <w:sz w:val="24"/>
              </w:rPr>
            </w:pPr>
            <w:r>
              <w:rPr>
                <w:b/>
                <w:bCs/>
                <w:spacing w:val="12"/>
                <w:sz w:val="24"/>
              </w:rPr>
              <w:t>3</w:t>
            </w:r>
            <w:r>
              <w:rPr>
                <w:rFonts w:hint="eastAsia"/>
                <w:b/>
                <w:bCs/>
                <w:spacing w:val="12"/>
                <w:sz w:val="24"/>
              </w:rPr>
              <w:t>、项目符合性说明</w:t>
            </w:r>
          </w:p>
          <w:p>
            <w:pPr>
              <w:autoSpaceDE w:val="0"/>
              <w:autoSpaceDN w:val="0"/>
              <w:adjustRightInd w:val="0"/>
              <w:snapToGrid w:val="0"/>
              <w:jc w:val="center"/>
              <w:rPr>
                <w:kern w:val="0"/>
                <w:szCs w:val="21"/>
              </w:rPr>
            </w:pPr>
            <w:r>
              <w:rPr>
                <w:rFonts w:hint="eastAsia"/>
                <w:b/>
                <w:bCs/>
                <w:kern w:val="0"/>
                <w:szCs w:val="21"/>
              </w:rPr>
              <w:t>表</w:t>
            </w:r>
            <w:r>
              <w:rPr>
                <w:b/>
                <w:bCs/>
                <w:kern w:val="0"/>
                <w:szCs w:val="21"/>
              </w:rPr>
              <w:t xml:space="preserve">1-4   </w:t>
            </w:r>
            <w:r>
              <w:rPr>
                <w:rFonts w:hint="eastAsia"/>
                <w:b/>
                <w:bCs/>
                <w:kern w:val="0"/>
                <w:szCs w:val="21"/>
              </w:rPr>
              <w:t>项目与环境管控单元管控要求符合性分析</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28"/>
              <w:gridCol w:w="644"/>
              <w:gridCol w:w="428"/>
              <w:gridCol w:w="407"/>
              <w:gridCol w:w="2269"/>
              <w:gridCol w:w="735"/>
              <w:gridCol w:w="1324"/>
              <w:gridCol w:w="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市（区）</w:t>
                  </w:r>
                </w:p>
              </w:tc>
              <w:tc>
                <w:tcPr>
                  <w:tcW w:w="284"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区县</w:t>
                  </w:r>
                </w:p>
              </w:tc>
              <w:tc>
                <w:tcPr>
                  <w:tcW w:w="428"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环境管控单元名称</w:t>
                  </w:r>
                </w:p>
              </w:tc>
              <w:tc>
                <w:tcPr>
                  <w:tcW w:w="284"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单元要素亲属性</w:t>
                  </w:r>
                </w:p>
              </w:tc>
              <w:tc>
                <w:tcPr>
                  <w:tcW w:w="1776" w:type="pct"/>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管控要求</w:t>
                  </w:r>
                </w:p>
              </w:tc>
              <w:tc>
                <w:tcPr>
                  <w:tcW w:w="488"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面积</w:t>
                  </w:r>
                  <w:r>
                    <w:rPr>
                      <w:b/>
                      <w:kern w:val="0"/>
                      <w:szCs w:val="21"/>
                    </w:rPr>
                    <w:t>/</w:t>
                  </w:r>
                  <w:r>
                    <w:rPr>
                      <w:rFonts w:hint="eastAsia"/>
                      <w:b/>
                      <w:kern w:val="0"/>
                      <w:szCs w:val="21"/>
                    </w:rPr>
                    <w:t>长度</w:t>
                  </w:r>
                </w:p>
              </w:tc>
              <w:tc>
                <w:tcPr>
                  <w:tcW w:w="879" w:type="pc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
                      <w:kern w:val="0"/>
                      <w:szCs w:val="21"/>
                    </w:rPr>
                    <w:t>本项目情况</w:t>
                  </w:r>
                </w:p>
              </w:tc>
              <w:tc>
                <w:tcPr>
                  <w:tcW w:w="284" w:type="pct"/>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b/>
                      <w:kern w:val="0"/>
                      <w:szCs w:val="21"/>
                    </w:rPr>
                  </w:pPr>
                  <w:r>
                    <w:rPr>
                      <w:rFonts w:hint="eastAsia"/>
                      <w:b/>
                      <w:kern w:val="0"/>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75" w:type="pct"/>
                  <w:vMerge w:val="restart"/>
                  <w:tcBorders>
                    <w:top w:val="single" w:color="auto" w:sz="4" w:space="0"/>
                    <w:left w:val="single" w:color="auto" w:sz="12" w:space="0"/>
                    <w:bottom w:val="single" w:color="auto" w:sz="4" w:space="0"/>
                    <w:right w:val="single" w:color="auto" w:sz="4" w:space="0"/>
                  </w:tcBorders>
                  <w:vAlign w:val="center"/>
                </w:tcPr>
                <w:p>
                  <w:pPr>
                    <w:jc w:val="center"/>
                    <w:rPr>
                      <w:szCs w:val="21"/>
                    </w:rPr>
                  </w:pPr>
                  <w:r>
                    <w:rPr>
                      <w:rFonts w:hint="eastAsia"/>
                      <w:szCs w:val="21"/>
                    </w:rPr>
                    <w:t>西安市</w:t>
                  </w: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rPr>
                  </w:pPr>
                  <w:r>
                    <w:rPr>
                      <w:rFonts w:hint="eastAsia"/>
                      <w:bCs/>
                      <w:kern w:val="0"/>
                      <w:szCs w:val="21"/>
                    </w:rPr>
                    <w:t>鄠邑区</w:t>
                  </w:r>
                </w:p>
              </w:tc>
              <w:tc>
                <w:tcPr>
                  <w:tcW w:w="428" w:type="pct"/>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西安沣京工业</w:t>
                  </w:r>
                </w:p>
                <w:p>
                  <w:pPr>
                    <w:jc w:val="center"/>
                    <w:rPr>
                      <w:szCs w:val="21"/>
                    </w:rPr>
                  </w:pPr>
                  <w:r>
                    <w:rPr>
                      <w:rFonts w:hint="eastAsia"/>
                      <w:szCs w:val="21"/>
                    </w:rPr>
                    <w:t>园（含西户高新</w:t>
                  </w:r>
                </w:p>
                <w:p>
                  <w:pPr>
                    <w:jc w:val="center"/>
                    <w:rPr>
                      <w:szCs w:val="21"/>
                    </w:rPr>
                  </w:pPr>
                  <w:r>
                    <w:rPr>
                      <w:rFonts w:hint="eastAsia"/>
                      <w:szCs w:val="21"/>
                    </w:rPr>
                    <w:t>技术产业开发</w:t>
                  </w:r>
                </w:p>
                <w:p>
                  <w:pPr>
                    <w:jc w:val="center"/>
                    <w:rPr>
                      <w:szCs w:val="21"/>
                    </w:rPr>
                  </w:pPr>
                  <w:r>
                    <w:rPr>
                      <w:rFonts w:hint="eastAsia"/>
                      <w:szCs w:val="21"/>
                    </w:rPr>
                    <w:t>区）</w:t>
                  </w: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高污染燃料禁</w:t>
                  </w:r>
                </w:p>
                <w:p>
                  <w:pPr>
                    <w:spacing w:line="240" w:lineRule="atLeast"/>
                    <w:jc w:val="center"/>
                    <w:rPr>
                      <w:b/>
                      <w:kern w:val="0"/>
                      <w:szCs w:val="21"/>
                    </w:rPr>
                  </w:pPr>
                  <w:r>
                    <w:rPr>
                      <w:rFonts w:hint="eastAsia"/>
                      <w:szCs w:val="21"/>
                    </w:rPr>
                    <w:t>燃区</w:t>
                  </w:r>
                </w:p>
              </w:tc>
              <w:tc>
                <w:tcPr>
                  <w:tcW w:w="270"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center"/>
                    <w:rPr>
                      <w:kern w:val="0"/>
                      <w:szCs w:val="21"/>
                    </w:rPr>
                  </w:pPr>
                  <w:r>
                    <w:rPr>
                      <w:rFonts w:hint="eastAsia"/>
                      <w:kern w:val="2"/>
                      <w:sz w:val="21"/>
                      <w:szCs w:val="21"/>
                    </w:rPr>
                    <w:t>空间布局约束</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根据《西安市大气污染防治条例》，逐步</w:t>
                  </w:r>
                </w:p>
                <w:p>
                  <w:pPr>
                    <w:autoSpaceDE w:val="0"/>
                    <w:autoSpaceDN w:val="0"/>
                    <w:adjustRightInd w:val="0"/>
                    <w:jc w:val="center"/>
                    <w:rPr>
                      <w:kern w:val="0"/>
                      <w:szCs w:val="21"/>
                    </w:rPr>
                  </w:pPr>
                  <w:r>
                    <w:rPr>
                      <w:rFonts w:hint="eastAsia"/>
                      <w:kern w:val="0"/>
                      <w:szCs w:val="21"/>
                    </w:rPr>
                    <w:t>扩大高污染燃料禁燃区范围。高污染燃料禁燃区内，禁止销售、燃用高污染燃料；禁止新建、扩建燃用高污染燃料的设施。已建成的，应当在市人民政府规定的期限内停止使用或者改用天然气、页岩气、煤层气、液化石油气、干热岩、电、太阳能或者其他清洁能源。禁止在本市新建、改建、扩建燃用高污染燃料的建设项目。</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Cs/>
                      <w:szCs w:val="21"/>
                    </w:rPr>
                    <w:t>本项目占地面积</w:t>
                  </w:r>
                  <w:r>
                    <w:rPr>
                      <w:bCs/>
                      <w:szCs w:val="21"/>
                    </w:rPr>
                    <w:t>2700m</w:t>
                  </w:r>
                  <w:r>
                    <w:rPr>
                      <w:bCs/>
                      <w:szCs w:val="21"/>
                      <w:vertAlign w:val="superscript"/>
                    </w:rPr>
                    <w:t>2</w:t>
                  </w: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r>
                    <w:rPr>
                      <w:rFonts w:hint="eastAsia"/>
                      <w:bCs/>
                      <w:kern w:val="0"/>
                      <w:szCs w:val="21"/>
                    </w:rPr>
                    <w:t>本项目施工期运营期均不使用高污染燃料</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pPr>
                </w:p>
              </w:tc>
              <w:tc>
                <w:tcPr>
                  <w:tcW w:w="270"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center"/>
                    <w:rPr>
                      <w:kern w:val="0"/>
                      <w:szCs w:val="21"/>
                    </w:rPr>
                  </w:pPr>
                  <w:r>
                    <w:rPr>
                      <w:rFonts w:hint="eastAsia"/>
                      <w:kern w:val="2"/>
                      <w:sz w:val="21"/>
                      <w:szCs w:val="21"/>
                    </w:rPr>
                    <w:t>污染排放管控</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强化“散乱污”企业综合整治。全面开展</w:t>
                  </w:r>
                </w:p>
                <w:p>
                  <w:pPr>
                    <w:autoSpaceDE w:val="0"/>
                    <w:autoSpaceDN w:val="0"/>
                    <w:adjustRightInd w:val="0"/>
                    <w:jc w:val="center"/>
                    <w:rPr>
                      <w:kern w:val="0"/>
                      <w:szCs w:val="21"/>
                    </w:rPr>
                  </w:pPr>
                  <w:r>
                    <w:rPr>
                      <w:rFonts w:hint="eastAsia"/>
                      <w:kern w:val="0"/>
                      <w:szCs w:val="21"/>
                    </w:rPr>
                    <w:t>“散乱污”企业及集群综合整治行动。根据产业政策、产业布局规划，以及土地、环保、质量、安全、能耗等要求，进一步完善我市“散乱污”企业及集群认定、整治标准。实行拉网式排查，建立管理台账，实施分类处置。列入关停取缔类的，基本做到“两断三清”（切断工业用水、用电，清除原料、产品、生产设备）</w:t>
                  </w:r>
                  <w:r>
                    <w:rPr>
                      <w:kern w:val="0"/>
                      <w:szCs w:val="21"/>
                    </w:rPr>
                    <w:t>;</w:t>
                  </w:r>
                  <w:r>
                    <w:rPr>
                      <w:rFonts w:hint="eastAsia"/>
                      <w:kern w:val="0"/>
                      <w:szCs w:val="21"/>
                    </w:rPr>
                    <w:t>列入整合搬迁类的，要按照产业发展规模化、现代化的原则，搬迁至工业园区并实施升级改造，并依法依规办理相关审批手续</w:t>
                  </w:r>
                  <w:r>
                    <w:rPr>
                      <w:kern w:val="0"/>
                      <w:szCs w:val="21"/>
                    </w:rPr>
                    <w:t>;</w:t>
                  </w:r>
                  <w:r>
                    <w:rPr>
                      <w:rFonts w:hint="eastAsia"/>
                      <w:kern w:val="0"/>
                      <w:szCs w:val="21"/>
                    </w:rPr>
                    <w:t>列入升级改造类的，树立行业标杆，实施清洁生产技术改造，全面提升污染治理水平。建立“散乱污”企业动态管理机制，坚决杜</w:t>
                  </w:r>
                </w:p>
                <w:p>
                  <w:pPr>
                    <w:autoSpaceDE w:val="0"/>
                    <w:autoSpaceDN w:val="0"/>
                    <w:adjustRightInd w:val="0"/>
                    <w:rPr>
                      <w:kern w:val="0"/>
                      <w:szCs w:val="21"/>
                    </w:rPr>
                  </w:pPr>
                  <w:r>
                    <w:rPr>
                      <w:rFonts w:hint="eastAsia"/>
                      <w:kern w:val="0"/>
                      <w:szCs w:val="21"/>
                    </w:rPr>
                    <w:t>绝“散乱污”企业项目建设和已取缔的“散乱污”企业异地转移、死灰复燃。推进重点行业污染治理升级改造。二氧化硫、氮氧化物、颗粒物全面执行大气污染物特别排放限值。按省上要求，推动实施重点行业超低排放改造。强化工业企业无组织排放管控。开展建材、有色、火电、铸造等重点行业及燃煤锅炉无组织排放排查。开展锅炉综合整治。除热电联产锅炉外，全市所有燃煤锅炉、燃煤设施和工业煤气发生炉、热风炉、导热油炉已全部拆除或实行清洁能源改造，同步加大燃煤小锅炉及茶水炉、经营性炉灶、储粮烘干设备等燃</w:t>
                  </w:r>
                </w:p>
                <w:p>
                  <w:pPr>
                    <w:autoSpaceDE w:val="0"/>
                    <w:autoSpaceDN w:val="0"/>
                    <w:adjustRightInd w:val="0"/>
                    <w:jc w:val="center"/>
                    <w:rPr>
                      <w:kern w:val="0"/>
                      <w:szCs w:val="21"/>
                    </w:rPr>
                  </w:pPr>
                  <w:r>
                    <w:rPr>
                      <w:rFonts w:hint="eastAsia"/>
                      <w:kern w:val="0"/>
                      <w:szCs w:val="21"/>
                    </w:rPr>
                    <w:t>煤设施淘汰力度。根据《关于统筹和加强</w:t>
                  </w:r>
                </w:p>
                <w:p>
                  <w:pPr>
                    <w:autoSpaceDE w:val="0"/>
                    <w:autoSpaceDN w:val="0"/>
                    <w:adjustRightInd w:val="0"/>
                    <w:jc w:val="center"/>
                    <w:rPr>
                      <w:kern w:val="0"/>
                      <w:szCs w:val="21"/>
                    </w:rPr>
                  </w:pPr>
                  <w:r>
                    <w:rPr>
                      <w:rFonts w:hint="eastAsia"/>
                      <w:kern w:val="0"/>
                      <w:szCs w:val="21"/>
                    </w:rPr>
                    <w:t>应对气候变化与生态环境保护相关工作的指导意见》（环综合〔</w:t>
                  </w:r>
                  <w:r>
                    <w:rPr>
                      <w:kern w:val="0"/>
                      <w:szCs w:val="21"/>
                    </w:rPr>
                    <w:t>2021</w:t>
                  </w:r>
                  <w:r>
                    <w:rPr>
                      <w:rFonts w:hint="eastAsia"/>
                      <w:kern w:val="0"/>
                      <w:szCs w:val="21"/>
                    </w:rPr>
                    <w:t>〕</w:t>
                  </w:r>
                  <w:r>
                    <w:rPr>
                      <w:kern w:val="0"/>
                      <w:szCs w:val="21"/>
                    </w:rPr>
                    <w:t xml:space="preserve">10 </w:t>
                  </w:r>
                  <w:r>
                    <w:rPr>
                      <w:rFonts w:hint="eastAsia"/>
                      <w:kern w:val="0"/>
                      <w:szCs w:val="21"/>
                    </w:rPr>
                    <w:t>号），</w:t>
                  </w:r>
                </w:p>
                <w:p>
                  <w:pPr>
                    <w:autoSpaceDE w:val="0"/>
                    <w:autoSpaceDN w:val="0"/>
                    <w:adjustRightInd w:val="0"/>
                    <w:jc w:val="center"/>
                    <w:rPr>
                      <w:kern w:val="0"/>
                      <w:szCs w:val="21"/>
                    </w:rPr>
                  </w:pPr>
                  <w:r>
                    <w:rPr>
                      <w:rFonts w:hint="eastAsia"/>
                      <w:kern w:val="0"/>
                      <w:szCs w:val="21"/>
                    </w:rPr>
                    <w:t>把降碳作为源头治理的“牛鼻子”，协同控制温室气体与污染物排放，协同推进适应气候变化与生态保护修复等工作，支撑深入打好污染防治攻坚战和二氧化碳排放达峰行动。优先选择化石能源替代、原料工艺优化、产业结构升级等源头治理措施，严格控制高耗能、高排放项目建设。鼓励各地积极探索协同控制温室气体和污染物排放的创新举措和有效机制。</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Cs/>
                      <w:kern w:val="0"/>
                      <w:szCs w:val="21"/>
                    </w:rPr>
                    <w:t>本项目不属于“散乱污”企业；项目运营过程中使用能源主要为电能、天然气，不涉及燃煤锅炉</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7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环境风险</w:t>
                  </w:r>
                </w:p>
                <w:p>
                  <w:pPr>
                    <w:spacing w:line="240" w:lineRule="atLeast"/>
                    <w:jc w:val="center"/>
                    <w:rPr>
                      <w:kern w:val="0"/>
                      <w:szCs w:val="21"/>
                    </w:rPr>
                  </w:pPr>
                  <w:r>
                    <w:rPr>
                      <w:rFonts w:hint="eastAsia"/>
                      <w:szCs w:val="21"/>
                    </w:rPr>
                    <w:t>防控</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深入推进散煤治理。整村推进农村居民、农业生产、商业活动燃煤（薪）的清洁能源替代，采取以电代煤、以气代煤，以及地热能、风能和太阳能等清洁能源替代。扎实做好中央财政支持北方地区清洁取暖试点工作，综合考虑能源供应保障，坚持从实际出发，先立后破，宜电则电、宜气则气、宜热则热、宜煤则煤。组织开展燃煤散烧治理专项检查行动，确保生产、流通、使用的洁净煤符合标准。质监、工商部门要以洁净煤生产、销售环节为重点，每月组织开展洁净煤煤质专项检查，依法严厉打击销售劣质煤行为。加强秸秆等生物质禁烧。切实加强秸秆禁烧管控，强化地方各级政府秸秆禁烧主体责任。重点区域建立网格化监管制度，在夏收和秋收阶段开展秸秆禁烧专项巡查。严防因秸秆露天焚烧造成区域性重污染天气。</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Cs/>
                      <w:kern w:val="0"/>
                      <w:szCs w:val="21"/>
                    </w:rPr>
                    <w:t>项目运营过程中使用能源主要为电能、天然气，不涉及燃煤</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70"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kern w:val="0"/>
                      <w:szCs w:val="21"/>
                    </w:rPr>
                  </w:pPr>
                  <w:r>
                    <w:rPr>
                      <w:rFonts w:hint="eastAsia"/>
                      <w:szCs w:val="21"/>
                    </w:rPr>
                    <w:t>资源开发效率要求</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实施煤炭消费总量控制。煤炭消费总量控制以散煤削减为主，规上工业以燃料煤削减为主，完成省上下达的年度煤炭削减任务。落实《关中地区重点企业煤炭消费预算管理暂行办法》《关中地区热电联产</w:t>
                  </w:r>
                  <w:r>
                    <w:rPr>
                      <w:kern w:val="0"/>
                      <w:szCs w:val="21"/>
                    </w:rPr>
                    <w:t>(</w:t>
                  </w:r>
                  <w:r>
                    <w:rPr>
                      <w:rFonts w:hint="eastAsia"/>
                      <w:kern w:val="0"/>
                      <w:szCs w:val="21"/>
                    </w:rPr>
                    <w:t>自备电厂</w:t>
                  </w:r>
                  <w:r>
                    <w:rPr>
                      <w:kern w:val="0"/>
                      <w:szCs w:val="21"/>
                    </w:rPr>
                    <w:t>)</w:t>
                  </w:r>
                  <w:r>
                    <w:rPr>
                      <w:rFonts w:hint="eastAsia"/>
                      <w:kern w:val="0"/>
                      <w:szCs w:val="21"/>
                    </w:rPr>
                    <w:t>机组“以热定电”暂行办法》，加强节煤改造。按照煤炭集中使用、清洁利</w:t>
                  </w:r>
                </w:p>
                <w:p>
                  <w:pPr>
                    <w:autoSpaceDE w:val="0"/>
                    <w:autoSpaceDN w:val="0"/>
                    <w:adjustRightInd w:val="0"/>
                    <w:jc w:val="center"/>
                    <w:rPr>
                      <w:kern w:val="0"/>
                      <w:szCs w:val="21"/>
                    </w:rPr>
                  </w:pPr>
                  <w:r>
                    <w:rPr>
                      <w:rFonts w:hint="eastAsia"/>
                      <w:kern w:val="0"/>
                      <w:szCs w:val="21"/>
                    </w:rPr>
                    <w:t>用的原则，重点削减非电力用煤，提高电力用煤比例。继续推进电能替代燃煤和燃油，替代规模达到省上要求。煤炭消费实现负增长。全面加强秸秆综合利用。推广固化成型、生物气化、热解气化、炭化等能源化利用技术，培育龙头企业，示范带动秸秆原料利用专业化、规模化、产业化发展。加快发展清洁能源和新能源。有序发展水电，优化风能、太阳能开发布局，因地制宜发展地热能等。加大可再生能源消纳力度，基本解决弃水、弃风、弃光问题。</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Cs/>
                      <w:kern w:val="0"/>
                      <w:szCs w:val="21"/>
                    </w:rPr>
                    <w:t>项目运营过程中使用能源主要为电能、天然气，不涉及燃煤</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水环境农业污</w:t>
                  </w:r>
                </w:p>
                <w:p>
                  <w:pPr>
                    <w:autoSpaceDE w:val="0"/>
                    <w:autoSpaceDN w:val="0"/>
                    <w:adjustRightInd w:val="0"/>
                    <w:jc w:val="center"/>
                    <w:rPr>
                      <w:b/>
                      <w:kern w:val="0"/>
                      <w:szCs w:val="21"/>
                    </w:rPr>
                  </w:pPr>
                  <w:r>
                    <w:rPr>
                      <w:rFonts w:hint="eastAsia"/>
                      <w:kern w:val="0"/>
                      <w:szCs w:val="21"/>
                    </w:rPr>
                    <w:t>染重点管控区</w:t>
                  </w:r>
                </w:p>
              </w:tc>
              <w:tc>
                <w:tcPr>
                  <w:tcW w:w="2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空间布局</w:t>
                  </w:r>
                </w:p>
                <w:p>
                  <w:pPr>
                    <w:autoSpaceDE w:val="0"/>
                    <w:autoSpaceDN w:val="0"/>
                    <w:adjustRightInd w:val="0"/>
                    <w:jc w:val="center"/>
                    <w:rPr>
                      <w:kern w:val="0"/>
                      <w:szCs w:val="21"/>
                    </w:rPr>
                  </w:pPr>
                  <w:r>
                    <w:rPr>
                      <w:rFonts w:hint="eastAsia"/>
                      <w:kern w:val="0"/>
                      <w:szCs w:val="21"/>
                    </w:rPr>
                    <w:t>约束</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kern w:val="0"/>
                      <w:szCs w:val="21"/>
                    </w:rPr>
                    <w:t>1.</w:t>
                  </w:r>
                  <w:r>
                    <w:rPr>
                      <w:rFonts w:hint="eastAsia"/>
                      <w:kern w:val="0"/>
                      <w:szCs w:val="21"/>
                    </w:rPr>
                    <w:t>合理划分畜禽养殖区，严格区分养殖</w:t>
                  </w:r>
                </w:p>
                <w:p>
                  <w:pPr>
                    <w:autoSpaceDE w:val="0"/>
                    <w:autoSpaceDN w:val="0"/>
                    <w:adjustRightInd w:val="0"/>
                    <w:jc w:val="center"/>
                    <w:rPr>
                      <w:kern w:val="0"/>
                      <w:szCs w:val="21"/>
                    </w:rPr>
                  </w:pPr>
                  <w:r>
                    <w:rPr>
                      <w:rFonts w:hint="eastAsia"/>
                      <w:kern w:val="0"/>
                      <w:szCs w:val="21"/>
                    </w:rPr>
                    <w:t>区、限养殖区与禁止养殖区。</w:t>
                  </w:r>
                </w:p>
                <w:p>
                  <w:pPr>
                    <w:autoSpaceDE w:val="0"/>
                    <w:autoSpaceDN w:val="0"/>
                    <w:adjustRightInd w:val="0"/>
                    <w:jc w:val="center"/>
                    <w:rPr>
                      <w:kern w:val="0"/>
                      <w:szCs w:val="21"/>
                    </w:rPr>
                  </w:pPr>
                  <w:r>
                    <w:rPr>
                      <w:kern w:val="0"/>
                      <w:szCs w:val="21"/>
                    </w:rPr>
                    <w:t>2.</w:t>
                  </w:r>
                  <w:r>
                    <w:rPr>
                      <w:rFonts w:hint="eastAsia"/>
                      <w:kern w:val="0"/>
                      <w:szCs w:val="21"/>
                    </w:rPr>
                    <w:t>加快农业结构调整。</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Cs/>
                      <w:szCs w:val="21"/>
                    </w:rPr>
                    <w:t>本项目占地面积</w:t>
                  </w:r>
                  <w:r>
                    <w:rPr>
                      <w:bCs/>
                      <w:szCs w:val="21"/>
                    </w:rPr>
                    <w:t>2700m</w:t>
                  </w:r>
                  <w:r>
                    <w:rPr>
                      <w:bCs/>
                      <w:szCs w:val="21"/>
                      <w:vertAlign w:val="superscript"/>
                    </w:rPr>
                    <w:t>2</w:t>
                  </w:r>
                </w:p>
              </w:tc>
              <w:tc>
                <w:tcPr>
                  <w:tcW w:w="879"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r>
                    <w:rPr>
                      <w:rFonts w:hint="eastAsia"/>
                      <w:bCs/>
                      <w:kern w:val="0"/>
                      <w:szCs w:val="21"/>
                    </w:rPr>
                    <w:t>本项目为汽车零部件制造企业，为工业企业，不属于农业项目</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污染物排</w:t>
                  </w:r>
                </w:p>
                <w:p>
                  <w:pPr>
                    <w:autoSpaceDE w:val="0"/>
                    <w:autoSpaceDN w:val="0"/>
                    <w:adjustRightInd w:val="0"/>
                    <w:jc w:val="center"/>
                    <w:rPr>
                      <w:kern w:val="0"/>
                      <w:szCs w:val="21"/>
                    </w:rPr>
                  </w:pPr>
                  <w:r>
                    <w:rPr>
                      <w:rFonts w:hint="eastAsia"/>
                      <w:kern w:val="0"/>
                      <w:szCs w:val="21"/>
                    </w:rPr>
                    <w:t>放管控</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kern w:val="0"/>
                      <w:szCs w:val="21"/>
                    </w:rPr>
                    <w:t>1.</w:t>
                  </w:r>
                  <w:r>
                    <w:rPr>
                      <w:rFonts w:hint="eastAsia"/>
                      <w:kern w:val="0"/>
                      <w:szCs w:val="21"/>
                    </w:rPr>
                    <w:t>规范畜禽养殖业发展，推进区域内的畜禽养殖企业粪污的资源化利用。</w:t>
                  </w:r>
                </w:p>
                <w:p>
                  <w:pPr>
                    <w:autoSpaceDE w:val="0"/>
                    <w:autoSpaceDN w:val="0"/>
                    <w:adjustRightInd w:val="0"/>
                    <w:jc w:val="center"/>
                    <w:rPr>
                      <w:kern w:val="0"/>
                      <w:szCs w:val="21"/>
                    </w:rPr>
                  </w:pPr>
                  <w:r>
                    <w:rPr>
                      <w:kern w:val="0"/>
                      <w:szCs w:val="21"/>
                    </w:rPr>
                    <w:t>2.</w:t>
                  </w:r>
                  <w:r>
                    <w:rPr>
                      <w:rFonts w:hint="eastAsia"/>
                      <w:kern w:val="0"/>
                      <w:szCs w:val="21"/>
                    </w:rPr>
                    <w:t>加强农村环境综合整治，加大农业面源污染防治，推广测土配方施肥，推进重大病虫害统防统治和绿色防控，加强农药包装废弃物回收监督管理。</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879"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bCs/>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r>
                    <w:rPr>
                      <w:rFonts w:hint="eastAsia"/>
                      <w:bCs/>
                      <w:kern w:val="0"/>
                      <w:szCs w:val="21"/>
                    </w:rPr>
                    <w:t>大气环境高排</w:t>
                  </w:r>
                </w:p>
                <w:p>
                  <w:pPr>
                    <w:autoSpaceDE w:val="0"/>
                    <w:autoSpaceDN w:val="0"/>
                    <w:adjustRightInd w:val="0"/>
                    <w:jc w:val="center"/>
                    <w:rPr>
                      <w:bCs/>
                      <w:kern w:val="0"/>
                      <w:szCs w:val="21"/>
                    </w:rPr>
                  </w:pPr>
                  <w:r>
                    <w:rPr>
                      <w:rFonts w:hint="eastAsia"/>
                      <w:bCs/>
                      <w:kern w:val="0"/>
                      <w:szCs w:val="21"/>
                    </w:rPr>
                    <w:t>放重点管控区</w:t>
                  </w:r>
                </w:p>
              </w:tc>
              <w:tc>
                <w:tcPr>
                  <w:tcW w:w="2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r>
                    <w:rPr>
                      <w:rFonts w:hint="eastAsia"/>
                      <w:bCs/>
                      <w:kern w:val="0"/>
                      <w:szCs w:val="21"/>
                    </w:rPr>
                    <w:t>空间布局</w:t>
                  </w:r>
                </w:p>
                <w:p>
                  <w:pPr>
                    <w:autoSpaceDE w:val="0"/>
                    <w:autoSpaceDN w:val="0"/>
                    <w:adjustRightInd w:val="0"/>
                    <w:jc w:val="center"/>
                    <w:rPr>
                      <w:bCs/>
                      <w:kern w:val="0"/>
                      <w:szCs w:val="21"/>
                    </w:rPr>
                  </w:pPr>
                  <w:r>
                    <w:rPr>
                      <w:rFonts w:hint="eastAsia"/>
                      <w:bCs/>
                      <w:kern w:val="0"/>
                      <w:szCs w:val="21"/>
                    </w:rPr>
                    <w:t>约束</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kern w:val="0"/>
                      <w:szCs w:val="21"/>
                    </w:rPr>
                    <w:t>1.</w:t>
                  </w:r>
                  <w:r>
                    <w:rPr>
                      <w:rFonts w:hint="eastAsia"/>
                      <w:kern w:val="0"/>
                      <w:szCs w:val="21"/>
                    </w:rPr>
                    <w:t>大气污染防治重点区域严禁新增钢铁、水泥熟料、平板玻璃、炼化产能。</w:t>
                  </w:r>
                </w:p>
                <w:p>
                  <w:pPr>
                    <w:autoSpaceDE w:val="0"/>
                    <w:autoSpaceDN w:val="0"/>
                    <w:adjustRightInd w:val="0"/>
                    <w:jc w:val="center"/>
                    <w:rPr>
                      <w:kern w:val="0"/>
                      <w:szCs w:val="21"/>
                    </w:rPr>
                  </w:pPr>
                  <w:r>
                    <w:rPr>
                      <w:kern w:val="0"/>
                      <w:szCs w:val="21"/>
                    </w:rPr>
                    <w:t xml:space="preserve">2. </w:t>
                  </w:r>
                  <w:r>
                    <w:rPr>
                      <w:rFonts w:hint="eastAsia"/>
                      <w:kern w:val="0"/>
                      <w:szCs w:val="21"/>
                    </w:rPr>
                    <w:t>加快壮大新材料、新能源汽车、新一代信息技术、绿色环保等产业。</w:t>
                  </w:r>
                </w:p>
                <w:p>
                  <w:pPr>
                    <w:autoSpaceDE w:val="0"/>
                    <w:autoSpaceDN w:val="0"/>
                    <w:adjustRightInd w:val="0"/>
                    <w:jc w:val="center"/>
                    <w:rPr>
                      <w:kern w:val="0"/>
                      <w:szCs w:val="21"/>
                    </w:rPr>
                  </w:pPr>
                  <w:r>
                    <w:rPr>
                      <w:kern w:val="0"/>
                      <w:szCs w:val="21"/>
                    </w:rPr>
                    <w:t>3.</w:t>
                  </w:r>
                  <w:r>
                    <w:rPr>
                      <w:rFonts w:hint="eastAsia"/>
                      <w:kern w:val="0"/>
                      <w:szCs w:val="21"/>
                    </w:rPr>
                    <w:t>推进</w:t>
                  </w:r>
                  <w:r>
                    <w:rPr>
                      <w:kern w:val="0"/>
                      <w:szCs w:val="21"/>
                    </w:rPr>
                    <w:t>5G</w:t>
                  </w:r>
                  <w:r>
                    <w:rPr>
                      <w:rFonts w:hint="eastAsia"/>
                      <w:kern w:val="0"/>
                      <w:szCs w:val="21"/>
                    </w:rPr>
                    <w:t>、物联网、云计算、大数据、区块链、人工智能等新一代信息技术与绿色环保产业深度融合创新。</w:t>
                  </w:r>
                </w:p>
                <w:p>
                  <w:pPr>
                    <w:autoSpaceDE w:val="0"/>
                    <w:autoSpaceDN w:val="0"/>
                    <w:adjustRightInd w:val="0"/>
                    <w:jc w:val="center"/>
                    <w:rPr>
                      <w:kern w:val="0"/>
                      <w:szCs w:val="21"/>
                    </w:rPr>
                  </w:pPr>
                  <w:r>
                    <w:rPr>
                      <w:kern w:val="0"/>
                      <w:szCs w:val="21"/>
                    </w:rPr>
                    <w:t>4.</w:t>
                  </w:r>
                  <w:r>
                    <w:rPr>
                      <w:rFonts w:hint="eastAsia"/>
                      <w:kern w:val="0"/>
                      <w:szCs w:val="21"/>
                    </w:rPr>
                    <w:t>促进产业集聚和绿色发展转型。</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bCs/>
                      <w:szCs w:val="21"/>
                    </w:rPr>
                    <w:t>本项目占地面积</w:t>
                  </w:r>
                  <w:r>
                    <w:rPr>
                      <w:bCs/>
                      <w:szCs w:val="21"/>
                    </w:rPr>
                    <w:t>2700m</w:t>
                  </w:r>
                  <w:r>
                    <w:rPr>
                      <w:bCs/>
                      <w:szCs w:val="21"/>
                      <w:vertAlign w:val="superscript"/>
                    </w:rPr>
                    <w:t>2</w:t>
                  </w: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r>
                    <w:rPr>
                      <w:rFonts w:hint="eastAsia"/>
                      <w:kern w:val="0"/>
                      <w:szCs w:val="21"/>
                    </w:rPr>
                    <w:t>本项目位于沣京工业园，主要生产汽车零部件，不属于严禁新增钢铁、水泥熟料、平板玻璃、炼化等相关行业。</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27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污染物排</w:t>
                  </w:r>
                </w:p>
                <w:p>
                  <w:pPr>
                    <w:autoSpaceDE w:val="0"/>
                    <w:autoSpaceDN w:val="0"/>
                    <w:adjustRightInd w:val="0"/>
                    <w:jc w:val="center"/>
                    <w:rPr>
                      <w:kern w:val="0"/>
                      <w:szCs w:val="21"/>
                    </w:rPr>
                  </w:pPr>
                  <w:r>
                    <w:rPr>
                      <w:rFonts w:hint="eastAsia"/>
                      <w:kern w:val="0"/>
                      <w:szCs w:val="21"/>
                    </w:rPr>
                    <w:t>放管控</w:t>
                  </w:r>
                </w:p>
              </w:tc>
              <w:tc>
                <w:tcPr>
                  <w:tcW w:w="150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kern w:val="0"/>
                      <w:szCs w:val="21"/>
                    </w:rPr>
                    <w:t>1.</w:t>
                  </w:r>
                  <w:r>
                    <w:rPr>
                      <w:rFonts w:hint="eastAsia"/>
                      <w:kern w:val="0"/>
                      <w:szCs w:val="21"/>
                    </w:rPr>
                    <w:t>控制氮氧化物、颗粒物、挥发性有机物的排放，特别是挥发性有机物的排放。</w:t>
                  </w:r>
                </w:p>
                <w:p>
                  <w:pPr>
                    <w:autoSpaceDE w:val="0"/>
                    <w:autoSpaceDN w:val="0"/>
                    <w:adjustRightInd w:val="0"/>
                    <w:jc w:val="center"/>
                    <w:rPr>
                      <w:kern w:val="0"/>
                      <w:szCs w:val="21"/>
                    </w:rPr>
                  </w:pPr>
                  <w:r>
                    <w:rPr>
                      <w:kern w:val="0"/>
                      <w:szCs w:val="21"/>
                    </w:rPr>
                    <w:t>2.</w:t>
                  </w:r>
                  <w:r>
                    <w:rPr>
                      <w:rFonts w:hint="eastAsia"/>
                      <w:kern w:val="0"/>
                      <w:szCs w:val="21"/>
                    </w:rPr>
                    <w:t>对高能耗高污染行业企业采用先进高效的污染控制措施。</w:t>
                  </w:r>
                </w:p>
                <w:p>
                  <w:pPr>
                    <w:autoSpaceDE w:val="0"/>
                    <w:autoSpaceDN w:val="0"/>
                    <w:adjustRightInd w:val="0"/>
                    <w:jc w:val="center"/>
                    <w:rPr>
                      <w:kern w:val="0"/>
                      <w:szCs w:val="21"/>
                    </w:rPr>
                  </w:pPr>
                  <w:r>
                    <w:rPr>
                      <w:kern w:val="0"/>
                      <w:szCs w:val="21"/>
                    </w:rPr>
                    <w:t>3.</w:t>
                  </w:r>
                  <w:r>
                    <w:rPr>
                      <w:rFonts w:hint="eastAsia"/>
                      <w:kern w:val="0"/>
                      <w:szCs w:val="21"/>
                    </w:rPr>
                    <w:t>以建材、有色、石化、化工、包装印刷等行业为重点，开展全流程清洁化、循环</w:t>
                  </w:r>
                </w:p>
                <w:p>
                  <w:pPr>
                    <w:autoSpaceDE w:val="0"/>
                    <w:autoSpaceDN w:val="0"/>
                    <w:adjustRightInd w:val="0"/>
                    <w:jc w:val="center"/>
                    <w:rPr>
                      <w:kern w:val="0"/>
                      <w:szCs w:val="21"/>
                    </w:rPr>
                  </w:pPr>
                  <w:r>
                    <w:rPr>
                      <w:rFonts w:hint="eastAsia"/>
                      <w:kern w:val="0"/>
                      <w:szCs w:val="21"/>
                    </w:rPr>
                    <w:t>化、低碳化改造，促进传统产业转型升级高质量发展。</w:t>
                  </w:r>
                </w:p>
                <w:p>
                  <w:pPr>
                    <w:autoSpaceDE w:val="0"/>
                    <w:autoSpaceDN w:val="0"/>
                    <w:adjustRightInd w:val="0"/>
                    <w:jc w:val="center"/>
                    <w:rPr>
                      <w:kern w:val="0"/>
                      <w:szCs w:val="21"/>
                    </w:rPr>
                  </w:pPr>
                  <w:r>
                    <w:rPr>
                      <w:kern w:val="0"/>
                      <w:szCs w:val="21"/>
                    </w:rPr>
                    <w:t>4.</w:t>
                  </w:r>
                  <w:r>
                    <w:rPr>
                      <w:rFonts w:hint="eastAsia"/>
                      <w:kern w:val="0"/>
                      <w:szCs w:val="21"/>
                    </w:rPr>
                    <w:t>对高能耗高污染行业企业采用先进高效的污染控制措施。</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
                      <w:kern w:val="0"/>
                      <w:szCs w:val="21"/>
                    </w:rPr>
                  </w:pP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kern w:val="0"/>
                      <w:szCs w:val="21"/>
                    </w:rPr>
                  </w:pPr>
                  <w:r>
                    <w:rPr>
                      <w:rFonts w:hint="eastAsia"/>
                      <w:bCs/>
                      <w:kern w:val="0"/>
                      <w:szCs w:val="21"/>
                    </w:rPr>
                    <w:t>本项目采用清洁能源天然气及电能作为生产能量来源；采用二级活性炭装置处理挥发性有机物；项目不属于建材、有色、石化、化工、包装印刷等行业；本项目为汽车零部件制造企业，不属于高能耗高污染行业企业</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kern w:val="0"/>
                      <w:szCs w:val="21"/>
                    </w:rPr>
                  </w:pPr>
                  <w:r>
                    <w:rPr>
                      <w:rFonts w:hint="eastAsia"/>
                      <w:bCs/>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大气环境受体敏感区</w:t>
                  </w:r>
                </w:p>
              </w:tc>
              <w:tc>
                <w:tcPr>
                  <w:tcW w:w="270"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center"/>
                    <w:rPr>
                      <w:sz w:val="21"/>
                      <w:szCs w:val="21"/>
                    </w:rPr>
                  </w:pPr>
                  <w:r>
                    <w:rPr>
                      <w:rFonts w:hint="eastAsia"/>
                      <w:kern w:val="2"/>
                      <w:sz w:val="21"/>
                      <w:szCs w:val="21"/>
                    </w:rPr>
                    <w:t>空间布局约束</w:t>
                  </w:r>
                </w:p>
              </w:tc>
              <w:tc>
                <w:tcPr>
                  <w:tcW w:w="1505"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left"/>
                    <w:rPr>
                      <w:kern w:val="2"/>
                      <w:sz w:val="21"/>
                      <w:szCs w:val="21"/>
                    </w:rPr>
                  </w:pPr>
                  <w:r>
                    <w:rPr>
                      <w:kern w:val="2"/>
                      <w:sz w:val="21"/>
                      <w:szCs w:val="21"/>
                    </w:rPr>
                    <w:t>1.</w:t>
                  </w:r>
                  <w:r>
                    <w:rPr>
                      <w:rFonts w:hint="eastAsia"/>
                      <w:kern w:val="2"/>
                      <w:sz w:val="21"/>
                      <w:szCs w:val="21"/>
                    </w:rPr>
                    <w:t>大气污染防治重点区域严禁新增钢铁、水泥熟料、平板玻璃、炼化产能。</w:t>
                  </w:r>
                </w:p>
                <w:p>
                  <w:pPr>
                    <w:pStyle w:val="43"/>
                    <w:spacing w:line="240" w:lineRule="auto"/>
                    <w:ind w:left="-63" w:leftChars="-30" w:right="-63" w:rightChars="-30" w:firstLine="0" w:firstLineChars="0"/>
                    <w:jc w:val="left"/>
                    <w:rPr>
                      <w:kern w:val="2"/>
                      <w:sz w:val="21"/>
                      <w:szCs w:val="21"/>
                    </w:rPr>
                  </w:pPr>
                  <w:r>
                    <w:rPr>
                      <w:kern w:val="2"/>
                      <w:sz w:val="21"/>
                      <w:szCs w:val="21"/>
                    </w:rPr>
                    <w:t>2.</w:t>
                  </w:r>
                  <w:r>
                    <w:rPr>
                      <w:rFonts w:hint="eastAsia"/>
                      <w:kern w:val="2"/>
                      <w:sz w:val="21"/>
                      <w:szCs w:val="21"/>
                    </w:rPr>
                    <w:t>推动重污染企业搬迁入园或依法关闭。</w:t>
                  </w:r>
                </w:p>
                <w:p>
                  <w:pPr>
                    <w:pStyle w:val="43"/>
                    <w:spacing w:line="240" w:lineRule="auto"/>
                    <w:ind w:left="-63" w:leftChars="-30" w:right="-63" w:rightChars="-30" w:firstLine="0" w:firstLineChars="0"/>
                    <w:jc w:val="left"/>
                    <w:rPr>
                      <w:kern w:val="0"/>
                      <w:sz w:val="21"/>
                      <w:szCs w:val="21"/>
                    </w:rPr>
                  </w:pPr>
                  <w:r>
                    <w:rPr>
                      <w:kern w:val="2"/>
                      <w:sz w:val="21"/>
                      <w:szCs w:val="21"/>
                    </w:rPr>
                    <w:t>3.</w:t>
                  </w:r>
                  <w:r>
                    <w:rPr>
                      <w:rFonts w:hint="eastAsia"/>
                      <w:kern w:val="2"/>
                      <w:sz w:val="21"/>
                      <w:szCs w:val="21"/>
                    </w:rPr>
                    <w:t>禁止新建非清洁能源供热企业，集中供热面积逐步提高，提高清洁能源供热和远距离输送供热比重。</w:t>
                  </w:r>
                </w:p>
              </w:tc>
              <w:tc>
                <w:tcPr>
                  <w:tcW w:w="488"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szCs w:val="21"/>
                    </w:rPr>
                  </w:pPr>
                  <w:r>
                    <w:rPr>
                      <w:rFonts w:hint="eastAsia"/>
                      <w:bCs/>
                      <w:szCs w:val="21"/>
                    </w:rPr>
                    <w:t>本项目占地面积</w:t>
                  </w:r>
                  <w:r>
                    <w:rPr>
                      <w:bCs/>
                      <w:szCs w:val="21"/>
                    </w:rPr>
                    <w:t>2700m</w:t>
                  </w:r>
                  <w:r>
                    <w:rPr>
                      <w:bCs/>
                      <w:szCs w:val="21"/>
                      <w:vertAlign w:val="superscript"/>
                    </w:rPr>
                    <w:t>2</w:t>
                  </w: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kern w:val="0"/>
                      <w:szCs w:val="21"/>
                    </w:rPr>
                    <w:t>本项目位于沣京工业园，主要生产汽车零部件，不属于严禁新增钢铁、水泥熟料、平板玻璃、炼化等相关行业。</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70"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center"/>
                    <w:rPr>
                      <w:sz w:val="21"/>
                      <w:szCs w:val="21"/>
                    </w:rPr>
                  </w:pPr>
                  <w:r>
                    <w:rPr>
                      <w:rFonts w:hint="eastAsia"/>
                      <w:kern w:val="2"/>
                      <w:sz w:val="21"/>
                      <w:szCs w:val="21"/>
                    </w:rPr>
                    <w:t>污染排放管控</w:t>
                  </w:r>
                </w:p>
              </w:tc>
              <w:tc>
                <w:tcPr>
                  <w:tcW w:w="1505"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left"/>
                    <w:rPr>
                      <w:kern w:val="2"/>
                      <w:sz w:val="21"/>
                      <w:szCs w:val="21"/>
                    </w:rPr>
                  </w:pPr>
                  <w:r>
                    <w:rPr>
                      <w:kern w:val="2"/>
                      <w:sz w:val="21"/>
                      <w:szCs w:val="21"/>
                    </w:rPr>
                    <w:t>1.</w:t>
                  </w:r>
                  <w:r>
                    <w:rPr>
                      <w:rFonts w:hint="eastAsia"/>
                      <w:kern w:val="2"/>
                      <w:sz w:val="21"/>
                      <w:szCs w:val="21"/>
                    </w:rPr>
                    <w:t>区域内保留企业采用先进生产工艺、严格落实污染治理设施，污染物执行超低排放或特别排放限值。</w:t>
                  </w:r>
                </w:p>
                <w:p>
                  <w:pPr>
                    <w:pStyle w:val="43"/>
                    <w:spacing w:line="240" w:lineRule="auto"/>
                    <w:ind w:left="-63" w:leftChars="-30" w:right="-63" w:rightChars="-30" w:firstLine="0" w:firstLineChars="0"/>
                    <w:jc w:val="left"/>
                    <w:rPr>
                      <w:kern w:val="2"/>
                      <w:sz w:val="21"/>
                      <w:szCs w:val="21"/>
                    </w:rPr>
                  </w:pPr>
                  <w:r>
                    <w:rPr>
                      <w:kern w:val="2"/>
                      <w:sz w:val="21"/>
                      <w:szCs w:val="21"/>
                    </w:rPr>
                    <w:t>2.</w:t>
                  </w:r>
                  <w:r>
                    <w:rPr>
                      <w:rFonts w:hint="eastAsia"/>
                      <w:kern w:val="2"/>
                      <w:sz w:val="21"/>
                      <w:szCs w:val="21"/>
                    </w:rPr>
                    <w:t>鼓励将老旧车辆和非道路移动机械替换为清洁能源车辆；推进新能源或清洁能源汽车使用。</w:t>
                  </w:r>
                </w:p>
                <w:p>
                  <w:pPr>
                    <w:pStyle w:val="43"/>
                    <w:spacing w:line="240" w:lineRule="auto"/>
                    <w:ind w:left="-63" w:leftChars="-30" w:right="-63" w:rightChars="-30" w:firstLine="0" w:firstLineChars="0"/>
                    <w:jc w:val="left"/>
                    <w:rPr>
                      <w:kern w:val="2"/>
                      <w:sz w:val="21"/>
                      <w:szCs w:val="21"/>
                    </w:rPr>
                  </w:pPr>
                  <w:r>
                    <w:rPr>
                      <w:kern w:val="2"/>
                      <w:sz w:val="21"/>
                      <w:szCs w:val="21"/>
                    </w:rPr>
                    <w:t>3.</w:t>
                  </w:r>
                  <w:r>
                    <w:rPr>
                      <w:rFonts w:hint="eastAsia"/>
                      <w:kern w:val="2"/>
                      <w:sz w:val="21"/>
                      <w:szCs w:val="21"/>
                    </w:rPr>
                    <w:t>加大餐饮油烟治理力度，排放油烟的饮食业单位全部安装油烟净化装置并实现达标排放。</w:t>
                  </w:r>
                </w:p>
                <w:p>
                  <w:pPr>
                    <w:pStyle w:val="43"/>
                    <w:spacing w:line="240" w:lineRule="auto"/>
                    <w:ind w:left="-63" w:leftChars="-30" w:right="-63" w:rightChars="-30" w:firstLine="0" w:firstLineChars="0"/>
                    <w:jc w:val="left"/>
                    <w:rPr>
                      <w:kern w:val="2"/>
                      <w:sz w:val="21"/>
                      <w:szCs w:val="21"/>
                    </w:rPr>
                  </w:pPr>
                  <w:r>
                    <w:rPr>
                      <w:kern w:val="2"/>
                      <w:sz w:val="21"/>
                      <w:szCs w:val="21"/>
                    </w:rPr>
                    <w:t>4.</w:t>
                  </w:r>
                  <w:r>
                    <w:rPr>
                      <w:rFonts w:hint="eastAsia"/>
                      <w:kern w:val="2"/>
                      <w:sz w:val="21"/>
                      <w:szCs w:val="21"/>
                    </w:rPr>
                    <w:t>积极推进地热供暖技术。</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szCs w:val="21"/>
                    </w:rPr>
                  </w:pP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Cs w:val="21"/>
                    </w:rPr>
                  </w:pPr>
                  <w:r>
                    <w:rPr>
                      <w:rFonts w:hint="eastAsia"/>
                      <w:b/>
                      <w:bCs/>
                      <w:szCs w:val="21"/>
                    </w:rPr>
                    <w:t>项目吸音棉开松梳理粉尘经布袋除尘器（</w:t>
                  </w:r>
                  <w:r>
                    <w:rPr>
                      <w:b/>
                      <w:bCs/>
                      <w:szCs w:val="21"/>
                    </w:rPr>
                    <w:t>TA002</w:t>
                  </w:r>
                  <w:r>
                    <w:rPr>
                      <w:rFonts w:hint="eastAsia"/>
                      <w:b/>
                      <w:bCs/>
                      <w:szCs w:val="21"/>
                    </w:rPr>
                    <w:t>）处理后经过</w:t>
                  </w:r>
                  <w:r>
                    <w:rPr>
                      <w:b/>
                      <w:bCs/>
                      <w:szCs w:val="21"/>
                    </w:rPr>
                    <w:t>15m</w:t>
                  </w:r>
                  <w:r>
                    <w:rPr>
                      <w:rFonts w:hint="eastAsia"/>
                      <w:b/>
                      <w:bCs/>
                      <w:szCs w:val="21"/>
                    </w:rPr>
                    <w:t>高（</w:t>
                  </w:r>
                  <w:r>
                    <w:rPr>
                      <w:b/>
                      <w:bCs/>
                      <w:szCs w:val="21"/>
                    </w:rPr>
                    <w:t>DA002</w:t>
                  </w:r>
                  <w:r>
                    <w:rPr>
                      <w:rFonts w:hint="eastAsia"/>
                      <w:b/>
                      <w:bCs/>
                      <w:szCs w:val="21"/>
                    </w:rPr>
                    <w:t>）排气筒排放；吸音棉热熔定型工序烘箱自带密闭集气装置，热熔定型有机废气及天然气燃烧废气统一经自带集气管道收集，</w:t>
                  </w:r>
                  <w:r>
                    <w:rPr>
                      <w:rFonts w:hint="eastAsia"/>
                      <w:szCs w:val="21"/>
                    </w:rPr>
                    <w:t>发泡熟化、复合及热压工序有机废气采用集气罩收集，废气统一经</w:t>
                  </w:r>
                  <w:r>
                    <w:rPr>
                      <w:szCs w:val="21"/>
                    </w:rPr>
                    <w:t>1</w:t>
                  </w:r>
                  <w:r>
                    <w:rPr>
                      <w:rFonts w:hint="eastAsia"/>
                      <w:szCs w:val="21"/>
                    </w:rPr>
                    <w:t>套二级活性炭吸附装置（</w:t>
                  </w:r>
                  <w:r>
                    <w:rPr>
                      <w:szCs w:val="21"/>
                    </w:rPr>
                    <w:t>TA001</w:t>
                  </w:r>
                  <w:r>
                    <w:rPr>
                      <w:rFonts w:hint="eastAsia"/>
                      <w:szCs w:val="21"/>
                    </w:rPr>
                    <w:t>）处理后经</w:t>
                  </w:r>
                  <w:r>
                    <w:rPr>
                      <w:szCs w:val="21"/>
                    </w:rPr>
                    <w:t>15m</w:t>
                  </w:r>
                  <w:r>
                    <w:rPr>
                      <w:rFonts w:hint="eastAsia"/>
                      <w:szCs w:val="21"/>
                    </w:rPr>
                    <w:t>高排气筒排放（</w:t>
                  </w:r>
                  <w:r>
                    <w:rPr>
                      <w:szCs w:val="21"/>
                    </w:rPr>
                    <w:t>DA001</w:t>
                  </w:r>
                  <w:r>
                    <w:rPr>
                      <w:rFonts w:hint="eastAsia"/>
                      <w:szCs w:val="21"/>
                    </w:rPr>
                    <w:t>）。</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4"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pPr>
                    <w:jc w:val="center"/>
                    <w:rPr>
                      <w:szCs w:val="21"/>
                    </w:rPr>
                  </w:pPr>
                </w:p>
              </w:tc>
              <w:tc>
                <w:tcPr>
                  <w:tcW w:w="284" w:type="pct"/>
                  <w:vMerge w:val="restart"/>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水环境城镇染重点管控区</w:t>
                  </w:r>
                </w:p>
              </w:tc>
              <w:tc>
                <w:tcPr>
                  <w:tcW w:w="270"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center"/>
                    <w:rPr>
                      <w:kern w:val="2"/>
                      <w:sz w:val="21"/>
                      <w:szCs w:val="21"/>
                    </w:rPr>
                  </w:pPr>
                  <w:r>
                    <w:rPr>
                      <w:rFonts w:hint="eastAsia"/>
                      <w:kern w:val="2"/>
                      <w:sz w:val="21"/>
                      <w:szCs w:val="21"/>
                    </w:rPr>
                    <w:t>空间布局约束</w:t>
                  </w:r>
                </w:p>
              </w:tc>
              <w:tc>
                <w:tcPr>
                  <w:tcW w:w="1505" w:type="pct"/>
                  <w:tcBorders>
                    <w:top w:val="single" w:color="auto" w:sz="4" w:space="0"/>
                    <w:left w:val="single" w:color="auto" w:sz="4" w:space="0"/>
                    <w:bottom w:val="single" w:color="auto" w:sz="4" w:space="0"/>
                    <w:right w:val="single" w:color="auto" w:sz="4" w:space="0"/>
                  </w:tcBorders>
                  <w:vAlign w:val="center"/>
                </w:tcPr>
                <w:p>
                  <w:pPr>
                    <w:pStyle w:val="43"/>
                    <w:spacing w:line="240" w:lineRule="auto"/>
                    <w:ind w:left="-63" w:leftChars="-30" w:right="-63" w:rightChars="-30" w:firstLine="0" w:firstLineChars="0"/>
                    <w:jc w:val="left"/>
                    <w:rPr>
                      <w:sz w:val="21"/>
                      <w:szCs w:val="21"/>
                    </w:rPr>
                  </w:pPr>
                  <w:r>
                    <w:rPr>
                      <w:sz w:val="21"/>
                      <w:szCs w:val="21"/>
                    </w:rPr>
                    <w:t>1.</w:t>
                  </w:r>
                  <w:r>
                    <w:rPr>
                      <w:rFonts w:hint="eastAsia"/>
                      <w:sz w:val="21"/>
                      <w:szCs w:val="21"/>
                    </w:rPr>
                    <w:t>统筹做好城市、县城及农村污水处理设施建设，继续提升污水处理能力，完善城镇污水处理厂和农村污水处理设施运营管理机制。到</w:t>
                  </w:r>
                  <w:r>
                    <w:rPr>
                      <w:sz w:val="21"/>
                      <w:szCs w:val="21"/>
                    </w:rPr>
                    <w:t>2025</w:t>
                  </w:r>
                  <w:r>
                    <w:rPr>
                      <w:rFonts w:hint="eastAsia"/>
                      <w:sz w:val="21"/>
                      <w:szCs w:val="21"/>
                    </w:rPr>
                    <w:t>年，城市污水集中处理率稳步提升，县城污水集中处理率达到</w:t>
                  </w:r>
                  <w:r>
                    <w:rPr>
                      <w:sz w:val="21"/>
                      <w:szCs w:val="21"/>
                    </w:rPr>
                    <w:t>95%</w:t>
                  </w:r>
                  <w:r>
                    <w:rPr>
                      <w:rFonts w:hint="eastAsia"/>
                      <w:sz w:val="21"/>
                      <w:szCs w:val="21"/>
                    </w:rPr>
                    <w:t>。加强雨污管网管理与建设。</w:t>
                  </w:r>
                </w:p>
                <w:p>
                  <w:pPr>
                    <w:pStyle w:val="43"/>
                    <w:spacing w:line="240" w:lineRule="auto"/>
                    <w:ind w:left="-63" w:leftChars="-30" w:right="-63" w:rightChars="-30" w:firstLine="0" w:firstLineChars="0"/>
                    <w:jc w:val="left"/>
                    <w:rPr>
                      <w:sz w:val="21"/>
                      <w:szCs w:val="21"/>
                    </w:rPr>
                  </w:pPr>
                  <w:r>
                    <w:rPr>
                      <w:sz w:val="21"/>
                      <w:szCs w:val="21"/>
                    </w:rPr>
                    <w:t>2.</w:t>
                  </w:r>
                  <w:r>
                    <w:rPr>
                      <w:rFonts w:hint="eastAsia"/>
                      <w:sz w:val="21"/>
                      <w:szCs w:val="21"/>
                    </w:rPr>
                    <w:t>持续巩固城市建成区黑臭水体整治成果，建立完善黑臭水体污染防治长效机制，定期开展巡查、监测、评估等工作，有效防止水质反弹。</w:t>
                  </w:r>
                </w:p>
                <w:p>
                  <w:pPr>
                    <w:pStyle w:val="43"/>
                    <w:spacing w:line="240" w:lineRule="auto"/>
                    <w:ind w:left="-63" w:leftChars="-30" w:right="-63" w:rightChars="-30" w:firstLine="0" w:firstLineChars="0"/>
                    <w:jc w:val="left"/>
                    <w:rPr>
                      <w:sz w:val="21"/>
                      <w:szCs w:val="21"/>
                    </w:rPr>
                  </w:pPr>
                  <w:r>
                    <w:rPr>
                      <w:sz w:val="21"/>
                      <w:szCs w:val="21"/>
                    </w:rPr>
                    <w:t>3.</w:t>
                  </w:r>
                  <w:r>
                    <w:rPr>
                      <w:rFonts w:hint="eastAsia"/>
                      <w:sz w:val="21"/>
                      <w:szCs w:val="21"/>
                    </w:rPr>
                    <w:t>严格控制新建、扩建化学制浆造纸、化工、印染、果汁和淀粉加工等高耗水、高污染项目。水污染排放企业严格执行排污许可制度，实施</w:t>
                  </w:r>
                  <w:r>
                    <w:rPr>
                      <w:sz w:val="21"/>
                      <w:szCs w:val="21"/>
                    </w:rPr>
                    <w:t>“</w:t>
                  </w:r>
                  <w:r>
                    <w:rPr>
                      <w:rFonts w:hint="eastAsia"/>
                      <w:sz w:val="21"/>
                      <w:szCs w:val="21"/>
                    </w:rPr>
                    <w:t>持证排水</w:t>
                  </w:r>
                  <w:r>
                    <w:rPr>
                      <w:sz w:val="21"/>
                      <w:szCs w:val="21"/>
                    </w:rPr>
                    <w:t>”</w:t>
                  </w:r>
                  <w:r>
                    <w:rPr>
                      <w:rFonts w:hint="eastAsia"/>
                      <w:sz w:val="21"/>
                      <w:szCs w:val="21"/>
                    </w:rPr>
                    <w:t>。</w:t>
                  </w:r>
                </w:p>
                <w:p>
                  <w:pPr>
                    <w:pStyle w:val="43"/>
                    <w:spacing w:line="240" w:lineRule="auto"/>
                    <w:ind w:left="-63" w:leftChars="-30" w:right="-63" w:rightChars="-30" w:firstLine="0" w:firstLineChars="0"/>
                    <w:jc w:val="left"/>
                    <w:rPr>
                      <w:kern w:val="2"/>
                      <w:sz w:val="21"/>
                      <w:szCs w:val="21"/>
                    </w:rPr>
                  </w:pPr>
                  <w:r>
                    <w:rPr>
                      <w:sz w:val="21"/>
                      <w:szCs w:val="21"/>
                    </w:rPr>
                    <w:t>4.</w:t>
                  </w:r>
                  <w:r>
                    <w:rPr>
                      <w:rFonts w:hint="eastAsia"/>
                      <w:sz w:val="21"/>
                      <w:szCs w:val="21"/>
                    </w:rPr>
                    <w:t>全面推进工业园区污水管网排查整治和污水收集处理设施建设，推进化工园区雨污分流改造和初期雨水收集处理。实施重点行业企业达标排放限期改造，大力推进化学需氧量、氨氮、总磷重点行业污染减排。水环境超载汇水范围内的新建、改建、扩建工业项目，实行主要污染物排放等量或减量置换。</w:t>
                  </w:r>
                </w:p>
              </w:tc>
              <w:tc>
                <w:tcPr>
                  <w:tcW w:w="488"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bCs/>
                      <w:szCs w:val="21"/>
                    </w:rPr>
                  </w:pPr>
                </w:p>
              </w:tc>
              <w:tc>
                <w:tcPr>
                  <w:tcW w:w="87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szCs w:val="21"/>
                      <w:shd w:val="clear" w:color="auto" w:fill="FFFFFF"/>
                    </w:rPr>
                  </w:pPr>
                  <w:r>
                    <w:rPr>
                      <w:rFonts w:hint="eastAsia"/>
                      <w:szCs w:val="21"/>
                      <w:shd w:val="clear" w:color="auto" w:fill="FFFFFF"/>
                    </w:rPr>
                    <w:t>本项目为汽车零部件生产项目，租用</w:t>
                  </w:r>
                  <w:r>
                    <w:rPr>
                      <w:rFonts w:hint="eastAsia"/>
                      <w:szCs w:val="21"/>
                    </w:rPr>
                    <w:t>西安沣京塑料制品有限公司现有厂房进行生产。厂区实现雨污分流，生活污水依托园区现有化粪池进行预处理后经市政管网统一排至鄠邑区第二污水处理厂。</w:t>
                  </w:r>
                </w:p>
              </w:tc>
              <w:tc>
                <w:tcPr>
                  <w:tcW w:w="284" w:type="pct"/>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5" w:type="pct"/>
                  <w:vMerge w:val="continue"/>
                  <w:tcBorders>
                    <w:top w:val="single" w:color="auto" w:sz="4" w:space="0"/>
                    <w:left w:val="single" w:color="auto" w:sz="12" w:space="0"/>
                    <w:bottom w:val="single" w:color="auto" w:sz="12"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428" w:type="pct"/>
                  <w:vMerge w:val="continue"/>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84" w:type="pct"/>
                  <w:vMerge w:val="continue"/>
                  <w:tcBorders>
                    <w:top w:val="single" w:color="auto" w:sz="4" w:space="0"/>
                    <w:left w:val="single" w:color="auto" w:sz="4" w:space="0"/>
                    <w:bottom w:val="single" w:color="auto" w:sz="12" w:space="0"/>
                    <w:right w:val="single" w:color="auto" w:sz="4" w:space="0"/>
                  </w:tcBorders>
                  <w:vAlign w:val="center"/>
                </w:tcPr>
                <w:p>
                  <w:pPr>
                    <w:jc w:val="center"/>
                    <w:rPr>
                      <w:szCs w:val="21"/>
                    </w:rPr>
                  </w:pPr>
                </w:p>
              </w:tc>
              <w:tc>
                <w:tcPr>
                  <w:tcW w:w="270" w:type="pct"/>
                  <w:tcBorders>
                    <w:top w:val="single" w:color="auto" w:sz="4" w:space="0"/>
                    <w:left w:val="single" w:color="auto" w:sz="4" w:space="0"/>
                    <w:bottom w:val="single" w:color="auto" w:sz="12" w:space="0"/>
                    <w:right w:val="single" w:color="auto" w:sz="4" w:space="0"/>
                  </w:tcBorders>
                  <w:vAlign w:val="center"/>
                </w:tcPr>
                <w:p>
                  <w:pPr>
                    <w:pStyle w:val="43"/>
                    <w:spacing w:line="240" w:lineRule="auto"/>
                    <w:ind w:left="-63" w:leftChars="-30" w:right="-63" w:rightChars="-30" w:firstLine="0" w:firstLineChars="0"/>
                    <w:jc w:val="center"/>
                    <w:rPr>
                      <w:kern w:val="2"/>
                      <w:sz w:val="21"/>
                      <w:szCs w:val="21"/>
                    </w:rPr>
                  </w:pPr>
                  <w:r>
                    <w:rPr>
                      <w:rFonts w:hint="eastAsia"/>
                      <w:kern w:val="2"/>
                      <w:sz w:val="21"/>
                      <w:szCs w:val="21"/>
                    </w:rPr>
                    <w:t>污染排放管控</w:t>
                  </w:r>
                </w:p>
              </w:tc>
              <w:tc>
                <w:tcPr>
                  <w:tcW w:w="1505" w:type="pct"/>
                  <w:tcBorders>
                    <w:top w:val="single" w:color="auto" w:sz="4" w:space="0"/>
                    <w:left w:val="single" w:color="auto" w:sz="4" w:space="0"/>
                    <w:bottom w:val="single" w:color="auto" w:sz="12" w:space="0"/>
                    <w:right w:val="single" w:color="auto" w:sz="4" w:space="0"/>
                  </w:tcBorders>
                  <w:vAlign w:val="center"/>
                </w:tcPr>
                <w:p>
                  <w:pPr>
                    <w:pStyle w:val="43"/>
                    <w:spacing w:line="240" w:lineRule="auto"/>
                    <w:ind w:left="-63" w:leftChars="-30" w:right="-63" w:rightChars="-30" w:firstLine="0" w:firstLineChars="0"/>
                    <w:jc w:val="left"/>
                    <w:rPr>
                      <w:kern w:val="2"/>
                      <w:sz w:val="21"/>
                      <w:szCs w:val="21"/>
                    </w:rPr>
                  </w:pPr>
                  <w:r>
                    <w:rPr>
                      <w:rFonts w:hint="eastAsia"/>
                      <w:kern w:val="2"/>
                      <w:sz w:val="21"/>
                      <w:szCs w:val="21"/>
                    </w:rPr>
                    <w:t>到</w:t>
                  </w:r>
                  <w:r>
                    <w:rPr>
                      <w:kern w:val="2"/>
                      <w:sz w:val="21"/>
                      <w:szCs w:val="21"/>
                    </w:rPr>
                    <w:t>2025</w:t>
                  </w:r>
                  <w:r>
                    <w:rPr>
                      <w:rFonts w:hint="eastAsia"/>
                      <w:kern w:val="2"/>
                      <w:sz w:val="21"/>
                      <w:szCs w:val="21"/>
                    </w:rPr>
                    <w:t>年，基本消除城市建成区生活污水直排口和收集处理设施空白区，城市和县城污水处理能力基本满足经济社会发展需要，县城污水处理率达到</w:t>
                  </w:r>
                  <w:r>
                    <w:rPr>
                      <w:kern w:val="2"/>
                      <w:sz w:val="21"/>
                      <w:szCs w:val="21"/>
                    </w:rPr>
                    <w:t>95%</w:t>
                  </w:r>
                  <w:r>
                    <w:rPr>
                      <w:rFonts w:hint="eastAsia"/>
                      <w:kern w:val="2"/>
                      <w:sz w:val="21"/>
                      <w:szCs w:val="21"/>
                    </w:rPr>
                    <w:t>以上。</w:t>
                  </w:r>
                  <w:r>
                    <w:rPr>
                      <w:rFonts w:hint="eastAsia"/>
                      <w:sz w:val="21"/>
                      <w:szCs w:val="21"/>
                    </w:rPr>
                    <w:t>保证城镇污水处理厂出水水质稳定达到《陕西省黄河流域污水综合排放标准》（</w:t>
                  </w:r>
                  <w:r>
                    <w:rPr>
                      <w:sz w:val="21"/>
                      <w:szCs w:val="21"/>
                    </w:rPr>
                    <w:t>DB61/224-2018</w:t>
                  </w:r>
                  <w:r>
                    <w:rPr>
                      <w:rFonts w:hint="eastAsia"/>
                      <w:sz w:val="21"/>
                      <w:szCs w:val="21"/>
                    </w:rPr>
                    <w:t>）要求。完善城镇配</w:t>
                  </w:r>
                  <w:r>
                    <w:rPr>
                      <w:rFonts w:hint="eastAsia"/>
                      <w:kern w:val="2"/>
                      <w:sz w:val="21"/>
                      <w:szCs w:val="21"/>
                    </w:rPr>
                    <w:t>套管网建设，实施雨污分流改造。</w:t>
                  </w:r>
                </w:p>
              </w:tc>
              <w:tc>
                <w:tcPr>
                  <w:tcW w:w="488" w:type="pct"/>
                  <w:vMerge w:val="continue"/>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bCs/>
                      <w:szCs w:val="21"/>
                    </w:rPr>
                  </w:pPr>
                </w:p>
              </w:tc>
              <w:tc>
                <w:tcPr>
                  <w:tcW w:w="879" w:type="pct"/>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szCs w:val="21"/>
                      <w:shd w:val="clear" w:color="auto" w:fill="FFFFFF"/>
                    </w:rPr>
                  </w:pPr>
                  <w:r>
                    <w:rPr>
                      <w:rFonts w:hint="eastAsia"/>
                      <w:szCs w:val="21"/>
                    </w:rPr>
                    <w:t>项目生活污水依托园区现有化粪池进行预处理后经市政管网统一排至鄠邑区第二污水处理厂。</w:t>
                  </w:r>
                </w:p>
              </w:tc>
              <w:tc>
                <w:tcPr>
                  <w:tcW w:w="284" w:type="pct"/>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jc w:val="center"/>
                    <w:rPr>
                      <w:bCs/>
                      <w:szCs w:val="21"/>
                    </w:rPr>
                  </w:pPr>
                  <w:r>
                    <w:rPr>
                      <w:rFonts w:hint="eastAsia"/>
                      <w:bCs/>
                      <w:szCs w:val="21"/>
                    </w:rPr>
                    <w:t>符合</w:t>
                  </w:r>
                </w:p>
              </w:tc>
            </w:tr>
          </w:tbl>
          <w:p>
            <w:pPr>
              <w:autoSpaceDE w:val="0"/>
              <w:autoSpaceDN w:val="0"/>
              <w:adjustRightInd w:val="0"/>
              <w:snapToGrid w:val="0"/>
              <w:jc w:val="center"/>
              <w:rPr>
                <w:kern w:val="0"/>
                <w:szCs w:val="21"/>
              </w:rPr>
            </w:pPr>
            <w:r>
              <w:rPr>
                <w:rFonts w:hint="eastAsia"/>
                <w:b/>
                <w:szCs w:val="21"/>
              </w:rPr>
              <w:t>表</w:t>
            </w:r>
            <w:r>
              <w:rPr>
                <w:b/>
                <w:szCs w:val="21"/>
              </w:rPr>
              <w:t xml:space="preserve">1-5   </w:t>
            </w:r>
            <w:r>
              <w:rPr>
                <w:rFonts w:hint="eastAsia"/>
                <w:b/>
                <w:szCs w:val="21"/>
              </w:rPr>
              <w:t>项目与区域环境管控要求符合性分析</w:t>
            </w:r>
          </w:p>
          <w:tbl>
            <w:tblPr>
              <w:tblStyle w:val="18"/>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28" w:type="dxa"/>
                <w:left w:w="28" w:type="dxa"/>
                <w:bottom w:w="28" w:type="dxa"/>
                <w:right w:w="28" w:type="dxa"/>
              </w:tblCellMar>
            </w:tblPr>
            <w:tblGrid>
              <w:gridCol w:w="842"/>
              <w:gridCol w:w="644"/>
              <w:gridCol w:w="405"/>
              <w:gridCol w:w="599"/>
              <w:gridCol w:w="3063"/>
              <w:gridCol w:w="1573"/>
              <w:gridCol w:w="40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tcBorders>
                    <w:top w:val="single" w:color="000000" w:sz="12" w:space="0"/>
                    <w:left w:val="single" w:color="000000" w:sz="12" w:space="0"/>
                    <w:bottom w:val="single" w:color="000000" w:sz="4" w:space="0"/>
                    <w:right w:val="single" w:color="000000" w:sz="4" w:space="0"/>
                  </w:tcBorders>
                  <w:vAlign w:val="center"/>
                </w:tcPr>
                <w:p>
                  <w:pPr>
                    <w:spacing w:line="240" w:lineRule="atLeast"/>
                    <w:jc w:val="center"/>
                    <w:rPr>
                      <w:szCs w:val="21"/>
                    </w:rPr>
                  </w:pPr>
                  <w:r>
                    <w:rPr>
                      <w:rFonts w:hint="eastAsia"/>
                      <w:szCs w:val="21"/>
                    </w:rPr>
                    <w:t>涉及的环境管控单元</w:t>
                  </w:r>
                </w:p>
              </w:tc>
              <w:tc>
                <w:tcPr>
                  <w:tcW w:w="427" w:type="pct"/>
                  <w:tcBorders>
                    <w:top w:val="single" w:color="000000" w:sz="12"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区域名称</w:t>
                  </w:r>
                </w:p>
              </w:tc>
              <w:tc>
                <w:tcPr>
                  <w:tcW w:w="269" w:type="pct"/>
                  <w:tcBorders>
                    <w:top w:val="single" w:color="000000" w:sz="12"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省份</w:t>
                  </w:r>
                </w:p>
              </w:tc>
              <w:tc>
                <w:tcPr>
                  <w:tcW w:w="398" w:type="pct"/>
                  <w:tcBorders>
                    <w:top w:val="single" w:color="000000" w:sz="12"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管控类别</w:t>
                  </w:r>
                </w:p>
              </w:tc>
              <w:tc>
                <w:tcPr>
                  <w:tcW w:w="2034" w:type="pct"/>
                  <w:tcBorders>
                    <w:top w:val="single" w:color="000000" w:sz="12"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管控要求</w:t>
                  </w:r>
                </w:p>
              </w:tc>
              <w:tc>
                <w:tcPr>
                  <w:tcW w:w="1044" w:type="pct"/>
                  <w:tcBorders>
                    <w:top w:val="single" w:color="000000" w:sz="12"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项目情况</w:t>
                  </w:r>
                </w:p>
              </w:tc>
              <w:tc>
                <w:tcPr>
                  <w:tcW w:w="266" w:type="pct"/>
                  <w:tcBorders>
                    <w:top w:val="single" w:color="000000" w:sz="12" w:space="0"/>
                    <w:left w:val="single" w:color="000000" w:sz="4" w:space="0"/>
                    <w:bottom w:val="single" w:color="000000" w:sz="4" w:space="0"/>
                    <w:right w:val="single" w:color="000000" w:sz="12" w:space="0"/>
                  </w:tcBorders>
                  <w:vAlign w:val="center"/>
                </w:tcPr>
                <w:p>
                  <w:pPr>
                    <w:spacing w:line="240" w:lineRule="atLeast"/>
                    <w:jc w:val="center"/>
                    <w:rPr>
                      <w:szCs w:val="21"/>
                    </w:rPr>
                  </w:pPr>
                  <w:r>
                    <w:rPr>
                      <w:rFonts w:hint="eastAsia"/>
                      <w:szCs w:val="21"/>
                      <w:lang w:eastAsia="en-US"/>
                    </w:rPr>
                    <w:t>相符性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restart"/>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r>
                    <w:rPr>
                      <w:szCs w:val="21"/>
                    </w:rPr>
                    <w:t>*</w:t>
                  </w:r>
                </w:p>
              </w:tc>
              <w:tc>
                <w:tcPr>
                  <w:tcW w:w="427"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省域</w:t>
                  </w:r>
                </w:p>
              </w:tc>
              <w:tc>
                <w:tcPr>
                  <w:tcW w:w="269"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陕西省</w:t>
                  </w: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空间布局约束</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、执行国家法律法规对自然保护区、风景名胜区、森林公园、地质公园、世界自然和文化遗产、重要湿地、重要水源地等法定保护地的禁止性和限制性要求。</w:t>
                  </w:r>
                </w:p>
                <w:p>
                  <w:pPr>
                    <w:spacing w:line="240" w:lineRule="atLeast"/>
                    <w:jc w:val="center"/>
                    <w:rPr>
                      <w:szCs w:val="21"/>
                    </w:rPr>
                  </w:pPr>
                  <w:r>
                    <w:rPr>
                      <w:szCs w:val="21"/>
                    </w:rPr>
                    <w:t>2</w:t>
                  </w:r>
                  <w:r>
                    <w:rPr>
                      <w:rFonts w:hint="eastAsia"/>
                      <w:szCs w:val="21"/>
                    </w:rPr>
                    <w:t>、城市建成区内现有钢铁、有色金属、造纸、印染、原料药制造、化工等污染严重企业须有序搬迁、改造入园（区）或依法关闭。</w:t>
                  </w:r>
                </w:p>
                <w:p>
                  <w:pPr>
                    <w:spacing w:line="240" w:lineRule="atLeast"/>
                    <w:jc w:val="center"/>
                    <w:rPr>
                      <w:szCs w:val="21"/>
                    </w:rPr>
                  </w:pPr>
                  <w:r>
                    <w:rPr>
                      <w:szCs w:val="21"/>
                    </w:rPr>
                    <w:t>3</w:t>
                  </w:r>
                  <w:r>
                    <w:rPr>
                      <w:rFonts w:hint="eastAsia"/>
                      <w:szCs w:val="21"/>
                    </w:rPr>
                    <w:t>、禁止在居民区、学校、医疗和养老机构等周边新建、扩建有色金属冶炼、焦化等行业企业；结合推进新型城镇化、产业结构调整和化解过剩产能等，有序搬迁或依法关闭对土壤造成严重污染的现有企业。</w:t>
                  </w:r>
                </w:p>
                <w:p>
                  <w:pPr>
                    <w:spacing w:line="240" w:lineRule="atLeast"/>
                    <w:jc w:val="center"/>
                    <w:rPr>
                      <w:szCs w:val="21"/>
                    </w:rPr>
                  </w:pPr>
                  <w:r>
                    <w:rPr>
                      <w:szCs w:val="21"/>
                    </w:rPr>
                    <w:t>4</w:t>
                  </w:r>
                  <w:r>
                    <w:rPr>
                      <w:rFonts w:hint="eastAsia"/>
                      <w:szCs w:val="21"/>
                    </w:rPr>
                    <w:t>、执行《市场准入负面清单（</w:t>
                  </w:r>
                  <w:r>
                    <w:rPr>
                      <w:szCs w:val="21"/>
                    </w:rPr>
                    <w:t>2019</w:t>
                  </w:r>
                  <w:r>
                    <w:rPr>
                      <w:rFonts w:hint="eastAsia"/>
                      <w:szCs w:val="21"/>
                    </w:rPr>
                    <w:t>年版）》。</w:t>
                  </w:r>
                </w:p>
                <w:p>
                  <w:pPr>
                    <w:spacing w:line="240" w:lineRule="atLeast"/>
                    <w:jc w:val="center"/>
                    <w:rPr>
                      <w:szCs w:val="21"/>
                    </w:rPr>
                  </w:pPr>
                  <w:r>
                    <w:rPr>
                      <w:szCs w:val="21"/>
                    </w:rPr>
                    <w:t>5</w:t>
                  </w:r>
                  <w:r>
                    <w:rPr>
                      <w:rFonts w:hint="eastAsia"/>
                      <w:szCs w:val="21"/>
                    </w:rPr>
                    <w:t>、执行《产业结构调整指导目录（</w:t>
                  </w:r>
                  <w:r>
                    <w:rPr>
                      <w:szCs w:val="21"/>
                    </w:rPr>
                    <w:t>2019</w:t>
                  </w:r>
                  <w:r>
                    <w:rPr>
                      <w:rFonts w:hint="eastAsia"/>
                      <w:szCs w:val="21"/>
                    </w:rPr>
                    <w:t>年本）》。</w:t>
                  </w:r>
                </w:p>
              </w:tc>
              <w:tc>
                <w:tcPr>
                  <w:tcW w:w="1044"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本项目为</w:t>
                  </w:r>
                  <w:r>
                    <w:rPr>
                      <w:szCs w:val="21"/>
                    </w:rPr>
                    <w:t>C3670</w:t>
                  </w:r>
                  <w:r>
                    <w:rPr>
                      <w:rFonts w:hint="eastAsia"/>
                      <w:szCs w:val="21"/>
                    </w:rPr>
                    <w:t>汽车零部件及配件制造，地址位于西安市鄠邑区沣京工业园潭滨北路，依据《陕西省</w:t>
                  </w:r>
                  <w:r>
                    <w:rPr>
                      <w:szCs w:val="21"/>
                    </w:rPr>
                    <w:t>“</w:t>
                  </w:r>
                  <w:r>
                    <w:rPr>
                      <w:rFonts w:hint="eastAsia"/>
                      <w:szCs w:val="21"/>
                    </w:rPr>
                    <w:t>两高</w:t>
                  </w:r>
                  <w:r>
                    <w:rPr>
                      <w:szCs w:val="21"/>
                    </w:rPr>
                    <w:t>”</w:t>
                  </w:r>
                  <w:r>
                    <w:rPr>
                      <w:rFonts w:hint="eastAsia"/>
                      <w:szCs w:val="21"/>
                    </w:rPr>
                    <w:t>项目管理暂行目录（</w:t>
                  </w:r>
                  <w:r>
                    <w:rPr>
                      <w:szCs w:val="21"/>
                    </w:rPr>
                    <w:t>2022</w:t>
                  </w:r>
                  <w:r>
                    <w:rPr>
                      <w:rFonts w:hint="eastAsia"/>
                      <w:szCs w:val="21"/>
                    </w:rPr>
                    <w:t>年版）》（陕发改环资</w:t>
                  </w:r>
                  <w:r>
                    <w:rPr>
                      <w:szCs w:val="21"/>
                    </w:rPr>
                    <w:t>[2022]110</w:t>
                  </w:r>
                  <w:r>
                    <w:rPr>
                      <w:rFonts w:hint="eastAsia"/>
                      <w:szCs w:val="21"/>
                    </w:rPr>
                    <w:t>号）不属于</w:t>
                  </w:r>
                  <w:r>
                    <w:rPr>
                      <w:szCs w:val="21"/>
                    </w:rPr>
                    <w:t>“</w:t>
                  </w:r>
                  <w:r>
                    <w:rPr>
                      <w:rFonts w:hint="eastAsia"/>
                      <w:szCs w:val="21"/>
                    </w:rPr>
                    <w:t>两高</w:t>
                  </w:r>
                  <w:r>
                    <w:rPr>
                      <w:szCs w:val="21"/>
                    </w:rPr>
                    <w:t>”</w:t>
                  </w:r>
                  <w:r>
                    <w:rPr>
                      <w:rFonts w:hint="eastAsia"/>
                      <w:szCs w:val="21"/>
                    </w:rPr>
                    <w:t>项目，经检索《产业结构调整指导目录（</w:t>
                  </w:r>
                  <w:r>
                    <w:rPr>
                      <w:szCs w:val="21"/>
                    </w:rPr>
                    <w:t>2019</w:t>
                  </w:r>
                  <w:r>
                    <w:rPr>
                      <w:rFonts w:hint="eastAsia"/>
                      <w:szCs w:val="21"/>
                    </w:rPr>
                    <w:t>年本）》（</w:t>
                  </w:r>
                  <w:r>
                    <w:rPr>
                      <w:szCs w:val="21"/>
                    </w:rPr>
                    <w:t>2021</w:t>
                  </w:r>
                  <w:r>
                    <w:rPr>
                      <w:rFonts w:hint="eastAsia"/>
                      <w:szCs w:val="21"/>
                    </w:rPr>
                    <w:t>版），本项目不属于鼓励类、限制类和淘汰类项目，应属允许类。</w:t>
                  </w:r>
                </w:p>
                <w:p>
                  <w:pPr>
                    <w:widowControl/>
                    <w:adjustRightInd w:val="0"/>
                    <w:snapToGrid w:val="0"/>
                    <w:spacing w:line="240" w:lineRule="atLeast"/>
                    <w:jc w:val="center"/>
                    <w:rPr>
                      <w:szCs w:val="21"/>
                    </w:rPr>
                  </w:pPr>
                  <w:r>
                    <w:rPr>
                      <w:rFonts w:hint="eastAsia"/>
                      <w:szCs w:val="21"/>
                    </w:rPr>
                    <w:t>项目吸音棉开松梳理粉尘经布袋除尘器（</w:t>
                  </w:r>
                  <w:r>
                    <w:rPr>
                      <w:szCs w:val="21"/>
                    </w:rPr>
                    <w:t>TA002</w:t>
                  </w:r>
                  <w:r>
                    <w:rPr>
                      <w:rFonts w:hint="eastAsia"/>
                      <w:szCs w:val="21"/>
                    </w:rPr>
                    <w:t>）处理后通过</w:t>
                  </w:r>
                  <w:r>
                    <w:rPr>
                      <w:szCs w:val="21"/>
                    </w:rPr>
                    <w:t>15m</w:t>
                  </w:r>
                  <w:r>
                    <w:rPr>
                      <w:rFonts w:hint="eastAsia"/>
                      <w:szCs w:val="21"/>
                    </w:rPr>
                    <w:t>高（</w:t>
                  </w:r>
                  <w:r>
                    <w:rPr>
                      <w:szCs w:val="21"/>
                    </w:rPr>
                    <w:t>DA002</w:t>
                  </w:r>
                  <w:r>
                    <w:rPr>
                      <w:rFonts w:hint="eastAsia"/>
                      <w:szCs w:val="21"/>
                    </w:rPr>
                    <w:t>）排气筒排放；吸音棉热熔定型工序烘箱自带密闭集气装置，热熔定型有机废气及天然气燃烧废气统一经自带集气管道收集，发泡熟化、复合及热压工序有机废气采用集气罩收集，废气统一经</w:t>
                  </w:r>
                  <w:r>
                    <w:rPr>
                      <w:szCs w:val="21"/>
                    </w:rPr>
                    <w:t>1</w:t>
                  </w:r>
                  <w:r>
                    <w:rPr>
                      <w:rFonts w:hint="eastAsia"/>
                      <w:szCs w:val="21"/>
                    </w:rPr>
                    <w:t>套二级活性炭吸附装置（</w:t>
                  </w:r>
                  <w:r>
                    <w:rPr>
                      <w:szCs w:val="21"/>
                    </w:rPr>
                    <w:t>TA001</w:t>
                  </w:r>
                  <w:r>
                    <w:rPr>
                      <w:rFonts w:hint="eastAsia"/>
                      <w:szCs w:val="21"/>
                    </w:rPr>
                    <w:t>）处理后经</w:t>
                  </w:r>
                  <w:r>
                    <w:rPr>
                      <w:szCs w:val="21"/>
                    </w:rPr>
                    <w:t>15m</w:t>
                  </w:r>
                  <w:r>
                    <w:rPr>
                      <w:rFonts w:hint="eastAsia"/>
                      <w:szCs w:val="21"/>
                    </w:rPr>
                    <w:t>高排气筒排放（</w:t>
                  </w:r>
                  <w:r>
                    <w:rPr>
                      <w:szCs w:val="21"/>
                    </w:rPr>
                    <w:t>DA001</w:t>
                  </w:r>
                  <w:r>
                    <w:rPr>
                      <w:rFonts w:hint="eastAsia"/>
                      <w:szCs w:val="21"/>
                    </w:rPr>
                    <w:t>）。</w:t>
                  </w:r>
                </w:p>
                <w:p>
                  <w:pPr>
                    <w:widowControl/>
                    <w:adjustRightInd w:val="0"/>
                    <w:snapToGrid w:val="0"/>
                    <w:spacing w:line="240" w:lineRule="atLeast"/>
                    <w:jc w:val="center"/>
                    <w:rPr>
                      <w:szCs w:val="21"/>
                    </w:rPr>
                  </w:pPr>
                  <w:r>
                    <w:rPr>
                      <w:rFonts w:hint="eastAsia"/>
                      <w:szCs w:val="21"/>
                    </w:rPr>
                    <w:t>项目实施雨污分流，雨水进入园区雨水管网，项目生活污水依托园区现有化粪池进行预处理后经市政管网统一排至鄠邑区第二污水处理厂；</w:t>
                  </w:r>
                </w:p>
                <w:p>
                  <w:pPr>
                    <w:spacing w:line="240" w:lineRule="atLeast"/>
                    <w:jc w:val="center"/>
                    <w:rPr>
                      <w:szCs w:val="21"/>
                    </w:rPr>
                  </w:pPr>
                  <w:r>
                    <w:rPr>
                      <w:rFonts w:hint="eastAsia"/>
                    </w:rPr>
                    <w:t>项目采用</w:t>
                  </w:r>
                  <w:r>
                    <w:rPr>
                      <w:rFonts w:hint="eastAsia"/>
                      <w:szCs w:val="21"/>
                    </w:rPr>
                    <w:t>管道天然气。</w:t>
                  </w:r>
                </w:p>
              </w:tc>
              <w:tc>
                <w:tcPr>
                  <w:tcW w:w="266" w:type="pct"/>
                  <w:vMerge w:val="restart"/>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r>
                    <w:rPr>
                      <w:rFonts w:hint="eastAsia"/>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污染物排放管控</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、禁止新建燃煤集中供热站；有序淘汰排放不达标小火电机组；不再新建</w:t>
                  </w:r>
                  <w:r>
                    <w:rPr>
                      <w:szCs w:val="21"/>
                    </w:rPr>
                    <w:t>35</w:t>
                  </w:r>
                  <w:r>
                    <w:rPr>
                      <w:rFonts w:hint="eastAsia"/>
                      <w:szCs w:val="21"/>
                    </w:rPr>
                    <w:t>蒸吨以下的燃煤锅炉；</w:t>
                  </w:r>
                  <w:r>
                    <w:rPr>
                      <w:szCs w:val="21"/>
                    </w:rPr>
                    <w:t>65</w:t>
                  </w:r>
                  <w:r>
                    <w:rPr>
                      <w:rFonts w:hint="eastAsia"/>
                      <w:szCs w:val="21"/>
                    </w:rPr>
                    <w:t>蒸吨及以上燃煤锅炉全部完成节能改造；</w:t>
                  </w:r>
                  <w:r>
                    <w:rPr>
                      <w:szCs w:val="21"/>
                    </w:rPr>
                    <w:t>10</w:t>
                  </w:r>
                  <w:r>
                    <w:rPr>
                      <w:rFonts w:hint="eastAsia"/>
                      <w:szCs w:val="21"/>
                    </w:rPr>
                    <w:t>万千瓦及以上燃煤火电机组全部实现超低排放。</w:t>
                  </w:r>
                </w:p>
                <w:p>
                  <w:pPr>
                    <w:spacing w:line="240" w:lineRule="atLeast"/>
                    <w:jc w:val="center"/>
                    <w:rPr>
                      <w:szCs w:val="21"/>
                    </w:rPr>
                  </w:pPr>
                  <w:r>
                    <w:rPr>
                      <w:szCs w:val="21"/>
                    </w:rPr>
                    <w:t>2</w:t>
                  </w:r>
                  <w:r>
                    <w:rPr>
                      <w:rFonts w:hint="eastAsia"/>
                      <w:szCs w:val="21"/>
                    </w:rPr>
                    <w:t>、工业集聚区内工业废水必须经预处理达到集中处理要求，方可进入污水集中处理设施。</w:t>
                  </w:r>
                </w:p>
                <w:p>
                  <w:pPr>
                    <w:spacing w:line="240" w:lineRule="atLeast"/>
                    <w:jc w:val="center"/>
                    <w:rPr>
                      <w:szCs w:val="21"/>
                    </w:rPr>
                  </w:pPr>
                  <w:r>
                    <w:rPr>
                      <w:szCs w:val="21"/>
                    </w:rPr>
                    <w:t>3</w:t>
                  </w:r>
                  <w:r>
                    <w:rPr>
                      <w:rFonts w:hint="eastAsia"/>
                      <w:szCs w:val="21"/>
                    </w:rPr>
                    <w:t>、黄河流域城镇污水处理设施执行《黄河流域（陕西段）污水综合排放标准》；汉江、丹江流域城镇污水处理设施执行《汉丹江流域（陕西段）重点行业水污染物排放限值》。</w:t>
                  </w:r>
                </w:p>
                <w:p>
                  <w:pPr>
                    <w:spacing w:line="240" w:lineRule="atLeast"/>
                    <w:jc w:val="center"/>
                    <w:rPr>
                      <w:szCs w:val="21"/>
                    </w:rPr>
                  </w:pPr>
                  <w:r>
                    <w:rPr>
                      <w:szCs w:val="21"/>
                    </w:rPr>
                    <w:t>4</w:t>
                  </w:r>
                  <w:r>
                    <w:rPr>
                      <w:rFonts w:hint="eastAsia"/>
                      <w:szCs w:val="21"/>
                    </w:rPr>
                    <w:t>、新建、改建、扩建规模化畜禽养殖场（小区）要实施雨污分流、粪便污水资源化利用。</w:t>
                  </w:r>
                </w:p>
                <w:p>
                  <w:pPr>
                    <w:spacing w:line="240" w:lineRule="atLeast"/>
                    <w:jc w:val="center"/>
                    <w:rPr>
                      <w:szCs w:val="21"/>
                    </w:rPr>
                  </w:pPr>
                  <w:r>
                    <w:rPr>
                      <w:szCs w:val="21"/>
                    </w:rPr>
                    <w:t>5</w:t>
                  </w:r>
                  <w:r>
                    <w:rPr>
                      <w:rFonts w:hint="eastAsia"/>
                      <w:szCs w:val="21"/>
                    </w:rPr>
                    <w:t>、产生废石（废渣）的矿山开发、选矿及废渣综合利用企业必须建设规范的堆场，对矿坑废水、选矿废水、堆场淋溶水、冲洗废水、生活污水等进行全收集、全处理。</w:t>
                  </w:r>
                </w:p>
                <w:p>
                  <w:pPr>
                    <w:spacing w:line="240" w:lineRule="atLeast"/>
                    <w:jc w:val="center"/>
                    <w:rPr>
                      <w:szCs w:val="21"/>
                    </w:rPr>
                  </w:pPr>
                  <w:r>
                    <w:rPr>
                      <w:szCs w:val="21"/>
                    </w:rPr>
                    <w:t>6</w:t>
                  </w:r>
                  <w:r>
                    <w:rPr>
                      <w:rFonts w:hint="eastAsia"/>
                      <w:szCs w:val="21"/>
                    </w:rPr>
                    <w:t>、严禁采用渗井、废坑、废矿井或净水稀释等手段排放有毒、有害废水。存放含有毒、有害物质的废水、废液的淋浸池、贮存池、沉淀池必须采取防腐、防渗漏、防流失等措施。</w:t>
                  </w:r>
                </w:p>
                <w:p>
                  <w:pPr>
                    <w:spacing w:line="240" w:lineRule="atLeast"/>
                    <w:jc w:val="center"/>
                    <w:rPr>
                      <w:szCs w:val="21"/>
                    </w:rPr>
                  </w:pPr>
                  <w:r>
                    <w:rPr>
                      <w:szCs w:val="21"/>
                    </w:rPr>
                    <w:t>7</w:t>
                  </w:r>
                  <w:r>
                    <w:rPr>
                      <w:rFonts w:hint="eastAsia"/>
                      <w:szCs w:val="21"/>
                    </w:rPr>
                    <w:t>、西安市鄠邑区，宝鸡市凤翔县、凤县，咸阳市礼泉县，渭南市潼关县，汉中市略阳县、宁强县、勉县，安康市汉滨区、旬阳市，商洛市商州区、镇安县、洛南县等</w:t>
                  </w:r>
                  <w:r>
                    <w:rPr>
                      <w:szCs w:val="21"/>
                    </w:rPr>
                    <w:t>13</w:t>
                  </w:r>
                  <w:r>
                    <w:rPr>
                      <w:rFonts w:hint="eastAsia"/>
                      <w:szCs w:val="21"/>
                    </w:rPr>
                    <w:t>个矿产资源开发利用活动集中的县区）执行《重有色金属冶炼业铅、锌工业污染物排放标准》（</w:t>
                  </w:r>
                  <w:r>
                    <w:rPr>
                      <w:szCs w:val="21"/>
                    </w:rPr>
                    <w:t>GB25466</w:t>
                  </w:r>
                  <w:r>
                    <w:rPr>
                      <w:rFonts w:hint="eastAsia"/>
                      <w:szCs w:val="21"/>
                    </w:rPr>
                    <w:t>）中的水污染物总锌、总铜、总铅、总镉、总镍、总砷、总汞、总铬特别排放限值；《电镀污染物排放标准》（</w:t>
                  </w:r>
                  <w:r>
                    <w:rPr>
                      <w:szCs w:val="21"/>
                    </w:rPr>
                    <w:t>GB21900</w:t>
                  </w:r>
                  <w:r>
                    <w:rPr>
                      <w:rFonts w:hint="eastAsia"/>
                      <w:szCs w:val="21"/>
                    </w:rPr>
                    <w:t>）中的水污染物总铬、六价铬、总镍、总镉、总银、总铅、总汞、总锌、总铜、总铁、总铝、石油类特别排放限值；《电池工业污染物排放标准》（</w:t>
                  </w:r>
                  <w:r>
                    <w:rPr>
                      <w:szCs w:val="21"/>
                    </w:rPr>
                    <w:t>GB30484</w:t>
                  </w:r>
                  <w:r>
                    <w:rPr>
                      <w:rFonts w:hint="eastAsia"/>
                      <w:szCs w:val="21"/>
                    </w:rPr>
                    <w:t>）中的水污染物总锌、总锰、总汞、总银、总铅、总镉、总镍、总钴特别排放限值。</w:t>
                  </w:r>
                </w:p>
              </w:tc>
              <w:tc>
                <w:tcPr>
                  <w:tcW w:w="1044"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6" w:type="pct"/>
                  <w:vMerge w:val="continue"/>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环境风险</w:t>
                  </w:r>
                </w:p>
                <w:p>
                  <w:pPr>
                    <w:spacing w:line="240" w:lineRule="atLeast"/>
                    <w:jc w:val="center"/>
                    <w:rPr>
                      <w:szCs w:val="21"/>
                    </w:rPr>
                  </w:pPr>
                  <w:r>
                    <w:rPr>
                      <w:rFonts w:hint="eastAsia"/>
                      <w:szCs w:val="21"/>
                    </w:rPr>
                    <w:t>防控</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、重点加强饮用水源地、化工企业、工业园区、陕北原油管道、陕南尾矿库等领域的环境风险防控。</w:t>
                  </w:r>
                </w:p>
                <w:p>
                  <w:pPr>
                    <w:spacing w:line="240" w:lineRule="atLeast"/>
                    <w:jc w:val="center"/>
                    <w:rPr>
                      <w:szCs w:val="21"/>
                    </w:rPr>
                  </w:pPr>
                  <w:r>
                    <w:rPr>
                      <w:szCs w:val="21"/>
                    </w:rPr>
                    <w:t>2</w:t>
                  </w:r>
                  <w:r>
                    <w:rPr>
                      <w:rFonts w:hint="eastAsia"/>
                      <w:szCs w:val="21"/>
                    </w:rPr>
                    <w:t>、渭河、延河、无定河、汉江、丹江、嘉陵江等六条主要河流干流沿岸，要严格控制石油加工、化学原料和化学制品制造、医药制造、化学纤维制造、有色金属冶炼、纺织印染等项目，合理布局生产装置及危险化学品仓储等设施。</w:t>
                  </w:r>
                </w:p>
              </w:tc>
              <w:tc>
                <w:tcPr>
                  <w:tcW w:w="1044"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6" w:type="pct"/>
                  <w:vMerge w:val="continue"/>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97" w:hRule="atLeast"/>
                <w:jc w:val="center"/>
              </w:trPr>
              <w:tc>
                <w:tcPr>
                  <w:tcW w:w="559"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源开发效率要求</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w:t>
                  </w:r>
                  <w:r>
                    <w:rPr>
                      <w:szCs w:val="21"/>
                    </w:rPr>
                    <w:t>2020</w:t>
                  </w:r>
                  <w:r>
                    <w:rPr>
                      <w:rFonts w:hint="eastAsia"/>
                      <w:szCs w:val="21"/>
                    </w:rPr>
                    <w:t>年大型发电集团单位供电二氧化碳排放水平控制在</w:t>
                  </w:r>
                  <w:r>
                    <w:rPr>
                      <w:szCs w:val="21"/>
                    </w:rPr>
                    <w:t>550</w:t>
                  </w:r>
                  <w:r>
                    <w:rPr>
                      <w:rFonts w:hint="eastAsia"/>
                      <w:szCs w:val="21"/>
                    </w:rPr>
                    <w:t>克</w:t>
                  </w:r>
                  <w:r>
                    <w:rPr>
                      <w:szCs w:val="21"/>
                    </w:rPr>
                    <w:t>/</w:t>
                  </w:r>
                  <w:r>
                    <w:rPr>
                      <w:rFonts w:hint="eastAsia"/>
                      <w:szCs w:val="21"/>
                    </w:rPr>
                    <w:t>千瓦时以内。</w:t>
                  </w:r>
                </w:p>
                <w:p>
                  <w:pPr>
                    <w:spacing w:line="240" w:lineRule="atLeast"/>
                    <w:jc w:val="center"/>
                    <w:rPr>
                      <w:szCs w:val="21"/>
                    </w:rPr>
                  </w:pPr>
                  <w:r>
                    <w:rPr>
                      <w:szCs w:val="21"/>
                    </w:rPr>
                    <w:t>2</w:t>
                  </w:r>
                  <w:r>
                    <w:rPr>
                      <w:rFonts w:hint="eastAsia"/>
                      <w:szCs w:val="21"/>
                    </w:rPr>
                    <w:t>、</w:t>
                  </w:r>
                  <w:r>
                    <w:rPr>
                      <w:szCs w:val="21"/>
                    </w:rPr>
                    <w:t>2020</w:t>
                  </w:r>
                  <w:r>
                    <w:rPr>
                      <w:rFonts w:hint="eastAsia"/>
                      <w:szCs w:val="21"/>
                    </w:rPr>
                    <w:t>年全省万元国内生产总值用水量、万元工业增加值用水量比</w:t>
                  </w:r>
                  <w:r>
                    <w:rPr>
                      <w:szCs w:val="21"/>
                    </w:rPr>
                    <w:t>2013</w:t>
                  </w:r>
                  <w:r>
                    <w:rPr>
                      <w:rFonts w:hint="eastAsia"/>
                      <w:szCs w:val="21"/>
                    </w:rPr>
                    <w:t>年的</w:t>
                  </w:r>
                  <w:r>
                    <w:rPr>
                      <w:szCs w:val="21"/>
                    </w:rPr>
                    <w:t>55.59</w:t>
                  </w:r>
                  <w:r>
                    <w:rPr>
                      <w:rFonts w:hint="eastAsia"/>
                      <w:szCs w:val="21"/>
                    </w:rPr>
                    <w:t>立方米、</w:t>
                  </w:r>
                  <w:r>
                    <w:rPr>
                      <w:szCs w:val="21"/>
                    </w:rPr>
                    <w:t>32.43</w:t>
                  </w:r>
                  <w:r>
                    <w:rPr>
                      <w:rFonts w:hint="eastAsia"/>
                      <w:szCs w:val="21"/>
                    </w:rPr>
                    <w:t>立方米分别下降</w:t>
                  </w:r>
                  <w:r>
                    <w:rPr>
                      <w:szCs w:val="21"/>
                    </w:rPr>
                    <w:t>15%</w:t>
                  </w:r>
                  <w:r>
                    <w:rPr>
                      <w:rFonts w:hint="eastAsia"/>
                      <w:szCs w:val="21"/>
                    </w:rPr>
                    <w:t>、</w:t>
                  </w:r>
                  <w:r>
                    <w:rPr>
                      <w:szCs w:val="21"/>
                    </w:rPr>
                    <w:t>13%</w:t>
                  </w:r>
                  <w:r>
                    <w:rPr>
                      <w:rFonts w:hint="eastAsia"/>
                      <w:szCs w:val="21"/>
                    </w:rPr>
                    <w:t>以上。</w:t>
                  </w:r>
                </w:p>
                <w:p>
                  <w:pPr>
                    <w:spacing w:line="240" w:lineRule="atLeast"/>
                    <w:jc w:val="center"/>
                    <w:rPr>
                      <w:szCs w:val="21"/>
                    </w:rPr>
                  </w:pPr>
                  <w:r>
                    <w:rPr>
                      <w:szCs w:val="21"/>
                    </w:rPr>
                    <w:t>3</w:t>
                  </w:r>
                  <w:r>
                    <w:rPr>
                      <w:rFonts w:hint="eastAsia"/>
                      <w:szCs w:val="21"/>
                    </w:rPr>
                    <w:t>、</w:t>
                  </w:r>
                  <w:r>
                    <w:rPr>
                      <w:szCs w:val="21"/>
                    </w:rPr>
                    <w:t>2020</w:t>
                  </w:r>
                  <w:r>
                    <w:rPr>
                      <w:rFonts w:hint="eastAsia"/>
                      <w:szCs w:val="21"/>
                    </w:rPr>
                    <w:t>年电力、钢铁、纺织、造纸、石油石化、化工、食品发酵等高耗水行业达到先进定额标准。</w:t>
                  </w:r>
                </w:p>
                <w:p>
                  <w:pPr>
                    <w:spacing w:line="240" w:lineRule="atLeast"/>
                    <w:jc w:val="center"/>
                    <w:rPr>
                      <w:szCs w:val="21"/>
                    </w:rPr>
                  </w:pPr>
                  <w:r>
                    <w:rPr>
                      <w:szCs w:val="21"/>
                    </w:rPr>
                    <w:t>4</w:t>
                  </w:r>
                  <w:r>
                    <w:rPr>
                      <w:rFonts w:hint="eastAsia"/>
                      <w:szCs w:val="21"/>
                    </w:rPr>
                    <w:t>、</w:t>
                  </w:r>
                  <w:r>
                    <w:rPr>
                      <w:szCs w:val="21"/>
                    </w:rPr>
                    <w:t>2020</w:t>
                  </w:r>
                  <w:r>
                    <w:rPr>
                      <w:rFonts w:hint="eastAsia"/>
                      <w:szCs w:val="21"/>
                    </w:rPr>
                    <w:t>年陕北、关中地区城市再生水利用率达</w:t>
                  </w:r>
                  <w:r>
                    <w:rPr>
                      <w:szCs w:val="21"/>
                    </w:rPr>
                    <w:t>20%</w:t>
                  </w:r>
                  <w:r>
                    <w:rPr>
                      <w:rFonts w:hint="eastAsia"/>
                      <w:szCs w:val="21"/>
                    </w:rPr>
                    <w:t>以上。</w:t>
                  </w:r>
                </w:p>
                <w:p>
                  <w:pPr>
                    <w:spacing w:line="240" w:lineRule="atLeast"/>
                    <w:jc w:val="center"/>
                    <w:rPr>
                      <w:szCs w:val="21"/>
                    </w:rPr>
                  </w:pPr>
                  <w:r>
                    <w:rPr>
                      <w:szCs w:val="21"/>
                    </w:rPr>
                    <w:t>5</w:t>
                  </w:r>
                  <w:r>
                    <w:rPr>
                      <w:rFonts w:hint="eastAsia"/>
                      <w:szCs w:val="21"/>
                    </w:rPr>
                    <w:t>、严格限制高耗水行业发展，提高水资源利用水平；严禁挤占生态用水。</w:t>
                  </w:r>
                </w:p>
                <w:p>
                  <w:pPr>
                    <w:spacing w:line="240" w:lineRule="atLeast"/>
                    <w:jc w:val="center"/>
                    <w:rPr>
                      <w:szCs w:val="21"/>
                    </w:rPr>
                  </w:pPr>
                  <w:r>
                    <w:rPr>
                      <w:szCs w:val="21"/>
                    </w:rPr>
                    <w:t>6</w:t>
                  </w:r>
                  <w:r>
                    <w:rPr>
                      <w:rFonts w:hint="eastAsia"/>
                      <w:szCs w:val="21"/>
                    </w:rPr>
                    <w:t>、对已接近或达到用水总量指标的地区，限制和停止审批新增取水。</w:t>
                  </w:r>
                </w:p>
                <w:p>
                  <w:pPr>
                    <w:spacing w:line="240" w:lineRule="atLeast"/>
                    <w:jc w:val="center"/>
                    <w:rPr>
                      <w:szCs w:val="21"/>
                    </w:rPr>
                  </w:pPr>
                  <w:r>
                    <w:rPr>
                      <w:szCs w:val="21"/>
                    </w:rPr>
                    <w:t>7</w:t>
                  </w:r>
                  <w:r>
                    <w:rPr>
                      <w:rFonts w:hint="eastAsia"/>
                      <w:szCs w:val="21"/>
                    </w:rPr>
                    <w:t>、煤炭矿区的补充用水、周边地区生产和生态用水应优先使用矿井水，洗煤废水闭路循环不外排。</w:t>
                  </w:r>
                </w:p>
                <w:p>
                  <w:pPr>
                    <w:spacing w:line="240" w:lineRule="atLeast"/>
                    <w:jc w:val="center"/>
                    <w:rPr>
                      <w:szCs w:val="21"/>
                    </w:rPr>
                  </w:pPr>
                  <w:r>
                    <w:rPr>
                      <w:szCs w:val="21"/>
                    </w:rPr>
                    <w:t>8</w:t>
                  </w:r>
                  <w:r>
                    <w:rPr>
                      <w:rFonts w:hint="eastAsia"/>
                      <w:szCs w:val="21"/>
                    </w:rPr>
                    <w:t>、具备使用再生水条件但未充分利用的钢铁、火电、化工、制浆造纸、印染等项目，不得批准其新增取水许可。</w:t>
                  </w:r>
                </w:p>
                <w:p>
                  <w:pPr>
                    <w:spacing w:line="240" w:lineRule="atLeast"/>
                    <w:jc w:val="center"/>
                    <w:rPr>
                      <w:szCs w:val="21"/>
                    </w:rPr>
                  </w:pPr>
                  <w:r>
                    <w:rPr>
                      <w:szCs w:val="21"/>
                    </w:rPr>
                    <w:t>9</w:t>
                  </w:r>
                  <w:r>
                    <w:rPr>
                      <w:rFonts w:hint="eastAsia"/>
                      <w:szCs w:val="21"/>
                    </w:rPr>
                    <w:t>、在地面沉降、地裂缝、岩溶塌陷等地质灾害易发区开发利用地下水，应进行地质灾害危险性评估。</w:t>
                  </w:r>
                </w:p>
                <w:p>
                  <w:pPr>
                    <w:spacing w:line="240" w:lineRule="atLeast"/>
                    <w:jc w:val="center"/>
                    <w:rPr>
                      <w:szCs w:val="21"/>
                    </w:rPr>
                  </w:pPr>
                  <w:r>
                    <w:rPr>
                      <w:szCs w:val="21"/>
                    </w:rPr>
                    <w:t>10</w:t>
                  </w:r>
                  <w:r>
                    <w:rPr>
                      <w:rFonts w:hint="eastAsia"/>
                      <w:szCs w:val="21"/>
                    </w:rPr>
                    <w:t>、断流河流所在流域范围、地下水降落漏斗范围内不得新增工业企业用水规模。</w:t>
                  </w:r>
                </w:p>
                <w:p>
                  <w:pPr>
                    <w:spacing w:line="240" w:lineRule="atLeast"/>
                    <w:jc w:val="center"/>
                    <w:rPr>
                      <w:szCs w:val="21"/>
                    </w:rPr>
                  </w:pPr>
                  <w:r>
                    <w:rPr>
                      <w:szCs w:val="21"/>
                    </w:rPr>
                    <w:t>11</w:t>
                  </w:r>
                  <w:r>
                    <w:rPr>
                      <w:rFonts w:hint="eastAsia"/>
                      <w:szCs w:val="21"/>
                    </w:rPr>
                    <w:t>、地下水超采区内禁止工农业生产及服务业新增取用地下水。</w:t>
                  </w:r>
                </w:p>
                <w:p>
                  <w:pPr>
                    <w:spacing w:line="240" w:lineRule="atLeast"/>
                    <w:jc w:val="center"/>
                    <w:rPr>
                      <w:szCs w:val="21"/>
                    </w:rPr>
                  </w:pPr>
                  <w:r>
                    <w:rPr>
                      <w:szCs w:val="21"/>
                    </w:rPr>
                    <w:t>12</w:t>
                  </w:r>
                  <w:r>
                    <w:rPr>
                      <w:rFonts w:hint="eastAsia"/>
                      <w:szCs w:val="21"/>
                    </w:rPr>
                    <w:t>、延河、无定河总体生态水量不低于天然径流量的</w:t>
                  </w:r>
                  <w:r>
                    <w:rPr>
                      <w:szCs w:val="21"/>
                    </w:rPr>
                    <w:t>30%</w:t>
                  </w:r>
                  <w:r>
                    <w:rPr>
                      <w:rFonts w:hint="eastAsia"/>
                      <w:szCs w:val="21"/>
                    </w:rPr>
                    <w:t>。</w:t>
                  </w:r>
                </w:p>
              </w:tc>
              <w:tc>
                <w:tcPr>
                  <w:tcW w:w="1044"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pPr>
                </w:p>
              </w:tc>
              <w:tc>
                <w:tcPr>
                  <w:tcW w:w="266" w:type="pct"/>
                  <w:vMerge w:val="continue"/>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restart"/>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r>
                    <w:rPr>
                      <w:szCs w:val="21"/>
                    </w:rPr>
                    <w:t>*</w:t>
                  </w:r>
                </w:p>
              </w:tc>
              <w:tc>
                <w:tcPr>
                  <w:tcW w:w="427"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关中地区</w:t>
                  </w:r>
                </w:p>
              </w:tc>
              <w:tc>
                <w:tcPr>
                  <w:tcW w:w="269"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陕西省</w:t>
                  </w: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空间布局</w:t>
                  </w:r>
                </w:p>
                <w:p>
                  <w:pPr>
                    <w:spacing w:line="240" w:lineRule="atLeast"/>
                    <w:jc w:val="center"/>
                    <w:rPr>
                      <w:szCs w:val="21"/>
                    </w:rPr>
                  </w:pPr>
                  <w:r>
                    <w:rPr>
                      <w:rFonts w:hint="eastAsia"/>
                      <w:szCs w:val="21"/>
                    </w:rPr>
                    <w:t>约束</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、本行政区域内的自然保护区、风景名胜区、森林公园、地质公园、世界自然和文化遗产、饮用水水源保护区等区域的禁止性和限制性准入要求依照国家相关法律法规执行。</w:t>
                  </w:r>
                </w:p>
                <w:p>
                  <w:pPr>
                    <w:spacing w:line="240" w:lineRule="atLeast"/>
                    <w:jc w:val="center"/>
                    <w:rPr>
                      <w:szCs w:val="21"/>
                    </w:rPr>
                  </w:pPr>
                  <w:r>
                    <w:rPr>
                      <w:szCs w:val="21"/>
                    </w:rPr>
                    <w:t>2</w:t>
                  </w:r>
                  <w:r>
                    <w:rPr>
                      <w:rFonts w:hint="eastAsia"/>
                      <w:szCs w:val="21"/>
                    </w:rPr>
                    <w:t>、西安、宝鸡、咸阳、铜川、渭南、韩城、杨凌示范区和西咸新区城市规划区以及以西安市钟楼为基准点、半径</w:t>
                  </w:r>
                  <w:r>
                    <w:rPr>
                      <w:szCs w:val="21"/>
                    </w:rPr>
                    <w:t>100</w:t>
                  </w:r>
                  <w:r>
                    <w:rPr>
                      <w:rFonts w:hint="eastAsia"/>
                      <w:szCs w:val="21"/>
                    </w:rPr>
                    <w:t>公里范围内禁止新建、扩建燃煤发电、燃煤热电联产和燃煤集中供热项目，禁止新建、改建和扩建石油化工、煤化工项目。</w:t>
                  </w:r>
                </w:p>
                <w:p>
                  <w:pPr>
                    <w:spacing w:line="240" w:lineRule="atLeast"/>
                    <w:jc w:val="center"/>
                    <w:rPr>
                      <w:szCs w:val="21"/>
                    </w:rPr>
                  </w:pPr>
                  <w:r>
                    <w:rPr>
                      <w:szCs w:val="21"/>
                    </w:rPr>
                    <w:t>3</w:t>
                  </w:r>
                  <w:r>
                    <w:rPr>
                      <w:rFonts w:hint="eastAsia"/>
                      <w:szCs w:val="21"/>
                    </w:rPr>
                    <w:t>、渭河两岸划定保护区域，区域内禁止建设任何与水环境管理无关的项目，并在适宜地区建设生态湿地，构建渭河生态屏障。</w:t>
                  </w:r>
                </w:p>
                <w:p>
                  <w:pPr>
                    <w:spacing w:line="240" w:lineRule="atLeast"/>
                    <w:jc w:val="center"/>
                    <w:rPr>
                      <w:szCs w:val="21"/>
                    </w:rPr>
                  </w:pPr>
                  <w:r>
                    <w:rPr>
                      <w:szCs w:val="21"/>
                    </w:rPr>
                    <w:t>4</w:t>
                  </w:r>
                  <w:r>
                    <w:rPr>
                      <w:rFonts w:hint="eastAsia"/>
                      <w:szCs w:val="21"/>
                    </w:rPr>
                    <w:t>、禁止新建、扩建粘土实心砖厂。</w:t>
                  </w:r>
                </w:p>
                <w:p>
                  <w:pPr>
                    <w:spacing w:line="240" w:lineRule="atLeast"/>
                    <w:jc w:val="center"/>
                    <w:rPr>
                      <w:szCs w:val="21"/>
                    </w:rPr>
                  </w:pPr>
                  <w:r>
                    <w:rPr>
                      <w:szCs w:val="21"/>
                    </w:rPr>
                    <w:t>5</w:t>
                  </w:r>
                  <w:r>
                    <w:rPr>
                      <w:rFonts w:hint="eastAsia"/>
                      <w:szCs w:val="21"/>
                    </w:rPr>
                    <w:t>、西安市城区地热开采区、山阳县钒矿开采区、商南县钒矿开采区、华阴市华阳川铀铌铅矿区，以上</w:t>
                  </w:r>
                  <w:r>
                    <w:rPr>
                      <w:szCs w:val="21"/>
                    </w:rPr>
                    <w:t>4</w:t>
                  </w:r>
                  <w:r>
                    <w:rPr>
                      <w:rFonts w:hint="eastAsia"/>
                      <w:szCs w:val="21"/>
                    </w:rPr>
                    <w:t>个区域应分别限制地热、钒和铀铌铅矿的开采。</w:t>
                  </w:r>
                </w:p>
                <w:p>
                  <w:pPr>
                    <w:spacing w:line="240" w:lineRule="atLeast"/>
                    <w:jc w:val="center"/>
                    <w:rPr>
                      <w:szCs w:val="21"/>
                    </w:rPr>
                  </w:pPr>
                  <w:r>
                    <w:rPr>
                      <w:szCs w:val="21"/>
                    </w:rPr>
                    <w:t>6</w:t>
                  </w:r>
                  <w:r>
                    <w:rPr>
                      <w:rFonts w:hint="eastAsia"/>
                      <w:szCs w:val="21"/>
                    </w:rPr>
                    <w:t>、控制开发渭北煤炭、水泥用灰岩和关中城市核心区地热等矿产资源。</w:t>
                  </w:r>
                </w:p>
              </w:tc>
              <w:tc>
                <w:tcPr>
                  <w:tcW w:w="1044" w:type="pct"/>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本项目为</w:t>
                  </w:r>
                  <w:r>
                    <w:rPr>
                      <w:szCs w:val="21"/>
                    </w:rPr>
                    <w:t>C3670</w:t>
                  </w:r>
                  <w:r>
                    <w:rPr>
                      <w:rFonts w:hint="eastAsia"/>
                      <w:szCs w:val="21"/>
                    </w:rPr>
                    <w:t>汽车零部件及配件制造，地址位于西安市鄠邑区沣京工业园潭滨北路，依据《陕西省</w:t>
                  </w:r>
                  <w:r>
                    <w:rPr>
                      <w:szCs w:val="21"/>
                    </w:rPr>
                    <w:t>“</w:t>
                  </w:r>
                  <w:r>
                    <w:rPr>
                      <w:rFonts w:hint="eastAsia"/>
                      <w:szCs w:val="21"/>
                    </w:rPr>
                    <w:t>两高</w:t>
                  </w:r>
                  <w:r>
                    <w:rPr>
                      <w:szCs w:val="21"/>
                    </w:rPr>
                    <w:t>”</w:t>
                  </w:r>
                  <w:r>
                    <w:rPr>
                      <w:rFonts w:hint="eastAsia"/>
                      <w:szCs w:val="21"/>
                    </w:rPr>
                    <w:t>项目管理暂行目录（</w:t>
                  </w:r>
                  <w:r>
                    <w:rPr>
                      <w:szCs w:val="21"/>
                    </w:rPr>
                    <w:t>2022</w:t>
                  </w:r>
                  <w:r>
                    <w:rPr>
                      <w:rFonts w:hint="eastAsia"/>
                      <w:szCs w:val="21"/>
                    </w:rPr>
                    <w:t>年版）》（陕发改环资</w:t>
                  </w:r>
                  <w:r>
                    <w:rPr>
                      <w:szCs w:val="21"/>
                    </w:rPr>
                    <w:t>[2022]110</w:t>
                  </w:r>
                  <w:r>
                    <w:rPr>
                      <w:rFonts w:hint="eastAsia"/>
                      <w:szCs w:val="21"/>
                    </w:rPr>
                    <w:t>号）不属于</w:t>
                  </w:r>
                  <w:r>
                    <w:rPr>
                      <w:szCs w:val="21"/>
                    </w:rPr>
                    <w:t>“</w:t>
                  </w:r>
                  <w:r>
                    <w:rPr>
                      <w:rFonts w:hint="eastAsia"/>
                      <w:szCs w:val="21"/>
                    </w:rPr>
                    <w:t>两高</w:t>
                  </w:r>
                  <w:r>
                    <w:rPr>
                      <w:szCs w:val="21"/>
                    </w:rPr>
                    <w:t>”</w:t>
                  </w:r>
                  <w:r>
                    <w:rPr>
                      <w:rFonts w:hint="eastAsia"/>
                      <w:szCs w:val="21"/>
                    </w:rPr>
                    <w:t>项目，经检索《产业结构调整指导目录（</w:t>
                  </w:r>
                  <w:r>
                    <w:rPr>
                      <w:szCs w:val="21"/>
                    </w:rPr>
                    <w:t>2019</w:t>
                  </w:r>
                  <w:r>
                    <w:rPr>
                      <w:rFonts w:hint="eastAsia"/>
                      <w:szCs w:val="21"/>
                    </w:rPr>
                    <w:t>年本）》（</w:t>
                  </w:r>
                  <w:r>
                    <w:rPr>
                      <w:szCs w:val="21"/>
                    </w:rPr>
                    <w:t>2021</w:t>
                  </w:r>
                  <w:r>
                    <w:rPr>
                      <w:rFonts w:hint="eastAsia"/>
                      <w:szCs w:val="21"/>
                    </w:rPr>
                    <w:t>版），本项目不属于鼓励类、限制类和淘汰类项目，应属允许类。</w:t>
                  </w:r>
                </w:p>
                <w:p>
                  <w:pPr>
                    <w:widowControl/>
                    <w:adjustRightInd w:val="0"/>
                    <w:snapToGrid w:val="0"/>
                    <w:spacing w:line="240" w:lineRule="atLeast"/>
                    <w:jc w:val="center"/>
                    <w:rPr>
                      <w:szCs w:val="21"/>
                    </w:rPr>
                  </w:pPr>
                  <w:r>
                    <w:rPr>
                      <w:rFonts w:hint="eastAsia"/>
                      <w:szCs w:val="21"/>
                    </w:rPr>
                    <w:t>项目吸音棉开松梳理粉尘经布袋除尘器（</w:t>
                  </w:r>
                  <w:r>
                    <w:rPr>
                      <w:szCs w:val="21"/>
                    </w:rPr>
                    <w:t>TA002</w:t>
                  </w:r>
                  <w:r>
                    <w:rPr>
                      <w:rFonts w:hint="eastAsia"/>
                      <w:szCs w:val="21"/>
                    </w:rPr>
                    <w:t>）处理后经过</w:t>
                  </w:r>
                  <w:r>
                    <w:rPr>
                      <w:szCs w:val="21"/>
                    </w:rPr>
                    <w:t>15m</w:t>
                  </w:r>
                  <w:r>
                    <w:rPr>
                      <w:rFonts w:hint="eastAsia"/>
                      <w:szCs w:val="21"/>
                    </w:rPr>
                    <w:t>高（</w:t>
                  </w:r>
                  <w:r>
                    <w:rPr>
                      <w:szCs w:val="21"/>
                    </w:rPr>
                    <w:t>DA002</w:t>
                  </w:r>
                  <w:r>
                    <w:rPr>
                      <w:rFonts w:hint="eastAsia"/>
                      <w:szCs w:val="21"/>
                    </w:rPr>
                    <w:t>）排气筒排放；吸音棉热熔定型工序烘箱自带密闭集气装置，热熔定型有机废气及天然气燃烧废气统一经自带集气管道收集，发泡熟化、复合及热压工序有机废气采用集气罩收集，废气统一经</w:t>
                  </w:r>
                  <w:r>
                    <w:rPr>
                      <w:szCs w:val="21"/>
                    </w:rPr>
                    <w:t>1</w:t>
                  </w:r>
                  <w:r>
                    <w:rPr>
                      <w:rFonts w:hint="eastAsia"/>
                      <w:szCs w:val="21"/>
                    </w:rPr>
                    <w:t>套二级活性炭吸附装置（</w:t>
                  </w:r>
                  <w:r>
                    <w:rPr>
                      <w:szCs w:val="21"/>
                    </w:rPr>
                    <w:t>TA001</w:t>
                  </w:r>
                  <w:r>
                    <w:rPr>
                      <w:rFonts w:hint="eastAsia"/>
                      <w:szCs w:val="21"/>
                    </w:rPr>
                    <w:t>）处理后经</w:t>
                  </w:r>
                  <w:r>
                    <w:rPr>
                      <w:szCs w:val="21"/>
                    </w:rPr>
                    <w:t>15m</w:t>
                  </w:r>
                  <w:r>
                    <w:rPr>
                      <w:rFonts w:hint="eastAsia"/>
                      <w:szCs w:val="21"/>
                    </w:rPr>
                    <w:t>高排气筒排放（</w:t>
                  </w:r>
                  <w:r>
                    <w:rPr>
                      <w:szCs w:val="21"/>
                    </w:rPr>
                    <w:t>DA001</w:t>
                  </w:r>
                  <w:r>
                    <w:rPr>
                      <w:rFonts w:hint="eastAsia"/>
                      <w:szCs w:val="21"/>
                    </w:rPr>
                    <w:t>）。</w:t>
                  </w:r>
                </w:p>
                <w:p>
                  <w:pPr>
                    <w:widowControl/>
                    <w:adjustRightInd w:val="0"/>
                    <w:snapToGrid w:val="0"/>
                    <w:spacing w:line="240" w:lineRule="atLeast"/>
                    <w:jc w:val="center"/>
                    <w:rPr>
                      <w:szCs w:val="21"/>
                    </w:rPr>
                  </w:pPr>
                  <w:r>
                    <w:rPr>
                      <w:rFonts w:hint="eastAsia"/>
                      <w:szCs w:val="21"/>
                    </w:rPr>
                    <w:t>项目实施雨污分流，雨水进入园区雨水管网，项目生活污水依托园区现有化粪池进行预处理后经市政管网统一排至鄠邑区第二污水处理厂；</w:t>
                  </w:r>
                </w:p>
                <w:p>
                  <w:pPr>
                    <w:spacing w:line="240" w:lineRule="atLeast"/>
                    <w:jc w:val="center"/>
                  </w:pPr>
                  <w:r>
                    <w:rPr>
                      <w:rFonts w:hint="eastAsia"/>
                    </w:rPr>
                    <w:t>项目采用</w:t>
                  </w:r>
                  <w:r>
                    <w:rPr>
                      <w:rFonts w:hint="eastAsia"/>
                      <w:szCs w:val="21"/>
                    </w:rPr>
                    <w:t>管道天然气。</w:t>
                  </w:r>
                </w:p>
              </w:tc>
              <w:tc>
                <w:tcPr>
                  <w:tcW w:w="266" w:type="pct"/>
                  <w:vMerge w:val="restart"/>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r>
                    <w:rPr>
                      <w:rFonts w:hint="eastAsia"/>
                      <w:szCs w:val="21"/>
                    </w:rPr>
                    <w:t>符合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污染物排放管控</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、西安、咸阳、渭南市建成区内</w:t>
                  </w:r>
                  <w:r>
                    <w:rPr>
                      <w:szCs w:val="21"/>
                    </w:rPr>
                    <w:t>20</w:t>
                  </w:r>
                  <w:r>
                    <w:rPr>
                      <w:rFonts w:hint="eastAsia"/>
                      <w:szCs w:val="21"/>
                    </w:rPr>
                    <w:t>蒸吨以下燃煤锅炉应拆尽拆，宝鸡、铜川、韩城市及杨凌示范区建成区内</w:t>
                  </w:r>
                  <w:r>
                    <w:rPr>
                      <w:szCs w:val="21"/>
                    </w:rPr>
                    <w:t>10</w:t>
                  </w:r>
                  <w:r>
                    <w:rPr>
                      <w:rFonts w:hint="eastAsia"/>
                      <w:szCs w:val="21"/>
                    </w:rPr>
                    <w:t>蒸吨以下燃煤锅炉全部拆除。</w:t>
                  </w:r>
                </w:p>
                <w:p>
                  <w:pPr>
                    <w:spacing w:line="240" w:lineRule="atLeast"/>
                    <w:jc w:val="center"/>
                    <w:rPr>
                      <w:szCs w:val="21"/>
                    </w:rPr>
                  </w:pPr>
                  <w:r>
                    <w:rPr>
                      <w:szCs w:val="21"/>
                    </w:rPr>
                    <w:t>2</w:t>
                  </w:r>
                  <w:r>
                    <w:rPr>
                      <w:rFonts w:hint="eastAsia"/>
                      <w:szCs w:val="21"/>
                    </w:rPr>
                    <w:t>、按照环境承载力和环境容量，严格控制火电、水泥、钢铁、焦化、煤化工、冶炼、制浆造纸、印染、果汁、淀粉加工等项目，切实降低污染负荷。</w:t>
                  </w:r>
                </w:p>
                <w:p>
                  <w:pPr>
                    <w:spacing w:line="240" w:lineRule="atLeast"/>
                    <w:jc w:val="center"/>
                    <w:rPr>
                      <w:szCs w:val="21"/>
                    </w:rPr>
                  </w:pPr>
                  <w:r>
                    <w:rPr>
                      <w:szCs w:val="21"/>
                    </w:rPr>
                    <w:t>3</w:t>
                  </w:r>
                  <w:r>
                    <w:rPr>
                      <w:rFonts w:hint="eastAsia"/>
                      <w:szCs w:val="21"/>
                    </w:rPr>
                    <w:t>、二氧化硫、氮氧化物、颗粒物、挥发性有机物（</w:t>
                  </w:r>
                  <w:r>
                    <w:rPr>
                      <w:szCs w:val="21"/>
                    </w:rPr>
                    <w:t>VOCs</w:t>
                  </w:r>
                  <w:r>
                    <w:rPr>
                      <w:rFonts w:hint="eastAsia"/>
                      <w:szCs w:val="21"/>
                    </w:rPr>
                    <w:t>）全面执行大气污染物特别排放限值。</w:t>
                  </w:r>
                </w:p>
                <w:p>
                  <w:pPr>
                    <w:spacing w:line="240" w:lineRule="atLeast"/>
                    <w:jc w:val="center"/>
                    <w:rPr>
                      <w:szCs w:val="21"/>
                    </w:rPr>
                  </w:pPr>
                  <w:r>
                    <w:rPr>
                      <w:szCs w:val="21"/>
                    </w:rPr>
                    <w:t>4</w:t>
                  </w:r>
                  <w:r>
                    <w:rPr>
                      <w:rFonts w:hint="eastAsia"/>
                      <w:szCs w:val="21"/>
                    </w:rPr>
                    <w:t>、严格控制高耗煤行业新增项目；严禁新增焦化、水泥、铸造、钢铁、电解铝和平板玻璃等产能。</w:t>
                  </w:r>
                </w:p>
                <w:p>
                  <w:pPr>
                    <w:spacing w:line="240" w:lineRule="atLeast"/>
                    <w:jc w:val="center"/>
                    <w:rPr>
                      <w:szCs w:val="21"/>
                    </w:rPr>
                  </w:pPr>
                  <w:r>
                    <w:rPr>
                      <w:szCs w:val="21"/>
                    </w:rPr>
                    <w:t>5</w:t>
                  </w:r>
                  <w:r>
                    <w:rPr>
                      <w:rFonts w:hint="eastAsia"/>
                      <w:szCs w:val="21"/>
                    </w:rPr>
                    <w:t>、城市建成区内焦炉实施炉体加罩封闭，并对废气进行收集处理。</w:t>
                  </w:r>
                </w:p>
                <w:p>
                  <w:pPr>
                    <w:spacing w:line="240" w:lineRule="atLeast"/>
                    <w:jc w:val="center"/>
                    <w:rPr>
                      <w:szCs w:val="21"/>
                    </w:rPr>
                  </w:pPr>
                  <w:r>
                    <w:rPr>
                      <w:szCs w:val="21"/>
                    </w:rPr>
                    <w:t>6</w:t>
                  </w:r>
                  <w:r>
                    <w:rPr>
                      <w:rFonts w:hint="eastAsia"/>
                      <w:szCs w:val="21"/>
                    </w:rPr>
                    <w:t>、</w:t>
                  </w:r>
                  <w:r>
                    <w:rPr>
                      <w:szCs w:val="21"/>
                    </w:rPr>
                    <w:t>“</w:t>
                  </w:r>
                  <w:r>
                    <w:rPr>
                      <w:rFonts w:hint="eastAsia"/>
                      <w:szCs w:val="21"/>
                    </w:rPr>
                    <w:t>渭南片区</w:t>
                  </w:r>
                  <w:r>
                    <w:rPr>
                      <w:szCs w:val="21"/>
                    </w:rPr>
                    <w:t>”</w:t>
                  </w:r>
                  <w:r>
                    <w:rPr>
                      <w:rFonts w:hint="eastAsia"/>
                      <w:szCs w:val="21"/>
                    </w:rPr>
                    <w:t>包括韩城、合阳、大荔、潼关四个县（市），在该片区禁止新建扩建不符合产业政策、不能执行清洁生产的项目；禁止新建</w:t>
                  </w:r>
                  <w:r>
                    <w:rPr>
                      <w:szCs w:val="21"/>
                    </w:rPr>
                    <w:t>20</w:t>
                  </w:r>
                  <w:r>
                    <w:rPr>
                      <w:rFonts w:hint="eastAsia"/>
                      <w:szCs w:val="21"/>
                    </w:rPr>
                    <w:t>蒸吨以下燃煤锅炉；禁止销售和使用不符合标准的煤炭；禁止新建扩建造纸、化工、印染、果汁和淀粉加工等高耗水、高污染项目。</w:t>
                  </w:r>
                </w:p>
              </w:tc>
              <w:tc>
                <w:tcPr>
                  <w:tcW w:w="1044"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pPr>
                </w:p>
              </w:tc>
              <w:tc>
                <w:tcPr>
                  <w:tcW w:w="266" w:type="pct"/>
                  <w:vMerge w:val="continue"/>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continue"/>
                  <w:tcBorders>
                    <w:top w:val="single" w:color="000000" w:sz="4" w:space="0"/>
                    <w:left w:val="single" w:color="000000" w:sz="12" w:space="0"/>
                    <w:bottom w:val="single" w:color="000000" w:sz="4" w:space="0"/>
                    <w:right w:val="single" w:color="000000" w:sz="4" w:space="0"/>
                  </w:tcBorders>
                  <w:vAlign w:val="center"/>
                </w:tcPr>
                <w:p>
                  <w:pPr>
                    <w:spacing w:line="240" w:lineRule="atLeast"/>
                    <w:jc w:val="center"/>
                    <w:rPr>
                      <w:szCs w:val="21"/>
                    </w:rPr>
                  </w:pPr>
                </w:p>
              </w:tc>
              <w:tc>
                <w:tcPr>
                  <w:tcW w:w="427"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9"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398"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rFonts w:hint="eastAsia"/>
                      <w:szCs w:val="21"/>
                    </w:rPr>
                    <w:t>环境风险防控</w:t>
                  </w:r>
                </w:p>
              </w:tc>
              <w:tc>
                <w:tcPr>
                  <w:tcW w:w="2034" w:type="pc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r>
                    <w:rPr>
                      <w:szCs w:val="21"/>
                    </w:rPr>
                    <w:t>1</w:t>
                  </w:r>
                  <w:r>
                    <w:rPr>
                      <w:rFonts w:hint="eastAsia"/>
                      <w:szCs w:val="21"/>
                    </w:rPr>
                    <w:t>、禁止新增化工园区。</w:t>
                  </w:r>
                </w:p>
                <w:p>
                  <w:pPr>
                    <w:spacing w:line="240" w:lineRule="atLeast"/>
                    <w:jc w:val="center"/>
                    <w:rPr>
                      <w:szCs w:val="21"/>
                    </w:rPr>
                  </w:pPr>
                  <w:r>
                    <w:rPr>
                      <w:szCs w:val="21"/>
                    </w:rPr>
                    <w:t>2</w:t>
                  </w:r>
                  <w:r>
                    <w:rPr>
                      <w:rFonts w:hint="eastAsia"/>
                      <w:szCs w:val="21"/>
                    </w:rPr>
                    <w:t>、渭河干流沿岸要严格控制石油加工、化学原料和化学制品制造、医药制造、化学纤维制造、有色金属冶炼、纺织印染等项目，合理布局生产装置及危险化学品仓储等设施。</w:t>
                  </w:r>
                </w:p>
              </w:tc>
              <w:tc>
                <w:tcPr>
                  <w:tcW w:w="1044"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szCs w:val="21"/>
                    </w:rPr>
                  </w:pPr>
                </w:p>
              </w:tc>
              <w:tc>
                <w:tcPr>
                  <w:tcW w:w="266" w:type="pct"/>
                  <w:vMerge w:val="continue"/>
                  <w:tcBorders>
                    <w:top w:val="single" w:color="000000" w:sz="4" w:space="0"/>
                    <w:left w:val="single" w:color="000000" w:sz="4" w:space="0"/>
                    <w:bottom w:val="single" w:color="000000" w:sz="4" w:space="0"/>
                    <w:right w:val="single" w:color="000000" w:sz="12" w:space="0"/>
                  </w:tcBorders>
                  <w:vAlign w:val="center"/>
                </w:tcPr>
                <w:p>
                  <w:pPr>
                    <w:spacing w:line="240" w:lineRule="atLeast"/>
                    <w:jc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559" w:type="pct"/>
                  <w:vMerge w:val="continue"/>
                  <w:tcBorders>
                    <w:top w:val="single" w:color="000000" w:sz="4" w:space="0"/>
                    <w:left w:val="single" w:color="000000" w:sz="12" w:space="0"/>
                    <w:bottom w:val="single" w:color="000000" w:sz="12" w:space="0"/>
                    <w:right w:val="single" w:color="000000" w:sz="4" w:space="0"/>
                  </w:tcBorders>
                  <w:vAlign w:val="center"/>
                </w:tcPr>
                <w:p>
                  <w:pPr>
                    <w:spacing w:line="240" w:lineRule="atLeast"/>
                    <w:jc w:val="center"/>
                    <w:rPr>
                      <w:szCs w:val="21"/>
                    </w:rPr>
                  </w:pPr>
                </w:p>
              </w:tc>
              <w:tc>
                <w:tcPr>
                  <w:tcW w:w="427" w:type="pct"/>
                  <w:vMerge w:val="continue"/>
                  <w:tcBorders>
                    <w:top w:val="single" w:color="000000" w:sz="4" w:space="0"/>
                    <w:left w:val="single" w:color="000000" w:sz="4" w:space="0"/>
                    <w:bottom w:val="single" w:color="000000" w:sz="12" w:space="0"/>
                    <w:right w:val="single" w:color="000000" w:sz="4" w:space="0"/>
                  </w:tcBorders>
                  <w:vAlign w:val="center"/>
                </w:tcPr>
                <w:p>
                  <w:pPr>
                    <w:spacing w:line="240" w:lineRule="atLeast"/>
                    <w:jc w:val="center"/>
                    <w:rPr>
                      <w:szCs w:val="21"/>
                    </w:rPr>
                  </w:pPr>
                </w:p>
              </w:tc>
              <w:tc>
                <w:tcPr>
                  <w:tcW w:w="269" w:type="pct"/>
                  <w:vMerge w:val="continue"/>
                  <w:tcBorders>
                    <w:top w:val="single" w:color="000000" w:sz="4" w:space="0"/>
                    <w:left w:val="single" w:color="000000" w:sz="4" w:space="0"/>
                    <w:bottom w:val="single" w:color="000000" w:sz="12" w:space="0"/>
                    <w:right w:val="single" w:color="000000" w:sz="4" w:space="0"/>
                  </w:tcBorders>
                  <w:vAlign w:val="center"/>
                </w:tcPr>
                <w:p>
                  <w:pPr>
                    <w:spacing w:line="240" w:lineRule="atLeast"/>
                    <w:jc w:val="center"/>
                    <w:rPr>
                      <w:szCs w:val="21"/>
                    </w:rPr>
                  </w:pPr>
                </w:p>
              </w:tc>
              <w:tc>
                <w:tcPr>
                  <w:tcW w:w="398" w:type="pct"/>
                  <w:tcBorders>
                    <w:top w:val="single" w:color="000000" w:sz="4" w:space="0"/>
                    <w:left w:val="single" w:color="000000" w:sz="4" w:space="0"/>
                    <w:bottom w:val="single" w:color="000000" w:sz="12" w:space="0"/>
                    <w:right w:val="single" w:color="000000" w:sz="4" w:space="0"/>
                  </w:tcBorders>
                  <w:vAlign w:val="center"/>
                </w:tcPr>
                <w:p>
                  <w:pPr>
                    <w:spacing w:line="240" w:lineRule="atLeast"/>
                    <w:jc w:val="center"/>
                    <w:rPr>
                      <w:szCs w:val="21"/>
                    </w:rPr>
                  </w:pPr>
                  <w:r>
                    <w:rPr>
                      <w:rFonts w:hint="eastAsia"/>
                      <w:szCs w:val="21"/>
                    </w:rPr>
                    <w:t>资源开发效率要求</w:t>
                  </w:r>
                </w:p>
              </w:tc>
              <w:tc>
                <w:tcPr>
                  <w:tcW w:w="2034" w:type="pct"/>
                  <w:tcBorders>
                    <w:top w:val="single" w:color="000000" w:sz="4" w:space="0"/>
                    <w:left w:val="single" w:color="000000" w:sz="4" w:space="0"/>
                    <w:bottom w:val="single" w:color="000000" w:sz="12" w:space="0"/>
                    <w:right w:val="single" w:color="000000" w:sz="4" w:space="0"/>
                  </w:tcBorders>
                  <w:vAlign w:val="center"/>
                </w:tcPr>
                <w:p>
                  <w:pPr>
                    <w:spacing w:line="240" w:lineRule="atLeast"/>
                    <w:jc w:val="center"/>
                    <w:rPr>
                      <w:szCs w:val="21"/>
                    </w:rPr>
                  </w:pPr>
                  <w:r>
                    <w:rPr>
                      <w:szCs w:val="21"/>
                    </w:rPr>
                    <w:t>1</w:t>
                  </w:r>
                  <w:r>
                    <w:rPr>
                      <w:rFonts w:hint="eastAsia"/>
                      <w:szCs w:val="21"/>
                    </w:rPr>
                    <w:t>、城市再生水利用率达</w:t>
                  </w:r>
                  <w:r>
                    <w:rPr>
                      <w:szCs w:val="21"/>
                    </w:rPr>
                    <w:t>20%</w:t>
                  </w:r>
                  <w:r>
                    <w:rPr>
                      <w:rFonts w:hint="eastAsia"/>
                      <w:szCs w:val="21"/>
                    </w:rPr>
                    <w:t>以上。</w:t>
                  </w:r>
                </w:p>
                <w:p>
                  <w:pPr>
                    <w:spacing w:line="240" w:lineRule="atLeast"/>
                    <w:jc w:val="center"/>
                    <w:rPr>
                      <w:szCs w:val="21"/>
                    </w:rPr>
                  </w:pPr>
                  <w:r>
                    <w:rPr>
                      <w:szCs w:val="21"/>
                    </w:rPr>
                    <w:t>2</w:t>
                  </w:r>
                  <w:r>
                    <w:rPr>
                      <w:rFonts w:hint="eastAsia"/>
                      <w:szCs w:val="21"/>
                    </w:rPr>
                    <w:t>、新增耗煤项目实行煤炭消耗等量或减量替代。</w:t>
                  </w:r>
                </w:p>
              </w:tc>
              <w:tc>
                <w:tcPr>
                  <w:tcW w:w="1044" w:type="pct"/>
                  <w:vMerge w:val="continue"/>
                  <w:tcBorders>
                    <w:top w:val="single" w:color="000000" w:sz="4" w:space="0"/>
                    <w:left w:val="single" w:color="000000" w:sz="4" w:space="0"/>
                    <w:bottom w:val="single" w:color="000000" w:sz="12" w:space="0"/>
                    <w:right w:val="single" w:color="000000" w:sz="4" w:space="0"/>
                  </w:tcBorders>
                  <w:vAlign w:val="center"/>
                </w:tcPr>
                <w:p>
                  <w:pPr>
                    <w:spacing w:line="240" w:lineRule="atLeast"/>
                    <w:jc w:val="center"/>
                    <w:rPr>
                      <w:szCs w:val="21"/>
                    </w:rPr>
                  </w:pPr>
                </w:p>
              </w:tc>
              <w:tc>
                <w:tcPr>
                  <w:tcW w:w="266" w:type="pct"/>
                  <w:vMerge w:val="continue"/>
                  <w:tcBorders>
                    <w:top w:val="single" w:color="000000" w:sz="4" w:space="0"/>
                    <w:left w:val="single" w:color="000000" w:sz="4" w:space="0"/>
                    <w:bottom w:val="single" w:color="000000" w:sz="12" w:space="0"/>
                    <w:right w:val="single" w:color="000000" w:sz="12" w:space="0"/>
                  </w:tcBorders>
                  <w:vAlign w:val="center"/>
                </w:tcPr>
                <w:p>
                  <w:pPr>
                    <w:spacing w:line="240" w:lineRule="atLeast"/>
                    <w:jc w:val="center"/>
                    <w:rPr>
                      <w:szCs w:val="21"/>
                    </w:rPr>
                  </w:pPr>
                </w:p>
              </w:tc>
            </w:tr>
          </w:tbl>
          <w:p>
            <w:pPr>
              <w:autoSpaceDE w:val="0"/>
              <w:autoSpaceDN w:val="0"/>
              <w:adjustRightInd w:val="0"/>
              <w:snapToGrid w:val="0"/>
              <w:spacing w:line="360" w:lineRule="auto"/>
              <w:ind w:firstLine="480" w:firstLineChars="200"/>
              <w:rPr>
                <w:b/>
                <w:bCs/>
                <w:kern w:val="0"/>
                <w:sz w:val="24"/>
              </w:rPr>
            </w:pPr>
            <w:r>
              <w:rPr>
                <w:rFonts w:hint="eastAsia"/>
                <w:kern w:val="0"/>
                <w:sz w:val="24"/>
              </w:rPr>
              <w:t>综上，本项目位于西安市生态环境管控单元重点管控单元，项目符合西安市</w:t>
            </w:r>
            <w:r>
              <w:rPr>
                <w:kern w:val="0"/>
                <w:sz w:val="24"/>
              </w:rPr>
              <w:t>“</w:t>
            </w:r>
            <w:r>
              <w:rPr>
                <w:rFonts w:hint="eastAsia"/>
                <w:kern w:val="0"/>
                <w:sz w:val="24"/>
              </w:rPr>
              <w:t>三线一单</w:t>
            </w:r>
            <w:r>
              <w:rPr>
                <w:kern w:val="0"/>
                <w:sz w:val="24"/>
              </w:rPr>
              <w:t>”</w:t>
            </w:r>
            <w:r>
              <w:rPr>
                <w:rFonts w:hint="eastAsia"/>
                <w:kern w:val="0"/>
                <w:sz w:val="24"/>
              </w:rPr>
              <w:t>生态环境分区管控方案中重点管控单元相关要求。</w:t>
            </w:r>
          </w:p>
          <w:p>
            <w:pPr>
              <w:numPr>
                <w:ilvl w:val="0"/>
                <w:numId w:val="2"/>
              </w:numPr>
              <w:autoSpaceDE w:val="0"/>
              <w:autoSpaceDN w:val="0"/>
              <w:adjustRightInd w:val="0"/>
              <w:snapToGrid w:val="0"/>
              <w:spacing w:line="360" w:lineRule="auto"/>
              <w:ind w:firstLine="482" w:firstLineChars="200"/>
              <w:rPr>
                <w:b/>
                <w:bCs/>
                <w:kern w:val="0"/>
                <w:sz w:val="24"/>
              </w:rPr>
            </w:pPr>
            <w:r>
              <w:rPr>
                <w:rFonts w:hint="eastAsia"/>
                <w:b/>
                <w:bCs/>
                <w:kern w:val="0"/>
                <w:sz w:val="24"/>
              </w:rPr>
              <w:t>环境管理政策符合性</w:t>
            </w:r>
          </w:p>
          <w:p>
            <w:pPr>
              <w:pStyle w:val="35"/>
              <w:jc w:val="center"/>
              <w:rPr>
                <w:color w:val="auto"/>
                <w:sz w:val="21"/>
                <w:szCs w:val="21"/>
              </w:rPr>
            </w:pPr>
            <w:r>
              <w:rPr>
                <w:rFonts w:hint="eastAsia" w:ascii="Times New Roman" w:cs="Times New Roman"/>
                <w:b/>
                <w:color w:val="auto"/>
                <w:sz w:val="21"/>
                <w:szCs w:val="21"/>
              </w:rPr>
              <w:t>表</w:t>
            </w:r>
            <w:r>
              <w:rPr>
                <w:rFonts w:ascii="Times New Roman" w:cs="Times New Roman"/>
                <w:b/>
                <w:color w:val="auto"/>
                <w:sz w:val="21"/>
                <w:szCs w:val="21"/>
              </w:rPr>
              <w:t xml:space="preserve">1-6   </w:t>
            </w:r>
            <w:r>
              <w:rPr>
                <w:rFonts w:hint="eastAsia" w:ascii="Times New Roman" w:cs="Times New Roman"/>
                <w:b/>
                <w:color w:val="auto"/>
                <w:sz w:val="21"/>
                <w:szCs w:val="21"/>
              </w:rPr>
              <w:t>环境管理政策相符性分析</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424"/>
              <w:gridCol w:w="2325"/>
              <w:gridCol w:w="2272"/>
              <w:gridCol w:w="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90" w:type="pct"/>
                  <w:tcBorders>
                    <w:top w:val="single" w:color="auto" w:sz="12"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《挥发性有机物无组织排放控制标准》（</w:t>
                  </w:r>
                  <w:r>
                    <w:rPr>
                      <w:szCs w:val="21"/>
                    </w:rPr>
                    <w:t>GB37822-2019</w:t>
                  </w:r>
                  <w:r>
                    <w:rPr>
                      <w:rFonts w:hint="eastAsia"/>
                      <w:szCs w:val="21"/>
                    </w:rPr>
                    <w:t>）</w:t>
                  </w:r>
                </w:p>
              </w:tc>
              <w:tc>
                <w:tcPr>
                  <w:tcW w:w="1825" w:type="pct"/>
                  <w:gridSpan w:val="2"/>
                  <w:tcBorders>
                    <w:top w:val="single" w:color="auto" w:sz="12"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工艺过程</w:t>
                  </w:r>
                  <w:r>
                    <w:rPr>
                      <w:szCs w:val="21"/>
                    </w:rPr>
                    <w:t>VOCs</w:t>
                  </w:r>
                  <w:r>
                    <w:rPr>
                      <w:rFonts w:hint="eastAsia"/>
                      <w:szCs w:val="21"/>
                    </w:rPr>
                    <w:t>无组织排放控制要求：（</w:t>
                  </w:r>
                  <w:r>
                    <w:rPr>
                      <w:szCs w:val="21"/>
                    </w:rPr>
                    <w:t>1</w:t>
                  </w:r>
                  <w:r>
                    <w:rPr>
                      <w:rFonts w:hint="eastAsia"/>
                      <w:szCs w:val="21"/>
                    </w:rPr>
                    <w:t>）</w:t>
                  </w:r>
                  <w:r>
                    <w:rPr>
                      <w:szCs w:val="21"/>
                    </w:rPr>
                    <w:t>VOCs</w:t>
                  </w:r>
                  <w:r>
                    <w:rPr>
                      <w:rFonts w:hint="eastAsia"/>
                      <w:szCs w:val="21"/>
                    </w:rPr>
                    <w:t>物料应储存于密闭的容器、包装袋、储罐、储库、料仓中；（</w:t>
                  </w:r>
                  <w:r>
                    <w:rPr>
                      <w:szCs w:val="21"/>
                    </w:rPr>
                    <w:t>2</w:t>
                  </w:r>
                  <w:r>
                    <w:rPr>
                      <w:rFonts w:hint="eastAsia"/>
                      <w:szCs w:val="21"/>
                    </w:rPr>
                    <w:t>）粉状、粒状、</w:t>
                  </w:r>
                  <w:r>
                    <w:rPr>
                      <w:szCs w:val="21"/>
                    </w:rPr>
                    <w:t>VOCs</w:t>
                  </w:r>
                  <w:r>
                    <w:rPr>
                      <w:rFonts w:hint="eastAsia"/>
                      <w:szCs w:val="21"/>
                    </w:rPr>
                    <w:t>物料应采用气力输送设备、管状带式输送机、螺旋输送机等密闭输送方式，或者采用密闭的包装袋、容器或罐车进行物料转移；（</w:t>
                  </w:r>
                  <w:r>
                    <w:rPr>
                      <w:szCs w:val="21"/>
                    </w:rPr>
                    <w:t>3</w:t>
                  </w:r>
                  <w:r>
                    <w:rPr>
                      <w:rFonts w:hint="eastAsia"/>
                      <w:szCs w:val="21"/>
                    </w:rPr>
                    <w:t>）粉状、粒状、</w:t>
                  </w:r>
                  <w:r>
                    <w:rPr>
                      <w:szCs w:val="21"/>
                    </w:rPr>
                    <w:t>VOCs</w:t>
                  </w:r>
                  <w:r>
                    <w:rPr>
                      <w:rFonts w:hint="eastAsia"/>
                      <w:szCs w:val="21"/>
                    </w:rPr>
                    <w:t>物料应采用气力输送方式或采用密闭固体投料器等给料方式密闭投加。无法密闭投加的，应在密闭空间内操作，或进行局部气体收集，废气应排至除尘设施、</w:t>
                  </w:r>
                  <w:r>
                    <w:rPr>
                      <w:szCs w:val="21"/>
                    </w:rPr>
                    <w:t>VOCs</w:t>
                  </w:r>
                  <w:r>
                    <w:rPr>
                      <w:rFonts w:hint="eastAsia"/>
                      <w:szCs w:val="21"/>
                    </w:rPr>
                    <w:t>废气收集处理系统。</w:t>
                  </w:r>
                </w:p>
              </w:tc>
              <w:tc>
                <w:tcPr>
                  <w:tcW w:w="1508" w:type="pct"/>
                  <w:tcBorders>
                    <w:top w:val="single" w:color="auto" w:sz="12" w:space="0"/>
                    <w:left w:val="single" w:color="auto" w:sz="4" w:space="0"/>
                    <w:bottom w:val="single" w:color="auto" w:sz="4" w:space="0"/>
                    <w:right w:val="single" w:color="auto" w:sz="4" w:space="0"/>
                  </w:tcBorders>
                  <w:vAlign w:val="center"/>
                </w:tcPr>
                <w:p>
                  <w:pPr>
                    <w:autoSpaceDE w:val="0"/>
                    <w:autoSpaceDN w:val="0"/>
                    <w:rPr>
                      <w:szCs w:val="21"/>
                    </w:rPr>
                  </w:pPr>
                  <w:r>
                    <w:rPr>
                      <w:rFonts w:hint="eastAsia"/>
                      <w:szCs w:val="21"/>
                    </w:rPr>
                    <w:t>（</w:t>
                  </w:r>
                  <w:r>
                    <w:rPr>
                      <w:szCs w:val="21"/>
                    </w:rPr>
                    <w:t>1</w:t>
                  </w:r>
                  <w:r>
                    <w:rPr>
                      <w:rFonts w:hint="eastAsia"/>
                      <w:szCs w:val="21"/>
                    </w:rPr>
                    <w:t>）本项目使用的</w:t>
                  </w:r>
                  <w:r>
                    <w:rPr>
                      <w:szCs w:val="21"/>
                    </w:rPr>
                    <w:t>VOCs</w:t>
                  </w:r>
                  <w:r>
                    <w:rPr>
                      <w:rFonts w:hint="eastAsia"/>
                      <w:szCs w:val="21"/>
                    </w:rPr>
                    <w:t>物料主要为中空涤纶短纤维（</w:t>
                  </w:r>
                  <w:r>
                    <w:rPr>
                      <w:szCs w:val="21"/>
                    </w:rPr>
                    <w:t>PET</w:t>
                  </w:r>
                  <w:r>
                    <w:rPr>
                      <w:rFonts w:hint="eastAsia"/>
                      <w:szCs w:val="21"/>
                    </w:rPr>
                    <w:t>）、发泡</w:t>
                  </w:r>
                  <w:r>
                    <w:rPr>
                      <w:szCs w:val="21"/>
                    </w:rPr>
                    <w:t>A</w:t>
                  </w:r>
                  <w:r>
                    <w:rPr>
                      <w:rFonts w:hint="eastAsia"/>
                      <w:szCs w:val="21"/>
                    </w:rPr>
                    <w:t>料和</w:t>
                  </w:r>
                  <w:r>
                    <w:rPr>
                      <w:szCs w:val="21"/>
                    </w:rPr>
                    <w:t>B</w:t>
                  </w:r>
                  <w:r>
                    <w:rPr>
                      <w:rFonts w:hint="eastAsia"/>
                      <w:szCs w:val="21"/>
                    </w:rPr>
                    <w:t>料，</w:t>
                  </w:r>
                  <w:r>
                    <w:rPr>
                      <w:szCs w:val="21"/>
                    </w:rPr>
                    <w:t>PET</w:t>
                  </w:r>
                  <w:r>
                    <w:rPr>
                      <w:rFonts w:hint="eastAsia"/>
                      <w:szCs w:val="21"/>
                    </w:rPr>
                    <w:t>常温下为固态，储存于编织袋中；发泡</w:t>
                  </w:r>
                  <w:r>
                    <w:rPr>
                      <w:szCs w:val="21"/>
                    </w:rPr>
                    <w:t>A</w:t>
                  </w:r>
                  <w:r>
                    <w:rPr>
                      <w:rFonts w:hint="eastAsia"/>
                      <w:szCs w:val="21"/>
                    </w:rPr>
                    <w:t>料和</w:t>
                  </w:r>
                  <w:r>
                    <w:rPr>
                      <w:szCs w:val="21"/>
                    </w:rPr>
                    <w:t>B</w:t>
                  </w:r>
                  <w:r>
                    <w:rPr>
                      <w:rFonts w:hint="eastAsia"/>
                      <w:szCs w:val="21"/>
                    </w:rPr>
                    <w:t>料常温下为液态，不易挥发，储存在专用密闭桶中。（</w:t>
                  </w:r>
                  <w:r>
                    <w:rPr>
                      <w:szCs w:val="21"/>
                    </w:rPr>
                    <w:t>2</w:t>
                  </w:r>
                  <w:r>
                    <w:rPr>
                      <w:rFonts w:hint="eastAsia"/>
                      <w:szCs w:val="21"/>
                    </w:rPr>
                    <w:t>）发泡</w:t>
                  </w:r>
                  <w:r>
                    <w:rPr>
                      <w:szCs w:val="21"/>
                    </w:rPr>
                    <w:t>A</w:t>
                  </w:r>
                  <w:r>
                    <w:rPr>
                      <w:rFonts w:hint="eastAsia"/>
                      <w:szCs w:val="21"/>
                    </w:rPr>
                    <w:t>料和</w:t>
                  </w:r>
                  <w:r>
                    <w:rPr>
                      <w:szCs w:val="21"/>
                    </w:rPr>
                    <w:t>B</w:t>
                  </w:r>
                  <w:r>
                    <w:rPr>
                      <w:rFonts w:hint="eastAsia"/>
                      <w:szCs w:val="21"/>
                    </w:rPr>
                    <w:t>料使用密闭桶存放。（</w:t>
                  </w:r>
                  <w:r>
                    <w:rPr>
                      <w:szCs w:val="21"/>
                    </w:rPr>
                    <w:t>3</w:t>
                  </w:r>
                  <w:r>
                    <w:rPr>
                      <w:rFonts w:hint="eastAsia"/>
                      <w:szCs w:val="21"/>
                    </w:rPr>
                    <w:t>）投加发泡原料时采用自动上料机进行吸料（管道输送）；</w:t>
                  </w:r>
                  <w:r>
                    <w:rPr>
                      <w:rFonts w:hint="eastAsia"/>
                      <w:szCs w:val="21"/>
                      <w:shd w:val="clear" w:color="auto" w:fill="FFFFFF"/>
                    </w:rPr>
                    <w:t>吸音棉热熔定型</w:t>
                  </w:r>
                  <w:r>
                    <w:rPr>
                      <w:rFonts w:hint="eastAsia"/>
                      <w:szCs w:val="21"/>
                    </w:rPr>
                    <w:t>工序有机废气采用自带密闭集气管道收集，发泡熟化、复合热压工序有机废气采用集气罩收集，统一经二级活性炭吸附装置（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r>
                    <w:rPr>
                      <w:rFonts w:hint="eastAsia"/>
                    </w:rPr>
                    <w:t>。</w:t>
                  </w:r>
                </w:p>
              </w:tc>
              <w:tc>
                <w:tcPr>
                  <w:tcW w:w="375" w:type="pct"/>
                  <w:tcBorders>
                    <w:top w:val="single" w:color="auto" w:sz="12"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0" w:type="pct"/>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《挥发性有机物（</w:t>
                  </w:r>
                  <w:r>
                    <w:rPr>
                      <w:szCs w:val="21"/>
                    </w:rPr>
                    <w:t>VOCs</w:t>
                  </w:r>
                  <w:r>
                    <w:rPr>
                      <w:rFonts w:hint="eastAsia"/>
                      <w:szCs w:val="21"/>
                    </w:rPr>
                    <w:t>）污染防治技术政策》</w:t>
                  </w:r>
                </w:p>
              </w:tc>
              <w:tc>
                <w:tcPr>
                  <w:tcW w:w="282"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源头和过程控制</w:t>
                  </w:r>
                </w:p>
              </w:tc>
              <w:tc>
                <w:tcPr>
                  <w:tcW w:w="154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鼓励使用通过环境标志产品认证的环保型涂料、油墨胶粘剂和清洗剂；根据涂装工艺的不同，鼓励使用水性涂料、高固份涂料、粉末涂料、紫外光固化（</w:t>
                  </w:r>
                  <w:r>
                    <w:rPr>
                      <w:szCs w:val="21"/>
                    </w:rPr>
                    <w:t>UV</w:t>
                  </w:r>
                  <w:r>
                    <w:rPr>
                      <w:rFonts w:hint="eastAsia"/>
                      <w:szCs w:val="21"/>
                    </w:rPr>
                    <w:t>）涂料等环保型涂料；推广采用静电喷涂、淋涂、辊涂、浸涂等效率较高的涂装工艺；应尽量避免无</w:t>
                  </w:r>
                  <w:r>
                    <w:rPr>
                      <w:szCs w:val="21"/>
                    </w:rPr>
                    <w:t>VOCs</w:t>
                  </w:r>
                  <w:r>
                    <w:rPr>
                      <w:rFonts w:hint="eastAsia"/>
                      <w:szCs w:val="21"/>
                    </w:rPr>
                    <w:t>净化、回收措施的露天喷涂作业。</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本项目为本项目为汽车零部件及配件制造，使用的各类原料常温下不会挥发</w:t>
                  </w:r>
                  <w:r>
                    <w:rPr>
                      <w:szCs w:val="21"/>
                    </w:rPr>
                    <w:t>VOCs</w:t>
                  </w:r>
                  <w:r>
                    <w:rPr>
                      <w:rFonts w:hint="eastAsia"/>
                      <w:szCs w:val="21"/>
                    </w:rPr>
                    <w:t>。</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p>
              </w:tc>
              <w:tc>
                <w:tcPr>
                  <w:tcW w:w="282"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末端治理与综合利用</w:t>
                  </w:r>
                </w:p>
              </w:tc>
              <w:tc>
                <w:tcPr>
                  <w:tcW w:w="1543" w:type="pct"/>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1.</w:t>
                  </w:r>
                  <w:r>
                    <w:rPr>
                      <w:rFonts w:hint="eastAsia"/>
                      <w:kern w:val="0"/>
                      <w:szCs w:val="21"/>
                    </w:rPr>
                    <w:t>对于含低浓</w:t>
                  </w:r>
                  <w:r>
                    <w:rPr>
                      <w:kern w:val="0"/>
                      <w:szCs w:val="21"/>
                    </w:rPr>
                    <w:t>VOCs</w:t>
                  </w:r>
                  <w:r>
                    <w:rPr>
                      <w:rFonts w:hint="eastAsia"/>
                      <w:kern w:val="0"/>
                      <w:szCs w:val="21"/>
                    </w:rPr>
                    <w:t>的废气，有回收价值时可采用吸附技术、吸收技术对有机溶剂回收后达标排放；不宜回收时，可采用吸附浓缩燃烧技术、生物技术、吸收技术、等离子体技术或紫外光高级氧化技术等净化后达标排放。</w:t>
                  </w:r>
                </w:p>
                <w:p>
                  <w:pPr>
                    <w:widowControl/>
                    <w:jc w:val="left"/>
                    <w:rPr>
                      <w:szCs w:val="21"/>
                    </w:rPr>
                  </w:pPr>
                  <w:r>
                    <w:rPr>
                      <w:kern w:val="0"/>
                      <w:szCs w:val="21"/>
                    </w:rPr>
                    <w:t>2.</w:t>
                  </w:r>
                  <w:r>
                    <w:rPr>
                      <w:rFonts w:hint="eastAsia"/>
                      <w:kern w:val="0"/>
                      <w:szCs w:val="21"/>
                    </w:rPr>
                    <w:t>严格控制</w:t>
                  </w:r>
                  <w:r>
                    <w:rPr>
                      <w:kern w:val="0"/>
                      <w:szCs w:val="21"/>
                    </w:rPr>
                    <w:t>VOCs</w:t>
                  </w:r>
                  <w:r>
                    <w:rPr>
                      <w:rFonts w:hint="eastAsia"/>
                      <w:kern w:val="0"/>
                      <w:szCs w:val="21"/>
                    </w:rPr>
                    <w:t>处理过程中产生的二次污染，对于催化燃烧和热力焚烧过程中产生的含硫、氮、氯等无机废气，以及吸附、吸收、冷凝、生物等治理过程中所产生的含有机物废水，应处理后达标排放。对于不能再生的过滤材料、吸附剂及催化剂等净化材料，应按照国家固体废物管理的相关规定处理处置。</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szCs w:val="21"/>
                    </w:rPr>
                    <w:t>1.</w:t>
                  </w:r>
                  <w:r>
                    <w:rPr>
                      <w:rFonts w:hint="eastAsia"/>
                      <w:szCs w:val="21"/>
                    </w:rPr>
                    <w:t>本项目产生的有机废气主要来自吸音棉热熔定型工序、发泡件发泡熟化、复合热压工序，废气产生量较少，</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p>
                  <w:pPr>
                    <w:autoSpaceDE w:val="0"/>
                    <w:autoSpaceDN w:val="0"/>
                    <w:jc w:val="center"/>
                    <w:rPr>
                      <w:szCs w:val="21"/>
                    </w:rPr>
                  </w:pPr>
                  <w:r>
                    <w:rPr>
                      <w:szCs w:val="21"/>
                    </w:rPr>
                    <w:t>2</w:t>
                  </w:r>
                  <w:r>
                    <w:rPr>
                      <w:rFonts w:hint="eastAsia"/>
                      <w:szCs w:val="21"/>
                    </w:rPr>
                    <w:t>、本项目有机废气处理过程中产生的废活性炭暂存危废间，定期交由有资质单位处置。</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90" w:type="pc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《陕西省大气污染治理专项行动方案（</w:t>
                  </w:r>
                  <w:r>
                    <w:rPr>
                      <w:szCs w:val="21"/>
                    </w:rPr>
                    <w:t>2023-2027</w:t>
                  </w:r>
                  <w:r>
                    <w:rPr>
                      <w:rFonts w:hint="eastAsia"/>
                      <w:szCs w:val="21"/>
                    </w:rPr>
                    <w:t>年）》</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highlight w:val="yellow"/>
                    </w:rPr>
                  </w:pPr>
                  <w:r>
                    <w:rPr>
                      <w:rFonts w:hint="eastAsia"/>
                      <w:szCs w:val="21"/>
                    </w:rPr>
                    <w:t>关中地区严禁新增钢铁、焦化、水泥熟料、平板玻璃、电解铝、氧化铝、煤化工产能，合理控制煤制油气产能规模，严控新增炼油产能。</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kern w:val="0"/>
                      <w:szCs w:val="21"/>
                    </w:rPr>
                    <w:t>本项目主要生产吸音棉、发泡件等汽车零部件，不属于</w:t>
                  </w:r>
                  <w:r>
                    <w:rPr>
                      <w:rFonts w:hint="eastAsia"/>
                      <w:szCs w:val="21"/>
                    </w:rPr>
                    <w:t>新钢铁、焦化、水泥熟料、平板玻璃、电解铝、氧化铝、煤化工、煤制油气及炼油等相关行业</w:t>
                  </w:r>
                  <w:r>
                    <w:rPr>
                      <w:rFonts w:hint="eastAsia"/>
                      <w:kern w:val="0"/>
                      <w:szCs w:val="21"/>
                    </w:rPr>
                    <w:t>。</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1290" w:type="pc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《西安市大气污染治理专项行动方案</w:t>
                  </w:r>
                  <w:r>
                    <w:rPr>
                      <w:szCs w:val="21"/>
                    </w:rPr>
                    <w:t>(2023-2027</w:t>
                  </w:r>
                  <w:r>
                    <w:rPr>
                      <w:rFonts w:hint="eastAsia"/>
                      <w:szCs w:val="21"/>
                    </w:rPr>
                    <w:t>年</w:t>
                  </w:r>
                  <w:r>
                    <w:rPr>
                      <w:szCs w:val="21"/>
                    </w:rPr>
                    <w:t>)</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强化</w:t>
                  </w:r>
                  <w:r>
                    <w:rPr>
                      <w:kern w:val="0"/>
                      <w:szCs w:val="21"/>
                    </w:rPr>
                    <w:t>VOCs</w:t>
                  </w:r>
                  <w:r>
                    <w:rPr>
                      <w:rFonts w:hint="eastAsia"/>
                      <w:kern w:val="0"/>
                      <w:szCs w:val="21"/>
                    </w:rPr>
                    <w:t>无组织排放整治。全面排查含</w:t>
                  </w:r>
                  <w:r>
                    <w:rPr>
                      <w:kern w:val="0"/>
                      <w:szCs w:val="21"/>
                    </w:rPr>
                    <w:t>VOCs</w:t>
                  </w:r>
                  <w:r>
                    <w:rPr>
                      <w:rFonts w:hint="eastAsia"/>
                      <w:kern w:val="0"/>
                      <w:szCs w:val="21"/>
                    </w:rPr>
                    <w:t>物料储存、转移和输送、设备与管线组件、敞开液面以及工艺过程等环节无组织排放情况，对达不到相关标准要求的开展整治。开展简易低效</w:t>
                  </w:r>
                  <w:r>
                    <w:rPr>
                      <w:kern w:val="0"/>
                      <w:szCs w:val="21"/>
                    </w:rPr>
                    <w:t>VOCs</w:t>
                  </w:r>
                  <w:r>
                    <w:rPr>
                      <w:rFonts w:hint="eastAsia"/>
                      <w:kern w:val="0"/>
                      <w:szCs w:val="21"/>
                    </w:rPr>
                    <w:t>治理设施清理整顿。对照排查整治清单，全面梳理</w:t>
                  </w:r>
                  <w:r>
                    <w:rPr>
                      <w:kern w:val="0"/>
                      <w:szCs w:val="21"/>
                    </w:rPr>
                    <w:t>VOCs</w:t>
                  </w:r>
                  <w:r>
                    <w:rPr>
                      <w:rFonts w:hint="eastAsia"/>
                      <w:kern w:val="0"/>
                      <w:szCs w:val="21"/>
                    </w:rPr>
                    <w:t>治理设施台账，分析治理技术、处理能力与</w:t>
                  </w:r>
                  <w:r>
                    <w:rPr>
                      <w:kern w:val="0"/>
                      <w:szCs w:val="21"/>
                    </w:rPr>
                    <w:t>VOCs</w:t>
                  </w:r>
                  <w:r>
                    <w:rPr>
                      <w:rFonts w:hint="eastAsia"/>
                      <w:kern w:val="0"/>
                      <w:szCs w:val="21"/>
                    </w:rPr>
                    <w:t>废气排放特征、组分等匹配性，对采用单一低温等离子、光氧化、光催化以及非水溶性</w:t>
                  </w:r>
                  <w:r>
                    <w:rPr>
                      <w:kern w:val="0"/>
                      <w:szCs w:val="21"/>
                    </w:rPr>
                    <w:t>VOCs</w:t>
                  </w:r>
                  <w:r>
                    <w:rPr>
                      <w:rFonts w:hint="eastAsia"/>
                      <w:kern w:val="0"/>
                      <w:szCs w:val="21"/>
                    </w:rPr>
                    <w:t>废气采用单一喷淋吸收等治理技术且无法稳定达标的，加快推进升级改造，严把工程质量，确保达标排放。</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rPr>
                      <w:szCs w:val="21"/>
                    </w:rPr>
                  </w:pPr>
                  <w:r>
                    <w:rPr>
                      <w:rFonts w:hint="eastAsia"/>
                      <w:kern w:val="0"/>
                      <w:szCs w:val="21"/>
                    </w:rPr>
                    <w:t>本项目使用的</w:t>
                  </w:r>
                  <w:r>
                    <w:rPr>
                      <w:rFonts w:hint="eastAsia"/>
                      <w:szCs w:val="21"/>
                    </w:rPr>
                    <w:t>发泡</w:t>
                  </w:r>
                  <w:r>
                    <w:rPr>
                      <w:szCs w:val="21"/>
                    </w:rPr>
                    <w:t>A</w:t>
                  </w:r>
                  <w:r>
                    <w:rPr>
                      <w:rFonts w:hint="eastAsia"/>
                      <w:szCs w:val="21"/>
                    </w:rPr>
                    <w:t>料和</w:t>
                  </w:r>
                  <w:r>
                    <w:rPr>
                      <w:szCs w:val="21"/>
                    </w:rPr>
                    <w:t>B</w:t>
                  </w:r>
                  <w:r>
                    <w:rPr>
                      <w:rFonts w:hint="eastAsia"/>
                      <w:szCs w:val="21"/>
                    </w:rPr>
                    <w:t>料常温下为液态，不易挥发，储存和转移过程均在专用密闭桶中。投加发泡原料时采用自动上料机进行吸料（管道输送）</w:t>
                  </w:r>
                  <w:r>
                    <w:rPr>
                      <w:rFonts w:hint="eastAsia"/>
                      <w:kern w:val="0"/>
                      <w:szCs w:val="21"/>
                    </w:rPr>
                    <w:t>；</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90" w:type="pct"/>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《西安市鄠邑区大气污染治理专项行动方案（</w:t>
                  </w:r>
                  <w:r>
                    <w:rPr>
                      <w:szCs w:val="21"/>
                    </w:rPr>
                    <w:t>2023-2027</w:t>
                  </w:r>
                  <w:r>
                    <w:rPr>
                      <w:rFonts w:hint="eastAsia"/>
                      <w:szCs w:val="21"/>
                    </w:rPr>
                    <w:t>年）》</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强化涉活性炭</w:t>
                  </w:r>
                  <w:r>
                    <w:rPr>
                      <w:szCs w:val="21"/>
                    </w:rPr>
                    <w:t>VOCs</w:t>
                  </w:r>
                  <w:r>
                    <w:rPr>
                      <w:rFonts w:hint="eastAsia"/>
                      <w:szCs w:val="21"/>
                    </w:rPr>
                    <w:t>处理工艺治理。动态更新挥发性有机物治理设施台账，开展简易低效挥发性有机物治理设施清理整治、涉活性炭挥发性有机物处理工艺专项整治行动，强化挥发性有机物无组织排放整治，确保达到相关标准要求。新建项目不再采用单一低温等离子、光氧化、光催化等治理技术，非水溶性</w:t>
                  </w:r>
                  <w:r>
                    <w:rPr>
                      <w:szCs w:val="21"/>
                    </w:rPr>
                    <w:t>VOCs</w:t>
                  </w:r>
                  <w:r>
                    <w:rPr>
                      <w:rFonts w:hint="eastAsia"/>
                      <w:szCs w:val="21"/>
                    </w:rPr>
                    <w:t>废气不再采用单一喷淋吸收方式处理。</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本项目挥发性有机物治理采用二级活性炭吸附装置处理，采用蜂窝状活性炭，碘值</w:t>
                  </w:r>
                  <w:r>
                    <w:rPr>
                      <w:rFonts w:hint="eastAsia"/>
                      <w:kern w:val="0"/>
                      <w:szCs w:val="21"/>
                    </w:rPr>
                    <w:t>不低于</w:t>
                  </w:r>
                  <w:r>
                    <w:rPr>
                      <w:kern w:val="0"/>
                      <w:szCs w:val="21"/>
                    </w:rPr>
                    <w:t>600mg/g</w:t>
                  </w:r>
                  <w:r>
                    <w:rPr>
                      <w:rFonts w:hint="eastAsia"/>
                      <w:kern w:val="0"/>
                      <w:szCs w:val="21"/>
                    </w:rPr>
                    <w:t>。项目产生的非甲烷总烃</w:t>
                  </w:r>
                  <w:r>
                    <w:rPr>
                      <w:rFonts w:hint="eastAsia"/>
                      <w:szCs w:val="21"/>
                    </w:rPr>
                    <w:t>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全面推进涉</w:t>
                  </w:r>
                  <w:r>
                    <w:rPr>
                      <w:szCs w:val="21"/>
                    </w:rPr>
                    <w:t>VOCs</w:t>
                  </w:r>
                  <w:r>
                    <w:rPr>
                      <w:rFonts w:hint="eastAsia"/>
                      <w:szCs w:val="21"/>
                    </w:rPr>
                    <w:t>排放企业低挥发性原辅材料替代。</w:t>
                  </w:r>
                  <w:r>
                    <w:rPr>
                      <w:szCs w:val="21"/>
                    </w:rPr>
                    <w:t>2023</w:t>
                  </w:r>
                  <w:r>
                    <w:rPr>
                      <w:rFonts w:hint="eastAsia"/>
                      <w:szCs w:val="21"/>
                    </w:rPr>
                    <w:t>年技术可行的工业涂装企业全部使用低挥发性涂料，含喷涂工艺的汽修企业面漆使用水性涂料替代不少于</w:t>
                  </w:r>
                  <w:r>
                    <w:rPr>
                      <w:szCs w:val="21"/>
                    </w:rPr>
                    <w:t>8</w:t>
                  </w:r>
                  <w:r>
                    <w:rPr>
                      <w:rFonts w:hint="eastAsia"/>
                      <w:szCs w:val="21"/>
                    </w:rPr>
                    <w:t>家，</w:t>
                  </w:r>
                  <w:r>
                    <w:rPr>
                      <w:szCs w:val="21"/>
                    </w:rPr>
                    <w:t>2025</w:t>
                  </w:r>
                  <w:r>
                    <w:rPr>
                      <w:rFonts w:hint="eastAsia"/>
                      <w:szCs w:val="21"/>
                    </w:rPr>
                    <w:t>年全部实现水性漆替代。</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本项目使用的</w:t>
                  </w:r>
                  <w:r>
                    <w:rPr>
                      <w:szCs w:val="21"/>
                    </w:rPr>
                    <w:t>VOCs</w:t>
                  </w:r>
                  <w:r>
                    <w:rPr>
                      <w:rFonts w:hint="eastAsia"/>
                      <w:szCs w:val="21"/>
                    </w:rPr>
                    <w:t>物料主要为中空涤纶短纤维（</w:t>
                  </w:r>
                  <w:r>
                    <w:rPr>
                      <w:szCs w:val="21"/>
                    </w:rPr>
                    <w:t>PET</w:t>
                  </w:r>
                  <w:r>
                    <w:rPr>
                      <w:rFonts w:hint="eastAsia"/>
                      <w:szCs w:val="21"/>
                    </w:rPr>
                    <w:t>）发泡</w:t>
                  </w:r>
                  <w:r>
                    <w:rPr>
                      <w:szCs w:val="21"/>
                    </w:rPr>
                    <w:t>A</w:t>
                  </w:r>
                  <w:r>
                    <w:rPr>
                      <w:rFonts w:hint="eastAsia"/>
                      <w:szCs w:val="21"/>
                    </w:rPr>
                    <w:t>料和</w:t>
                  </w:r>
                  <w:r>
                    <w:rPr>
                      <w:szCs w:val="21"/>
                    </w:rPr>
                    <w:t>B</w:t>
                  </w:r>
                  <w:r>
                    <w:rPr>
                      <w:rFonts w:hint="eastAsia"/>
                      <w:szCs w:val="21"/>
                    </w:rPr>
                    <w:t>料。</w:t>
                  </w:r>
                  <w:r>
                    <w:rPr>
                      <w:szCs w:val="21"/>
                    </w:rPr>
                    <w:t>PET</w:t>
                  </w:r>
                  <w:r>
                    <w:rPr>
                      <w:rFonts w:hint="eastAsia"/>
                      <w:szCs w:val="21"/>
                    </w:rPr>
                    <w:t>常温下为固态不易挥发；发泡</w:t>
                  </w:r>
                  <w:r>
                    <w:rPr>
                      <w:szCs w:val="21"/>
                    </w:rPr>
                    <w:t>A</w:t>
                  </w:r>
                  <w:r>
                    <w:rPr>
                      <w:rFonts w:hint="eastAsia"/>
                      <w:szCs w:val="21"/>
                    </w:rPr>
                    <w:t>料和</w:t>
                  </w:r>
                  <w:r>
                    <w:rPr>
                      <w:szCs w:val="21"/>
                    </w:rPr>
                    <w:t>B</w:t>
                  </w:r>
                  <w:r>
                    <w:rPr>
                      <w:rFonts w:hint="eastAsia"/>
                      <w:szCs w:val="21"/>
                    </w:rPr>
                    <w:t>料常温下为液态，不易挥发，储存和转移过程均在专用密闭桶中。且本项目不属于工业涂装相关行业</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推进涉</w:t>
                  </w:r>
                  <w:r>
                    <w:rPr>
                      <w:szCs w:val="21"/>
                    </w:rPr>
                    <w:t>VOCs</w:t>
                  </w:r>
                  <w:r>
                    <w:rPr>
                      <w:rFonts w:hint="eastAsia"/>
                      <w:szCs w:val="21"/>
                    </w:rPr>
                    <w:t>污染治理设施升级改造。</w:t>
                  </w:r>
                  <w:r>
                    <w:rPr>
                      <w:szCs w:val="21"/>
                    </w:rPr>
                    <w:t>2023</w:t>
                  </w:r>
                  <w:r>
                    <w:rPr>
                      <w:rFonts w:hint="eastAsia"/>
                      <w:szCs w:val="21"/>
                    </w:rPr>
                    <w:t>年完成使用溶剂型涂料、油墨、胶粘剂、清洗剂以及涉及有机化工生产企业的简易低效污染治理设施升级改造。工业涂装企业应使用低挥发性有机物含量的涂料，</w:t>
                  </w:r>
                  <w:r>
                    <w:rPr>
                      <w:szCs w:val="21"/>
                    </w:rPr>
                    <w:t>2025</w:t>
                  </w:r>
                  <w:r>
                    <w:rPr>
                      <w:rFonts w:hint="eastAsia"/>
                      <w:szCs w:val="21"/>
                    </w:rPr>
                    <w:t>年工业涂装企业完成清洁生产审核。在房屋建筑和市政工程设计和施工中，全面推广使用低</w:t>
                  </w:r>
                  <w:r>
                    <w:rPr>
                      <w:szCs w:val="21"/>
                    </w:rPr>
                    <w:t>VOCs</w:t>
                  </w:r>
                  <w:r>
                    <w:rPr>
                      <w:rFonts w:hint="eastAsia"/>
                      <w:szCs w:val="21"/>
                    </w:rPr>
                    <w:t>含量涂料、胶粘剂和防水材料。</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本项目挥发性有机物治理采用二级活性炭吸附装置处理，采用蜂窝状活性炭，碘值</w:t>
                  </w:r>
                  <w:r>
                    <w:rPr>
                      <w:rFonts w:hint="eastAsia"/>
                      <w:kern w:val="0"/>
                      <w:szCs w:val="21"/>
                    </w:rPr>
                    <w:t>不低于</w:t>
                  </w:r>
                  <w:r>
                    <w:rPr>
                      <w:kern w:val="0"/>
                      <w:szCs w:val="21"/>
                    </w:rPr>
                    <w:t>600mg/g</w:t>
                  </w:r>
                  <w:r>
                    <w:rPr>
                      <w:rFonts w:hint="eastAsia"/>
                      <w:kern w:val="0"/>
                      <w:szCs w:val="21"/>
                    </w:rPr>
                    <w:t>。</w:t>
                  </w:r>
                  <w:r>
                    <w:rPr>
                      <w:rFonts w:hint="eastAsia"/>
                      <w:szCs w:val="21"/>
                    </w:rPr>
                    <w:t>项目使用的</w:t>
                  </w:r>
                  <w:r>
                    <w:rPr>
                      <w:szCs w:val="21"/>
                    </w:rPr>
                    <w:t>VOCs</w:t>
                  </w:r>
                  <w:r>
                    <w:rPr>
                      <w:rFonts w:hint="eastAsia"/>
                      <w:szCs w:val="21"/>
                    </w:rPr>
                    <w:t>物料主要为中空涤纶短纤维（</w:t>
                  </w:r>
                  <w:r>
                    <w:rPr>
                      <w:szCs w:val="21"/>
                    </w:rPr>
                    <w:t>PET</w:t>
                  </w:r>
                  <w:r>
                    <w:rPr>
                      <w:rFonts w:hint="eastAsia"/>
                      <w:szCs w:val="21"/>
                    </w:rPr>
                    <w:t>）发泡</w:t>
                  </w:r>
                  <w:r>
                    <w:rPr>
                      <w:szCs w:val="21"/>
                    </w:rPr>
                    <w:t>A</w:t>
                  </w:r>
                  <w:r>
                    <w:rPr>
                      <w:rFonts w:hint="eastAsia"/>
                      <w:szCs w:val="21"/>
                    </w:rPr>
                    <w:t>料和</w:t>
                  </w:r>
                  <w:r>
                    <w:rPr>
                      <w:szCs w:val="21"/>
                    </w:rPr>
                    <w:t>B</w:t>
                  </w:r>
                  <w:r>
                    <w:rPr>
                      <w:rFonts w:hint="eastAsia"/>
                      <w:szCs w:val="21"/>
                    </w:rPr>
                    <w:t>料。</w:t>
                  </w:r>
                  <w:r>
                    <w:rPr>
                      <w:szCs w:val="21"/>
                    </w:rPr>
                    <w:t>PET</w:t>
                  </w:r>
                  <w:r>
                    <w:rPr>
                      <w:rFonts w:hint="eastAsia"/>
                      <w:szCs w:val="21"/>
                    </w:rPr>
                    <w:t>常温下为固态不易挥发；发泡</w:t>
                  </w:r>
                  <w:r>
                    <w:rPr>
                      <w:szCs w:val="21"/>
                    </w:rPr>
                    <w:t>A</w:t>
                  </w:r>
                  <w:r>
                    <w:rPr>
                      <w:rFonts w:hint="eastAsia"/>
                      <w:szCs w:val="21"/>
                    </w:rPr>
                    <w:t>料和</w:t>
                  </w:r>
                  <w:r>
                    <w:rPr>
                      <w:szCs w:val="21"/>
                    </w:rPr>
                    <w:t>B</w:t>
                  </w:r>
                  <w:r>
                    <w:rPr>
                      <w:rFonts w:hint="eastAsia"/>
                      <w:szCs w:val="21"/>
                    </w:rPr>
                    <w:t>料常温下为液态，不易挥发，储存和转移过程均在专用密闭桶中。且本项目不属于工业涂装、涂料、胶粘剂和防水材料等相关行业</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pct"/>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《西安市鄠邑区挥发性有机物污染整治专项实施方案》</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低效治理设施升级改造行动。新建项目不得采用低温等离子、光氧化、光催化技术的废气治理设施等单一治理工艺或者组合工艺（恶臭异味治理除外）</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本项目挥发性有机物治理采用二级活性炭吸附装置处理</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重点行业</w:t>
                  </w:r>
                  <w:r>
                    <w:rPr>
                      <w:szCs w:val="21"/>
                    </w:rPr>
                    <w:t>VOCs</w:t>
                  </w:r>
                  <w:r>
                    <w:rPr>
                      <w:rFonts w:hint="eastAsia"/>
                      <w:szCs w:val="21"/>
                    </w:rPr>
                    <w:t>源头替代行动。</w:t>
                  </w:r>
                  <w:r>
                    <w:rPr>
                      <w:szCs w:val="21"/>
                    </w:rPr>
                    <w:t>2023</w:t>
                  </w:r>
                  <w:r>
                    <w:rPr>
                      <w:rFonts w:hint="eastAsia"/>
                      <w:szCs w:val="21"/>
                    </w:rPr>
                    <w:t>年内完成溶剂型涂料、油墨、胶粘剂、清洗剂原辅材料替代工业涂装企业应使用低挥发性有机物含量的涂料，因特殊工艺要求等原因无法使用非溶剂型涂料、油墨、胶粘剂、清洗剂的企业，企业应出具行业内专家给出的意见并纳入台账。</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本项目为汽车吸音棉及发泡产品制造，不属于涂料、油墨、胶粘剂、清洗剂等相关工业行业</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严格控制无组织排放。在保证安全前提下，加强含</w:t>
                  </w:r>
                  <w:r>
                    <w:rPr>
                      <w:szCs w:val="21"/>
                    </w:rPr>
                    <w:t>VOCs</w:t>
                  </w:r>
                  <w:r>
                    <w:rPr>
                      <w:rFonts w:hint="eastAsia"/>
                      <w:szCs w:val="21"/>
                    </w:rPr>
                    <w:t>物料全方位、全链条、全环节密闭管理，做好</w:t>
                  </w:r>
                  <w:r>
                    <w:rPr>
                      <w:szCs w:val="21"/>
                    </w:rPr>
                    <w:t>VOCs</w:t>
                  </w:r>
                  <w:r>
                    <w:rPr>
                      <w:rFonts w:hint="eastAsia"/>
                      <w:szCs w:val="21"/>
                    </w:rPr>
                    <w:t>物料储存、转移和输送、设备与管线组件泄漏、敞开液面逸散以及工艺过程等无组织排放环节的管理。</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kern w:val="0"/>
                      <w:szCs w:val="21"/>
                    </w:rPr>
                    <w:t>本项目使用的</w:t>
                  </w:r>
                  <w:r>
                    <w:rPr>
                      <w:rFonts w:hint="eastAsia"/>
                      <w:szCs w:val="21"/>
                    </w:rPr>
                    <w:t>发泡</w:t>
                  </w:r>
                  <w:r>
                    <w:rPr>
                      <w:szCs w:val="21"/>
                    </w:rPr>
                    <w:t>A</w:t>
                  </w:r>
                  <w:r>
                    <w:rPr>
                      <w:rFonts w:hint="eastAsia"/>
                      <w:szCs w:val="21"/>
                    </w:rPr>
                    <w:t>料和</w:t>
                  </w:r>
                  <w:r>
                    <w:rPr>
                      <w:szCs w:val="21"/>
                    </w:rPr>
                    <w:t>B</w:t>
                  </w:r>
                  <w:r>
                    <w:rPr>
                      <w:rFonts w:hint="eastAsia"/>
                      <w:szCs w:val="21"/>
                    </w:rPr>
                    <w:t>料常温下为液态，不易挥发，储存和转移过程均在专用密闭桶中。投加发泡原料时采用自动上料机进行吸料（管道输送）</w:t>
                  </w:r>
                  <w:r>
                    <w:rPr>
                      <w:rFonts w:hint="eastAsia"/>
                      <w:kern w:val="0"/>
                      <w:szCs w:val="21"/>
                    </w:rPr>
                    <w:t>；</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szCs w:val="21"/>
                    </w:rPr>
                    <w:t>强化涉活性炭</w:t>
                  </w:r>
                  <w:r>
                    <w:rPr>
                      <w:szCs w:val="21"/>
                    </w:rPr>
                    <w:t>VOCs</w:t>
                  </w:r>
                  <w:r>
                    <w:rPr>
                      <w:rFonts w:hint="eastAsia"/>
                      <w:szCs w:val="21"/>
                    </w:rPr>
                    <w:t>处理工艺治理。采用活性炭吸附技术的，其中颗粒碳碘吸附值不低于</w:t>
                  </w:r>
                  <w:r>
                    <w:rPr>
                      <w:szCs w:val="21"/>
                    </w:rPr>
                    <w:t>800mg/g</w:t>
                  </w:r>
                  <w:r>
                    <w:rPr>
                      <w:rFonts w:hint="eastAsia"/>
                      <w:szCs w:val="21"/>
                    </w:rPr>
                    <w:t>或四氯化碳吸附率不低于</w:t>
                  </w:r>
                  <w:r>
                    <w:rPr>
                      <w:szCs w:val="21"/>
                    </w:rPr>
                    <w:t>60%</w:t>
                  </w:r>
                  <w:r>
                    <w:rPr>
                      <w:rFonts w:hint="eastAsia"/>
                      <w:szCs w:val="21"/>
                    </w:rPr>
                    <w:t>，蜂窝活性炭碘吸附值不低于</w:t>
                  </w:r>
                  <w:r>
                    <w:rPr>
                      <w:szCs w:val="21"/>
                    </w:rPr>
                    <w:t>600mg/g</w:t>
                  </w:r>
                  <w:r>
                    <w:rPr>
                      <w:rFonts w:hint="eastAsia"/>
                      <w:szCs w:val="21"/>
                    </w:rPr>
                    <w:t>或四氯化碳吸附率不低于</w:t>
                  </w:r>
                  <w:r>
                    <w:rPr>
                      <w:szCs w:val="21"/>
                    </w:rPr>
                    <w:t>30%</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szCs w:val="21"/>
                    </w:rPr>
                  </w:pPr>
                  <w:r>
                    <w:rPr>
                      <w:rFonts w:hint="eastAsia"/>
                      <w:kern w:val="0"/>
                      <w:szCs w:val="21"/>
                    </w:rPr>
                    <w:t>本项目产生的有机废气属于低浓度、大风量废气，采用二级活性炭吸附装置处理有机废气。项目采用碘值为</w:t>
                  </w:r>
                  <w:r>
                    <w:rPr>
                      <w:kern w:val="0"/>
                      <w:szCs w:val="21"/>
                    </w:rPr>
                    <w:t>600mg/g</w:t>
                  </w:r>
                  <w:r>
                    <w:rPr>
                      <w:rFonts w:hint="eastAsia"/>
                      <w:kern w:val="0"/>
                      <w:szCs w:val="21"/>
                    </w:rPr>
                    <w:t>的蜂窝状活性炭。</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290" w:type="pct"/>
                  <w:vMerge w:val="restart"/>
                  <w:tcBorders>
                    <w:top w:val="single" w:color="auto" w:sz="4" w:space="0"/>
                    <w:left w:val="single" w:color="auto" w:sz="12" w:space="0"/>
                    <w:bottom w:val="single" w:color="auto" w:sz="4" w:space="0"/>
                    <w:right w:val="single" w:color="auto" w:sz="4" w:space="0"/>
                  </w:tcBorders>
                  <w:vAlign w:val="center"/>
                </w:tcPr>
                <w:p>
                  <w:pPr>
                    <w:widowControl/>
                    <w:jc w:val="center"/>
                    <w:rPr>
                      <w:szCs w:val="21"/>
                    </w:rPr>
                  </w:pPr>
                  <w:r>
                    <w:rPr>
                      <w:rFonts w:hint="eastAsia"/>
                      <w:kern w:val="0"/>
                      <w:szCs w:val="21"/>
                    </w:rPr>
                    <w:t>《重点行业挥发性有机物综合治理方案》（环大气〔</w:t>
                  </w:r>
                  <w:r>
                    <w:rPr>
                      <w:kern w:val="0"/>
                      <w:szCs w:val="21"/>
                    </w:rPr>
                    <w:t>2019</w:t>
                  </w:r>
                  <w:r>
                    <w:rPr>
                      <w:rFonts w:hint="eastAsia"/>
                      <w:kern w:val="0"/>
                      <w:szCs w:val="21"/>
                    </w:rPr>
                    <w:t>〕</w:t>
                  </w:r>
                  <w:r>
                    <w:rPr>
                      <w:kern w:val="0"/>
                      <w:szCs w:val="21"/>
                    </w:rPr>
                    <w:t>53</w:t>
                  </w:r>
                  <w:r>
                    <w:rPr>
                      <w:rFonts w:hint="eastAsia"/>
                      <w:kern w:val="0"/>
                      <w:szCs w:val="21"/>
                    </w:rPr>
                    <w:t>号</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提高废气收集率。遵循</w:t>
                  </w:r>
                  <w:r>
                    <w:rPr>
                      <w:kern w:val="0"/>
                      <w:szCs w:val="21"/>
                    </w:rPr>
                    <w:t>“</w:t>
                  </w:r>
                  <w:r>
                    <w:rPr>
                      <w:rFonts w:hint="eastAsia"/>
                      <w:kern w:val="0"/>
                      <w:szCs w:val="21"/>
                    </w:rPr>
                    <w:t>应收</w:t>
                  </w:r>
                </w:p>
                <w:p>
                  <w:pPr>
                    <w:widowControl/>
                    <w:jc w:val="left"/>
                    <w:rPr>
                      <w:szCs w:val="21"/>
                    </w:rPr>
                  </w:pPr>
                  <w:r>
                    <w:rPr>
                      <w:rFonts w:hint="eastAsia"/>
                      <w:kern w:val="0"/>
                      <w:szCs w:val="21"/>
                    </w:rPr>
                    <w:t>尽收、分质收集</w:t>
                  </w:r>
                  <w:r>
                    <w:rPr>
                      <w:kern w:val="0"/>
                      <w:szCs w:val="21"/>
                    </w:rPr>
                    <w:t>”</w:t>
                  </w:r>
                  <w:r>
                    <w:rPr>
                      <w:rFonts w:hint="eastAsia"/>
                      <w:kern w:val="0"/>
                      <w:szCs w:val="21"/>
                    </w:rPr>
                    <w:t>的原则，科学设计废气收集系统，将无组织排放转变为有组织排放进行控制。采用局部集气罩的，距集气罩开口面最远处的</w:t>
                  </w:r>
                  <w:r>
                    <w:rPr>
                      <w:kern w:val="0"/>
                      <w:szCs w:val="21"/>
                    </w:rPr>
                    <w:t>VOCs</w:t>
                  </w:r>
                  <w:r>
                    <w:rPr>
                      <w:rFonts w:hint="eastAsia"/>
                      <w:kern w:val="0"/>
                      <w:szCs w:val="21"/>
                    </w:rPr>
                    <w:t>无组织排放位置，控制风速应不低于</w:t>
                  </w:r>
                  <w:r>
                    <w:rPr>
                      <w:kern w:val="0"/>
                      <w:szCs w:val="21"/>
                    </w:rPr>
                    <w:t>0.3</w:t>
                  </w:r>
                  <w:r>
                    <w:rPr>
                      <w:rFonts w:hint="eastAsia"/>
                      <w:kern w:val="0"/>
                      <w:szCs w:val="21"/>
                    </w:rPr>
                    <w:t>米</w:t>
                  </w:r>
                  <w:r>
                    <w:rPr>
                      <w:kern w:val="0"/>
                      <w:szCs w:val="21"/>
                    </w:rPr>
                    <w:t>/</w:t>
                  </w:r>
                  <w:r>
                    <w:rPr>
                      <w:rFonts w:hint="eastAsia"/>
                      <w:kern w:val="0"/>
                      <w:szCs w:val="21"/>
                    </w:rPr>
                    <w:t>秒，有行业要求的按相关规定执行。</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项目</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推进建设适宜高效的治污设施。企业新建治污设施或对现有治污设施实施改造，应依据排放废气的浓度、组分、风量，温度、湿度、压力，以及生产工况等，合理选择治理技术。鼓励企业采用多种技术的组合工艺，提高</w:t>
                  </w:r>
                  <w:r>
                    <w:rPr>
                      <w:kern w:val="0"/>
                      <w:szCs w:val="21"/>
                    </w:rPr>
                    <w:t>VOCs</w:t>
                  </w:r>
                  <w:r>
                    <w:rPr>
                      <w:rFonts w:hint="eastAsia"/>
                      <w:kern w:val="0"/>
                      <w:szCs w:val="21"/>
                    </w:rPr>
                    <w:t>治理效率。低浓度、大风量废气，宜采用沸石转轮吸附、活性炭吸附、减风增浓等浓缩技术，提高</w:t>
                  </w:r>
                  <w:r>
                    <w:rPr>
                      <w:kern w:val="0"/>
                      <w:szCs w:val="21"/>
                    </w:rPr>
                    <w:t>VOCs</w:t>
                  </w:r>
                  <w:r>
                    <w:rPr>
                      <w:rFonts w:hint="eastAsia"/>
                      <w:kern w:val="0"/>
                      <w:szCs w:val="21"/>
                    </w:rPr>
                    <w:t>浓度后净化处理。</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kern w:val="0"/>
                      <w:szCs w:val="21"/>
                    </w:rPr>
                    <w:t>本项目产生的有机废气属于低浓度、大风量废气，采用二级活性炭吸附装置处理有机废气。</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290" w:type="pct"/>
                  <w:vMerge w:val="restart"/>
                  <w:tcBorders>
                    <w:top w:val="single" w:color="auto" w:sz="4" w:space="0"/>
                    <w:left w:val="single" w:color="auto" w:sz="12" w:space="0"/>
                    <w:bottom w:val="single" w:color="auto" w:sz="4" w:space="0"/>
                    <w:right w:val="single" w:color="auto" w:sz="4" w:space="0"/>
                  </w:tcBorders>
                  <w:vAlign w:val="center"/>
                </w:tcPr>
                <w:p>
                  <w:pPr>
                    <w:widowControl/>
                    <w:jc w:val="center"/>
                    <w:rPr>
                      <w:szCs w:val="21"/>
                    </w:rPr>
                  </w:pPr>
                  <w:r>
                    <w:rPr>
                      <w:rFonts w:hint="eastAsia"/>
                      <w:kern w:val="0"/>
                      <w:szCs w:val="21"/>
                    </w:rPr>
                    <w:t>环大气〔</w:t>
                  </w:r>
                  <w:r>
                    <w:rPr>
                      <w:kern w:val="0"/>
                      <w:szCs w:val="21"/>
                    </w:rPr>
                    <w:t>2021</w:t>
                  </w:r>
                  <w:r>
                    <w:rPr>
                      <w:rFonts w:hint="eastAsia"/>
                      <w:kern w:val="0"/>
                      <w:szCs w:val="21"/>
                    </w:rPr>
                    <w:t>〕</w:t>
                  </w:r>
                  <w:r>
                    <w:rPr>
                      <w:kern w:val="0"/>
                      <w:szCs w:val="21"/>
                    </w:rPr>
                    <w:t>65</w:t>
                  </w:r>
                  <w:r>
                    <w:rPr>
                      <w:rFonts w:hint="eastAsia"/>
                      <w:kern w:val="0"/>
                      <w:szCs w:val="21"/>
                    </w:rPr>
                    <w:t>号《生态环境部关于加快解决当前挥发性有机物治理突出问题的通知》</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废气收集设施治理要求：产生</w:t>
                  </w:r>
                  <w:r>
                    <w:rPr>
                      <w:kern w:val="0"/>
                      <w:szCs w:val="21"/>
                    </w:rPr>
                    <w:t>VOCs</w:t>
                  </w:r>
                  <w:r>
                    <w:rPr>
                      <w:rFonts w:hint="eastAsia"/>
                      <w:kern w:val="0"/>
                      <w:szCs w:val="21"/>
                    </w:rPr>
                    <w:t>的生产环节优先采用密闭设备、在密闭空间中操作或采用全密闭集气罩收集方式，并保持负压运行。对采用局部收集方式的企业，距废气收集系统排风罩开口面最远处的</w:t>
                  </w:r>
                  <w:r>
                    <w:rPr>
                      <w:kern w:val="0"/>
                      <w:szCs w:val="21"/>
                    </w:rPr>
                    <w:t xml:space="preserve">VOCs </w:t>
                  </w:r>
                  <w:r>
                    <w:rPr>
                      <w:rFonts w:hint="eastAsia"/>
                      <w:kern w:val="0"/>
                      <w:szCs w:val="21"/>
                    </w:rPr>
                    <w:t>无组织排放位置控制风速不低于</w:t>
                  </w:r>
                  <w:r>
                    <w:rPr>
                      <w:kern w:val="0"/>
                      <w:szCs w:val="21"/>
                    </w:rPr>
                    <w:t>0.3m/s</w:t>
                  </w:r>
                  <w:r>
                    <w:rPr>
                      <w:rFonts w:hint="eastAsia"/>
                      <w:kern w:val="0"/>
                      <w:szCs w:val="21"/>
                    </w:rPr>
                    <w:t>；废气收集系统的输送管道应密闭、无破损。</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kern w:val="0"/>
                      <w:szCs w:val="21"/>
                    </w:rPr>
                    <w:t>生产过程产生的有机废气较少，</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r>
                    <w:rPr>
                      <w:rFonts w:hint="eastAsia"/>
                      <w:kern w:val="0"/>
                      <w:szCs w:val="21"/>
                    </w:rPr>
                    <w:t>。集气罩风速设计不低于</w:t>
                  </w:r>
                  <w:r>
                    <w:rPr>
                      <w:kern w:val="0"/>
                      <w:szCs w:val="21"/>
                    </w:rPr>
                    <w:t>0.3m/s</w:t>
                  </w:r>
                  <w:r>
                    <w:rPr>
                      <w:rFonts w:hint="eastAsia"/>
                      <w:kern w:val="0"/>
                      <w:szCs w:val="21"/>
                    </w:rPr>
                    <w:t>，采用顶吸式集气罩，集气罩距离设备小于</w:t>
                  </w:r>
                  <w:r>
                    <w:rPr>
                      <w:kern w:val="0"/>
                      <w:szCs w:val="21"/>
                    </w:rPr>
                    <w:t>0.5m</w:t>
                  </w:r>
                  <w:r>
                    <w:rPr>
                      <w:rFonts w:hint="eastAsia"/>
                      <w:kern w:val="0"/>
                      <w:szCs w:val="21"/>
                    </w:rPr>
                    <w:t>，加装软帘，且已要求定期对输送管道进行密闭测试</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有机废气治理设施要求：新建治理设施或对现有治理设施实施改造，应依据排放废气特征、</w:t>
                  </w:r>
                  <w:r>
                    <w:rPr>
                      <w:kern w:val="0"/>
                      <w:szCs w:val="21"/>
                    </w:rPr>
                    <w:t xml:space="preserve">VOCs </w:t>
                  </w:r>
                  <w:r>
                    <w:rPr>
                      <w:rFonts w:hint="eastAsia"/>
                      <w:kern w:val="0"/>
                      <w:szCs w:val="21"/>
                    </w:rPr>
                    <w:t>组分及浓度、生产工况等，合理选择治理技术；对治理难度大、单一治理工艺难以稳定达标的，宜采用多种技术的组合工艺；除恶臭异味治理外，一般不使用低温等离子、光催化、光氧化等技术。采用活性炭吸附工艺的企业，应根据废气排放特征，按照相关工程技术规范设计净化工艺和设备，使废气在吸附装置中有足够的停留时间，选择符合相关产品质量标准的活性炭，并足额充填、及时更换。采用颗粒活性炭作为吸附剂时，其碘值不宜低于</w:t>
                  </w:r>
                  <w:r>
                    <w:rPr>
                      <w:kern w:val="0"/>
                      <w:szCs w:val="21"/>
                    </w:rPr>
                    <w:t>800mg/g</w:t>
                  </w:r>
                  <w:r>
                    <w:rPr>
                      <w:rFonts w:hint="eastAsia"/>
                      <w:kern w:val="0"/>
                      <w:szCs w:val="21"/>
                    </w:rPr>
                    <w:t>。</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kern w:val="0"/>
                      <w:szCs w:val="21"/>
                    </w:rPr>
                    <w:t>本项目产生的有机废气属于低浓度、大风量废气，采用二级活性炭吸附装置处理有机废气。项目采用碘值为</w:t>
                  </w:r>
                  <w:r>
                    <w:rPr>
                      <w:kern w:val="0"/>
                      <w:szCs w:val="21"/>
                    </w:rPr>
                    <w:t>600mg/g</w:t>
                  </w:r>
                  <w:r>
                    <w:rPr>
                      <w:rFonts w:hint="eastAsia"/>
                      <w:kern w:val="0"/>
                      <w:szCs w:val="21"/>
                    </w:rPr>
                    <w:t>的蜂窝活性炭。活性炭定期更换后暂存于危废暂存间中并交有资质单位统一处理。</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0" w:type="pc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《陕西省</w:t>
                  </w:r>
                  <w:r>
                    <w:rPr>
                      <w:szCs w:val="21"/>
                    </w:rPr>
                    <w:t>“</w:t>
                  </w:r>
                  <w:r>
                    <w:rPr>
                      <w:rFonts w:hint="eastAsia"/>
                      <w:szCs w:val="21"/>
                    </w:rPr>
                    <w:t>十四五</w:t>
                  </w:r>
                  <w:r>
                    <w:rPr>
                      <w:szCs w:val="21"/>
                    </w:rPr>
                    <w:t>”</w:t>
                  </w:r>
                  <w:r>
                    <w:rPr>
                      <w:rFonts w:hint="eastAsia"/>
                      <w:szCs w:val="21"/>
                    </w:rPr>
                    <w:t>生态环境保护规划》</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推进重点行业挥发性有机物综合整治。建立石化、化工、工业涂装、包装印刷、家具、电子制造、工程机械制造等重点行业源头、过程和末端全过程控制体系，实施挥发性有机物总量控制。加大汽修行业、餐饮油烟污染治理。在工业园区、企业集群推广建设涉挥发性有机物</w:t>
                  </w:r>
                  <w:r>
                    <w:rPr>
                      <w:kern w:val="0"/>
                      <w:szCs w:val="21"/>
                    </w:rPr>
                    <w:t>“</w:t>
                  </w:r>
                  <w:r>
                    <w:rPr>
                      <w:rFonts w:hint="eastAsia"/>
                      <w:kern w:val="0"/>
                      <w:szCs w:val="21"/>
                    </w:rPr>
                    <w:t>绿岛</w:t>
                  </w:r>
                  <w:r>
                    <w:rPr>
                      <w:kern w:val="0"/>
                      <w:szCs w:val="21"/>
                    </w:rPr>
                    <w:t>”</w:t>
                  </w:r>
                  <w:r>
                    <w:rPr>
                      <w:rFonts w:hint="eastAsia"/>
                      <w:kern w:val="0"/>
                      <w:szCs w:val="21"/>
                    </w:rPr>
                    <w:t>项目。在工业</w:t>
                  </w:r>
                </w:p>
                <w:p>
                  <w:pPr>
                    <w:widowControl/>
                    <w:jc w:val="left"/>
                    <w:rPr>
                      <w:szCs w:val="21"/>
                    </w:rPr>
                  </w:pPr>
                  <w:r>
                    <w:rPr>
                      <w:rFonts w:hint="eastAsia"/>
                      <w:kern w:val="0"/>
                      <w:szCs w:val="21"/>
                    </w:rPr>
                    <w:t>涂装和包装印刷等行业全面推进源头替代，严格落实国家和地方产品挥发性有机物含量限值质量标准。将全面使用符合国家要求的低挥发性有机物含量原辅材料的企业纳入正面清单和政府绿色采购清单。全面落实《挥发性有机物无组织排放控制标准（</w:t>
                  </w:r>
                  <w:r>
                    <w:rPr>
                      <w:kern w:val="0"/>
                      <w:szCs w:val="21"/>
                    </w:rPr>
                    <w:t>GB37822—2019</w:t>
                  </w:r>
                  <w:r>
                    <w:rPr>
                      <w:rFonts w:hint="eastAsia"/>
                      <w:kern w:val="0"/>
                      <w:szCs w:val="21"/>
                    </w:rPr>
                    <w:t>）》要求，持续开展无组织排放排查整治工作，加强含挥发性有机物物料全方位、全链条、全环节密闭管理。强化油品储运销监管，持续开展储油库、油罐车、加油站油气回收专项检查和整改工作。企业新建治污设施</w:t>
                  </w:r>
                </w:p>
                <w:p>
                  <w:pPr>
                    <w:widowControl/>
                    <w:jc w:val="left"/>
                    <w:rPr>
                      <w:szCs w:val="21"/>
                    </w:rPr>
                  </w:pPr>
                  <w:r>
                    <w:rPr>
                      <w:rFonts w:hint="eastAsia"/>
                      <w:kern w:val="0"/>
                      <w:szCs w:val="21"/>
                    </w:rPr>
                    <w:t>或对现有治污设施实施改造，应依据排放废气的浓度、组分、风量，温度、湿度、压力，以及生产工况等，合理选择治理技术和治污设施，提高挥发性有机物治理效率。结合行业污染排放特征和挥发性有机物物质光化学反应活性，兼顾恶臭污染物和有毒有害物质控制要求，深入实施精细化管控，提高挥发性有机物治理的</w:t>
                  </w:r>
                </w:p>
                <w:p>
                  <w:pPr>
                    <w:autoSpaceDE w:val="0"/>
                    <w:autoSpaceDN w:val="0"/>
                    <w:jc w:val="center"/>
                    <w:rPr>
                      <w:szCs w:val="21"/>
                    </w:rPr>
                  </w:pPr>
                  <w:r>
                    <w:rPr>
                      <w:rFonts w:hint="eastAsia"/>
                      <w:kern w:val="0"/>
                      <w:szCs w:val="21"/>
                    </w:rPr>
                    <w:t>精准性、针对性和有效性。</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kern w:val="0"/>
                      <w:szCs w:val="21"/>
                    </w:rPr>
                    <w:t>本项目使用的</w:t>
                  </w:r>
                  <w:r>
                    <w:rPr>
                      <w:rFonts w:hint="eastAsia"/>
                      <w:szCs w:val="21"/>
                    </w:rPr>
                    <w:t>发泡</w:t>
                  </w:r>
                  <w:r>
                    <w:rPr>
                      <w:szCs w:val="21"/>
                    </w:rPr>
                    <w:t>A</w:t>
                  </w:r>
                  <w:r>
                    <w:rPr>
                      <w:rFonts w:hint="eastAsia"/>
                      <w:szCs w:val="21"/>
                    </w:rPr>
                    <w:t>料和</w:t>
                  </w:r>
                  <w:r>
                    <w:rPr>
                      <w:szCs w:val="21"/>
                    </w:rPr>
                    <w:t>B</w:t>
                  </w:r>
                  <w:r>
                    <w:rPr>
                      <w:rFonts w:hint="eastAsia"/>
                      <w:szCs w:val="21"/>
                    </w:rPr>
                    <w:t>料常温下为液态，不易挥发，储存和转移过程均在专用密闭桶中。投加发泡原料时采用自动上料机进行吸料（管道输送）</w:t>
                  </w:r>
                  <w:r>
                    <w:rPr>
                      <w:rFonts w:hint="eastAsia"/>
                      <w:kern w:val="0"/>
                      <w:szCs w:val="21"/>
                    </w:rPr>
                    <w:t>；</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0" w:type="pc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《西安市人民政府关于印发</w:t>
                  </w:r>
                  <w:r>
                    <w:rPr>
                      <w:szCs w:val="21"/>
                    </w:rPr>
                    <w:t>“</w:t>
                  </w:r>
                  <w:r>
                    <w:rPr>
                      <w:rFonts w:hint="eastAsia"/>
                      <w:szCs w:val="21"/>
                    </w:rPr>
                    <w:t>十四五</w:t>
                  </w:r>
                  <w:r>
                    <w:rPr>
                      <w:szCs w:val="21"/>
                    </w:rPr>
                    <w:t>”</w:t>
                  </w:r>
                  <w:r>
                    <w:rPr>
                      <w:rFonts w:hint="eastAsia"/>
                      <w:szCs w:val="21"/>
                    </w:rPr>
                    <w:t>生态环境保护规划的通知》</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szCs w:val="21"/>
                    </w:rPr>
                  </w:pPr>
                  <w:r>
                    <w:rPr>
                      <w:rFonts w:hint="eastAsia"/>
                      <w:kern w:val="0"/>
                      <w:szCs w:val="21"/>
                    </w:rPr>
                    <w:t>性有机物纳入污染物排放总量控制体系，有效减少重点污染源、全社会挥发性有机物和</w:t>
                  </w:r>
                  <w:r>
                    <w:rPr>
                      <w:kern w:val="0"/>
                      <w:szCs w:val="21"/>
                    </w:rPr>
                    <w:t>NOx</w:t>
                  </w:r>
                  <w:r>
                    <w:rPr>
                      <w:rFonts w:hint="eastAsia"/>
                      <w:kern w:val="0"/>
                      <w:szCs w:val="21"/>
                    </w:rPr>
                    <w:t>排放总量。以建材、有色等行业带动工业窑炉的综合整治，从源头上对氮氧化物和挥发性有机物进行控制。开展重点行业工业企业挥发性有机物无组织排放治理，以工业涂装、包装印刷、汽修和油品储运销等为重点领域，以工业园区、企业集群和重点企业为重点管控对象，全面加强对光化学反应活性强的</w:t>
                  </w:r>
                  <w:r>
                    <w:rPr>
                      <w:kern w:val="0"/>
                      <w:szCs w:val="21"/>
                    </w:rPr>
                    <w:t>VOCs</w:t>
                  </w:r>
                  <w:r>
                    <w:rPr>
                      <w:rFonts w:hint="eastAsia"/>
                      <w:kern w:val="0"/>
                      <w:szCs w:val="21"/>
                    </w:rPr>
                    <w:t>物质控制。建立完善重点行业源头、过程和末端</w:t>
                  </w:r>
                  <w:r>
                    <w:rPr>
                      <w:kern w:val="0"/>
                      <w:szCs w:val="21"/>
                    </w:rPr>
                    <w:t>VOCs</w:t>
                  </w:r>
                  <w:r>
                    <w:rPr>
                      <w:rFonts w:hint="eastAsia"/>
                      <w:kern w:val="0"/>
                      <w:szCs w:val="21"/>
                    </w:rPr>
                    <w:t>全过程控制体系，实施</w:t>
                  </w:r>
                  <w:r>
                    <w:rPr>
                      <w:kern w:val="0"/>
                      <w:szCs w:val="21"/>
                    </w:rPr>
                    <w:t>VOCs</w:t>
                  </w:r>
                  <w:r>
                    <w:rPr>
                      <w:rFonts w:hint="eastAsia"/>
                      <w:kern w:val="0"/>
                      <w:szCs w:val="21"/>
                    </w:rPr>
                    <w:t>总量控制。严格落实产品强制标准中</w:t>
                  </w:r>
                  <w:r>
                    <w:rPr>
                      <w:kern w:val="0"/>
                      <w:szCs w:val="21"/>
                    </w:rPr>
                    <w:t>VOCs</w:t>
                  </w:r>
                  <w:r>
                    <w:rPr>
                      <w:rFonts w:hint="eastAsia"/>
                      <w:kern w:val="0"/>
                      <w:szCs w:val="21"/>
                    </w:rPr>
                    <w:t>含量限值；全面落实《挥发性有机物无组织排放控制标准》要求，引导企业加强对含</w:t>
                  </w:r>
                  <w:r>
                    <w:rPr>
                      <w:kern w:val="0"/>
                      <w:szCs w:val="21"/>
                    </w:rPr>
                    <w:t>VOCs</w:t>
                  </w:r>
                  <w:r>
                    <w:rPr>
                      <w:rFonts w:hint="eastAsia"/>
                      <w:kern w:val="0"/>
                      <w:szCs w:val="21"/>
                    </w:rPr>
                    <w:t>物料的存储、转移和输送等环节的全方位密闭管理，以及对设备与管线组件泄漏、敞开液面逸散以及工艺过程等方面的全过程精细化管控，实现</w:t>
                  </w:r>
                  <w:r>
                    <w:rPr>
                      <w:kern w:val="0"/>
                      <w:szCs w:val="21"/>
                    </w:rPr>
                    <w:t>VOCs</w:t>
                  </w:r>
                  <w:r>
                    <w:rPr>
                      <w:rFonts w:hint="eastAsia"/>
                      <w:kern w:val="0"/>
                      <w:szCs w:val="21"/>
                    </w:rPr>
                    <w:t>排放量明显下降。</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kern w:val="0"/>
                      <w:szCs w:val="21"/>
                    </w:rPr>
                    <w:t>本项目使用的</w:t>
                  </w:r>
                  <w:r>
                    <w:rPr>
                      <w:rFonts w:hint="eastAsia"/>
                      <w:szCs w:val="21"/>
                    </w:rPr>
                    <w:t>发泡</w:t>
                  </w:r>
                  <w:r>
                    <w:rPr>
                      <w:szCs w:val="21"/>
                    </w:rPr>
                    <w:t>A</w:t>
                  </w:r>
                  <w:r>
                    <w:rPr>
                      <w:rFonts w:hint="eastAsia"/>
                      <w:szCs w:val="21"/>
                    </w:rPr>
                    <w:t>料和</w:t>
                  </w:r>
                  <w:r>
                    <w:rPr>
                      <w:szCs w:val="21"/>
                    </w:rPr>
                    <w:t>B</w:t>
                  </w:r>
                  <w:r>
                    <w:rPr>
                      <w:rFonts w:hint="eastAsia"/>
                      <w:szCs w:val="21"/>
                    </w:rPr>
                    <w:t>料常温下为液态，不易挥发，储存和转移过程均在专用密闭桶中。投加发泡原料时采用自动上料机进行吸料（管道输送）</w:t>
                  </w:r>
                  <w:r>
                    <w:rPr>
                      <w:rFonts w:hint="eastAsia"/>
                      <w:kern w:val="0"/>
                      <w:szCs w:val="21"/>
                    </w:rPr>
                    <w:t>；</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90" w:type="pct"/>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Cs w:val="21"/>
                    </w:rPr>
                  </w:pPr>
                  <w:r>
                    <w:rPr>
                      <w:rFonts w:hint="eastAsia"/>
                      <w:szCs w:val="21"/>
                    </w:rPr>
                    <w:t>西安市生态环境局关于加强挥发性有机物活性炭吸附处理设施运行管理工作的通知（市环发</w:t>
                  </w:r>
                  <w:r>
                    <w:rPr>
                      <w:szCs w:val="21"/>
                    </w:rPr>
                    <w:t>[2022]65</w:t>
                  </w:r>
                  <w:r>
                    <w:rPr>
                      <w:rFonts w:hint="eastAsia"/>
                      <w:szCs w:val="21"/>
                    </w:rPr>
                    <w:t>号）</w:t>
                  </w:r>
                </w:p>
              </w:tc>
              <w:tc>
                <w:tcPr>
                  <w:tcW w:w="1825"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除恶臭异味治理外，淘汰单一使用低温等离子、光催化氧化、活性炭吸附棉、水喷淋等低效处理工艺或其组合工艺。原料</w:t>
                  </w:r>
                  <w:r>
                    <w:rPr>
                      <w:kern w:val="0"/>
                      <w:szCs w:val="21"/>
                    </w:rPr>
                    <w:t>VOCs</w:t>
                  </w:r>
                  <w:r>
                    <w:rPr>
                      <w:rFonts w:hint="eastAsia"/>
                      <w:kern w:val="0"/>
                      <w:szCs w:val="21"/>
                    </w:rPr>
                    <w:t>浓度高、排放总量较大的生产工艺原则上采用</w:t>
                  </w:r>
                  <w:r>
                    <w:rPr>
                      <w:kern w:val="0"/>
                      <w:szCs w:val="21"/>
                    </w:rPr>
                    <w:t>RTO</w:t>
                  </w:r>
                  <w:r>
                    <w:rPr>
                      <w:rFonts w:hint="eastAsia"/>
                      <w:kern w:val="0"/>
                      <w:szCs w:val="21"/>
                    </w:rPr>
                    <w:t>、</w:t>
                  </w:r>
                  <w:r>
                    <w:rPr>
                      <w:kern w:val="0"/>
                      <w:szCs w:val="21"/>
                    </w:rPr>
                    <w:t>RCO</w:t>
                  </w:r>
                  <w:r>
                    <w:rPr>
                      <w:rFonts w:hint="eastAsia"/>
                      <w:kern w:val="0"/>
                      <w:szCs w:val="21"/>
                    </w:rPr>
                    <w:t>等高效处理技术。</w:t>
                  </w:r>
                </w:p>
              </w:tc>
              <w:tc>
                <w:tcPr>
                  <w:tcW w:w="1508" w:type="pc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rFonts w:hint="eastAsia"/>
                      <w:kern w:val="0"/>
                      <w:szCs w:val="21"/>
                    </w:rPr>
                    <w:t>严格控制元组织排放。涂料、稀释剂、困化剂、清洗剂、胶粘剂等</w:t>
                  </w:r>
                  <w:r>
                    <w:rPr>
                      <w:kern w:val="0"/>
                      <w:szCs w:val="21"/>
                    </w:rPr>
                    <w:t>VOCs</w:t>
                  </w:r>
                  <w:r>
                    <w:rPr>
                      <w:rFonts w:hint="eastAsia"/>
                      <w:kern w:val="0"/>
                      <w:szCs w:val="21"/>
                    </w:rPr>
                    <w:t>物料应密闭储存。盛装</w:t>
                  </w:r>
                  <w:r>
                    <w:rPr>
                      <w:kern w:val="0"/>
                      <w:szCs w:val="21"/>
                    </w:rPr>
                    <w:t>VOCs</w:t>
                  </w:r>
                  <w:r>
                    <w:rPr>
                      <w:rFonts w:hint="eastAsia"/>
                      <w:kern w:val="0"/>
                      <w:szCs w:val="21"/>
                    </w:rPr>
                    <w:t>物料的容器或包装袋应密闭储存于室内，或存放于设置有雨棚、遮阳和防渗设施的专用场地，非取用状态时应加盖、封口，保持封闭。含</w:t>
                  </w:r>
                  <w:r>
                    <w:rPr>
                      <w:kern w:val="0"/>
                      <w:szCs w:val="21"/>
                    </w:rPr>
                    <w:t>VOCs</w:t>
                  </w:r>
                  <w:r>
                    <w:rPr>
                      <w:rFonts w:hint="eastAsia"/>
                      <w:kern w:val="0"/>
                      <w:szCs w:val="21"/>
                    </w:rPr>
                    <w:t>废料（渣、液）以及</w:t>
                  </w:r>
                  <w:r>
                    <w:rPr>
                      <w:kern w:val="0"/>
                      <w:szCs w:val="21"/>
                    </w:rPr>
                    <w:t>VOCs</w:t>
                  </w:r>
                  <w:r>
                    <w:rPr>
                      <w:rFonts w:hint="eastAsia"/>
                      <w:kern w:val="0"/>
                      <w:szCs w:val="21"/>
                    </w:rPr>
                    <w:t>物料废包装物等属于危险废物的应密封储存于危废储存问。</w:t>
                  </w:r>
                  <w:r>
                    <w:rPr>
                      <w:kern w:val="0"/>
                      <w:szCs w:val="21"/>
                    </w:rPr>
                    <w:t>VOCs</w:t>
                  </w:r>
                  <w:r>
                    <w:rPr>
                      <w:rFonts w:hint="eastAsia"/>
                      <w:kern w:val="0"/>
                      <w:szCs w:val="21"/>
                    </w:rPr>
                    <w:t>物料的调配过程应采用密闭设备或在密闭空间内操作，并设置专门的密闭调配间，调配废气应排至</w:t>
                  </w:r>
                  <w:r>
                    <w:rPr>
                      <w:kern w:val="0"/>
                      <w:szCs w:val="21"/>
                    </w:rPr>
                    <w:t xml:space="preserve">voes </w:t>
                  </w:r>
                  <w:r>
                    <w:rPr>
                      <w:rFonts w:hint="eastAsia"/>
                      <w:kern w:val="0"/>
                      <w:szCs w:val="21"/>
                    </w:rPr>
                    <w:t>废气收集处理系统；无法密阅的，应采取局部气体收集措施，废气应排至</w:t>
                  </w:r>
                  <w:r>
                    <w:rPr>
                      <w:kern w:val="0"/>
                      <w:szCs w:val="21"/>
                    </w:rPr>
                    <w:t>VOCs</w:t>
                  </w:r>
                  <w:r>
                    <w:rPr>
                      <w:rFonts w:hint="eastAsia"/>
                      <w:kern w:val="0"/>
                      <w:szCs w:val="21"/>
                    </w:rPr>
                    <w:t>废气收集处理系统</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rFonts w:hint="eastAsia"/>
                      <w:szCs w:val="21"/>
                    </w:rPr>
                    <w:t>（</w:t>
                  </w:r>
                  <w:r>
                    <w:rPr>
                      <w:szCs w:val="21"/>
                    </w:rPr>
                    <w:t>1</w:t>
                  </w:r>
                  <w:r>
                    <w:rPr>
                      <w:rFonts w:hint="eastAsia"/>
                      <w:szCs w:val="21"/>
                    </w:rPr>
                    <w:t>）本项目使用的</w:t>
                  </w:r>
                  <w:r>
                    <w:rPr>
                      <w:szCs w:val="21"/>
                    </w:rPr>
                    <w:t>VOCs</w:t>
                  </w:r>
                  <w:r>
                    <w:rPr>
                      <w:rFonts w:hint="eastAsia"/>
                      <w:szCs w:val="21"/>
                    </w:rPr>
                    <w:t>物料主要为中空涤纶短纤维（</w:t>
                  </w:r>
                  <w:r>
                    <w:rPr>
                      <w:szCs w:val="21"/>
                    </w:rPr>
                    <w:t>PET</w:t>
                  </w:r>
                  <w:r>
                    <w:rPr>
                      <w:rFonts w:hint="eastAsia"/>
                      <w:szCs w:val="21"/>
                    </w:rPr>
                    <w:t>）发泡</w:t>
                  </w:r>
                  <w:r>
                    <w:rPr>
                      <w:szCs w:val="21"/>
                    </w:rPr>
                    <w:t>A</w:t>
                  </w:r>
                  <w:r>
                    <w:rPr>
                      <w:rFonts w:hint="eastAsia"/>
                      <w:szCs w:val="21"/>
                    </w:rPr>
                    <w:t>料和</w:t>
                  </w:r>
                  <w:r>
                    <w:rPr>
                      <w:szCs w:val="21"/>
                    </w:rPr>
                    <w:t>B</w:t>
                  </w:r>
                  <w:r>
                    <w:rPr>
                      <w:rFonts w:hint="eastAsia"/>
                      <w:szCs w:val="21"/>
                    </w:rPr>
                    <w:t>料，</w:t>
                  </w:r>
                  <w:r>
                    <w:rPr>
                      <w:szCs w:val="21"/>
                    </w:rPr>
                    <w:t>PET</w:t>
                  </w:r>
                  <w:r>
                    <w:rPr>
                      <w:rFonts w:hint="eastAsia"/>
                      <w:szCs w:val="21"/>
                    </w:rPr>
                    <w:t>常温下为固态，储存于编织袋中；发泡</w:t>
                  </w:r>
                  <w:r>
                    <w:rPr>
                      <w:szCs w:val="21"/>
                    </w:rPr>
                    <w:t>A</w:t>
                  </w:r>
                  <w:r>
                    <w:rPr>
                      <w:rFonts w:hint="eastAsia"/>
                      <w:szCs w:val="21"/>
                    </w:rPr>
                    <w:t>料和</w:t>
                  </w:r>
                  <w:r>
                    <w:rPr>
                      <w:szCs w:val="21"/>
                    </w:rPr>
                    <w:t>B</w:t>
                  </w:r>
                  <w:r>
                    <w:rPr>
                      <w:rFonts w:hint="eastAsia"/>
                      <w:szCs w:val="21"/>
                    </w:rPr>
                    <w:t>料常温下为液态，不易挥发，储存在专用密闭桶中。（</w:t>
                  </w:r>
                  <w:r>
                    <w:rPr>
                      <w:szCs w:val="21"/>
                    </w:rPr>
                    <w:t>2</w:t>
                  </w:r>
                  <w:r>
                    <w:rPr>
                      <w:rFonts w:hint="eastAsia"/>
                      <w:szCs w:val="21"/>
                    </w:rPr>
                    <w:t>）发泡</w:t>
                  </w:r>
                  <w:r>
                    <w:rPr>
                      <w:szCs w:val="21"/>
                    </w:rPr>
                    <w:t>A</w:t>
                  </w:r>
                  <w:r>
                    <w:rPr>
                      <w:rFonts w:hint="eastAsia"/>
                      <w:szCs w:val="21"/>
                    </w:rPr>
                    <w:t>料和</w:t>
                  </w:r>
                  <w:r>
                    <w:rPr>
                      <w:szCs w:val="21"/>
                    </w:rPr>
                    <w:t>B</w:t>
                  </w:r>
                  <w:r>
                    <w:rPr>
                      <w:rFonts w:hint="eastAsia"/>
                      <w:szCs w:val="21"/>
                    </w:rPr>
                    <w:t>料使用密闭桶存放。（</w:t>
                  </w:r>
                  <w:r>
                    <w:rPr>
                      <w:szCs w:val="21"/>
                    </w:rPr>
                    <w:t>3</w:t>
                  </w:r>
                  <w:r>
                    <w:rPr>
                      <w:rFonts w:hint="eastAsia"/>
                      <w:szCs w:val="21"/>
                    </w:rPr>
                    <w:t>）投加发泡原料时采用自动上料机进行吸料（管道输送）；</w:t>
                  </w:r>
                  <w:r>
                    <w:rPr>
                      <w:rFonts w:hint="eastAsia"/>
                      <w:szCs w:val="21"/>
                      <w:shd w:val="clear" w:color="auto" w:fill="FFFFFF"/>
                    </w:rPr>
                    <w:t>吸音棉热熔定型</w:t>
                  </w:r>
                  <w:r>
                    <w:rPr>
                      <w:rFonts w:hint="eastAsia"/>
                      <w:szCs w:val="21"/>
                    </w:rPr>
                    <w:t>工序有机废气采用集气管道收集，发泡熟化、复合热压工序有机废气采用集气罩收集，统一经二级活性炭吸附装置（</w:t>
                  </w:r>
                  <w:r>
                    <w:rPr>
                      <w:szCs w:val="21"/>
                    </w:rPr>
                    <w:t>TA001</w:t>
                  </w:r>
                  <w:r>
                    <w:rPr>
                      <w:rFonts w:hint="eastAsia"/>
                      <w:szCs w:val="21"/>
                    </w:rPr>
                    <w:t>）处理后通过</w:t>
                  </w:r>
                  <w:r>
                    <w:rPr>
                      <w:szCs w:val="21"/>
                    </w:rPr>
                    <w:t>15m</w:t>
                  </w:r>
                  <w:r>
                    <w:rPr>
                      <w:rFonts w:hint="eastAsia"/>
                      <w:szCs w:val="21"/>
                    </w:rPr>
                    <w:t>高排气筒（</w:t>
                  </w:r>
                  <w:r>
                    <w:rPr>
                      <w:szCs w:val="21"/>
                    </w:rPr>
                    <w:t>DA001</w:t>
                  </w:r>
                  <w:r>
                    <w:rPr>
                      <w:rFonts w:hint="eastAsia"/>
                      <w:szCs w:val="21"/>
                    </w:rPr>
                    <w:t>）排放</w:t>
                  </w:r>
                  <w:r>
                    <w:rPr>
                      <w:rFonts w:hint="eastAsia"/>
                    </w:rPr>
                    <w:t>。</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90" w:type="pct"/>
                  <w:vMerge w:val="continue"/>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kern w:val="0"/>
                      <w:szCs w:val="21"/>
                    </w:rPr>
                  </w:pPr>
                </w:p>
              </w:tc>
              <w:tc>
                <w:tcPr>
                  <w:tcW w:w="1825"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rFonts w:hint="eastAsia"/>
                      <w:kern w:val="0"/>
                      <w:szCs w:val="21"/>
                    </w:rPr>
                    <w:t>明确填充量并及时史换。企业应当根据风量和</w:t>
                  </w:r>
                  <w:r>
                    <w:rPr>
                      <w:kern w:val="0"/>
                      <w:szCs w:val="21"/>
                    </w:rPr>
                    <w:t>VOCs</w:t>
                  </w:r>
                </w:p>
                <w:p>
                  <w:pPr>
                    <w:autoSpaceDE w:val="0"/>
                    <w:autoSpaceDN w:val="0"/>
                    <w:jc w:val="center"/>
                    <w:rPr>
                      <w:kern w:val="0"/>
                      <w:szCs w:val="21"/>
                    </w:rPr>
                  </w:pPr>
                  <w:r>
                    <w:rPr>
                      <w:rFonts w:hint="eastAsia"/>
                      <w:kern w:val="0"/>
                      <w:szCs w:val="21"/>
                    </w:rPr>
                    <w:t>初始浓度范围，明确活性炭的填充量、填充厚度和更换时间。</w:t>
                  </w:r>
                </w:p>
              </w:tc>
              <w:tc>
                <w:tcPr>
                  <w:tcW w:w="1508"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rFonts w:hint="eastAsia"/>
                      <w:kern w:val="0"/>
                      <w:szCs w:val="21"/>
                    </w:rPr>
                    <w:t>环评要求企业每</w:t>
                  </w:r>
                  <w:r>
                    <w:rPr>
                      <w:kern w:val="0"/>
                      <w:szCs w:val="21"/>
                    </w:rPr>
                    <w:t>500</w:t>
                  </w:r>
                  <w:r>
                    <w:rPr>
                      <w:rFonts w:hint="eastAsia"/>
                      <w:kern w:val="0"/>
                      <w:szCs w:val="21"/>
                    </w:rPr>
                    <w:t>小时更换一次活性炭，初始填充量应不少于</w:t>
                  </w:r>
                  <w:r>
                    <w:rPr>
                      <w:kern w:val="0"/>
                      <w:szCs w:val="21"/>
                    </w:rPr>
                    <w:t>0.5t</w:t>
                  </w:r>
                  <w:r>
                    <w:rPr>
                      <w:rFonts w:hint="eastAsia"/>
                      <w:kern w:val="0"/>
                      <w:szCs w:val="21"/>
                    </w:rPr>
                    <w:t>，单层填充厚度不低于</w:t>
                  </w:r>
                  <w:r>
                    <w:rPr>
                      <w:kern w:val="0"/>
                      <w:szCs w:val="21"/>
                    </w:rPr>
                    <w:t>500mm</w:t>
                  </w:r>
                  <w:r>
                    <w:rPr>
                      <w:rFonts w:hint="eastAsia"/>
                      <w:kern w:val="0"/>
                      <w:szCs w:val="21"/>
                    </w:rPr>
                    <w:t>。</w:t>
                  </w:r>
                </w:p>
              </w:tc>
              <w:tc>
                <w:tcPr>
                  <w:tcW w:w="375" w:type="pct"/>
                  <w:tcBorders>
                    <w:top w:val="single" w:color="auto" w:sz="4" w:space="0"/>
                    <w:left w:val="single" w:color="auto" w:sz="4" w:space="0"/>
                    <w:bottom w:val="single" w:color="auto" w:sz="4" w:space="0"/>
                    <w:right w:val="single" w:color="auto" w:sz="12" w:space="0"/>
                  </w:tcBorders>
                  <w:vAlign w:val="center"/>
                </w:tcPr>
                <w:p>
                  <w:pPr>
                    <w:autoSpaceDE w:val="0"/>
                    <w:autoSpaceDN w:val="0"/>
                    <w:jc w:val="center"/>
                    <w:rPr>
                      <w:kern w:val="0"/>
                      <w:szCs w:val="21"/>
                    </w:rPr>
                  </w:pPr>
                  <w:r>
                    <w:rPr>
                      <w:rFonts w:hint="eastAsia"/>
                      <w:kern w:val="0"/>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43" w:type="dxa"/>
                  <w:tcBorders>
                    <w:top w:val="single" w:color="auto" w:sz="4" w:space="0"/>
                    <w:left w:val="single" w:color="auto" w:sz="12" w:space="0"/>
                    <w:bottom w:val="single" w:color="auto" w:sz="4" w:space="0"/>
                    <w:right w:val="single" w:color="auto" w:sz="4" w:space="0"/>
                  </w:tcBorders>
                  <w:vAlign w:val="center"/>
                </w:tcPr>
                <w:p>
                  <w:pPr>
                    <w:adjustRightInd w:val="0"/>
                    <w:snapToGrid w:val="0"/>
                    <w:rPr>
                      <w:kern w:val="0"/>
                      <w:szCs w:val="21"/>
                    </w:rPr>
                  </w:pPr>
                  <w:r>
                    <w:rPr>
                      <w:rFonts w:hint="eastAsia"/>
                      <w:szCs w:val="21"/>
                    </w:rPr>
                    <w:t>《陕西省工业炉窑大气污染综合治理实施方案》</w:t>
                  </w:r>
                </w:p>
              </w:tc>
              <w:tc>
                <w:tcPr>
                  <w:tcW w:w="2749"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szCs w:val="21"/>
                    </w:rPr>
                  </w:pPr>
                  <w:r>
                    <w:rPr>
                      <w:rFonts w:hint="eastAsia"/>
                      <w:szCs w:val="21"/>
                    </w:rPr>
                    <w:t>三、重点工作任务</w:t>
                  </w:r>
                </w:p>
                <w:p>
                  <w:pPr>
                    <w:adjustRightInd w:val="0"/>
                    <w:snapToGrid w:val="0"/>
                    <w:rPr>
                      <w:szCs w:val="21"/>
                    </w:rPr>
                  </w:pPr>
                  <w:r>
                    <w:rPr>
                      <w:szCs w:val="21"/>
                    </w:rPr>
                    <w:t>(</w:t>
                  </w:r>
                  <w:r>
                    <w:rPr>
                      <w:rFonts w:hint="eastAsia"/>
                      <w:szCs w:val="21"/>
                    </w:rPr>
                    <w:t>一</w:t>
                  </w:r>
                  <w:r>
                    <w:rPr>
                      <w:szCs w:val="21"/>
                    </w:rPr>
                    <w:t>)</w:t>
                  </w:r>
                  <w:r>
                    <w:rPr>
                      <w:rFonts w:hint="eastAsia"/>
                      <w:szCs w:val="21"/>
                    </w:rPr>
                    <w:t>加大产业结构调整力度。严格新改扩建项目环境准入。新建涉工业炉窑的建设项目，原则上要入园区，配套建设高效环保治理设施。关中地区严格控制涉工业炉窑建设项目，严禁新增钢铁、焦化、电解铝、铸造、水泥和平板玻璃等产能；严格执行国家的钢铁、水泥、平板玻璃等行业产能置换实施办法；新建或改造升级的高端铸造项目必须严格执行《关于重点区域严禁新增铸造产能的通知》</w:t>
                  </w:r>
                  <w:r>
                    <w:rPr>
                      <w:szCs w:val="21"/>
                    </w:rPr>
                    <w:t xml:space="preserve"> (</w:t>
                  </w:r>
                  <w:r>
                    <w:rPr>
                      <w:rFonts w:hint="eastAsia"/>
                      <w:szCs w:val="21"/>
                    </w:rPr>
                    <w:t>工信厅联装</w:t>
                  </w:r>
                  <w:r>
                    <w:rPr>
                      <w:szCs w:val="21"/>
                    </w:rPr>
                    <w:t>[201914441</w:t>
                  </w:r>
                  <w:r>
                    <w:rPr>
                      <w:rFonts w:hint="eastAsia"/>
                      <w:szCs w:val="21"/>
                    </w:rPr>
                    <w:t>号</w:t>
                  </w:r>
                  <w:r>
                    <w:rPr>
                      <w:szCs w:val="21"/>
                    </w:rPr>
                    <w:t>)</w:t>
                  </w:r>
                  <w:r>
                    <w:rPr>
                      <w:rFonts w:hint="eastAsia"/>
                      <w:szCs w:val="21"/>
                    </w:rPr>
                    <w:t>文件有关规定，实施等量或减量置换；原则上禁止新建燃料类煤气发生炉</w:t>
                  </w:r>
                  <w:r>
                    <w:rPr>
                      <w:szCs w:val="21"/>
                    </w:rPr>
                    <w:t>(</w:t>
                  </w:r>
                  <w:r>
                    <w:rPr>
                      <w:rFonts w:hint="eastAsia"/>
                      <w:szCs w:val="21"/>
                    </w:rPr>
                    <w:t>园区现有企业统一建设的清洁煤制气中心除外</w:t>
                  </w:r>
                  <w:r>
                    <w:rPr>
                      <w:szCs w:val="21"/>
                    </w:rPr>
                    <w:t>)</w:t>
                  </w:r>
                  <w:r>
                    <w:rPr>
                      <w:rFonts w:hint="eastAsia"/>
                      <w:szCs w:val="21"/>
                    </w:rPr>
                    <w:t>。</w:t>
                  </w:r>
                </w:p>
                <w:p>
                  <w:pPr>
                    <w:adjustRightInd w:val="0"/>
                    <w:snapToGrid w:val="0"/>
                    <w:rPr>
                      <w:kern w:val="0"/>
                      <w:szCs w:val="21"/>
                    </w:rPr>
                  </w:pPr>
                  <w:r>
                    <w:rPr>
                      <w:rFonts w:hint="eastAsia"/>
                      <w:szCs w:val="21"/>
                    </w:rPr>
                    <w:t>加大落后产能和不达标工业炉窑淘汰力度。全面清理《产业结构调整指导目录》淘汰类工业炉窑。</w:t>
                  </w:r>
                </w:p>
              </w:tc>
              <w:tc>
                <w:tcPr>
                  <w:tcW w:w="22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szCs w:val="21"/>
                    </w:rPr>
                    <w:t>本项目吸音棉热熔定型烘箱采用清洁能源天然气作为燃料，燃烧废气与热熔有机废气经活性炭吸附装置处理后通过</w:t>
                  </w:r>
                  <w:r>
                    <w:rPr>
                      <w:szCs w:val="21"/>
                    </w:rPr>
                    <w:t>15m</w:t>
                  </w:r>
                  <w:r>
                    <w:rPr>
                      <w:rFonts w:hint="eastAsia"/>
                      <w:szCs w:val="21"/>
                    </w:rPr>
                    <w:t>高排气筒排放</w:t>
                  </w:r>
                </w:p>
              </w:tc>
              <w:tc>
                <w:tcPr>
                  <w:tcW w:w="565" w:type="dxa"/>
                  <w:tcBorders>
                    <w:top w:val="single" w:color="auto" w:sz="4" w:space="0"/>
                    <w:left w:val="single" w:color="auto" w:sz="4" w:space="0"/>
                    <w:bottom w:val="single" w:color="auto" w:sz="4" w:space="0"/>
                    <w:right w:val="single" w:color="auto" w:sz="12" w:space="0"/>
                  </w:tcBorders>
                  <w:vAlign w:val="center"/>
                </w:tcPr>
                <w:p>
                  <w:pPr>
                    <w:jc w:val="center"/>
                    <w:rPr>
                      <w:kern w:val="0"/>
                      <w:szCs w:val="21"/>
                    </w:rPr>
                  </w:pPr>
                  <w:r>
                    <w:rPr>
                      <w:rFonts w:hint="eastAsia"/>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43" w:type="dxa"/>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szCs w:val="21"/>
                    </w:rPr>
                  </w:pPr>
                  <w:r>
                    <w:rPr>
                      <w:rFonts w:hint="eastAsia"/>
                      <w:szCs w:val="21"/>
                    </w:rPr>
                    <w:t>《陕西省生态环境厅关于进一步加强关中地区涉气重点行业项目环评管理的通知》（陕环环评函</w:t>
                  </w:r>
                  <w:r>
                    <w:rPr>
                      <w:szCs w:val="21"/>
                    </w:rPr>
                    <w:t>[2023]76</w:t>
                  </w:r>
                  <w:r>
                    <w:rPr>
                      <w:rFonts w:hint="eastAsia"/>
                      <w:szCs w:val="21"/>
                    </w:rPr>
                    <w:t>号）</w:t>
                  </w:r>
                </w:p>
              </w:tc>
              <w:tc>
                <w:tcPr>
                  <w:tcW w:w="2749" w:type="dxa"/>
                  <w:gridSpan w:val="2"/>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rPr>
                      <w:rFonts w:hint="eastAsia"/>
                      <w:szCs w:val="21"/>
                    </w:rPr>
                    <w:t>关中地区涉气重点行业项目范围为生态环境部确定的</w:t>
                  </w:r>
                  <w:r>
                    <w:rPr>
                      <w:szCs w:val="21"/>
                    </w:rPr>
                    <w:t>39</w:t>
                  </w:r>
                  <w:r>
                    <w:rPr>
                      <w:rFonts w:hint="eastAsia"/>
                      <w:szCs w:val="21"/>
                    </w:rPr>
                    <w:t>个重点行业的新改扩建项目，</w:t>
                  </w:r>
                  <w:r>
                    <w:rPr>
                      <w:szCs w:val="21"/>
                    </w:rPr>
                    <w:t>39</w:t>
                  </w:r>
                  <w:r>
                    <w:rPr>
                      <w:rFonts w:hint="eastAsia"/>
                      <w:szCs w:val="21"/>
                    </w:rPr>
                    <w:t>个重点行业清单见附件</w:t>
                  </w:r>
                </w:p>
              </w:tc>
              <w:tc>
                <w:tcPr>
                  <w:tcW w:w="227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rPr>
                      <w:rFonts w:hint="eastAsia"/>
                      <w:szCs w:val="21"/>
                    </w:rPr>
                    <w:t>根据对比附件清单，本项目不属于关中地区涉气重点行业项目</w:t>
                  </w:r>
                </w:p>
              </w:tc>
              <w:tc>
                <w:tcPr>
                  <w:tcW w:w="565" w:type="dxa"/>
                  <w:tcBorders>
                    <w:top w:val="single" w:color="auto" w:sz="4" w:space="0"/>
                    <w:left w:val="single" w:color="auto" w:sz="4" w:space="0"/>
                    <w:bottom w:val="single" w:color="auto" w:sz="12" w:space="0"/>
                    <w:right w:val="single" w:color="auto" w:sz="12" w:space="0"/>
                  </w:tcBorders>
                  <w:vAlign w:val="center"/>
                </w:tcPr>
                <w:p>
                  <w:pPr>
                    <w:jc w:val="center"/>
                    <w:rPr>
                      <w:szCs w:val="21"/>
                    </w:rPr>
                  </w:pPr>
                  <w:r>
                    <w:rPr>
                      <w:rFonts w:hint="eastAsia"/>
                      <w:szCs w:val="21"/>
                    </w:rPr>
                    <w:t>符合</w:t>
                  </w:r>
                </w:p>
              </w:tc>
            </w:tr>
          </w:tbl>
          <w:p>
            <w:pPr>
              <w:pStyle w:val="35"/>
              <w:spacing w:line="360" w:lineRule="auto"/>
              <w:ind w:firstLine="482" w:firstLineChars="200"/>
              <w:rPr>
                <w:color w:val="auto"/>
              </w:rPr>
            </w:pPr>
            <w:r>
              <w:rPr>
                <w:rFonts w:hint="eastAsia" w:ascii="Times New Roman" w:cs="Times New Roman"/>
                <w:b/>
                <w:iCs/>
                <w:color w:val="auto"/>
              </w:rPr>
              <w:t>五、产业政策符合性分析</w:t>
            </w:r>
          </w:p>
          <w:p>
            <w:pPr>
              <w:pStyle w:val="35"/>
              <w:snapToGrid w:val="0"/>
              <w:spacing w:line="360" w:lineRule="auto"/>
              <w:ind w:firstLine="480" w:firstLineChars="200"/>
              <w:rPr>
                <w:color w:val="auto"/>
              </w:rPr>
            </w:pPr>
            <w:r>
              <w:rPr>
                <w:rFonts w:hint="eastAsia" w:ascii="Times New Roman" w:cs="Times New Roman"/>
                <w:color w:val="auto"/>
              </w:rPr>
              <w:t>项目为汽车零部件及配件制造，不属于《产业结构调整指导目录（</w:t>
            </w:r>
            <w:r>
              <w:rPr>
                <w:rFonts w:ascii="Times New Roman" w:cs="Times New Roman"/>
                <w:color w:val="auto"/>
              </w:rPr>
              <w:t>2019</w:t>
            </w:r>
            <w:r>
              <w:rPr>
                <w:rFonts w:hint="eastAsia" w:ascii="Times New Roman" w:cs="Times New Roman"/>
                <w:color w:val="auto"/>
              </w:rPr>
              <w:t>年本）》（</w:t>
            </w:r>
            <w:r>
              <w:rPr>
                <w:rFonts w:ascii="Times New Roman" w:cs="Times New Roman"/>
                <w:color w:val="auto"/>
              </w:rPr>
              <w:t>2021</w:t>
            </w:r>
            <w:r>
              <w:rPr>
                <w:rFonts w:hint="eastAsia" w:ascii="Times New Roman" w:cs="Times New Roman"/>
                <w:color w:val="auto"/>
              </w:rPr>
              <w:t>年修订）中</w:t>
            </w:r>
            <w:r>
              <w:rPr>
                <w:rFonts w:ascii="Times New Roman" w:cs="Times New Roman"/>
                <w:color w:val="auto"/>
              </w:rPr>
              <w:t>“</w:t>
            </w:r>
            <w:r>
              <w:rPr>
                <w:rFonts w:hint="eastAsia" w:ascii="Times New Roman" w:cs="Times New Roman"/>
                <w:color w:val="auto"/>
              </w:rPr>
              <w:t>鼓励类</w:t>
            </w:r>
            <w:r>
              <w:rPr>
                <w:rFonts w:ascii="Times New Roman" w:cs="Times New Roman"/>
                <w:color w:val="auto"/>
              </w:rPr>
              <w:t>”</w:t>
            </w:r>
            <w:r>
              <w:rPr>
                <w:rFonts w:hint="eastAsia" w:ascii="Times New Roman" w:cs="Times New Roman"/>
                <w:color w:val="auto"/>
              </w:rPr>
              <w:t>、</w:t>
            </w:r>
            <w:r>
              <w:rPr>
                <w:rFonts w:ascii="Times New Roman" w:cs="Times New Roman"/>
                <w:color w:val="auto"/>
              </w:rPr>
              <w:t>“</w:t>
            </w:r>
            <w:r>
              <w:rPr>
                <w:rFonts w:hint="eastAsia" w:ascii="Times New Roman" w:cs="Times New Roman"/>
                <w:color w:val="auto"/>
              </w:rPr>
              <w:t>限制类</w:t>
            </w:r>
            <w:r>
              <w:rPr>
                <w:rFonts w:ascii="Times New Roman" w:cs="Times New Roman"/>
                <w:color w:val="auto"/>
              </w:rPr>
              <w:t>”</w:t>
            </w:r>
            <w:r>
              <w:rPr>
                <w:rFonts w:hint="eastAsia" w:ascii="Times New Roman" w:cs="Times New Roman"/>
                <w:color w:val="auto"/>
              </w:rPr>
              <w:t>和</w:t>
            </w:r>
            <w:r>
              <w:rPr>
                <w:rFonts w:ascii="Times New Roman" w:cs="Times New Roman"/>
                <w:color w:val="auto"/>
              </w:rPr>
              <w:t>“</w:t>
            </w:r>
            <w:r>
              <w:rPr>
                <w:rFonts w:hint="eastAsia" w:ascii="Times New Roman" w:cs="Times New Roman"/>
                <w:color w:val="auto"/>
              </w:rPr>
              <w:t>淘汰类</w:t>
            </w:r>
            <w:r>
              <w:rPr>
                <w:rFonts w:ascii="Times New Roman" w:cs="Times New Roman"/>
                <w:color w:val="auto"/>
              </w:rPr>
              <w:t>”</w:t>
            </w:r>
            <w:r>
              <w:rPr>
                <w:rFonts w:hint="eastAsia" w:ascii="Times New Roman" w:cs="Times New Roman"/>
                <w:color w:val="auto"/>
              </w:rPr>
              <w:t>，因此属于允许类项目；对照《陕西省</w:t>
            </w:r>
            <w:r>
              <w:rPr>
                <w:rFonts w:ascii="Times New Roman" w:cs="Times New Roman"/>
                <w:color w:val="auto"/>
              </w:rPr>
              <w:t>“</w:t>
            </w:r>
            <w:r>
              <w:rPr>
                <w:rFonts w:hint="eastAsia" w:ascii="Times New Roman" w:cs="Times New Roman"/>
                <w:color w:val="auto"/>
              </w:rPr>
              <w:t>两高</w:t>
            </w:r>
            <w:r>
              <w:rPr>
                <w:rFonts w:ascii="Times New Roman" w:cs="Times New Roman"/>
                <w:color w:val="auto"/>
              </w:rPr>
              <w:t>”</w:t>
            </w:r>
            <w:r>
              <w:rPr>
                <w:rFonts w:hint="eastAsia" w:ascii="Times New Roman" w:cs="Times New Roman"/>
                <w:color w:val="auto"/>
              </w:rPr>
              <w:t>项目管理暂行目录（</w:t>
            </w:r>
            <w:r>
              <w:rPr>
                <w:rFonts w:ascii="Times New Roman" w:cs="Times New Roman"/>
                <w:color w:val="auto"/>
              </w:rPr>
              <w:t>2022</w:t>
            </w:r>
            <w:r>
              <w:rPr>
                <w:rFonts w:hint="eastAsia" w:ascii="Times New Roman" w:cs="Times New Roman"/>
                <w:color w:val="auto"/>
              </w:rPr>
              <w:t>年版）》（陕发改环资〔</w:t>
            </w:r>
            <w:r>
              <w:rPr>
                <w:rFonts w:ascii="Times New Roman" w:cs="Times New Roman"/>
                <w:color w:val="auto"/>
              </w:rPr>
              <w:t>2022</w:t>
            </w:r>
            <w:r>
              <w:rPr>
                <w:rFonts w:hint="eastAsia" w:ascii="Times New Roman" w:cs="Times New Roman"/>
                <w:color w:val="auto"/>
              </w:rPr>
              <w:t>〕</w:t>
            </w:r>
            <w:r>
              <w:rPr>
                <w:rFonts w:ascii="Times New Roman" w:cs="Times New Roman"/>
                <w:color w:val="auto"/>
              </w:rPr>
              <w:t>110</w:t>
            </w:r>
            <w:r>
              <w:rPr>
                <w:rFonts w:hint="eastAsia" w:ascii="Times New Roman" w:cs="Times New Roman"/>
                <w:color w:val="auto"/>
              </w:rPr>
              <w:t>号），项目不在</w:t>
            </w:r>
            <w:r>
              <w:rPr>
                <w:rFonts w:ascii="Times New Roman" w:cs="Times New Roman"/>
                <w:color w:val="auto"/>
              </w:rPr>
              <w:t>“</w:t>
            </w:r>
            <w:r>
              <w:rPr>
                <w:rFonts w:hint="eastAsia" w:ascii="Times New Roman" w:cs="Times New Roman"/>
                <w:color w:val="auto"/>
              </w:rPr>
              <w:t>两高</w:t>
            </w:r>
            <w:r>
              <w:rPr>
                <w:rFonts w:ascii="Times New Roman" w:cs="Times New Roman"/>
                <w:color w:val="auto"/>
              </w:rPr>
              <w:t>”</w:t>
            </w:r>
            <w:r>
              <w:rPr>
                <w:rFonts w:hint="eastAsia" w:ascii="Times New Roman" w:cs="Times New Roman"/>
                <w:color w:val="auto"/>
              </w:rPr>
              <w:t>项目管理暂行目录中；同时项目不属于《市场准入负面清单（</w:t>
            </w:r>
            <w:r>
              <w:rPr>
                <w:rFonts w:ascii="Times New Roman" w:cs="Times New Roman"/>
                <w:color w:val="auto"/>
              </w:rPr>
              <w:t>2022</w:t>
            </w:r>
            <w:r>
              <w:rPr>
                <w:rFonts w:hint="eastAsia" w:ascii="Times New Roman" w:cs="Times New Roman"/>
                <w:color w:val="auto"/>
              </w:rPr>
              <w:t>年版）》（发改体改规〔</w:t>
            </w:r>
            <w:r>
              <w:rPr>
                <w:rFonts w:ascii="Times New Roman" w:cs="Times New Roman"/>
                <w:color w:val="auto"/>
              </w:rPr>
              <w:t>2022</w:t>
            </w:r>
            <w:r>
              <w:rPr>
                <w:rFonts w:hint="eastAsia" w:ascii="Times New Roman" w:cs="Times New Roman"/>
                <w:color w:val="auto"/>
              </w:rPr>
              <w:t>〕</w:t>
            </w:r>
            <w:r>
              <w:rPr>
                <w:rFonts w:ascii="Times New Roman" w:cs="Times New Roman"/>
                <w:color w:val="auto"/>
              </w:rPr>
              <w:t>397</w:t>
            </w:r>
            <w:r>
              <w:rPr>
                <w:rFonts w:hint="eastAsia" w:ascii="Times New Roman" w:cs="Times New Roman"/>
                <w:color w:val="auto"/>
              </w:rPr>
              <w:t>号）中禁止准入类。项目于</w:t>
            </w:r>
            <w:r>
              <w:rPr>
                <w:rFonts w:ascii="Times New Roman" w:cs="Times New Roman"/>
                <w:color w:val="auto"/>
              </w:rPr>
              <w:t>2022</w:t>
            </w:r>
            <w:r>
              <w:rPr>
                <w:rFonts w:hint="eastAsia" w:ascii="Times New Roman" w:cs="Times New Roman"/>
                <w:color w:val="auto"/>
              </w:rPr>
              <w:t>年</w:t>
            </w:r>
            <w:r>
              <w:rPr>
                <w:rFonts w:ascii="Times New Roman" w:cs="Times New Roman"/>
                <w:color w:val="auto"/>
              </w:rPr>
              <w:t>10</w:t>
            </w:r>
            <w:r>
              <w:rPr>
                <w:rFonts w:hint="eastAsia" w:ascii="Times New Roman" w:cs="Times New Roman"/>
                <w:color w:val="auto"/>
              </w:rPr>
              <w:t>月</w:t>
            </w:r>
            <w:r>
              <w:rPr>
                <w:rFonts w:ascii="Times New Roman" w:cs="Times New Roman"/>
                <w:color w:val="auto"/>
              </w:rPr>
              <w:t>25</w:t>
            </w:r>
            <w:r>
              <w:rPr>
                <w:rFonts w:hint="eastAsia" w:ascii="Times New Roman" w:cs="Times New Roman"/>
                <w:color w:val="auto"/>
              </w:rPr>
              <w:t>日取得了西安市鄠邑区行政审批服务局关于本项目备案确认书（项目代码为：</w:t>
            </w:r>
            <w:r>
              <w:rPr>
                <w:rFonts w:ascii="Times New Roman" w:cs="Times New Roman"/>
                <w:color w:val="auto"/>
              </w:rPr>
              <w:t>2210-610125-04-05-639675</w:t>
            </w:r>
            <w:r>
              <w:rPr>
                <w:rFonts w:hint="eastAsia" w:ascii="Times New Roman" w:cs="Times New Roman"/>
                <w:color w:val="auto"/>
              </w:rPr>
              <w:t>）。因此，本项目符合国家及地方产业政策。</w:t>
            </w:r>
          </w:p>
          <w:p>
            <w:pPr>
              <w:autoSpaceDE w:val="0"/>
              <w:autoSpaceDN w:val="0"/>
              <w:adjustRightInd w:val="0"/>
              <w:snapToGrid w:val="0"/>
              <w:spacing w:line="360" w:lineRule="auto"/>
              <w:ind w:firstLine="482" w:firstLineChars="200"/>
              <w:rPr>
                <w:b/>
                <w:bCs/>
                <w:kern w:val="0"/>
                <w:sz w:val="24"/>
              </w:rPr>
            </w:pPr>
            <w:r>
              <w:rPr>
                <w:rFonts w:hint="eastAsia"/>
                <w:b/>
                <w:iCs/>
                <w:sz w:val="24"/>
              </w:rPr>
              <w:t>六、选址合理性分析</w:t>
            </w:r>
          </w:p>
          <w:p>
            <w:pPr>
              <w:autoSpaceDE w:val="0"/>
              <w:autoSpaceDN w:val="0"/>
              <w:adjustRightInd w:val="0"/>
              <w:snapToGrid w:val="0"/>
              <w:spacing w:line="360" w:lineRule="auto"/>
              <w:ind w:firstLine="480" w:firstLineChars="200"/>
              <w:rPr>
                <w:kern w:val="0"/>
                <w:sz w:val="24"/>
              </w:rPr>
            </w:pPr>
            <w:r>
              <w:rPr>
                <w:rFonts w:hint="eastAsia"/>
                <w:kern w:val="0"/>
                <w:sz w:val="24"/>
              </w:rPr>
              <w:t>项目选址位于西安市鄠邑区沣京工业园潭滨北路，项目租用西安沣京塑料制品有限公司厂房，根据土地文件，项目用地属于工业用地（土地文件及租赁合同见附件</w:t>
            </w:r>
            <w:r>
              <w:rPr>
                <w:kern w:val="0"/>
                <w:sz w:val="24"/>
              </w:rPr>
              <w:t>4</w:t>
            </w:r>
            <w:r>
              <w:rPr>
                <w:rFonts w:hint="eastAsia"/>
                <w:kern w:val="0"/>
                <w:sz w:val="24"/>
              </w:rPr>
              <w:t>）。所选区域地势平坦，地理位置优越，交通便利，水、电等配套设施完善。距离项目最近的敏感点为位于西侧</w:t>
            </w:r>
            <w:r>
              <w:rPr>
                <w:kern w:val="0"/>
                <w:sz w:val="24"/>
              </w:rPr>
              <w:t>360m</w:t>
            </w:r>
            <w:r>
              <w:rPr>
                <w:rFonts w:hint="eastAsia"/>
                <w:kern w:val="0"/>
                <w:sz w:val="24"/>
              </w:rPr>
              <w:t>的东滩。项目产生的废水、废气、噪声等各类污染物均可做到达标排放，各环境要素基本能够满足相应的功能区划要求，对周边环境影响较小。项目四周不涉及饮用水水源保护区、文物保护单位。</w:t>
            </w:r>
          </w:p>
        </w:tc>
      </w:tr>
    </w:tbl>
    <w:p>
      <w:pPr>
        <w:spacing w:line="360" w:lineRule="auto"/>
        <w:outlineLvl w:val="0"/>
        <w:rPr>
          <w:rFonts w:eastAsia="黑体"/>
          <w:sz w:val="30"/>
        </w:rPr>
        <w:sectPr>
          <w:footerReference r:id="rId5" w:type="default"/>
          <w:pgSz w:w="11906" w:h="16838"/>
          <w:pgMar w:top="1417" w:right="1531" w:bottom="1417" w:left="1531" w:header="851" w:footer="1077" w:gutter="0"/>
          <w:pgNumType w:start="1"/>
          <w:cols w:space="720" w:num="1"/>
          <w:docGrid w:linePitch="312" w:charSpace="0"/>
        </w:sectPr>
      </w:pPr>
    </w:p>
    <w:p>
      <w:pPr>
        <w:pStyle w:val="2"/>
        <w:jc w:val="center"/>
      </w:pPr>
      <w:r>
        <w:rPr>
          <w:rFonts w:hint="eastAsia"/>
        </w:rPr>
        <w:t>二、建设项目工程分析</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tcBorders>
              <w:top w:val="single" w:color="auto" w:sz="8" w:space="0"/>
            </w:tcBorders>
            <w:vAlign w:val="center"/>
          </w:tcPr>
          <w:p>
            <w:pPr>
              <w:pStyle w:val="16"/>
              <w:spacing w:beforeAutospacing="0" w:afterAutospacing="0"/>
              <w:jc w:val="center"/>
              <w:rPr>
                <w:rFonts w:ascii="Times New Roman" w:hAnsi="Times New Roman"/>
                <w:szCs w:val="24"/>
              </w:rPr>
            </w:pPr>
            <w:r>
              <w:rPr>
                <w:rFonts w:hint="eastAsia" w:ascii="Times New Roman" w:hAnsi="Times New Roman"/>
                <w:szCs w:val="24"/>
              </w:rPr>
              <w:t>建设内容</w:t>
            </w:r>
          </w:p>
        </w:tc>
        <w:tc>
          <w:tcPr>
            <w:tcW w:w="8161" w:type="dxa"/>
            <w:tcBorders>
              <w:top w:val="single" w:color="auto" w:sz="8" w:space="0"/>
            </w:tcBorders>
          </w:tcPr>
          <w:p>
            <w:pPr>
              <w:adjustRightInd w:val="0"/>
              <w:snapToGrid w:val="0"/>
              <w:spacing w:line="360" w:lineRule="auto"/>
              <w:jc w:val="left"/>
              <w:rPr>
                <w:bCs/>
                <w:sz w:val="24"/>
              </w:rPr>
            </w:pPr>
            <w:r>
              <w:rPr>
                <w:bCs/>
                <w:sz w:val="24"/>
              </w:rPr>
              <w:t>1</w:t>
            </w:r>
            <w:r>
              <w:rPr>
                <w:rFonts w:hint="eastAsia"/>
                <w:bCs/>
                <w:sz w:val="24"/>
              </w:rPr>
              <w:t>、项目概况</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项目名称：汽车核心零部件生产建设项目</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建设单位：西安粹益汽车配件有限公司</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建设性质：新建</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建设地点：西安市鄠邑区沣京工业园潭滨北路</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投资总额：总投资</w:t>
            </w:r>
            <w:r>
              <w:rPr>
                <w:rFonts w:ascii="Times New Roman"/>
                <w:bCs/>
                <w:kern w:val="2"/>
                <w:szCs w:val="24"/>
              </w:rPr>
              <w:t>2000</w:t>
            </w:r>
            <w:r>
              <w:rPr>
                <w:rFonts w:hint="eastAsia" w:ascii="Times New Roman"/>
                <w:bCs/>
                <w:kern w:val="2"/>
                <w:szCs w:val="24"/>
              </w:rPr>
              <w:t>万元，其中环保投资</w:t>
            </w:r>
            <w:r>
              <w:rPr>
                <w:rFonts w:ascii="Times New Roman"/>
                <w:bCs/>
                <w:kern w:val="2"/>
                <w:szCs w:val="24"/>
              </w:rPr>
              <w:t>26.6</w:t>
            </w:r>
            <w:r>
              <w:rPr>
                <w:rFonts w:hint="eastAsia" w:ascii="Times New Roman"/>
                <w:bCs/>
                <w:kern w:val="2"/>
                <w:szCs w:val="24"/>
              </w:rPr>
              <w:t>万元，环保投资占比</w:t>
            </w:r>
            <w:r>
              <w:rPr>
                <w:rFonts w:ascii="Times New Roman"/>
                <w:bCs/>
                <w:kern w:val="2"/>
                <w:szCs w:val="24"/>
              </w:rPr>
              <w:t>1.33%</w:t>
            </w:r>
            <w:r>
              <w:rPr>
                <w:rFonts w:hint="eastAsia" w:ascii="Times New Roman"/>
                <w:bCs/>
                <w:kern w:val="2"/>
                <w:szCs w:val="24"/>
              </w:rPr>
              <w:t>。</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建设内容与规模：本项目总建筑面积</w:t>
            </w:r>
            <w:r>
              <w:rPr>
                <w:rFonts w:ascii="Times New Roman"/>
                <w:bCs/>
                <w:kern w:val="2"/>
                <w:szCs w:val="24"/>
              </w:rPr>
              <w:t>2700</w:t>
            </w:r>
            <w:r>
              <w:rPr>
                <w:rFonts w:hint="eastAsia" w:ascii="Times New Roman"/>
                <w:bCs/>
                <w:kern w:val="2"/>
                <w:szCs w:val="24"/>
              </w:rPr>
              <w:t>平方米。拟建汽车吸音棉生产线</w:t>
            </w:r>
            <w:r>
              <w:rPr>
                <w:rFonts w:ascii="Times New Roman"/>
                <w:bCs/>
                <w:kern w:val="2"/>
                <w:szCs w:val="24"/>
              </w:rPr>
              <w:t>1</w:t>
            </w:r>
            <w:r>
              <w:rPr>
                <w:rFonts w:hint="eastAsia" w:ascii="Times New Roman"/>
                <w:bCs/>
                <w:kern w:val="2"/>
                <w:szCs w:val="24"/>
              </w:rPr>
              <w:t>条，轻质发泡生产线</w:t>
            </w:r>
            <w:r>
              <w:rPr>
                <w:rFonts w:ascii="Times New Roman"/>
                <w:bCs/>
                <w:kern w:val="2"/>
                <w:szCs w:val="24"/>
              </w:rPr>
              <w:t>1</w:t>
            </w:r>
            <w:r>
              <w:rPr>
                <w:rFonts w:hint="eastAsia" w:ascii="Times New Roman"/>
                <w:bCs/>
                <w:kern w:val="2"/>
                <w:szCs w:val="24"/>
              </w:rPr>
              <w:t>条，模内发泡生产线</w:t>
            </w:r>
            <w:r>
              <w:rPr>
                <w:rFonts w:ascii="Times New Roman"/>
                <w:bCs/>
                <w:kern w:val="2"/>
                <w:szCs w:val="24"/>
              </w:rPr>
              <w:t>1</w:t>
            </w:r>
            <w:r>
              <w:rPr>
                <w:rFonts w:hint="eastAsia" w:ascii="Times New Roman"/>
                <w:bCs/>
                <w:kern w:val="2"/>
                <w:szCs w:val="24"/>
              </w:rPr>
              <w:t>条。购置热压成型压力机，汽车吸音棉生产线，接触式烘箱，复合机，自动模切机，空压机及其他相关配套设备。建成后年产吸音棉</w:t>
            </w:r>
            <w:r>
              <w:rPr>
                <w:rFonts w:ascii="Times New Roman"/>
                <w:bCs/>
                <w:kern w:val="2"/>
                <w:szCs w:val="24"/>
              </w:rPr>
              <w:t>420</w:t>
            </w:r>
            <w:r>
              <w:rPr>
                <w:rFonts w:hint="eastAsia" w:ascii="Times New Roman"/>
                <w:bCs/>
                <w:kern w:val="2"/>
                <w:szCs w:val="24"/>
              </w:rPr>
              <w:t>万件，热压件</w:t>
            </w:r>
            <w:r>
              <w:rPr>
                <w:rFonts w:ascii="Times New Roman"/>
                <w:bCs/>
                <w:kern w:val="2"/>
                <w:szCs w:val="24"/>
              </w:rPr>
              <w:t>112</w:t>
            </w:r>
            <w:r>
              <w:rPr>
                <w:rFonts w:hint="eastAsia" w:ascii="Times New Roman"/>
                <w:bCs/>
                <w:kern w:val="2"/>
                <w:szCs w:val="24"/>
              </w:rPr>
              <w:t>万件，发泡件</w:t>
            </w:r>
            <w:r>
              <w:rPr>
                <w:rFonts w:ascii="Times New Roman"/>
                <w:bCs/>
                <w:kern w:val="2"/>
                <w:szCs w:val="24"/>
              </w:rPr>
              <w:t>55</w:t>
            </w:r>
            <w:r>
              <w:rPr>
                <w:rFonts w:hint="eastAsia" w:ascii="Times New Roman"/>
                <w:bCs/>
                <w:kern w:val="2"/>
                <w:szCs w:val="24"/>
              </w:rPr>
              <w:t>万件。</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本次重大变动项目在原有汽车核心零部件生产建设项目的基础上进行，将吸音棉热熔定型工序热能由电加热变为天然气加热，将新增污染物种类</w:t>
            </w:r>
            <w:r>
              <w:rPr>
                <w:rFonts w:ascii="Times New Roman"/>
                <w:bCs/>
                <w:kern w:val="2"/>
                <w:szCs w:val="24"/>
              </w:rPr>
              <w:t>SO2</w:t>
            </w:r>
            <w:r>
              <w:rPr>
                <w:rFonts w:hint="eastAsia" w:ascii="Times New Roman"/>
                <w:bCs/>
                <w:kern w:val="2"/>
                <w:szCs w:val="24"/>
              </w:rPr>
              <w:t>、</w:t>
            </w:r>
            <w:r>
              <w:rPr>
                <w:rFonts w:ascii="Times New Roman"/>
                <w:bCs/>
                <w:kern w:val="2"/>
                <w:szCs w:val="24"/>
              </w:rPr>
              <w:t>NOX</w:t>
            </w:r>
            <w:r>
              <w:rPr>
                <w:rFonts w:hint="eastAsia" w:ascii="Times New Roman"/>
                <w:bCs/>
                <w:kern w:val="2"/>
                <w:szCs w:val="24"/>
              </w:rPr>
              <w:t>，</w:t>
            </w:r>
            <w:r>
              <w:rPr>
                <w:rFonts w:ascii="Times New Roman"/>
                <w:bCs/>
                <w:kern w:val="2"/>
                <w:szCs w:val="24"/>
              </w:rPr>
              <w:t>SO2</w:t>
            </w:r>
            <w:r>
              <w:rPr>
                <w:rFonts w:hint="eastAsia" w:ascii="Times New Roman"/>
                <w:bCs/>
                <w:kern w:val="2"/>
                <w:szCs w:val="24"/>
              </w:rPr>
              <w:t>、</w:t>
            </w:r>
            <w:r>
              <w:rPr>
                <w:rFonts w:ascii="Times New Roman"/>
                <w:bCs/>
                <w:kern w:val="2"/>
                <w:szCs w:val="24"/>
              </w:rPr>
              <w:t>NOX</w:t>
            </w:r>
            <w:r>
              <w:rPr>
                <w:rFonts w:hint="eastAsia" w:ascii="Times New Roman"/>
                <w:bCs/>
                <w:kern w:val="2"/>
                <w:szCs w:val="24"/>
              </w:rPr>
              <w:t>、颗粒物排放量增加，导致不利环境影响加重。此外，吸音棉开松梳理粉尘处理方式由布袋除尘器处理后车间无组织排放变更为布袋除尘器处理后经</w:t>
            </w:r>
            <w:r>
              <w:rPr>
                <w:rFonts w:ascii="Times New Roman"/>
                <w:bCs/>
                <w:kern w:val="2"/>
                <w:szCs w:val="24"/>
              </w:rPr>
              <w:t>15m</w:t>
            </w:r>
            <w:r>
              <w:rPr>
                <w:rFonts w:hint="eastAsia" w:ascii="Times New Roman"/>
                <w:bCs/>
                <w:kern w:val="2"/>
                <w:szCs w:val="24"/>
              </w:rPr>
              <w:t>高排气筒排放，减轻了不利环境影响；其他生产线生产工艺及污染物排放均不变，变动后项目总产能不变。</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四邻关系：项目租赁西安沣京塑料制品有限公司厂房，东侧半间厂房为为西安长昊塑业有限公司生产厂房，再东侧为户县沣京工业园开发服务实业公司及西安信邦无纺布制品公司，南侧为西安长昊塑业有限公司，西侧为潭滨路，隔路为未利用地，北侧为通鑫半导体辅料有限公司。项目地理位置图见附图</w:t>
            </w:r>
            <w:r>
              <w:rPr>
                <w:rFonts w:ascii="Times New Roman"/>
                <w:bCs/>
                <w:kern w:val="2"/>
                <w:szCs w:val="24"/>
              </w:rPr>
              <w:t>1</w:t>
            </w:r>
            <w:r>
              <w:rPr>
                <w:rFonts w:hint="eastAsia" w:ascii="Times New Roman"/>
                <w:bCs/>
                <w:kern w:val="2"/>
                <w:szCs w:val="24"/>
              </w:rPr>
              <w:t>，项目四邻关系图见附图</w:t>
            </w:r>
            <w:r>
              <w:rPr>
                <w:rFonts w:ascii="Times New Roman"/>
                <w:bCs/>
                <w:kern w:val="2"/>
                <w:szCs w:val="24"/>
              </w:rPr>
              <w:t>3</w:t>
            </w:r>
            <w:r>
              <w:rPr>
                <w:rFonts w:hint="eastAsia" w:ascii="Times New Roman"/>
                <w:bCs/>
                <w:kern w:val="2"/>
                <w:szCs w:val="24"/>
              </w:rPr>
              <w:t>。</w:t>
            </w:r>
          </w:p>
          <w:p>
            <w:pPr>
              <w:adjustRightInd w:val="0"/>
              <w:snapToGrid w:val="0"/>
              <w:spacing w:line="360" w:lineRule="auto"/>
              <w:jc w:val="left"/>
              <w:rPr>
                <w:bCs/>
                <w:sz w:val="24"/>
              </w:rPr>
            </w:pPr>
            <w:r>
              <w:rPr>
                <w:bCs/>
                <w:sz w:val="24"/>
              </w:rPr>
              <w:t>2</w:t>
            </w:r>
            <w:r>
              <w:rPr>
                <w:rFonts w:hint="eastAsia"/>
                <w:bCs/>
                <w:sz w:val="24"/>
              </w:rPr>
              <w:t>、建设内容及规模</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变动后的项目建设内容见表</w:t>
            </w:r>
            <w:r>
              <w:rPr>
                <w:rFonts w:ascii="Times New Roman"/>
                <w:bCs/>
                <w:kern w:val="2"/>
                <w:szCs w:val="24"/>
              </w:rPr>
              <w:t>2-1</w:t>
            </w:r>
            <w:r>
              <w:rPr>
                <w:rFonts w:hint="eastAsia" w:ascii="Times New Roman"/>
                <w:bCs/>
                <w:kern w:val="2"/>
                <w:szCs w:val="24"/>
              </w:rPr>
              <w:t>。</w:t>
            </w:r>
          </w:p>
          <w:p>
            <w:pPr>
              <w:pStyle w:val="39"/>
              <w:widowControl/>
              <w:adjustRightInd/>
              <w:spacing w:line="240" w:lineRule="auto"/>
              <w:jc w:val="center"/>
              <w:rPr>
                <w:rFonts w:ascii="Times New Roman"/>
                <w:bCs/>
                <w:kern w:val="2"/>
                <w:szCs w:val="24"/>
              </w:rPr>
            </w:pPr>
            <w:r>
              <w:rPr>
                <w:rFonts w:hint="eastAsia" w:ascii="Times New Roman"/>
                <w:bCs/>
                <w:kern w:val="2"/>
                <w:szCs w:val="24"/>
              </w:rPr>
              <w:t>表</w:t>
            </w:r>
            <w:r>
              <w:rPr>
                <w:rFonts w:ascii="Times New Roman"/>
                <w:bCs/>
                <w:kern w:val="2"/>
                <w:szCs w:val="24"/>
              </w:rPr>
              <w:t xml:space="preserve">2-1    </w:t>
            </w:r>
            <w:r>
              <w:rPr>
                <w:rFonts w:hint="eastAsia" w:ascii="Times New Roman"/>
                <w:bCs/>
                <w:kern w:val="2"/>
                <w:szCs w:val="24"/>
              </w:rPr>
              <w:t>项目建设内容及组成一览表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94"/>
              <w:gridCol w:w="2499"/>
              <w:gridCol w:w="2570"/>
              <w:gridCol w:w="12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tcBorders>
                    <w:top w:val="single" w:color="auto" w:sz="12"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项目组成</w:t>
                  </w:r>
                </w:p>
              </w:tc>
              <w:tc>
                <w:tcPr>
                  <w:tcW w:w="628"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工程</w:t>
                  </w:r>
                </w:p>
                <w:p>
                  <w:pPr>
                    <w:autoSpaceDE w:val="0"/>
                    <w:adjustRightInd w:val="0"/>
                    <w:snapToGrid w:val="0"/>
                    <w:jc w:val="center"/>
                    <w:rPr>
                      <w:bCs/>
                      <w:sz w:val="24"/>
                    </w:rPr>
                  </w:pPr>
                  <w:r>
                    <w:rPr>
                      <w:rFonts w:hint="eastAsia"/>
                      <w:bCs/>
                      <w:sz w:val="24"/>
                    </w:rPr>
                    <w:t>名称</w:t>
                  </w:r>
                </w:p>
              </w:tc>
              <w:tc>
                <w:tcPr>
                  <w:tcW w:w="1578"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变动前建设内容及规模</w:t>
                  </w:r>
                </w:p>
              </w:tc>
              <w:tc>
                <w:tcPr>
                  <w:tcW w:w="1623"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变动后建设内容及规模</w:t>
                  </w:r>
                </w:p>
              </w:tc>
              <w:tc>
                <w:tcPr>
                  <w:tcW w:w="808" w:type="pct"/>
                  <w:tcBorders>
                    <w:top w:val="single" w:color="auto" w:sz="12"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变化内容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主体工程</w:t>
                  </w: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生产车间</w:t>
                  </w:r>
                </w:p>
              </w:tc>
              <w:tc>
                <w:tcPr>
                  <w:tcW w:w="1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1F</w:t>
                  </w:r>
                  <w:r>
                    <w:rPr>
                      <w:rFonts w:hint="eastAsia"/>
                      <w:bCs/>
                      <w:sz w:val="24"/>
                    </w:rPr>
                    <w:t>，彩钢结构，建筑面积</w:t>
                  </w:r>
                  <w:r>
                    <w:rPr>
                      <w:bCs/>
                      <w:sz w:val="24"/>
                    </w:rPr>
                    <w:t>2000m</w:t>
                  </w:r>
                  <w:r>
                    <w:rPr>
                      <w:bCs/>
                      <w:sz w:val="24"/>
                      <w:vertAlign w:val="superscript"/>
                    </w:rPr>
                    <w:t>2</w:t>
                  </w:r>
                  <w:r>
                    <w:rPr>
                      <w:rFonts w:hint="eastAsia"/>
                      <w:bCs/>
                      <w:sz w:val="24"/>
                    </w:rPr>
                    <w:t>，长</w:t>
                  </w:r>
                  <w:r>
                    <w:rPr>
                      <w:bCs/>
                      <w:sz w:val="24"/>
                    </w:rPr>
                    <w:t>66m</w:t>
                  </w:r>
                  <w:r>
                    <w:rPr>
                      <w:rFonts w:hint="eastAsia"/>
                      <w:bCs/>
                      <w:sz w:val="24"/>
                    </w:rPr>
                    <w:t>，宽</w:t>
                  </w:r>
                  <w:r>
                    <w:rPr>
                      <w:bCs/>
                      <w:sz w:val="24"/>
                    </w:rPr>
                    <w:t>29.5m</w:t>
                  </w:r>
                  <w:r>
                    <w:rPr>
                      <w:rFonts w:hint="eastAsia"/>
                      <w:bCs/>
                      <w:sz w:val="24"/>
                    </w:rPr>
                    <w:t>，层高</w:t>
                  </w:r>
                  <w:r>
                    <w:rPr>
                      <w:bCs/>
                      <w:sz w:val="24"/>
                    </w:rPr>
                    <w:t>5.4m</w:t>
                  </w:r>
                  <w:r>
                    <w:rPr>
                      <w:rFonts w:hint="eastAsia"/>
                      <w:bCs/>
                      <w:sz w:val="24"/>
                    </w:rPr>
                    <w:t>（局部</w:t>
                  </w:r>
                  <w:r>
                    <w:rPr>
                      <w:bCs/>
                      <w:sz w:val="24"/>
                    </w:rPr>
                    <w:t>9m</w:t>
                  </w:r>
                  <w:r>
                    <w:rPr>
                      <w:rFonts w:hint="eastAsia"/>
                      <w:bCs/>
                      <w:sz w:val="24"/>
                    </w:rPr>
                    <w:t>），车间内分区设置吸音棉生产线、轻质发泡生产线、模内发泡生产线。</w:t>
                  </w:r>
                </w:p>
              </w:tc>
              <w:tc>
                <w:tcPr>
                  <w:tcW w:w="162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1F</w:t>
                  </w:r>
                  <w:r>
                    <w:rPr>
                      <w:rFonts w:hint="eastAsia"/>
                      <w:bCs/>
                      <w:sz w:val="24"/>
                    </w:rPr>
                    <w:t>，彩钢结构，建筑面积</w:t>
                  </w:r>
                  <w:r>
                    <w:rPr>
                      <w:bCs/>
                      <w:sz w:val="24"/>
                    </w:rPr>
                    <w:t>2000m</w:t>
                  </w:r>
                  <w:r>
                    <w:rPr>
                      <w:bCs/>
                      <w:sz w:val="24"/>
                      <w:vertAlign w:val="superscript"/>
                    </w:rPr>
                    <w:t>2</w:t>
                  </w:r>
                  <w:r>
                    <w:rPr>
                      <w:rFonts w:hint="eastAsia"/>
                      <w:bCs/>
                      <w:sz w:val="24"/>
                    </w:rPr>
                    <w:t>，长</w:t>
                  </w:r>
                  <w:r>
                    <w:rPr>
                      <w:bCs/>
                      <w:sz w:val="24"/>
                    </w:rPr>
                    <w:t>66m</w:t>
                  </w:r>
                  <w:r>
                    <w:rPr>
                      <w:rFonts w:hint="eastAsia"/>
                      <w:bCs/>
                      <w:sz w:val="24"/>
                    </w:rPr>
                    <w:t>，宽</w:t>
                  </w:r>
                  <w:r>
                    <w:rPr>
                      <w:bCs/>
                      <w:sz w:val="24"/>
                    </w:rPr>
                    <w:t>29.5m</w:t>
                  </w:r>
                  <w:r>
                    <w:rPr>
                      <w:rFonts w:hint="eastAsia"/>
                      <w:bCs/>
                      <w:sz w:val="24"/>
                    </w:rPr>
                    <w:t>，层高</w:t>
                  </w:r>
                  <w:r>
                    <w:rPr>
                      <w:bCs/>
                      <w:sz w:val="24"/>
                    </w:rPr>
                    <w:t>5.4m</w:t>
                  </w:r>
                  <w:r>
                    <w:rPr>
                      <w:rFonts w:hint="eastAsia"/>
                      <w:bCs/>
                      <w:sz w:val="24"/>
                    </w:rPr>
                    <w:t>（局部</w:t>
                  </w:r>
                  <w:r>
                    <w:rPr>
                      <w:bCs/>
                      <w:sz w:val="24"/>
                    </w:rPr>
                    <w:t>9m</w:t>
                  </w:r>
                  <w:r>
                    <w:rPr>
                      <w:rFonts w:hint="eastAsia"/>
                      <w:bCs/>
                      <w:sz w:val="24"/>
                    </w:rPr>
                    <w:t>），车间内分区设置吸音棉生产线、轻质发泡生产线、模内发泡生产线。</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辅助工程</w:t>
                  </w: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办公区</w:t>
                  </w:r>
                </w:p>
              </w:tc>
              <w:tc>
                <w:tcPr>
                  <w:tcW w:w="1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3F</w:t>
                  </w:r>
                  <w:r>
                    <w:rPr>
                      <w:rFonts w:hint="eastAsia"/>
                      <w:bCs/>
                      <w:sz w:val="24"/>
                    </w:rPr>
                    <w:t>，砖混结构，位于生产车间东侧，占地面积</w:t>
                  </w:r>
                  <w:r>
                    <w:rPr>
                      <w:bCs/>
                      <w:sz w:val="24"/>
                    </w:rPr>
                    <w:t>200m2</w:t>
                  </w:r>
                  <w:r>
                    <w:rPr>
                      <w:rFonts w:hint="eastAsia"/>
                      <w:bCs/>
                      <w:sz w:val="24"/>
                    </w:rPr>
                    <w:t>，用于办公及临时休息。</w:t>
                  </w:r>
                </w:p>
              </w:tc>
              <w:tc>
                <w:tcPr>
                  <w:tcW w:w="162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3F</w:t>
                  </w:r>
                  <w:r>
                    <w:rPr>
                      <w:rFonts w:hint="eastAsia"/>
                      <w:bCs/>
                      <w:sz w:val="24"/>
                    </w:rPr>
                    <w:t>，砖混结构，位于生产车间东侧，占地面积</w:t>
                  </w:r>
                  <w:r>
                    <w:rPr>
                      <w:bCs/>
                      <w:sz w:val="24"/>
                    </w:rPr>
                    <w:t>200m2</w:t>
                  </w:r>
                  <w:r>
                    <w:rPr>
                      <w:rFonts w:hint="eastAsia"/>
                      <w:bCs/>
                      <w:sz w:val="24"/>
                    </w:rPr>
                    <w:t>，用于办公及临时休息。</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restar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储运工程</w:t>
                  </w: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原料区</w:t>
                  </w:r>
                </w:p>
              </w:tc>
              <w:tc>
                <w:tcPr>
                  <w:tcW w:w="1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位于车间内西北侧，主要用于暂存外购的各类原辅料。</w:t>
                  </w:r>
                </w:p>
              </w:tc>
              <w:tc>
                <w:tcPr>
                  <w:tcW w:w="162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位于车间内西北侧，主要用于暂存外购的各类原辅料。</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成品区</w:t>
                  </w:r>
                </w:p>
              </w:tc>
              <w:tc>
                <w:tcPr>
                  <w:tcW w:w="1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位于车间内原料区东侧，主要用于暂存各类成品。</w:t>
                  </w:r>
                </w:p>
              </w:tc>
              <w:tc>
                <w:tcPr>
                  <w:tcW w:w="162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位于车间内原料区东侧，主要用于暂存各类成品。</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运输</w:t>
                  </w:r>
                </w:p>
              </w:tc>
              <w:tc>
                <w:tcPr>
                  <w:tcW w:w="1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采用专用车辆运输。</w:t>
                  </w:r>
                </w:p>
              </w:tc>
              <w:tc>
                <w:tcPr>
                  <w:tcW w:w="162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采用专用车辆运输。</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restar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公用工程</w:t>
                  </w: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给水</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市政供水管网供给。</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市政供水管网供给。</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排水</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生产过程不产生废水；生活污水依托园区已建化粪池处理后经市政污水管网排至鄠邑区第二污水处理厂。</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生产过程不产生废水；生活污水依托园区已建化粪池处理后经市政污水管网排至鄠邑区第二污水处理厂。</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供热、制冷</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办公室供暖、制冷采用分体式空调，车间无采暖制冷措施</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办公室供暖、制冷采用分体式空调，车间无采暖制冷措施</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供电</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sz w:val="24"/>
                    </w:rPr>
                  </w:pPr>
                  <w:r>
                    <w:rPr>
                      <w:rFonts w:hint="eastAsia"/>
                      <w:bCs/>
                      <w:sz w:val="24"/>
                    </w:rPr>
                    <w:t>市政供电系统供给。</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rPr>
                      <w:bCs/>
                      <w:sz w:val="24"/>
                    </w:rPr>
                  </w:pPr>
                  <w:r>
                    <w:rPr>
                      <w:rFonts w:hint="eastAsia"/>
                      <w:bCs/>
                      <w:sz w:val="24"/>
                    </w:rPr>
                    <w:t>市政供电系统供给。</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环保工程</w:t>
                  </w: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废气</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rPr>
                      <w:bCs/>
                      <w:sz w:val="24"/>
                    </w:rPr>
                  </w:pPr>
                  <w:r>
                    <w:rPr>
                      <w:rFonts w:hint="eastAsia"/>
                      <w:bCs/>
                      <w:sz w:val="24"/>
                    </w:rPr>
                    <w:t>项目吸音棉开松梳理粉尘经设备自带的收集和处理设施（布袋除尘器，</w:t>
                  </w:r>
                  <w:r>
                    <w:rPr>
                      <w:bCs/>
                      <w:sz w:val="24"/>
                    </w:rPr>
                    <w:t>TA002</w:t>
                  </w:r>
                  <w:r>
                    <w:rPr>
                      <w:rFonts w:hint="eastAsia"/>
                      <w:bCs/>
                      <w:sz w:val="24"/>
                    </w:rPr>
                    <w:t>）处理后车间无组织排放；吸音棉热熔定型工序设备自带密闭集气装置，有机废气由自带集气管道收集，发泡熟化、复合及热压工序有机废气采用集气罩收集，废气统一经</w:t>
                  </w:r>
                  <w:r>
                    <w:rPr>
                      <w:bCs/>
                      <w:sz w:val="24"/>
                    </w:rPr>
                    <w:t>1</w:t>
                  </w:r>
                  <w:r>
                    <w:rPr>
                      <w:rFonts w:hint="eastAsia"/>
                      <w:bCs/>
                      <w:sz w:val="24"/>
                    </w:rPr>
                    <w:t>套二级活性炭吸附装置（</w:t>
                  </w:r>
                  <w:r>
                    <w:rPr>
                      <w:bCs/>
                      <w:sz w:val="24"/>
                    </w:rPr>
                    <w:t>TA001</w:t>
                  </w:r>
                  <w:r>
                    <w:rPr>
                      <w:rFonts w:hint="eastAsia"/>
                      <w:bCs/>
                      <w:sz w:val="24"/>
                    </w:rPr>
                    <w:t>）处理后经</w:t>
                  </w:r>
                  <w:r>
                    <w:rPr>
                      <w:bCs/>
                      <w:sz w:val="24"/>
                    </w:rPr>
                    <w:t>15m</w:t>
                  </w:r>
                  <w:r>
                    <w:rPr>
                      <w:rFonts w:hint="eastAsia"/>
                      <w:bCs/>
                      <w:sz w:val="24"/>
                    </w:rPr>
                    <w:t>高排气筒排放（</w:t>
                  </w:r>
                  <w:r>
                    <w:rPr>
                      <w:bCs/>
                      <w:sz w:val="24"/>
                    </w:rPr>
                    <w:t>DA001</w:t>
                  </w:r>
                  <w:r>
                    <w:rPr>
                      <w:rFonts w:hint="eastAsia"/>
                      <w:bCs/>
                      <w:sz w:val="24"/>
                    </w:rPr>
                    <w:t>）。</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项目吸音棉开松梳理粉尘经布袋除尘器（</w:t>
                  </w:r>
                  <w:r>
                    <w:rPr>
                      <w:bCs/>
                      <w:sz w:val="24"/>
                    </w:rPr>
                    <w:t>TA002</w:t>
                  </w:r>
                  <w:r>
                    <w:rPr>
                      <w:rFonts w:hint="eastAsia"/>
                      <w:bCs/>
                      <w:sz w:val="24"/>
                    </w:rPr>
                    <w:t>）处理后经过</w:t>
                  </w:r>
                  <w:r>
                    <w:rPr>
                      <w:bCs/>
                      <w:sz w:val="24"/>
                    </w:rPr>
                    <w:t>15m</w:t>
                  </w:r>
                  <w:r>
                    <w:rPr>
                      <w:rFonts w:hint="eastAsia"/>
                      <w:bCs/>
                      <w:sz w:val="24"/>
                    </w:rPr>
                    <w:t>高（</w:t>
                  </w:r>
                  <w:r>
                    <w:rPr>
                      <w:bCs/>
                      <w:sz w:val="24"/>
                    </w:rPr>
                    <w:t>DA002</w:t>
                  </w:r>
                  <w:r>
                    <w:rPr>
                      <w:rFonts w:hint="eastAsia"/>
                      <w:bCs/>
                      <w:sz w:val="24"/>
                    </w:rPr>
                    <w:t>）排气筒排放；吸音棉热熔定型工序设备自带密闭集气装置，热熔定型有机废气及天然气燃烧废气统一进自带集气管道收集，发泡熟化、复合及热压工序有机废气采用集气罩收集，废气统一经</w:t>
                  </w:r>
                  <w:r>
                    <w:rPr>
                      <w:bCs/>
                      <w:sz w:val="24"/>
                    </w:rPr>
                    <w:t>1</w:t>
                  </w:r>
                  <w:r>
                    <w:rPr>
                      <w:rFonts w:hint="eastAsia"/>
                      <w:bCs/>
                      <w:sz w:val="24"/>
                    </w:rPr>
                    <w:t>套二级活性炭吸附装置（</w:t>
                  </w:r>
                  <w:r>
                    <w:rPr>
                      <w:bCs/>
                      <w:sz w:val="24"/>
                    </w:rPr>
                    <w:t>TA001</w:t>
                  </w:r>
                  <w:r>
                    <w:rPr>
                      <w:rFonts w:hint="eastAsia"/>
                      <w:bCs/>
                      <w:sz w:val="24"/>
                    </w:rPr>
                    <w:t>）处理后经</w:t>
                  </w:r>
                  <w:r>
                    <w:rPr>
                      <w:bCs/>
                      <w:sz w:val="24"/>
                    </w:rPr>
                    <w:t>15m</w:t>
                  </w:r>
                  <w:r>
                    <w:rPr>
                      <w:rFonts w:hint="eastAsia"/>
                      <w:bCs/>
                      <w:sz w:val="24"/>
                    </w:rPr>
                    <w:t>高排气筒排放（</w:t>
                  </w:r>
                  <w:r>
                    <w:rPr>
                      <w:bCs/>
                      <w:sz w:val="24"/>
                    </w:rPr>
                    <w:t>DA001</w:t>
                  </w:r>
                  <w:r>
                    <w:rPr>
                      <w:rFonts w:hint="eastAsia"/>
                      <w:bCs/>
                      <w:sz w:val="24"/>
                    </w:rPr>
                    <w:t>）。</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bCs/>
                      <w:sz w:val="24"/>
                    </w:rPr>
                    <w:t>1</w:t>
                  </w:r>
                  <w:r>
                    <w:rPr>
                      <w:rFonts w:hint="eastAsia"/>
                      <w:bCs/>
                      <w:sz w:val="24"/>
                    </w:rPr>
                    <w:t>、吸音棉开松梳理工序粉尘由无组织变为有组织排放；</w:t>
                  </w:r>
                </w:p>
                <w:p>
                  <w:pPr>
                    <w:autoSpaceDE w:val="0"/>
                    <w:adjustRightInd w:val="0"/>
                    <w:snapToGrid w:val="0"/>
                    <w:jc w:val="center"/>
                    <w:rPr>
                      <w:bCs/>
                      <w:sz w:val="24"/>
                    </w:rPr>
                  </w:pPr>
                  <w:r>
                    <w:rPr>
                      <w:bCs/>
                      <w:sz w:val="24"/>
                    </w:rPr>
                    <w:t>2</w:t>
                  </w:r>
                  <w:r>
                    <w:rPr>
                      <w:rFonts w:hint="eastAsia"/>
                      <w:bCs/>
                      <w:sz w:val="24"/>
                    </w:rPr>
                    <w:t>、新增天然气燃烧废气（颗粒物、</w:t>
                  </w:r>
                  <w:r>
                    <w:rPr>
                      <w:bCs/>
                      <w:sz w:val="24"/>
                    </w:rPr>
                    <w:t>SO2</w:t>
                  </w:r>
                  <w:r>
                    <w:rPr>
                      <w:rFonts w:hint="eastAsia"/>
                      <w:bCs/>
                      <w:sz w:val="24"/>
                    </w:rPr>
                    <w:t>、</w:t>
                  </w:r>
                  <w:r>
                    <w:rPr>
                      <w:bCs/>
                      <w:sz w:val="24"/>
                    </w:rPr>
                    <w:t>NOx</w:t>
                  </w:r>
                  <w:r>
                    <w:rPr>
                      <w:rFonts w:hint="eastAsia"/>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废水</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项目生产过程中不产生废水，设备间接冷却水经循环水池（</w:t>
                  </w:r>
                  <w:r>
                    <w:rPr>
                      <w:bCs/>
                      <w:sz w:val="24"/>
                    </w:rPr>
                    <w:t>15m3</w:t>
                  </w:r>
                  <w:r>
                    <w:rPr>
                      <w:rFonts w:hint="eastAsia"/>
                      <w:bCs/>
                      <w:sz w:val="24"/>
                    </w:rPr>
                    <w:t>）降温后循环使用不外排；生活污水依托园区已建化粪池处理后经市政污水管网排至鄠邑区第二污水处理厂。</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项目生产过程中不产生废水，设备间接冷却水经循环水池（</w:t>
                  </w:r>
                  <w:r>
                    <w:rPr>
                      <w:bCs/>
                      <w:sz w:val="24"/>
                    </w:rPr>
                    <w:t>15m3</w:t>
                  </w:r>
                  <w:r>
                    <w:rPr>
                      <w:rFonts w:hint="eastAsia"/>
                      <w:bCs/>
                      <w:sz w:val="24"/>
                    </w:rPr>
                    <w:t>）降温后循环使用不外排；生活污水依托园区已建化粪池处理后经市政污水管网排至鄠邑区第二污水处理厂。</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噪声</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选用低噪声设备、减振、合理布局、厂房墙体</w:t>
                  </w:r>
                  <w:r>
                    <w:rPr>
                      <w:bCs/>
                      <w:sz w:val="24"/>
                    </w:rPr>
                    <w:t xml:space="preserve"> </w:t>
                  </w:r>
                </w:p>
                <w:p>
                  <w:pPr>
                    <w:autoSpaceDE w:val="0"/>
                    <w:adjustRightInd w:val="0"/>
                    <w:snapToGrid w:val="0"/>
                    <w:jc w:val="center"/>
                    <w:rPr>
                      <w:bCs/>
                      <w:sz w:val="24"/>
                    </w:rPr>
                  </w:pPr>
                  <w:r>
                    <w:rPr>
                      <w:rFonts w:hint="eastAsia"/>
                      <w:bCs/>
                      <w:sz w:val="24"/>
                    </w:rPr>
                    <w:t>隔声等措施</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选用低噪声设备、减振、合理布局、厂房墙体</w:t>
                  </w:r>
                  <w:r>
                    <w:rPr>
                      <w:bCs/>
                      <w:sz w:val="24"/>
                    </w:rPr>
                    <w:t xml:space="preserve"> </w:t>
                  </w:r>
                </w:p>
                <w:p>
                  <w:pPr>
                    <w:autoSpaceDE w:val="0"/>
                    <w:adjustRightInd w:val="0"/>
                    <w:snapToGrid w:val="0"/>
                    <w:jc w:val="center"/>
                    <w:rPr>
                      <w:bCs/>
                      <w:sz w:val="24"/>
                    </w:rPr>
                  </w:pPr>
                  <w:r>
                    <w:rPr>
                      <w:rFonts w:hint="eastAsia"/>
                      <w:bCs/>
                      <w:sz w:val="24"/>
                    </w:rPr>
                    <w:t>隔声等措施</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rPr>
                      <w:bCs/>
                      <w:sz w:val="24"/>
                    </w:rPr>
                  </w:pPr>
                </w:p>
              </w:tc>
              <w:tc>
                <w:tcPr>
                  <w:tcW w:w="628" w:type="pct"/>
                  <w:vMerge w:val="restar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固废</w:t>
                  </w: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生活垃圾设垃圾桶分类收集，定期交环卫部门统一清运；</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生活垃圾设垃圾桶分类收集，定期交环卫部门统一清运；</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1578"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一般固废分类暂存于一般固废暂存区。吸音棉冲切边角料、模内发泡件后处理边角料、废包材及废原料桶定期收集外售综合利用；</w:t>
                  </w:r>
                </w:p>
              </w:tc>
              <w:tc>
                <w:tcPr>
                  <w:tcW w:w="162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一般固废分类暂存于一般固废暂存区。吸音棉冲切边角料、模内发泡件后处理边角料、废包材及废原料桶定期收集外售综合利用；</w:t>
                  </w:r>
                </w:p>
              </w:tc>
              <w:tc>
                <w:tcPr>
                  <w:tcW w:w="808" w:type="pct"/>
                  <w:tcBorders>
                    <w:top w:val="single" w:color="auto" w:sz="4"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0" w:type="pct"/>
                  <w:vMerge w:val="continue"/>
                  <w:tcBorders>
                    <w:top w:val="single" w:color="auto" w:sz="4" w:space="0"/>
                    <w:left w:val="single" w:color="auto" w:sz="12" w:space="0"/>
                    <w:bottom w:val="single" w:color="auto" w:sz="12" w:space="0"/>
                    <w:right w:val="single" w:color="auto" w:sz="4" w:space="0"/>
                  </w:tcBorders>
                  <w:vAlign w:val="center"/>
                </w:tcPr>
                <w:p>
                  <w:pPr>
                    <w:autoSpaceDE w:val="0"/>
                    <w:adjustRightInd w:val="0"/>
                    <w:snapToGrid w:val="0"/>
                    <w:jc w:val="center"/>
                    <w:rPr>
                      <w:bCs/>
                      <w:sz w:val="24"/>
                    </w:rPr>
                  </w:pPr>
                </w:p>
              </w:tc>
              <w:tc>
                <w:tcPr>
                  <w:tcW w:w="628" w:type="pct"/>
                  <w:vMerge w:val="continue"/>
                  <w:tcBorders>
                    <w:top w:val="single" w:color="auto" w:sz="4" w:space="0"/>
                    <w:left w:val="single" w:color="auto" w:sz="4" w:space="0"/>
                    <w:bottom w:val="single" w:color="auto" w:sz="12" w:space="0"/>
                    <w:right w:val="single" w:color="auto" w:sz="4" w:space="0"/>
                  </w:tcBorders>
                  <w:vAlign w:val="center"/>
                </w:tcPr>
                <w:p>
                  <w:pPr>
                    <w:autoSpaceDE w:val="0"/>
                    <w:adjustRightInd w:val="0"/>
                    <w:snapToGrid w:val="0"/>
                    <w:jc w:val="center"/>
                    <w:rPr>
                      <w:bCs/>
                      <w:sz w:val="24"/>
                    </w:rPr>
                  </w:pPr>
                </w:p>
              </w:tc>
              <w:tc>
                <w:tcPr>
                  <w:tcW w:w="1578" w:type="pct"/>
                  <w:tcBorders>
                    <w:top w:val="single" w:color="auto" w:sz="4" w:space="0"/>
                    <w:left w:val="single" w:color="auto" w:sz="4" w:space="0"/>
                    <w:bottom w:val="single" w:color="auto" w:sz="12" w:space="0"/>
                    <w:right w:val="single" w:color="auto" w:sz="4" w:space="0"/>
                  </w:tcBorders>
                  <w:vAlign w:val="center"/>
                </w:tcPr>
                <w:p>
                  <w:pPr>
                    <w:autoSpaceDE w:val="0"/>
                    <w:adjustRightInd w:val="0"/>
                    <w:snapToGrid w:val="0"/>
                    <w:jc w:val="center"/>
                    <w:rPr>
                      <w:bCs/>
                      <w:sz w:val="24"/>
                    </w:rPr>
                  </w:pPr>
                  <w:r>
                    <w:rPr>
                      <w:rFonts w:hint="eastAsia"/>
                      <w:bCs/>
                      <w:sz w:val="24"/>
                    </w:rPr>
                    <w:t>废活性炭、废液压油、废润滑油及废含油手套抹布设专用容器分类暂存于危废暂存间内，定期交有资质单位处置。</w:t>
                  </w:r>
                </w:p>
              </w:tc>
              <w:tc>
                <w:tcPr>
                  <w:tcW w:w="1623" w:type="pct"/>
                  <w:tcBorders>
                    <w:top w:val="single" w:color="auto" w:sz="4" w:space="0"/>
                    <w:left w:val="single" w:color="auto" w:sz="4" w:space="0"/>
                    <w:bottom w:val="single" w:color="auto" w:sz="12" w:space="0"/>
                    <w:right w:val="single" w:color="auto" w:sz="4" w:space="0"/>
                  </w:tcBorders>
                  <w:vAlign w:val="center"/>
                </w:tcPr>
                <w:p>
                  <w:pPr>
                    <w:autoSpaceDE w:val="0"/>
                    <w:adjustRightInd w:val="0"/>
                    <w:snapToGrid w:val="0"/>
                    <w:jc w:val="center"/>
                    <w:rPr>
                      <w:bCs/>
                      <w:sz w:val="24"/>
                    </w:rPr>
                  </w:pPr>
                  <w:r>
                    <w:rPr>
                      <w:rFonts w:hint="eastAsia"/>
                      <w:bCs/>
                      <w:sz w:val="24"/>
                    </w:rPr>
                    <w:t>废活性炭、废液压油、废润滑油及废含油手套抹布设专用容器分类暂存于危废暂存间内，定期交有资质单位处置。</w:t>
                  </w:r>
                </w:p>
              </w:tc>
              <w:tc>
                <w:tcPr>
                  <w:tcW w:w="808" w:type="pct"/>
                  <w:tcBorders>
                    <w:top w:val="single" w:color="auto" w:sz="4" w:space="0"/>
                    <w:left w:val="single" w:color="auto" w:sz="4" w:space="0"/>
                    <w:bottom w:val="single" w:color="auto" w:sz="12" w:space="0"/>
                    <w:right w:val="single" w:color="auto" w:sz="12" w:space="0"/>
                  </w:tcBorders>
                  <w:vAlign w:val="center"/>
                </w:tcPr>
                <w:p>
                  <w:pPr>
                    <w:autoSpaceDE w:val="0"/>
                    <w:adjustRightInd w:val="0"/>
                    <w:snapToGrid w:val="0"/>
                    <w:jc w:val="center"/>
                    <w:rPr>
                      <w:bCs/>
                      <w:sz w:val="24"/>
                    </w:rPr>
                  </w:pPr>
                  <w:r>
                    <w:rPr>
                      <w:rFonts w:hint="eastAsia"/>
                      <w:bCs/>
                      <w:sz w:val="24"/>
                    </w:rPr>
                    <w:t>不变</w:t>
                  </w:r>
                </w:p>
              </w:tc>
            </w:tr>
          </w:tbl>
          <w:p>
            <w:pPr>
              <w:adjustRightInd w:val="0"/>
              <w:snapToGrid w:val="0"/>
              <w:spacing w:line="360" w:lineRule="auto"/>
              <w:jc w:val="left"/>
              <w:rPr>
                <w:bCs/>
                <w:sz w:val="24"/>
              </w:rPr>
            </w:pPr>
            <w:r>
              <w:rPr>
                <w:bCs/>
                <w:sz w:val="24"/>
              </w:rPr>
              <w:t>3</w:t>
            </w:r>
            <w:r>
              <w:rPr>
                <w:rFonts w:hint="eastAsia"/>
                <w:bCs/>
                <w:sz w:val="24"/>
              </w:rPr>
              <w:t>、产品方案</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项目重大变动后产品方案及产能均不变，产品主要为吸音棉，模压产品及发泡产品，产品方案见表</w:t>
            </w:r>
            <w:r>
              <w:rPr>
                <w:rFonts w:ascii="Times New Roman"/>
                <w:bCs/>
                <w:kern w:val="2"/>
                <w:szCs w:val="24"/>
              </w:rPr>
              <w:t>2-2</w:t>
            </w:r>
            <w:r>
              <w:rPr>
                <w:rFonts w:hint="eastAsia" w:ascii="Times New Roman"/>
                <w:bCs/>
                <w:kern w:val="2"/>
                <w:szCs w:val="24"/>
              </w:rPr>
              <w:t>。</w:t>
            </w:r>
          </w:p>
          <w:p>
            <w:pPr>
              <w:jc w:val="center"/>
              <w:rPr>
                <w:bCs/>
                <w:sz w:val="24"/>
              </w:rPr>
            </w:pPr>
            <w:r>
              <w:rPr>
                <w:rFonts w:hint="eastAsia"/>
                <w:bCs/>
                <w:sz w:val="24"/>
              </w:rPr>
              <w:t>表</w:t>
            </w:r>
            <w:r>
              <w:rPr>
                <w:bCs/>
                <w:sz w:val="24"/>
              </w:rPr>
              <w:t xml:space="preserve">2-2    </w:t>
            </w:r>
            <w:r>
              <w:rPr>
                <w:rFonts w:hint="eastAsia"/>
                <w:bCs/>
                <w:sz w:val="24"/>
              </w:rPr>
              <w:t>产品方案一览表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03"/>
              <w:gridCol w:w="1422"/>
              <w:gridCol w:w="2139"/>
              <w:gridCol w:w="23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序号</w:t>
                  </w:r>
                </w:p>
              </w:tc>
              <w:tc>
                <w:tcPr>
                  <w:tcW w:w="823"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产品名称</w:t>
                  </w:r>
                </w:p>
              </w:tc>
              <w:tc>
                <w:tcPr>
                  <w:tcW w:w="898"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主要原料</w:t>
                  </w:r>
                </w:p>
              </w:tc>
              <w:tc>
                <w:tcPr>
                  <w:tcW w:w="1352"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变动前产能</w:t>
                  </w:r>
                </w:p>
              </w:tc>
              <w:tc>
                <w:tcPr>
                  <w:tcW w:w="1455"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变动后产能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bCs/>
                      <w:sz w:val="24"/>
                    </w:rPr>
                    <w:t>1</w:t>
                  </w:r>
                </w:p>
              </w:tc>
              <w:tc>
                <w:tcPr>
                  <w:tcW w:w="823"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rFonts w:hint="eastAsia"/>
                      <w:bCs/>
                      <w:sz w:val="24"/>
                    </w:rPr>
                    <w:t>吸音棉</w:t>
                  </w:r>
                </w:p>
              </w:tc>
              <w:tc>
                <w:tcPr>
                  <w:tcW w:w="898"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bCs/>
                      <w:sz w:val="24"/>
                    </w:rPr>
                    <w:t>PET</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420</w:t>
                  </w:r>
                  <w:r>
                    <w:rPr>
                      <w:rFonts w:hint="eastAsia"/>
                      <w:bCs/>
                      <w:sz w:val="24"/>
                    </w:rPr>
                    <w:t>万件</w:t>
                  </w:r>
                  <w:r>
                    <w:rPr>
                      <w:bCs/>
                      <w:sz w:val="24"/>
                    </w:rPr>
                    <w:t>/</w:t>
                  </w:r>
                  <w:r>
                    <w:rPr>
                      <w:rFonts w:hint="eastAsia"/>
                      <w:bCs/>
                      <w:sz w:val="24"/>
                    </w:rPr>
                    <w:t>年</w:t>
                  </w:r>
                </w:p>
              </w:tc>
              <w:tc>
                <w:tcPr>
                  <w:tcW w:w="1455" w:type="pct"/>
                  <w:tcBorders>
                    <w:top w:val="single" w:color="auto" w:sz="4" w:space="0"/>
                    <w:left w:val="single" w:color="auto" w:sz="4" w:space="0"/>
                    <w:bottom w:val="single" w:color="auto" w:sz="4" w:space="0"/>
                    <w:right w:val="single" w:color="auto" w:sz="12" w:space="0"/>
                  </w:tcBorders>
                  <w:vAlign w:val="center"/>
                </w:tcPr>
                <w:p>
                  <w:pPr>
                    <w:jc w:val="center"/>
                    <w:rPr>
                      <w:bCs/>
                      <w:sz w:val="24"/>
                    </w:rPr>
                  </w:pPr>
                  <w:r>
                    <w:rPr>
                      <w:bCs/>
                      <w:sz w:val="24"/>
                    </w:rPr>
                    <w:t>420</w:t>
                  </w:r>
                  <w:r>
                    <w:rPr>
                      <w:rFonts w:hint="eastAsia"/>
                      <w:bCs/>
                      <w:sz w:val="24"/>
                    </w:rPr>
                    <w:t>万件</w:t>
                  </w:r>
                  <w:r>
                    <w:rPr>
                      <w:bCs/>
                      <w:sz w:val="24"/>
                    </w:rPr>
                    <w:t>/</w:t>
                  </w:r>
                  <w:r>
                    <w:rPr>
                      <w:rFonts w:hint="eastAsia"/>
                      <w:bCs/>
                      <w:sz w:val="24"/>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bCs/>
                      <w:sz w:val="24"/>
                    </w:rPr>
                    <w:t>2</w:t>
                  </w:r>
                </w:p>
              </w:tc>
              <w:tc>
                <w:tcPr>
                  <w:tcW w:w="823"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rFonts w:hint="eastAsia"/>
                      <w:bCs/>
                      <w:sz w:val="24"/>
                    </w:rPr>
                    <w:t>模内发泡件</w:t>
                  </w:r>
                </w:p>
              </w:tc>
              <w:tc>
                <w:tcPr>
                  <w:tcW w:w="898"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bCs/>
                      <w:sz w:val="24"/>
                    </w:rPr>
                    <w:t>PU</w:t>
                  </w:r>
                  <w:r>
                    <w:rPr>
                      <w:rFonts w:hint="eastAsia"/>
                      <w:bCs/>
                      <w:sz w:val="24"/>
                    </w:rPr>
                    <w:t>发泡</w:t>
                  </w:r>
                </w:p>
              </w:tc>
              <w:tc>
                <w:tcPr>
                  <w:tcW w:w="135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55</w:t>
                  </w:r>
                  <w:r>
                    <w:rPr>
                      <w:rFonts w:hint="eastAsia"/>
                      <w:bCs/>
                      <w:sz w:val="24"/>
                    </w:rPr>
                    <w:t>万件</w:t>
                  </w:r>
                  <w:r>
                    <w:rPr>
                      <w:bCs/>
                      <w:sz w:val="24"/>
                    </w:rPr>
                    <w:t>/</w:t>
                  </w:r>
                  <w:r>
                    <w:rPr>
                      <w:rFonts w:hint="eastAsia"/>
                      <w:bCs/>
                      <w:sz w:val="24"/>
                    </w:rPr>
                    <w:t>年</w:t>
                  </w:r>
                </w:p>
              </w:tc>
              <w:tc>
                <w:tcPr>
                  <w:tcW w:w="1455" w:type="pct"/>
                  <w:tcBorders>
                    <w:top w:val="single" w:color="auto" w:sz="4" w:space="0"/>
                    <w:left w:val="single" w:color="auto" w:sz="4" w:space="0"/>
                    <w:bottom w:val="single" w:color="auto" w:sz="4" w:space="0"/>
                    <w:right w:val="single" w:color="auto" w:sz="12" w:space="0"/>
                  </w:tcBorders>
                  <w:vAlign w:val="center"/>
                </w:tcPr>
                <w:p>
                  <w:pPr>
                    <w:jc w:val="center"/>
                    <w:rPr>
                      <w:bCs/>
                      <w:sz w:val="24"/>
                    </w:rPr>
                  </w:pPr>
                  <w:r>
                    <w:rPr>
                      <w:bCs/>
                      <w:sz w:val="24"/>
                    </w:rPr>
                    <w:t>55</w:t>
                  </w:r>
                  <w:r>
                    <w:rPr>
                      <w:rFonts w:hint="eastAsia"/>
                      <w:bCs/>
                      <w:sz w:val="24"/>
                    </w:rPr>
                    <w:t>万件</w:t>
                  </w:r>
                  <w:r>
                    <w:rPr>
                      <w:bCs/>
                      <w:sz w:val="24"/>
                    </w:rPr>
                    <w:t>/</w:t>
                  </w:r>
                  <w:r>
                    <w:rPr>
                      <w:rFonts w:hint="eastAsia"/>
                      <w:bCs/>
                      <w:sz w:val="24"/>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z w:val="24"/>
                    </w:rPr>
                  </w:pPr>
                  <w:r>
                    <w:rPr>
                      <w:bCs/>
                      <w:sz w:val="24"/>
                    </w:rPr>
                    <w:t>3</w:t>
                  </w:r>
                </w:p>
              </w:tc>
              <w:tc>
                <w:tcPr>
                  <w:tcW w:w="823" w:type="pct"/>
                  <w:tcBorders>
                    <w:top w:val="single" w:color="auto" w:sz="4" w:space="0"/>
                    <w:left w:val="single" w:color="auto" w:sz="4" w:space="0"/>
                    <w:bottom w:val="single" w:color="auto" w:sz="12" w:space="0"/>
                    <w:right w:val="single" w:color="auto" w:sz="4" w:space="0"/>
                  </w:tcBorders>
                  <w:vAlign w:val="center"/>
                </w:tcPr>
                <w:p>
                  <w:pPr>
                    <w:spacing w:line="240" w:lineRule="atLeast"/>
                    <w:jc w:val="center"/>
                    <w:rPr>
                      <w:bCs/>
                      <w:sz w:val="24"/>
                    </w:rPr>
                  </w:pPr>
                  <w:r>
                    <w:rPr>
                      <w:rFonts w:hint="eastAsia"/>
                      <w:bCs/>
                      <w:sz w:val="24"/>
                    </w:rPr>
                    <w:t>轻质发泡件</w:t>
                  </w:r>
                </w:p>
              </w:tc>
              <w:tc>
                <w:tcPr>
                  <w:tcW w:w="898" w:type="pct"/>
                  <w:tcBorders>
                    <w:top w:val="single" w:color="auto" w:sz="4" w:space="0"/>
                    <w:left w:val="single" w:color="auto" w:sz="4" w:space="0"/>
                    <w:bottom w:val="single" w:color="auto" w:sz="12" w:space="0"/>
                    <w:right w:val="single" w:color="auto" w:sz="4" w:space="0"/>
                  </w:tcBorders>
                  <w:vAlign w:val="center"/>
                </w:tcPr>
                <w:p>
                  <w:pPr>
                    <w:spacing w:line="240" w:lineRule="atLeast"/>
                    <w:jc w:val="center"/>
                    <w:rPr>
                      <w:bCs/>
                      <w:sz w:val="24"/>
                    </w:rPr>
                  </w:pPr>
                  <w:r>
                    <w:rPr>
                      <w:bCs/>
                      <w:sz w:val="24"/>
                    </w:rPr>
                    <w:t>PUR+</w:t>
                  </w:r>
                  <w:r>
                    <w:rPr>
                      <w:rFonts w:hint="eastAsia"/>
                      <w:bCs/>
                      <w:sz w:val="24"/>
                    </w:rPr>
                    <w:t>无纺布</w:t>
                  </w:r>
                </w:p>
              </w:tc>
              <w:tc>
                <w:tcPr>
                  <w:tcW w:w="1352" w:type="pct"/>
                  <w:tcBorders>
                    <w:top w:val="single" w:color="auto" w:sz="4" w:space="0"/>
                    <w:left w:val="single" w:color="auto" w:sz="4" w:space="0"/>
                    <w:bottom w:val="single" w:color="auto" w:sz="12" w:space="0"/>
                    <w:right w:val="single" w:color="auto" w:sz="4" w:space="0"/>
                  </w:tcBorders>
                  <w:vAlign w:val="center"/>
                </w:tcPr>
                <w:p>
                  <w:pPr>
                    <w:jc w:val="center"/>
                    <w:rPr>
                      <w:bCs/>
                      <w:sz w:val="24"/>
                    </w:rPr>
                  </w:pPr>
                  <w:r>
                    <w:rPr>
                      <w:bCs/>
                      <w:sz w:val="24"/>
                    </w:rPr>
                    <w:t>112</w:t>
                  </w:r>
                  <w:r>
                    <w:rPr>
                      <w:rFonts w:hint="eastAsia"/>
                      <w:bCs/>
                      <w:sz w:val="24"/>
                    </w:rPr>
                    <w:t>万件</w:t>
                  </w:r>
                  <w:r>
                    <w:rPr>
                      <w:bCs/>
                      <w:sz w:val="24"/>
                    </w:rPr>
                    <w:t>/</w:t>
                  </w:r>
                  <w:r>
                    <w:rPr>
                      <w:rFonts w:hint="eastAsia"/>
                      <w:bCs/>
                      <w:sz w:val="24"/>
                    </w:rPr>
                    <w:t>年</w:t>
                  </w:r>
                </w:p>
              </w:tc>
              <w:tc>
                <w:tcPr>
                  <w:tcW w:w="1455" w:type="pct"/>
                  <w:tcBorders>
                    <w:top w:val="single" w:color="auto" w:sz="4" w:space="0"/>
                    <w:left w:val="single" w:color="auto" w:sz="4" w:space="0"/>
                    <w:bottom w:val="single" w:color="auto" w:sz="12" w:space="0"/>
                    <w:right w:val="single" w:color="auto" w:sz="12" w:space="0"/>
                  </w:tcBorders>
                  <w:vAlign w:val="center"/>
                </w:tcPr>
                <w:p>
                  <w:pPr>
                    <w:jc w:val="center"/>
                    <w:rPr>
                      <w:bCs/>
                      <w:sz w:val="24"/>
                    </w:rPr>
                  </w:pPr>
                  <w:r>
                    <w:rPr>
                      <w:bCs/>
                      <w:sz w:val="24"/>
                    </w:rPr>
                    <w:t>112</w:t>
                  </w:r>
                  <w:r>
                    <w:rPr>
                      <w:rFonts w:hint="eastAsia"/>
                      <w:bCs/>
                      <w:sz w:val="24"/>
                    </w:rPr>
                    <w:t>万件</w:t>
                  </w:r>
                  <w:r>
                    <w:rPr>
                      <w:bCs/>
                      <w:sz w:val="24"/>
                    </w:rPr>
                    <w:t>/</w:t>
                  </w:r>
                  <w:r>
                    <w:rPr>
                      <w:rFonts w:hint="eastAsia"/>
                      <w:bCs/>
                      <w:sz w:val="24"/>
                    </w:rPr>
                    <w:t>年</w:t>
                  </w:r>
                </w:p>
              </w:tc>
            </w:tr>
          </w:tbl>
          <w:p>
            <w:pPr>
              <w:adjustRightInd w:val="0"/>
              <w:snapToGrid w:val="0"/>
              <w:spacing w:line="360" w:lineRule="auto"/>
              <w:jc w:val="left"/>
              <w:rPr>
                <w:bCs/>
                <w:sz w:val="24"/>
              </w:rPr>
            </w:pPr>
            <w:r>
              <w:rPr>
                <w:bCs/>
                <w:sz w:val="24"/>
              </w:rPr>
              <w:t>4</w:t>
            </w:r>
            <w:r>
              <w:rPr>
                <w:rFonts w:hint="eastAsia"/>
                <w:bCs/>
                <w:sz w:val="24"/>
              </w:rPr>
              <w:t>、主要原辅材料及能源消耗</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项目原辅材料及能源消耗见表</w:t>
            </w:r>
            <w:r>
              <w:rPr>
                <w:rFonts w:ascii="Times New Roman"/>
                <w:bCs/>
                <w:kern w:val="2"/>
                <w:szCs w:val="24"/>
              </w:rPr>
              <w:t>2-3</w:t>
            </w:r>
            <w:r>
              <w:rPr>
                <w:rFonts w:hint="eastAsia" w:ascii="Times New Roman"/>
                <w:bCs/>
                <w:kern w:val="2"/>
                <w:szCs w:val="24"/>
              </w:rPr>
              <w:t>。</w:t>
            </w:r>
          </w:p>
          <w:p>
            <w:pPr>
              <w:pStyle w:val="39"/>
              <w:widowControl/>
              <w:adjustRightInd/>
              <w:spacing w:line="240" w:lineRule="auto"/>
              <w:jc w:val="center"/>
              <w:rPr>
                <w:rFonts w:ascii="Times New Roman"/>
                <w:bCs/>
                <w:kern w:val="2"/>
                <w:szCs w:val="24"/>
              </w:rPr>
            </w:pPr>
            <w:r>
              <w:rPr>
                <w:rFonts w:hint="eastAsia" w:ascii="Times New Roman"/>
                <w:bCs/>
                <w:kern w:val="2"/>
                <w:szCs w:val="24"/>
              </w:rPr>
              <w:t>表</w:t>
            </w:r>
            <w:r>
              <w:rPr>
                <w:rFonts w:ascii="Times New Roman"/>
                <w:bCs/>
                <w:kern w:val="2"/>
                <w:szCs w:val="24"/>
              </w:rPr>
              <w:t xml:space="preserve">2-3    </w:t>
            </w:r>
            <w:r>
              <w:rPr>
                <w:rFonts w:hint="eastAsia" w:ascii="Times New Roman"/>
                <w:bCs/>
                <w:kern w:val="2"/>
                <w:szCs w:val="24"/>
              </w:rPr>
              <w:t>变动前后原辅材料及能源消耗一览表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0"/>
              <w:gridCol w:w="1066"/>
              <w:gridCol w:w="1621"/>
              <w:gridCol w:w="1065"/>
              <w:gridCol w:w="1019"/>
              <w:gridCol w:w="944"/>
              <w:gridCol w:w="840"/>
              <w:gridCol w:w="9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12"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序号</w:t>
                  </w:r>
                </w:p>
              </w:tc>
              <w:tc>
                <w:tcPr>
                  <w:tcW w:w="673"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名称</w:t>
                  </w:r>
                </w:p>
              </w:tc>
              <w:tc>
                <w:tcPr>
                  <w:tcW w:w="1024"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主要成分</w:t>
                  </w:r>
                </w:p>
              </w:tc>
              <w:tc>
                <w:tcPr>
                  <w:tcW w:w="673"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包装规格</w:t>
                  </w:r>
                </w:p>
              </w:tc>
              <w:tc>
                <w:tcPr>
                  <w:tcW w:w="644"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变动前用量（</w:t>
                  </w:r>
                  <w:r>
                    <w:rPr>
                      <w:bCs/>
                      <w:sz w:val="24"/>
                    </w:rPr>
                    <w:t>t/a</w:t>
                  </w:r>
                  <w:r>
                    <w:rPr>
                      <w:rFonts w:hint="eastAsia"/>
                      <w:bCs/>
                      <w:sz w:val="24"/>
                    </w:rPr>
                    <w:t>）</w:t>
                  </w:r>
                </w:p>
              </w:tc>
              <w:tc>
                <w:tcPr>
                  <w:tcW w:w="597"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变动后用量（</w:t>
                  </w:r>
                  <w:r>
                    <w:rPr>
                      <w:bCs/>
                      <w:sz w:val="24"/>
                    </w:rPr>
                    <w:t>t/a</w:t>
                  </w:r>
                  <w:r>
                    <w:rPr>
                      <w:rFonts w:hint="eastAsia"/>
                      <w:bCs/>
                      <w:sz w:val="24"/>
                    </w:rPr>
                    <w:t>）</w:t>
                  </w:r>
                </w:p>
              </w:tc>
              <w:tc>
                <w:tcPr>
                  <w:tcW w:w="531"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最大储量（</w:t>
                  </w:r>
                  <w:r>
                    <w:rPr>
                      <w:bCs/>
                      <w:sz w:val="24"/>
                    </w:rPr>
                    <w:t>t</w:t>
                  </w:r>
                  <w:r>
                    <w:rPr>
                      <w:rFonts w:hint="eastAsia"/>
                      <w:bCs/>
                      <w:sz w:val="24"/>
                    </w:rPr>
                    <w:t>）</w:t>
                  </w:r>
                </w:p>
              </w:tc>
              <w:tc>
                <w:tcPr>
                  <w:tcW w:w="603" w:type="pct"/>
                  <w:tcBorders>
                    <w:top w:val="single" w:color="auto" w:sz="12"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1</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中空涤纶短纤维</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聚对苯二甲酸乙二醇酯（</w:t>
                  </w:r>
                  <w:r>
                    <w:rPr>
                      <w:bCs/>
                      <w:sz w:val="24"/>
                    </w:rPr>
                    <w:t>PET</w:t>
                  </w:r>
                  <w:r>
                    <w:rPr>
                      <w:rFonts w:hint="eastAsia"/>
                      <w:bCs/>
                      <w:sz w:val="24"/>
                    </w:rPr>
                    <w:t>）</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0.32t/</w:t>
                  </w:r>
                  <w:r>
                    <w:rPr>
                      <w:rFonts w:hint="eastAsia"/>
                      <w:bCs/>
                      <w:sz w:val="24"/>
                    </w:rPr>
                    <w:t>包</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430</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430</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50</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吸音棉生产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2</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无纺布</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聚对苯二甲酸乙二醇酯（</w:t>
                  </w:r>
                  <w:r>
                    <w:rPr>
                      <w:bCs/>
                      <w:sz w:val="24"/>
                    </w:rPr>
                    <w:t>PET</w:t>
                  </w:r>
                  <w:r>
                    <w:rPr>
                      <w:rFonts w:hint="eastAsia"/>
                      <w:bCs/>
                      <w:sz w:val="24"/>
                    </w:rPr>
                    <w:t>）</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250m/</w:t>
                  </w:r>
                  <w:r>
                    <w:rPr>
                      <w:rFonts w:hint="eastAsia"/>
                      <w:bCs/>
                      <w:sz w:val="24"/>
                    </w:rPr>
                    <w:t>卷</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100</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100</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10</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轻质发泡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3</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发泡</w:t>
                  </w:r>
                  <w:r>
                    <w:rPr>
                      <w:bCs/>
                      <w:sz w:val="24"/>
                    </w:rPr>
                    <w:t>A</w:t>
                  </w:r>
                  <w:r>
                    <w:rPr>
                      <w:rFonts w:hint="eastAsia"/>
                      <w:bCs/>
                      <w:sz w:val="24"/>
                    </w:rPr>
                    <w:t>料</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组合聚醚</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200kg/</w:t>
                  </w:r>
                  <w:r>
                    <w:rPr>
                      <w:rFonts w:hint="eastAsia"/>
                      <w:bCs/>
                      <w:sz w:val="24"/>
                    </w:rPr>
                    <w:t>桶</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320</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320</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10</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轻质发泡</w:t>
                  </w:r>
                  <w:r>
                    <w:rPr>
                      <w:bCs/>
                      <w:sz w:val="24"/>
                    </w:rPr>
                    <w:t>/</w:t>
                  </w:r>
                  <w:r>
                    <w:rPr>
                      <w:rFonts w:hint="eastAsia"/>
                      <w:bCs/>
                      <w:sz w:val="24"/>
                    </w:rPr>
                    <w:t>模内发泡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4</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发泡</w:t>
                  </w:r>
                  <w:r>
                    <w:rPr>
                      <w:bCs/>
                      <w:sz w:val="24"/>
                    </w:rPr>
                    <w:t>B</w:t>
                  </w:r>
                  <w:r>
                    <w:rPr>
                      <w:rFonts w:hint="eastAsia"/>
                      <w:bCs/>
                      <w:sz w:val="24"/>
                    </w:rPr>
                    <w:t>料</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改性异氰酸酯</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200kg/</w:t>
                  </w:r>
                  <w:r>
                    <w:rPr>
                      <w:rFonts w:hint="eastAsia"/>
                      <w:bCs/>
                      <w:sz w:val="24"/>
                    </w:rPr>
                    <w:t>桶</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160</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160</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5</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轻质发泡</w:t>
                  </w:r>
                  <w:r>
                    <w:rPr>
                      <w:bCs/>
                      <w:sz w:val="24"/>
                    </w:rPr>
                    <w:t>/</w:t>
                  </w:r>
                  <w:r>
                    <w:rPr>
                      <w:rFonts w:hint="eastAsia"/>
                      <w:bCs/>
                      <w:sz w:val="24"/>
                    </w:rPr>
                    <w:t>模内发泡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5</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阻燃石墨</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石墨（</w:t>
                  </w:r>
                  <w:r>
                    <w:rPr>
                      <w:bCs/>
                      <w:sz w:val="24"/>
                    </w:rPr>
                    <w:t>80</w:t>
                  </w:r>
                  <w:r>
                    <w:rPr>
                      <w:rFonts w:hint="eastAsia"/>
                      <w:bCs/>
                      <w:sz w:val="24"/>
                    </w:rPr>
                    <w:t>目）</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20kg/</w:t>
                  </w:r>
                  <w:r>
                    <w:rPr>
                      <w:rFonts w:hint="eastAsia"/>
                      <w:bCs/>
                      <w:sz w:val="24"/>
                    </w:rPr>
                    <w:t>袋</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17</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17</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轻质发泡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6</w:t>
                  </w:r>
                </w:p>
              </w:tc>
              <w:tc>
                <w:tcPr>
                  <w:tcW w:w="673"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rFonts w:hint="eastAsia"/>
                      <w:bCs/>
                      <w:sz w:val="24"/>
                    </w:rPr>
                    <w:t>包装用薄膜袋</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bCs/>
                      <w:sz w:val="24"/>
                    </w:rPr>
                    <w:t>/</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w:t>
                  </w:r>
                </w:p>
              </w:tc>
              <w:tc>
                <w:tcPr>
                  <w:tcW w:w="644"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bCs/>
                      <w:sz w:val="24"/>
                    </w:rPr>
                    <w:t>1.5</w:t>
                  </w:r>
                </w:p>
              </w:tc>
              <w:tc>
                <w:tcPr>
                  <w:tcW w:w="597"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bCs/>
                      <w:sz w:val="24"/>
                    </w:rPr>
                    <w:t>1.5</w:t>
                  </w:r>
                </w:p>
              </w:tc>
              <w:tc>
                <w:tcPr>
                  <w:tcW w:w="531"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bCs/>
                      <w:sz w:val="24"/>
                    </w:rPr>
                    <w:t>0.5</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产品包装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7</w:t>
                  </w:r>
                </w:p>
              </w:tc>
              <w:tc>
                <w:tcPr>
                  <w:tcW w:w="673"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rPr>
                      <w:bCs/>
                      <w:sz w:val="24"/>
                    </w:rPr>
                  </w:pPr>
                  <w:r>
                    <w:rPr>
                      <w:rFonts w:hint="eastAsia"/>
                      <w:bCs/>
                      <w:sz w:val="24"/>
                    </w:rPr>
                    <w:t>纸箱</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bCs/>
                      <w:sz w:val="24"/>
                    </w:rPr>
                    <w:t>/</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84</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84</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10</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产品包装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8</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液压油</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植物基础油</w:t>
                  </w:r>
                  <w:r>
                    <w:rPr>
                      <w:bCs/>
                      <w:sz w:val="24"/>
                    </w:rPr>
                    <w:t>+</w:t>
                  </w:r>
                  <w:r>
                    <w:rPr>
                      <w:rFonts w:hint="eastAsia"/>
                      <w:bCs/>
                      <w:sz w:val="24"/>
                    </w:rPr>
                    <w:t>合成醋</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200kg/</w:t>
                  </w:r>
                  <w:r>
                    <w:rPr>
                      <w:rFonts w:hint="eastAsia"/>
                      <w:bCs/>
                      <w:sz w:val="24"/>
                    </w:rPr>
                    <w:t>桶</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5</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5</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热压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9</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润滑油</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基础油</w:t>
                  </w:r>
                  <w:r>
                    <w:rPr>
                      <w:bCs/>
                      <w:sz w:val="24"/>
                    </w:rPr>
                    <w:t>+</w:t>
                  </w:r>
                  <w:r>
                    <w:rPr>
                      <w:rFonts w:hint="eastAsia"/>
                      <w:bCs/>
                      <w:sz w:val="24"/>
                    </w:rPr>
                    <w:t>添加剂</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25kg/</w:t>
                  </w:r>
                  <w:r>
                    <w:rPr>
                      <w:rFonts w:hint="eastAsia"/>
                      <w:bCs/>
                      <w:sz w:val="24"/>
                    </w:rPr>
                    <w:t>桶</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0.1</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0.1</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0.1</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设备润滑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10</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rFonts w:hint="eastAsia"/>
                      <w:bCs/>
                      <w:sz w:val="24"/>
                    </w:rPr>
                    <w:t>脱模剂</w:t>
                  </w:r>
                </w:p>
              </w:tc>
              <w:tc>
                <w:tcPr>
                  <w:tcW w:w="1024" w:type="pct"/>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合成树脂</w:t>
                  </w:r>
                </w:p>
              </w:tc>
              <w:tc>
                <w:tcPr>
                  <w:tcW w:w="67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 w:val="24"/>
                    </w:rPr>
                  </w:pPr>
                  <w:r>
                    <w:rPr>
                      <w:bCs/>
                      <w:sz w:val="24"/>
                    </w:rPr>
                    <w:t>200kg/</w:t>
                  </w:r>
                  <w:r>
                    <w:rPr>
                      <w:rFonts w:hint="eastAsia"/>
                      <w:bCs/>
                      <w:sz w:val="24"/>
                    </w:rPr>
                    <w:t>桶</w:t>
                  </w:r>
                </w:p>
              </w:tc>
              <w:tc>
                <w:tcPr>
                  <w:tcW w:w="644"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27</w:t>
                  </w:r>
                </w:p>
              </w:tc>
              <w:tc>
                <w:tcPr>
                  <w:tcW w:w="597"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27</w:t>
                  </w:r>
                </w:p>
              </w:tc>
              <w:tc>
                <w:tcPr>
                  <w:tcW w:w="531" w:type="pct"/>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bCs/>
                      <w:sz w:val="24"/>
                    </w:rPr>
                  </w:pPr>
                  <w:r>
                    <w:rPr>
                      <w:bCs/>
                      <w:sz w:val="24"/>
                    </w:rPr>
                    <w:t>1</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外购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11</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水</w:t>
                  </w:r>
                </w:p>
              </w:tc>
              <w:tc>
                <w:tcPr>
                  <w:tcW w:w="10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6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6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593.6m3/a</w:t>
                  </w:r>
                </w:p>
              </w:tc>
              <w:tc>
                <w:tcPr>
                  <w:tcW w:w="59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593.6m3/a</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市政供给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12</w:t>
                  </w:r>
                </w:p>
              </w:tc>
              <w:tc>
                <w:tcPr>
                  <w:tcW w:w="67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电</w:t>
                  </w:r>
                </w:p>
              </w:tc>
              <w:tc>
                <w:tcPr>
                  <w:tcW w:w="10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6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6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1.58</w:t>
                  </w:r>
                  <w:r>
                    <w:rPr>
                      <w:rFonts w:hint="eastAsia"/>
                      <w:bCs/>
                      <w:sz w:val="24"/>
                    </w:rPr>
                    <w:t>万</w:t>
                  </w:r>
                  <w:r>
                    <w:rPr>
                      <w:bCs/>
                      <w:sz w:val="24"/>
                    </w:rPr>
                    <w:t>kWh/a</w:t>
                  </w:r>
                </w:p>
              </w:tc>
              <w:tc>
                <w:tcPr>
                  <w:tcW w:w="59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1.25</w:t>
                  </w:r>
                  <w:r>
                    <w:rPr>
                      <w:rFonts w:hint="eastAsia"/>
                      <w:bCs/>
                      <w:sz w:val="24"/>
                    </w:rPr>
                    <w:t>万</w:t>
                  </w:r>
                  <w:r>
                    <w:rPr>
                      <w:bCs/>
                      <w:sz w:val="24"/>
                    </w:rPr>
                    <w:t>kWh/a</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603"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市政供给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tcBorders>
                    <w:top w:val="single" w:color="auto" w:sz="4" w:space="0"/>
                    <w:left w:val="single" w:color="auto" w:sz="12" w:space="0"/>
                    <w:bottom w:val="single" w:color="auto" w:sz="12" w:space="0"/>
                    <w:right w:val="single" w:color="auto" w:sz="4" w:space="0"/>
                  </w:tcBorders>
                  <w:vAlign w:val="center"/>
                </w:tcPr>
                <w:p>
                  <w:pPr>
                    <w:autoSpaceDE w:val="0"/>
                    <w:adjustRightInd w:val="0"/>
                    <w:snapToGrid w:val="0"/>
                    <w:jc w:val="center"/>
                    <w:rPr>
                      <w:bCs/>
                      <w:sz w:val="24"/>
                    </w:rPr>
                  </w:pPr>
                  <w:r>
                    <w:rPr>
                      <w:bCs/>
                      <w:sz w:val="24"/>
                    </w:rPr>
                    <w:t>13</w:t>
                  </w:r>
                </w:p>
              </w:tc>
              <w:tc>
                <w:tcPr>
                  <w:tcW w:w="673" w:type="pct"/>
                  <w:tcBorders>
                    <w:top w:val="single" w:color="auto" w:sz="4" w:space="0"/>
                    <w:left w:val="single" w:color="auto" w:sz="4" w:space="0"/>
                    <w:bottom w:val="single" w:color="auto" w:sz="12" w:space="0"/>
                    <w:right w:val="single" w:color="auto" w:sz="4" w:space="0"/>
                  </w:tcBorders>
                  <w:vAlign w:val="center"/>
                </w:tcPr>
                <w:p>
                  <w:pPr>
                    <w:autoSpaceDE w:val="0"/>
                    <w:adjustRightInd w:val="0"/>
                    <w:snapToGrid w:val="0"/>
                    <w:jc w:val="center"/>
                    <w:rPr>
                      <w:bCs/>
                      <w:sz w:val="24"/>
                    </w:rPr>
                  </w:pPr>
                  <w:r>
                    <w:rPr>
                      <w:rFonts w:hint="eastAsia"/>
                      <w:bCs/>
                      <w:sz w:val="24"/>
                    </w:rPr>
                    <w:t>天然气</w:t>
                  </w:r>
                </w:p>
              </w:tc>
              <w:tc>
                <w:tcPr>
                  <w:tcW w:w="1024"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CH4</w:t>
                  </w:r>
                </w:p>
              </w:tc>
              <w:tc>
                <w:tcPr>
                  <w:tcW w:w="673"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rFonts w:hint="eastAsia"/>
                      <w:bCs/>
                      <w:sz w:val="24"/>
                    </w:rPr>
                    <w:t>市政管网</w:t>
                  </w:r>
                </w:p>
              </w:tc>
              <w:tc>
                <w:tcPr>
                  <w:tcW w:w="644"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0</w:t>
                  </w:r>
                </w:p>
              </w:tc>
              <w:tc>
                <w:tcPr>
                  <w:tcW w:w="597"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16.8</w:t>
                  </w:r>
                  <w:r>
                    <w:rPr>
                      <w:rFonts w:hint="eastAsia"/>
                      <w:bCs/>
                      <w:sz w:val="24"/>
                    </w:rPr>
                    <w:t>万方</w:t>
                  </w:r>
                </w:p>
              </w:tc>
              <w:tc>
                <w:tcPr>
                  <w:tcW w:w="53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rFonts w:hint="eastAsia"/>
                      <w:bCs/>
                      <w:sz w:val="24"/>
                    </w:rPr>
                    <w:t>厂内不储存</w:t>
                  </w:r>
                </w:p>
              </w:tc>
              <w:tc>
                <w:tcPr>
                  <w:tcW w:w="603" w:type="pct"/>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bCs/>
                      <w:sz w:val="24"/>
                    </w:rPr>
                  </w:pPr>
                  <w:r>
                    <w:rPr>
                      <w:rFonts w:hint="eastAsia"/>
                      <w:bCs/>
                      <w:sz w:val="24"/>
                    </w:rPr>
                    <w:t>市政供给</w:t>
                  </w:r>
                </w:p>
              </w:tc>
            </w:tr>
          </w:tbl>
          <w:p>
            <w:pPr>
              <w:adjustRightInd w:val="0"/>
              <w:snapToGrid w:val="0"/>
              <w:spacing w:line="360" w:lineRule="auto"/>
              <w:ind w:firstLine="480" w:firstLineChars="200"/>
              <w:jc w:val="left"/>
              <w:rPr>
                <w:bCs/>
                <w:sz w:val="24"/>
              </w:rPr>
            </w:pPr>
            <w:r>
              <w:rPr>
                <w:rFonts w:hint="eastAsia"/>
                <w:bCs/>
                <w:sz w:val="24"/>
              </w:rPr>
              <w:t>原辅料理化性质：</w:t>
            </w:r>
          </w:p>
          <w:p>
            <w:pPr>
              <w:pStyle w:val="44"/>
              <w:rPr>
                <w:b w:val="0"/>
                <w:sz w:val="24"/>
                <w:szCs w:val="24"/>
              </w:rPr>
            </w:pPr>
            <w:r>
              <w:rPr>
                <w:rFonts w:hint="eastAsia"/>
                <w:b w:val="0"/>
                <w:sz w:val="24"/>
                <w:szCs w:val="24"/>
              </w:rPr>
              <w:t>表</w:t>
            </w:r>
            <w:r>
              <w:rPr>
                <w:b w:val="0"/>
                <w:sz w:val="24"/>
                <w:szCs w:val="24"/>
              </w:rPr>
              <w:t xml:space="preserve">2-4   </w:t>
            </w:r>
            <w:r>
              <w:rPr>
                <w:rFonts w:hint="eastAsia"/>
                <w:b w:val="0"/>
                <w:sz w:val="24"/>
                <w:szCs w:val="24"/>
              </w:rPr>
              <w:t>项目原辅料理化性质</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342"/>
              <w:gridCol w:w="3421"/>
              <w:gridCol w:w="23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atLeast"/>
                <w:jc w:val="center"/>
              </w:trPr>
              <w:tc>
                <w:tcPr>
                  <w:tcW w:w="528" w:type="pct"/>
                  <w:tcBorders>
                    <w:top w:val="single" w:color="000000" w:sz="12" w:space="0"/>
                    <w:left w:val="single" w:color="000000" w:sz="12"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名称</w:t>
                  </w:r>
                </w:p>
              </w:tc>
              <w:tc>
                <w:tcPr>
                  <w:tcW w:w="848" w:type="pct"/>
                  <w:tcBorders>
                    <w:top w:val="single" w:color="000000" w:sz="12" w:space="0"/>
                    <w:left w:val="single" w:color="000000" w:sz="4"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化学式</w:t>
                  </w:r>
                </w:p>
              </w:tc>
              <w:tc>
                <w:tcPr>
                  <w:tcW w:w="2161" w:type="pct"/>
                  <w:tcBorders>
                    <w:top w:val="single" w:color="000000" w:sz="12" w:space="0"/>
                    <w:left w:val="single" w:color="000000" w:sz="4"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理化性质</w:t>
                  </w:r>
                </w:p>
              </w:tc>
              <w:tc>
                <w:tcPr>
                  <w:tcW w:w="1461" w:type="pct"/>
                  <w:tcBorders>
                    <w:top w:val="single" w:color="000000" w:sz="12" w:space="0"/>
                    <w:left w:val="single" w:color="000000" w:sz="4" w:space="0"/>
                    <w:bottom w:val="single" w:color="000000" w:sz="4" w:space="0"/>
                    <w:right w:val="single" w:color="000000" w:sz="12" w:space="0"/>
                  </w:tcBorders>
                  <w:vAlign w:val="center"/>
                </w:tcPr>
                <w:p>
                  <w:pPr>
                    <w:widowControl/>
                    <w:autoSpaceDE w:val="0"/>
                    <w:autoSpaceDN w:val="0"/>
                    <w:snapToGrid w:val="0"/>
                    <w:jc w:val="center"/>
                    <w:rPr>
                      <w:bCs/>
                      <w:sz w:val="24"/>
                    </w:rPr>
                  </w:pPr>
                  <w:r>
                    <w:rPr>
                      <w:rFonts w:hint="eastAsia"/>
                      <w:bCs/>
                      <w:sz w:val="24"/>
                    </w:rPr>
                    <w:t>健康危害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0" w:hRule="atLeast"/>
                <w:jc w:val="center"/>
              </w:trPr>
              <w:tc>
                <w:tcPr>
                  <w:tcW w:w="528"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聚对苯二甲酸乙二醇酯（</w:t>
                  </w:r>
                  <w:r>
                    <w:rPr>
                      <w:bCs/>
                      <w:sz w:val="24"/>
                    </w:rPr>
                    <w:t>PET</w:t>
                  </w:r>
                  <w:r>
                    <w:rPr>
                      <w:rFonts w:hint="eastAsia"/>
                      <w:bCs/>
                      <w:sz w:val="24"/>
                    </w:rPr>
                    <w:t>）</w:t>
                  </w:r>
                </w:p>
              </w:tc>
              <w:tc>
                <w:tcPr>
                  <w:tcW w:w="848"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bCs/>
                      <w:sz w:val="24"/>
                    </w:rPr>
                  </w:pPr>
                  <w:r>
                    <w:rPr>
                      <w:bCs/>
                      <w:sz w:val="24"/>
                    </w:rPr>
                    <w:t>(C10H8O4)n</w:t>
                  </w:r>
                </w:p>
              </w:tc>
              <w:tc>
                <w:tcPr>
                  <w:tcW w:w="2161" w:type="pct"/>
                  <w:tcBorders>
                    <w:top w:val="single" w:color="000000" w:sz="4" w:space="0"/>
                    <w:left w:val="single" w:color="000000" w:sz="4" w:space="0"/>
                    <w:bottom w:val="single" w:color="000000" w:sz="4" w:space="0"/>
                    <w:right w:val="single" w:color="000000" w:sz="4" w:space="0"/>
                  </w:tcBorders>
                  <w:vAlign w:val="center"/>
                </w:tcPr>
                <w:p>
                  <w:pPr>
                    <w:autoSpaceDE w:val="0"/>
                    <w:autoSpaceDN w:val="0"/>
                    <w:rPr>
                      <w:bCs/>
                      <w:sz w:val="24"/>
                    </w:rPr>
                  </w:pPr>
                  <w:r>
                    <w:rPr>
                      <w:rFonts w:hint="eastAsia"/>
                      <w:bCs/>
                      <w:sz w:val="24"/>
                    </w:rPr>
                    <w:t>由</w:t>
                  </w:r>
                  <w:r>
                    <w:fldChar w:fldCharType="begin"/>
                  </w:r>
                  <w:r>
                    <w:instrText xml:space="preserve"> HYPERLINK "https://baike.baidu.com/item/%E5%AF%B9%E8%8B%AF%E4%BA%8C%E7%94%B2%E9%85%B8%E4%BA%8C%E7%94%B2%E9%85%AF/9489148?fromModule=lemma_inlink" \t "https://baike.baidu.com/item/%E8%81%9A%E5%AF%B9%E8%8B%AF%E4%BA%8C%E7%94%B2%E9%85%B8%E4%B9%99%E4%BA%8C%E9%86%87%E9%85%AF/_blank" </w:instrText>
                  </w:r>
                  <w:r>
                    <w:fldChar w:fldCharType="separate"/>
                  </w:r>
                  <w:r>
                    <w:rPr>
                      <w:rFonts w:hint="eastAsia"/>
                      <w:bCs/>
                      <w:sz w:val="24"/>
                    </w:rPr>
                    <w:t>对苯二甲酸二甲酯</w:t>
                  </w:r>
                  <w:r>
                    <w:rPr>
                      <w:rFonts w:hint="eastAsia"/>
                      <w:bCs/>
                      <w:sz w:val="24"/>
                    </w:rPr>
                    <w:fldChar w:fldCharType="end"/>
                  </w:r>
                  <w:r>
                    <w:rPr>
                      <w:rFonts w:hint="eastAsia"/>
                      <w:bCs/>
                      <w:sz w:val="24"/>
                    </w:rPr>
                    <w:t>与乙二醇酯交换或以</w:t>
                  </w:r>
                  <w:r>
                    <w:fldChar w:fldCharType="begin"/>
                  </w:r>
                  <w:r>
                    <w:instrText xml:space="preserve"> HYPERLINK "https://baike.baidu.com/item/%E5%AF%B9%E8%8B%AF%E4%BA%8C%E7%94%B2%E9%85%B8/5871407?fromModule=lemma_inlink" \t "https://baike.baidu.com/item/%E8%81%9A%E5%AF%B9%E8%8B%AF%E4%BA%8C%E7%94%B2%E9%85%B8%E4%B9%99%E4%BA%8C%E9%86%87%E9%85%AF/_blank" </w:instrText>
                  </w:r>
                  <w:r>
                    <w:fldChar w:fldCharType="separate"/>
                  </w:r>
                  <w:r>
                    <w:rPr>
                      <w:rFonts w:hint="eastAsia"/>
                      <w:bCs/>
                      <w:sz w:val="24"/>
                    </w:rPr>
                    <w:t>对苯二甲酸</w:t>
                  </w:r>
                  <w:r>
                    <w:rPr>
                      <w:rFonts w:hint="eastAsia"/>
                      <w:bCs/>
                      <w:sz w:val="24"/>
                    </w:rPr>
                    <w:fldChar w:fldCharType="end"/>
                  </w:r>
                  <w:r>
                    <w:rPr>
                      <w:rFonts w:hint="eastAsia"/>
                      <w:bCs/>
                      <w:sz w:val="24"/>
                    </w:rPr>
                    <w:t>与乙二醇酯化先合成对苯二甲酸双羟乙酯，然后再进行</w:t>
                  </w:r>
                  <w:r>
                    <w:fldChar w:fldCharType="begin"/>
                  </w:r>
                  <w:r>
                    <w:instrText xml:space="preserve"> HYPERLINK "https://baike.baidu.com/item/%E7%BC%A9%E8%81%9A%E5%8F%8D%E5%BA%94/311202?fromModule=lemma_inlink" \t "https://baike.baidu.com/item/%E8%81%9A%E5%AF%B9%E8%8B%AF%E4%BA%8C%E7%94%B2%E9%85%B8%E4%B9%99%E4%BA%8C%E9%86%87%E9%85%AF/_blank" </w:instrText>
                  </w:r>
                  <w:r>
                    <w:fldChar w:fldCharType="separate"/>
                  </w:r>
                  <w:r>
                    <w:rPr>
                      <w:rFonts w:hint="eastAsia"/>
                      <w:bCs/>
                      <w:sz w:val="24"/>
                    </w:rPr>
                    <w:t>缩聚反应</w:t>
                  </w:r>
                  <w:r>
                    <w:rPr>
                      <w:rFonts w:hint="eastAsia"/>
                      <w:bCs/>
                      <w:sz w:val="24"/>
                    </w:rPr>
                    <w:fldChar w:fldCharType="end"/>
                  </w:r>
                  <w:r>
                    <w:rPr>
                      <w:rFonts w:hint="eastAsia"/>
                      <w:bCs/>
                      <w:sz w:val="24"/>
                    </w:rPr>
                    <w:t>制得。属结晶型饱和聚酯，为乳白色或浅黄色、高度结晶的聚合物，表面平滑有光泽，是生活中常见的一种树脂，可以分为</w:t>
                  </w:r>
                  <w:r>
                    <w:fldChar w:fldCharType="begin"/>
                  </w:r>
                  <w:r>
                    <w:instrText xml:space="preserve"> HYPERLINK "https://baike.baidu.com/item/APET/648218?fromModule=lemma_inlink" \t "https://baike.baidu.com/item/%E8%81%9A%E5%AF%B9%E8%8B%AF%E4%BA%8C%E7%94%B2%E9%85%B8%E4%B9%99%E4%BA%8C%E9%86%87%E9%85%AF/_blank" </w:instrText>
                  </w:r>
                  <w:r>
                    <w:fldChar w:fldCharType="separate"/>
                  </w:r>
                  <w:r>
                    <w:rPr>
                      <w:bCs/>
                      <w:sz w:val="24"/>
                    </w:rPr>
                    <w:t>APET</w:t>
                  </w:r>
                  <w:r>
                    <w:rPr>
                      <w:bCs/>
                      <w:sz w:val="24"/>
                    </w:rPr>
                    <w:fldChar w:fldCharType="end"/>
                  </w:r>
                  <w:r>
                    <w:rPr>
                      <w:rFonts w:hint="eastAsia"/>
                      <w:bCs/>
                      <w:sz w:val="24"/>
                    </w:rPr>
                    <w:t>、</w:t>
                  </w:r>
                  <w:r>
                    <w:fldChar w:fldCharType="begin"/>
                  </w:r>
                  <w:r>
                    <w:instrText xml:space="preserve"> HYPERLINK "https://baike.baidu.com/item/RPET/9057006?fromModule=lemma_inlink" \t "https://baike.baidu.com/item/%E8%81%9A%E5%AF%B9%E8%8B%AF%E4%BA%8C%E7%94%B2%E9%85%B8%E4%B9%99%E4%BA%8C%E9%86%87%E9%85%AF/_blank" </w:instrText>
                  </w:r>
                  <w:r>
                    <w:fldChar w:fldCharType="separate"/>
                  </w:r>
                  <w:r>
                    <w:rPr>
                      <w:bCs/>
                      <w:sz w:val="24"/>
                    </w:rPr>
                    <w:t>RPET</w:t>
                  </w:r>
                  <w:r>
                    <w:rPr>
                      <w:bCs/>
                      <w:sz w:val="24"/>
                    </w:rPr>
                    <w:fldChar w:fldCharType="end"/>
                  </w:r>
                  <w:r>
                    <w:rPr>
                      <w:rFonts w:hint="eastAsia"/>
                      <w:bCs/>
                      <w:sz w:val="24"/>
                    </w:rPr>
                    <w:t>和</w:t>
                  </w:r>
                  <w:r>
                    <w:fldChar w:fldCharType="begin"/>
                  </w:r>
                  <w:r>
                    <w:instrText xml:space="preserve"> HYPERLINK "https://baike.baidu.com/item/PETG/2107282?fromModule=lemma_inlink" \t "https://baike.baidu.com/item/%E8%81%9A%E5%AF%B9%E8%8B%AF%E4%BA%8C%E7%94%B2%E9%85%B8%E4%B9%99%E4%BA%8C%E9%86%87%E9%85%AF/_blank" </w:instrText>
                  </w:r>
                  <w:r>
                    <w:fldChar w:fldCharType="separate"/>
                  </w:r>
                  <w:r>
                    <w:rPr>
                      <w:bCs/>
                      <w:sz w:val="24"/>
                    </w:rPr>
                    <w:t>PETG</w:t>
                  </w:r>
                  <w:r>
                    <w:rPr>
                      <w:bCs/>
                      <w:sz w:val="24"/>
                    </w:rPr>
                    <w:fldChar w:fldCharType="end"/>
                  </w:r>
                  <w:r>
                    <w:rPr>
                      <w:rFonts w:hint="eastAsia"/>
                      <w:bCs/>
                      <w:sz w:val="24"/>
                    </w:rPr>
                    <w:t>，熔点</w:t>
                  </w:r>
                  <w:r>
                    <w:rPr>
                      <w:bCs/>
                      <w:sz w:val="24"/>
                    </w:rPr>
                    <w:t>250~255</w:t>
                  </w:r>
                  <w:r>
                    <w:rPr>
                      <w:rFonts w:hint="eastAsia"/>
                      <w:bCs/>
                      <w:sz w:val="24"/>
                    </w:rPr>
                    <w:t>℃，耐油、耐脂肪、耐稀酸、稀碱，耐大多数溶剂。无毒、无味，卫生安全性好，可直接用于食品包装</w:t>
                  </w:r>
                </w:p>
              </w:tc>
              <w:tc>
                <w:tcPr>
                  <w:tcW w:w="1461" w:type="pct"/>
                  <w:tcBorders>
                    <w:top w:val="single" w:color="000000" w:sz="4" w:space="0"/>
                    <w:left w:val="single" w:color="000000" w:sz="4" w:space="0"/>
                    <w:bottom w:val="single" w:color="000000" w:sz="4" w:space="0"/>
                    <w:right w:val="single" w:color="000000" w:sz="12" w:space="0"/>
                  </w:tcBorders>
                  <w:vAlign w:val="center"/>
                </w:tcPr>
                <w:p>
                  <w:pPr>
                    <w:autoSpaceDE w:val="0"/>
                    <w:autoSpaceDN w:val="0"/>
                    <w:rPr>
                      <w:bCs/>
                      <w:sz w:val="24"/>
                    </w:rPr>
                  </w:pPr>
                  <w:r>
                    <w:rPr>
                      <w:rFonts w:hint="eastAsia"/>
                      <w:bCs/>
                      <w:sz w:val="24"/>
                    </w:rPr>
                    <w:t>无毒、无味，卫生安全性好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120" w:hRule="atLeast"/>
                <w:jc w:val="center"/>
              </w:trPr>
              <w:tc>
                <w:tcPr>
                  <w:tcW w:w="528"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改性异氰酸酯（</w:t>
                  </w:r>
                  <w:r>
                    <w:rPr>
                      <w:bCs/>
                      <w:sz w:val="24"/>
                    </w:rPr>
                    <w:t>B</w:t>
                  </w:r>
                  <w:r>
                    <w:rPr>
                      <w:rFonts w:hint="eastAsia"/>
                      <w:bCs/>
                      <w:sz w:val="24"/>
                    </w:rPr>
                    <w:t>料）</w:t>
                  </w:r>
                </w:p>
              </w:tc>
              <w:tc>
                <w:tcPr>
                  <w:tcW w:w="848"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bCs/>
                      <w:sz w:val="24"/>
                    </w:rPr>
                  </w:pPr>
                  <w:r>
                    <w:rPr>
                      <w:bCs/>
                      <w:sz w:val="24"/>
                    </w:rPr>
                    <w:t>/</w:t>
                  </w:r>
                </w:p>
              </w:tc>
              <w:tc>
                <w:tcPr>
                  <w:tcW w:w="2161"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bCs/>
                      <w:sz w:val="24"/>
                    </w:rPr>
                  </w:pPr>
                  <w:r>
                    <w:rPr>
                      <w:rFonts w:hint="eastAsia"/>
                      <w:bCs/>
                      <w:sz w:val="24"/>
                    </w:rPr>
                    <w:t>本项目使用的改性异氰酸酯由若以－</w:t>
                  </w:r>
                  <w:r>
                    <w:rPr>
                      <w:bCs/>
                      <w:sz w:val="24"/>
                    </w:rPr>
                    <w:t>NCO</w:t>
                  </w:r>
                  <w:r>
                    <w:rPr>
                      <w:rFonts w:hint="eastAsia"/>
                      <w:bCs/>
                      <w:sz w:val="24"/>
                    </w:rPr>
                    <w:t>基团的数量分类，包括单异氰酸酯</w:t>
                  </w:r>
                  <w:r>
                    <w:rPr>
                      <w:bCs/>
                      <w:sz w:val="24"/>
                    </w:rPr>
                    <w:t>R</w:t>
                  </w:r>
                  <w:r>
                    <w:rPr>
                      <w:rFonts w:hint="eastAsia"/>
                      <w:bCs/>
                      <w:sz w:val="24"/>
                    </w:rPr>
                    <w:t>－</w:t>
                  </w:r>
                  <w:r>
                    <w:rPr>
                      <w:bCs/>
                      <w:sz w:val="24"/>
                    </w:rPr>
                    <w:t>N=C=O</w:t>
                  </w:r>
                  <w:r>
                    <w:rPr>
                      <w:rFonts w:hint="eastAsia"/>
                      <w:bCs/>
                      <w:sz w:val="24"/>
                    </w:rPr>
                    <w:t>和二异氰酸酯</w:t>
                  </w:r>
                  <w:r>
                    <w:rPr>
                      <w:bCs/>
                      <w:sz w:val="24"/>
                    </w:rPr>
                    <w:t>O=C=N</w:t>
                  </w:r>
                  <w:r>
                    <w:rPr>
                      <w:rFonts w:hint="eastAsia"/>
                      <w:bCs/>
                      <w:sz w:val="24"/>
                    </w:rPr>
                    <w:t>－</w:t>
                  </w:r>
                  <w:r>
                    <w:rPr>
                      <w:bCs/>
                      <w:sz w:val="24"/>
                    </w:rPr>
                    <w:t>R</w:t>
                  </w:r>
                  <w:r>
                    <w:rPr>
                      <w:rFonts w:hint="eastAsia"/>
                      <w:bCs/>
                      <w:sz w:val="24"/>
                    </w:rPr>
                    <w:t>－</w:t>
                  </w:r>
                  <w:r>
                    <w:rPr>
                      <w:bCs/>
                      <w:sz w:val="24"/>
                    </w:rPr>
                    <w:t>N=C=O</w:t>
                  </w:r>
                  <w:r>
                    <w:rPr>
                      <w:rFonts w:hint="eastAsia"/>
                      <w:bCs/>
                      <w:sz w:val="24"/>
                    </w:rPr>
                    <w:t>及多异氰酸酯等。异氰酸酯组合料为淡黄色液体，轻微气味，。</w:t>
                  </w:r>
                  <w:r>
                    <w:rPr>
                      <w:bCs/>
                      <w:sz w:val="24"/>
                    </w:rPr>
                    <w:t>15</w:t>
                  </w:r>
                  <w:r>
                    <w:rPr>
                      <w:rFonts w:hint="eastAsia"/>
                      <w:bCs/>
                      <w:sz w:val="24"/>
                    </w:rPr>
                    <w:t>℃时水中溶解度</w:t>
                  </w:r>
                  <w:r>
                    <w:rPr>
                      <w:bCs/>
                      <w:sz w:val="24"/>
                    </w:rPr>
                    <w:t>1%</w:t>
                  </w:r>
                  <w:r>
                    <w:rPr>
                      <w:rFonts w:hint="eastAsia"/>
                      <w:bCs/>
                      <w:sz w:val="24"/>
                    </w:rPr>
                    <w:t>，</w:t>
                  </w:r>
                  <w:r>
                    <w:rPr>
                      <w:bCs/>
                      <w:sz w:val="24"/>
                    </w:rPr>
                    <w:t>20</w:t>
                  </w:r>
                  <w:r>
                    <w:rPr>
                      <w:rFonts w:hint="eastAsia"/>
                      <w:bCs/>
                      <w:sz w:val="24"/>
                    </w:rPr>
                    <w:t>℃时</w:t>
                  </w:r>
                  <w:r>
                    <w:rPr>
                      <w:bCs/>
                      <w:sz w:val="24"/>
                    </w:rPr>
                    <w:t>6.7%</w:t>
                  </w:r>
                  <w:r>
                    <w:rPr>
                      <w:rFonts w:hint="eastAsia"/>
                      <w:bCs/>
                      <w:sz w:val="24"/>
                    </w:rPr>
                    <w:t>。容易与包含有活泼氢原子的化合物：胺、水、醇、酸、碱发生反应。遇热、明火、氧化剂易燃。燃烧时释放出</w:t>
                  </w:r>
                  <w:r>
                    <w:rPr>
                      <w:bCs/>
                      <w:sz w:val="24"/>
                    </w:rPr>
                    <w:t>MIC</w:t>
                  </w:r>
                  <w:r>
                    <w:rPr>
                      <w:rFonts w:hint="eastAsia"/>
                      <w:bCs/>
                      <w:sz w:val="24"/>
                    </w:rPr>
                    <w:t>蒸气，氮氧化物、一氧化碳和氰化氢。高温下裂解可形成氰化氢（安全技术说明书详见附件</w:t>
                  </w:r>
                  <w:r>
                    <w:rPr>
                      <w:bCs/>
                      <w:sz w:val="24"/>
                    </w:rPr>
                    <w:t>5</w:t>
                  </w:r>
                  <w:r>
                    <w:rPr>
                      <w:rFonts w:hint="eastAsia"/>
                      <w:bCs/>
                      <w:sz w:val="24"/>
                    </w:rPr>
                    <w:t>）。</w:t>
                  </w:r>
                </w:p>
              </w:tc>
              <w:tc>
                <w:tcPr>
                  <w:tcW w:w="1461" w:type="pct"/>
                  <w:tcBorders>
                    <w:top w:val="single" w:color="000000" w:sz="4" w:space="0"/>
                    <w:left w:val="single" w:color="000000" w:sz="4" w:space="0"/>
                    <w:bottom w:val="single" w:color="000000" w:sz="4" w:space="0"/>
                    <w:right w:val="single" w:color="000000" w:sz="12" w:space="0"/>
                  </w:tcBorders>
                  <w:vAlign w:val="center"/>
                </w:tcPr>
                <w:p>
                  <w:pPr>
                    <w:autoSpaceDE w:val="0"/>
                    <w:autoSpaceDN w:val="0"/>
                    <w:jc w:val="center"/>
                    <w:rPr>
                      <w:bCs/>
                      <w:sz w:val="24"/>
                    </w:rPr>
                  </w:pPr>
                  <w:r>
                    <w:rPr>
                      <w:rFonts w:hint="eastAsia"/>
                      <w:bCs/>
                      <w:sz w:val="24"/>
                    </w:rPr>
                    <w:t>低浓度引起流泪和咳嗽，高浓度可引起眼红肿和化学性灼伤。也能破坏鼻粘膜，使嗅觉丧失，上呼吸道黏膜也可致化学损伤。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528"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组合聚醚（</w:t>
                  </w:r>
                  <w:r>
                    <w:rPr>
                      <w:bCs/>
                      <w:sz w:val="24"/>
                    </w:rPr>
                    <w:t>A</w:t>
                  </w:r>
                  <w:r>
                    <w:rPr>
                      <w:rFonts w:hint="eastAsia"/>
                      <w:bCs/>
                      <w:sz w:val="24"/>
                    </w:rPr>
                    <w:t>料）</w:t>
                  </w:r>
                </w:p>
              </w:tc>
              <w:tc>
                <w:tcPr>
                  <w:tcW w:w="848"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bCs/>
                      <w:sz w:val="24"/>
                    </w:rPr>
                  </w:pPr>
                  <w:r>
                    <w:rPr>
                      <w:bCs/>
                      <w:sz w:val="24"/>
                    </w:rPr>
                    <w:t>/</w:t>
                  </w:r>
                </w:p>
              </w:tc>
              <w:tc>
                <w:tcPr>
                  <w:tcW w:w="2161" w:type="pct"/>
                  <w:tcBorders>
                    <w:top w:val="single" w:color="000000" w:sz="4" w:space="0"/>
                    <w:left w:val="single" w:color="000000" w:sz="4" w:space="0"/>
                    <w:bottom w:val="single" w:color="000000" w:sz="4" w:space="0"/>
                    <w:right w:val="single" w:color="000000" w:sz="4" w:space="0"/>
                  </w:tcBorders>
                  <w:vAlign w:val="center"/>
                </w:tcPr>
                <w:p>
                  <w:pPr>
                    <w:autoSpaceDE w:val="0"/>
                    <w:autoSpaceDN w:val="0"/>
                    <w:rPr>
                      <w:bCs/>
                      <w:sz w:val="24"/>
                    </w:rPr>
                  </w:pPr>
                  <w:r>
                    <w:rPr>
                      <w:rFonts w:hint="eastAsia"/>
                      <w:bCs/>
                      <w:sz w:val="24"/>
                    </w:rPr>
                    <w:t>由聚醚单体、匀泡剂、交联剂、催化剂、发泡剂等多种组份组合而成。棕黄色粘稠液体，</w:t>
                  </w:r>
                  <w:r>
                    <w:fldChar w:fldCharType="begin"/>
                  </w:r>
                  <w:r>
                    <w:instrText xml:space="preserve"> HYPERLINK "https://baike.baidu.com/item/%E8%81%9A%E6%B0%A8%E9%85%AF%E7%A1%AC%E6%B3%A1/4064686?fromModule=lemma_inlink" \t "https://baike.baidu.com/item/%E7%BB%84%E5%90%88%E8%81%9A%E9%86%9A/_blank" </w:instrText>
                  </w:r>
                  <w:r>
                    <w:fldChar w:fldCharType="separate"/>
                  </w:r>
                  <w:r>
                    <w:rPr>
                      <w:rFonts w:hint="eastAsia"/>
                      <w:bCs/>
                      <w:sz w:val="24"/>
                    </w:rPr>
                    <w:t>聚氨酯硬泡</w:t>
                  </w:r>
                  <w:r>
                    <w:rPr>
                      <w:rFonts w:hint="eastAsia"/>
                      <w:bCs/>
                      <w:sz w:val="24"/>
                    </w:rPr>
                    <w:fldChar w:fldCharType="end"/>
                  </w:r>
                  <w:r>
                    <w:rPr>
                      <w:rFonts w:hint="eastAsia"/>
                      <w:bCs/>
                      <w:sz w:val="24"/>
                    </w:rPr>
                    <w:t>的主要原料之一，又称白料。适用于建筑保温、保冷、太阳能、热水器、冷库、恒温库、啤酒罐、冷藏等需要保温保冷的各种场合（安全技术说明书详见附件</w:t>
                  </w:r>
                  <w:r>
                    <w:rPr>
                      <w:bCs/>
                      <w:sz w:val="24"/>
                    </w:rPr>
                    <w:t>6</w:t>
                  </w:r>
                  <w:r>
                    <w:rPr>
                      <w:rFonts w:hint="eastAsia"/>
                      <w:bCs/>
                      <w:sz w:val="24"/>
                    </w:rPr>
                    <w:t>）。</w:t>
                  </w:r>
                </w:p>
              </w:tc>
              <w:tc>
                <w:tcPr>
                  <w:tcW w:w="1461" w:type="pct"/>
                  <w:tcBorders>
                    <w:top w:val="single" w:color="000000" w:sz="4" w:space="0"/>
                    <w:left w:val="single" w:color="000000" w:sz="4" w:space="0"/>
                    <w:bottom w:val="single" w:color="000000" w:sz="4" w:space="0"/>
                    <w:right w:val="single" w:color="000000" w:sz="12" w:space="0"/>
                  </w:tcBorders>
                  <w:vAlign w:val="center"/>
                </w:tcPr>
                <w:p>
                  <w:pPr>
                    <w:autoSpaceDE w:val="0"/>
                    <w:autoSpaceDN w:val="0"/>
                    <w:rPr>
                      <w:bCs/>
                      <w:sz w:val="24"/>
                    </w:rPr>
                  </w:pPr>
                  <w:r>
                    <w:rPr>
                      <w:rFonts w:hint="eastAsia"/>
                      <w:bCs/>
                      <w:sz w:val="24"/>
                    </w:rPr>
                    <w:t>直接接触可导致中毒眼睛刺激和轻微的皮肤刺激，可造成皮肤过敏。反复吸入高浓度的蒸气会引起呼吸道过敏。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528"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石墨</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napToGrid w:val="0"/>
                    <w:jc w:val="center"/>
                    <w:rPr>
                      <w:bCs/>
                      <w:sz w:val="24"/>
                    </w:rPr>
                  </w:pPr>
                  <w:r>
                    <w:rPr>
                      <w:bCs/>
                      <w:sz w:val="24"/>
                    </w:rPr>
                    <w:t>C</w:t>
                  </w:r>
                </w:p>
              </w:tc>
              <w:tc>
                <w:tcPr>
                  <w:tcW w:w="2161"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napToGrid w:val="0"/>
                    <w:jc w:val="center"/>
                    <w:rPr>
                      <w:bCs/>
                      <w:sz w:val="24"/>
                    </w:rPr>
                  </w:pPr>
                  <w:r>
                    <w:rPr>
                      <w:rFonts w:hint="eastAsia"/>
                      <w:bCs/>
                      <w:sz w:val="24"/>
                    </w:rPr>
                    <w:t>石墨是碳的一种</w:t>
                  </w:r>
                  <w:r>
                    <w:fldChar w:fldCharType="begin"/>
                  </w:r>
                  <w:r>
                    <w:instrText xml:space="preserve"> HYPERLINK "https://baike.baidu.com/item/%E5%90%8C%E7%B4%A0%E5%BC%82%E5%BD%A2%E4%BD%93/1512221?fromModule=lemma_inlink" \t "https://baike.baidu.com/item/%E7%9F%B3%E5%A2%A8/_blank" </w:instrText>
                  </w:r>
                  <w:r>
                    <w:fldChar w:fldCharType="separate"/>
                  </w:r>
                  <w:r>
                    <w:rPr>
                      <w:rFonts w:hint="eastAsia"/>
                      <w:bCs/>
                      <w:sz w:val="24"/>
                    </w:rPr>
                    <w:t>同素异形体</w:t>
                  </w:r>
                  <w:r>
                    <w:rPr>
                      <w:rFonts w:hint="eastAsia"/>
                      <w:bCs/>
                      <w:sz w:val="24"/>
                    </w:rPr>
                    <w:fldChar w:fldCharType="end"/>
                  </w:r>
                  <w:r>
                    <w:rPr>
                      <w:rFonts w:hint="eastAsia"/>
                      <w:bCs/>
                      <w:sz w:val="24"/>
                    </w:rPr>
                    <w:t>，为灰黑色、不透明固体，化学性质稳定，耐腐蚀耐高温，同酸、碱等药剂不易发生反应。</w:t>
                  </w:r>
                </w:p>
              </w:tc>
              <w:tc>
                <w:tcPr>
                  <w:tcW w:w="1461" w:type="pct"/>
                  <w:tcBorders>
                    <w:top w:val="single" w:color="000000" w:sz="4" w:space="0"/>
                    <w:left w:val="single" w:color="000000" w:sz="4" w:space="0"/>
                    <w:bottom w:val="single" w:color="000000" w:sz="4" w:space="0"/>
                    <w:right w:val="single" w:color="000000" w:sz="12" w:space="0"/>
                  </w:tcBorders>
                  <w:vAlign w:val="center"/>
                </w:tcPr>
                <w:p>
                  <w:pPr>
                    <w:widowControl/>
                    <w:autoSpaceDE w:val="0"/>
                    <w:autoSpaceDN w:val="0"/>
                    <w:snapToGrid w:val="0"/>
                    <w:jc w:val="center"/>
                    <w:rPr>
                      <w:bCs/>
                      <w:sz w:val="24"/>
                    </w:rPr>
                  </w:pPr>
                  <w:r>
                    <w:rPr>
                      <w:rFonts w:hint="eastAsia"/>
                      <w:bCs/>
                      <w:sz w:val="24"/>
                    </w:rPr>
                    <w:t>无毒无害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88" w:hRule="atLeast"/>
                <w:jc w:val="center"/>
              </w:trPr>
              <w:tc>
                <w:tcPr>
                  <w:tcW w:w="528" w:type="pct"/>
                  <w:tcBorders>
                    <w:top w:val="single" w:color="000000" w:sz="4" w:space="0"/>
                    <w:left w:val="single" w:color="000000" w:sz="12" w:space="0"/>
                    <w:bottom w:val="single" w:color="000000" w:sz="12" w:space="0"/>
                    <w:right w:val="single" w:color="000000" w:sz="4" w:space="0"/>
                  </w:tcBorders>
                  <w:vAlign w:val="center"/>
                </w:tcPr>
                <w:p>
                  <w:pPr>
                    <w:widowControl/>
                    <w:autoSpaceDE w:val="0"/>
                    <w:autoSpaceDN w:val="0"/>
                    <w:snapToGrid w:val="0"/>
                    <w:jc w:val="center"/>
                    <w:rPr>
                      <w:bCs/>
                      <w:sz w:val="24"/>
                    </w:rPr>
                  </w:pPr>
                  <w:r>
                    <w:rPr>
                      <w:rFonts w:hint="eastAsia"/>
                      <w:bCs/>
                      <w:sz w:val="24"/>
                    </w:rPr>
                    <w:t>脱模剂</w:t>
                  </w:r>
                </w:p>
              </w:tc>
              <w:tc>
                <w:tcPr>
                  <w:tcW w:w="848" w:type="pct"/>
                  <w:tcBorders>
                    <w:top w:val="single" w:color="000000" w:sz="4" w:space="0"/>
                    <w:left w:val="single" w:color="000000" w:sz="4" w:space="0"/>
                    <w:bottom w:val="single" w:color="000000" w:sz="12" w:space="0"/>
                    <w:right w:val="single" w:color="000000" w:sz="4" w:space="0"/>
                  </w:tcBorders>
                  <w:vAlign w:val="center"/>
                </w:tcPr>
                <w:p>
                  <w:pPr>
                    <w:widowControl/>
                    <w:autoSpaceDE w:val="0"/>
                    <w:autoSpaceDN w:val="0"/>
                    <w:snapToGrid w:val="0"/>
                    <w:jc w:val="center"/>
                    <w:rPr>
                      <w:bCs/>
                      <w:sz w:val="24"/>
                    </w:rPr>
                  </w:pPr>
                  <w:r>
                    <w:rPr>
                      <w:rFonts w:hint="eastAsia"/>
                      <w:bCs/>
                      <w:sz w:val="24"/>
                    </w:rPr>
                    <w:t>混合物</w:t>
                  </w:r>
                </w:p>
              </w:tc>
              <w:tc>
                <w:tcPr>
                  <w:tcW w:w="2161" w:type="pct"/>
                  <w:tcBorders>
                    <w:top w:val="single" w:color="000000" w:sz="4" w:space="0"/>
                    <w:left w:val="single" w:color="000000" w:sz="4" w:space="0"/>
                    <w:bottom w:val="single" w:color="000000" w:sz="12" w:space="0"/>
                    <w:right w:val="single" w:color="000000" w:sz="4" w:space="0"/>
                  </w:tcBorders>
                  <w:vAlign w:val="center"/>
                </w:tcPr>
                <w:p>
                  <w:pPr>
                    <w:widowControl/>
                    <w:autoSpaceDE w:val="0"/>
                    <w:autoSpaceDN w:val="0"/>
                    <w:snapToGrid w:val="0"/>
                    <w:jc w:val="center"/>
                    <w:rPr>
                      <w:bCs/>
                      <w:sz w:val="24"/>
                    </w:rPr>
                  </w:pPr>
                  <w:r>
                    <w:rPr>
                      <w:rFonts w:hint="eastAsia"/>
                      <w:bCs/>
                      <w:sz w:val="24"/>
                    </w:rPr>
                    <w:t>主要成分石蜡（</w:t>
                  </w:r>
                  <w:r>
                    <w:rPr>
                      <w:bCs/>
                      <w:sz w:val="24"/>
                    </w:rPr>
                    <w:t>1~15%</w:t>
                  </w:r>
                  <w:r>
                    <w:rPr>
                      <w:rFonts w:hint="eastAsia"/>
                      <w:bCs/>
                      <w:sz w:val="24"/>
                    </w:rPr>
                    <w:t>）、加氢处理重石脑油（</w:t>
                  </w:r>
                  <w:r>
                    <w:rPr>
                      <w:bCs/>
                      <w:sz w:val="24"/>
                    </w:rPr>
                    <w:t>85~99%</w:t>
                  </w:r>
                  <w:r>
                    <w:rPr>
                      <w:rFonts w:hint="eastAsia"/>
                      <w:bCs/>
                      <w:sz w:val="24"/>
                    </w:rPr>
                    <w:t>）、白色乳状液体，雨水混溶，可混用于醇、酮、烃类，不燃（安全技术说明书详见附件</w:t>
                  </w:r>
                  <w:r>
                    <w:rPr>
                      <w:bCs/>
                      <w:sz w:val="24"/>
                    </w:rPr>
                    <w:t>7</w:t>
                  </w:r>
                  <w:r>
                    <w:rPr>
                      <w:rFonts w:hint="eastAsia"/>
                      <w:bCs/>
                      <w:sz w:val="24"/>
                    </w:rPr>
                    <w:t>）。</w:t>
                  </w:r>
                </w:p>
              </w:tc>
              <w:tc>
                <w:tcPr>
                  <w:tcW w:w="1461" w:type="pct"/>
                  <w:tcBorders>
                    <w:top w:val="single" w:color="000000" w:sz="4" w:space="0"/>
                    <w:left w:val="single" w:color="000000" w:sz="4" w:space="0"/>
                    <w:bottom w:val="single" w:color="000000" w:sz="12" w:space="0"/>
                    <w:right w:val="single" w:color="000000" w:sz="12" w:space="0"/>
                  </w:tcBorders>
                  <w:vAlign w:val="center"/>
                </w:tcPr>
                <w:p>
                  <w:pPr>
                    <w:widowControl/>
                    <w:autoSpaceDE w:val="0"/>
                    <w:autoSpaceDN w:val="0"/>
                    <w:snapToGrid w:val="0"/>
                    <w:jc w:val="center"/>
                    <w:rPr>
                      <w:bCs/>
                      <w:sz w:val="24"/>
                    </w:rPr>
                  </w:pPr>
                  <w:r>
                    <w:rPr>
                      <w:rFonts w:hint="eastAsia"/>
                      <w:bCs/>
                      <w:sz w:val="24"/>
                    </w:rPr>
                    <w:t>无毒无害</w:t>
                  </w:r>
                </w:p>
              </w:tc>
            </w:tr>
          </w:tbl>
          <w:p>
            <w:pPr>
              <w:adjustRightInd w:val="0"/>
              <w:snapToGrid w:val="0"/>
              <w:jc w:val="center"/>
              <w:rPr>
                <w:bCs/>
                <w:sz w:val="24"/>
              </w:rPr>
            </w:pPr>
            <w:r>
              <w:rPr>
                <w:rFonts w:hint="eastAsia"/>
                <w:bCs/>
                <w:sz w:val="24"/>
              </w:rPr>
              <w:t>表</w:t>
            </w:r>
            <w:r>
              <w:rPr>
                <w:bCs/>
                <w:sz w:val="24"/>
              </w:rPr>
              <w:t xml:space="preserve">2-5   </w:t>
            </w:r>
            <w:r>
              <w:rPr>
                <w:rFonts w:hint="eastAsia"/>
                <w:bCs/>
                <w:sz w:val="24"/>
              </w:rPr>
              <w:t>改性异氰酸酯组成及主要理化性质</w:t>
            </w:r>
          </w:p>
          <w:tbl>
            <w:tblPr>
              <w:tblStyle w:val="1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230"/>
              <w:gridCol w:w="914"/>
              <w:gridCol w:w="854"/>
              <w:gridCol w:w="1125"/>
              <w:gridCol w:w="1329"/>
              <w:gridCol w:w="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主要成分</w:t>
                  </w:r>
                </w:p>
              </w:tc>
              <w:tc>
                <w:tcPr>
                  <w:tcW w:w="777"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CAS</w:t>
                  </w:r>
                  <w:r>
                    <w:rPr>
                      <w:rFonts w:hint="eastAsia"/>
                      <w:bCs/>
                      <w:sz w:val="24"/>
                    </w:rPr>
                    <w:t>号</w:t>
                  </w:r>
                </w:p>
              </w:tc>
              <w:tc>
                <w:tcPr>
                  <w:tcW w:w="578"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质量分数</w:t>
                  </w:r>
                  <w:r>
                    <w:rPr>
                      <w:bCs/>
                      <w:sz w:val="24"/>
                    </w:rPr>
                    <w:t>(%)</w:t>
                  </w:r>
                </w:p>
              </w:tc>
              <w:tc>
                <w:tcPr>
                  <w:tcW w:w="540"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外观</w:t>
                  </w:r>
                </w:p>
              </w:tc>
              <w:tc>
                <w:tcPr>
                  <w:tcW w:w="711"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密度</w:t>
                  </w:r>
                </w:p>
              </w:tc>
              <w:tc>
                <w:tcPr>
                  <w:tcW w:w="839"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动力粘度</w:t>
                  </w:r>
                </w:p>
              </w:tc>
              <w:tc>
                <w:tcPr>
                  <w:tcW w:w="463"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闪点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二苯基甲烷</w:t>
                  </w:r>
                  <w:r>
                    <w:rPr>
                      <w:bCs/>
                      <w:sz w:val="24"/>
                    </w:rPr>
                    <w:t>-4</w:t>
                  </w:r>
                  <w:r>
                    <w:rPr>
                      <w:rFonts w:hint="eastAsia"/>
                      <w:bCs/>
                      <w:sz w:val="24"/>
                    </w:rPr>
                    <w:t>，</w:t>
                  </w:r>
                  <w:r>
                    <w:rPr>
                      <w:bCs/>
                      <w:sz w:val="24"/>
                    </w:rPr>
                    <w:t>4-</w:t>
                  </w:r>
                  <w:r>
                    <w:rPr>
                      <w:rFonts w:hint="eastAsia"/>
                      <w:bCs/>
                      <w:sz w:val="24"/>
                    </w:rPr>
                    <w:t>二异氰酸酯</w:t>
                  </w:r>
                </w:p>
              </w:tc>
              <w:tc>
                <w:tcPr>
                  <w:tcW w:w="7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101-68-8</w:t>
                  </w:r>
                </w:p>
              </w:tc>
              <w:tc>
                <w:tcPr>
                  <w:tcW w:w="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70~90</w:t>
                  </w:r>
                </w:p>
              </w:tc>
              <w:tc>
                <w:tcPr>
                  <w:tcW w:w="54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淡黄色液体</w:t>
                  </w:r>
                </w:p>
              </w:tc>
              <w:tc>
                <w:tcPr>
                  <w:tcW w:w="711"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1.22g/cm3(25</w:t>
                  </w:r>
                  <w:r>
                    <w:rPr>
                      <w:rFonts w:hint="eastAsia"/>
                      <w:bCs/>
                      <w:sz w:val="24"/>
                    </w:rPr>
                    <w:t>℃</w:t>
                  </w:r>
                  <w:r>
                    <w:rPr>
                      <w:bCs/>
                      <w:sz w:val="24"/>
                    </w:rPr>
                    <w:t>)</w:t>
                  </w:r>
                </w:p>
              </w:tc>
              <w:tc>
                <w:tcPr>
                  <w:tcW w:w="839"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20~60mPa·s(25</w:t>
                  </w:r>
                  <w:r>
                    <w:rPr>
                      <w:rFonts w:hint="eastAsia"/>
                      <w:bCs/>
                      <w:sz w:val="24"/>
                    </w:rPr>
                    <w:t>℃</w:t>
                  </w:r>
                  <w:r>
                    <w:rPr>
                      <w:bCs/>
                      <w:sz w:val="24"/>
                    </w:rPr>
                    <w:t>)</w:t>
                  </w:r>
                </w:p>
              </w:tc>
              <w:tc>
                <w:tcPr>
                  <w:tcW w:w="463" w:type="pct"/>
                  <w:vMerge w:val="restar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bCs/>
                      <w:sz w:val="24"/>
                    </w:rPr>
                    <w:t>221</w:t>
                  </w:r>
                  <w:r>
                    <w:rPr>
                      <w:rFonts w:hint="eastAsia"/>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二苯基甲烷</w:t>
                  </w:r>
                  <w:r>
                    <w:rPr>
                      <w:bCs/>
                      <w:sz w:val="24"/>
                    </w:rPr>
                    <w:t>-4</w:t>
                  </w:r>
                  <w:r>
                    <w:rPr>
                      <w:rFonts w:hint="eastAsia"/>
                      <w:bCs/>
                      <w:sz w:val="24"/>
                    </w:rPr>
                    <w:t>，</w:t>
                  </w:r>
                  <w:r>
                    <w:rPr>
                      <w:bCs/>
                      <w:sz w:val="24"/>
                    </w:rPr>
                    <w:t>4-</w:t>
                  </w:r>
                  <w:r>
                    <w:rPr>
                      <w:rFonts w:hint="eastAsia"/>
                      <w:bCs/>
                      <w:sz w:val="24"/>
                    </w:rPr>
                    <w:t>二异氰酸酯的均聚物</w:t>
                  </w:r>
                </w:p>
              </w:tc>
              <w:tc>
                <w:tcPr>
                  <w:tcW w:w="77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25686-28-6</w:t>
                  </w:r>
                </w:p>
              </w:tc>
              <w:tc>
                <w:tcPr>
                  <w:tcW w:w="5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20~30</w:t>
                  </w:r>
                </w:p>
              </w:tc>
              <w:tc>
                <w:tcPr>
                  <w:tcW w:w="54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71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83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463" w:type="pct"/>
                  <w:vMerge w:val="continue"/>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9"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z w:val="24"/>
                    </w:rPr>
                  </w:pPr>
                  <w:r>
                    <w:rPr>
                      <w:bCs/>
                      <w:sz w:val="24"/>
                    </w:rPr>
                    <w:t>2</w:t>
                  </w:r>
                  <w:r>
                    <w:rPr>
                      <w:rFonts w:hint="eastAsia"/>
                      <w:bCs/>
                      <w:sz w:val="24"/>
                    </w:rPr>
                    <w:t>，</w:t>
                  </w:r>
                  <w:r>
                    <w:rPr>
                      <w:bCs/>
                      <w:sz w:val="24"/>
                    </w:rPr>
                    <w:t>6-</w:t>
                  </w:r>
                  <w:r>
                    <w:rPr>
                      <w:rFonts w:hint="eastAsia"/>
                      <w:bCs/>
                      <w:sz w:val="24"/>
                    </w:rPr>
                    <w:t>二</w:t>
                  </w:r>
                  <w:r>
                    <w:rPr>
                      <w:bCs/>
                      <w:sz w:val="24"/>
                    </w:rPr>
                    <w:t>-</w:t>
                  </w:r>
                  <w:r>
                    <w:rPr>
                      <w:rFonts w:hint="eastAsia"/>
                      <w:bCs/>
                      <w:sz w:val="24"/>
                    </w:rPr>
                    <w:t>叔丁基</w:t>
                  </w:r>
                  <w:r>
                    <w:rPr>
                      <w:bCs/>
                      <w:sz w:val="24"/>
                    </w:rPr>
                    <w:t>-</w:t>
                  </w:r>
                  <w:r>
                    <w:rPr>
                      <w:rFonts w:hint="eastAsia"/>
                      <w:bCs/>
                      <w:sz w:val="24"/>
                    </w:rPr>
                    <w:t>对甲酚</w:t>
                  </w:r>
                </w:p>
              </w:tc>
              <w:tc>
                <w:tcPr>
                  <w:tcW w:w="777"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128-37-0</w:t>
                  </w:r>
                </w:p>
              </w:tc>
              <w:tc>
                <w:tcPr>
                  <w:tcW w:w="578"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0.1~0.25</w:t>
                  </w:r>
                </w:p>
              </w:tc>
              <w:tc>
                <w:tcPr>
                  <w:tcW w:w="540"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p>
              </w:tc>
              <w:tc>
                <w:tcPr>
                  <w:tcW w:w="711"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p>
              </w:tc>
              <w:tc>
                <w:tcPr>
                  <w:tcW w:w="839"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p>
              </w:tc>
              <w:tc>
                <w:tcPr>
                  <w:tcW w:w="463" w:type="pct"/>
                  <w:vMerge w:val="continue"/>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bCs/>
                      <w:sz w:val="24"/>
                    </w:rPr>
                  </w:pPr>
                </w:p>
              </w:tc>
            </w:tr>
          </w:tbl>
          <w:p>
            <w:pPr>
              <w:adjustRightInd w:val="0"/>
              <w:snapToGrid w:val="0"/>
              <w:spacing w:line="360" w:lineRule="auto"/>
              <w:ind w:firstLine="480" w:firstLineChars="200"/>
              <w:jc w:val="left"/>
              <w:rPr>
                <w:bCs/>
                <w:sz w:val="24"/>
              </w:rPr>
            </w:pPr>
            <w:r>
              <w:rPr>
                <w:rFonts w:hint="eastAsia"/>
                <w:bCs/>
                <w:sz w:val="24"/>
              </w:rPr>
              <w:t>备注：经与《建设项目环境风险评价技术导则》（</w:t>
            </w:r>
            <w:r>
              <w:rPr>
                <w:bCs/>
                <w:sz w:val="24"/>
              </w:rPr>
              <w:t>HJ169-2018</w:t>
            </w:r>
            <w:r>
              <w:rPr>
                <w:rFonts w:hint="eastAsia"/>
                <w:bCs/>
                <w:sz w:val="24"/>
              </w:rPr>
              <w:t>）对照，本项目使用的异氰酸酯中所含的三种组分均非附录</w:t>
            </w:r>
            <w:r>
              <w:rPr>
                <w:bCs/>
                <w:sz w:val="24"/>
              </w:rPr>
              <w:t>B</w:t>
            </w:r>
            <w:r>
              <w:rPr>
                <w:rFonts w:hint="eastAsia"/>
                <w:bCs/>
                <w:sz w:val="24"/>
              </w:rPr>
              <w:t>中的突发环境事件风险物质。</w:t>
            </w:r>
          </w:p>
          <w:p>
            <w:pPr>
              <w:adjustRightInd w:val="0"/>
              <w:snapToGrid w:val="0"/>
              <w:jc w:val="center"/>
              <w:rPr>
                <w:bCs/>
                <w:sz w:val="24"/>
              </w:rPr>
            </w:pPr>
            <w:r>
              <w:rPr>
                <w:rFonts w:hint="eastAsia"/>
                <w:bCs/>
                <w:sz w:val="24"/>
              </w:rPr>
              <w:t>表</w:t>
            </w:r>
            <w:r>
              <w:rPr>
                <w:bCs/>
                <w:sz w:val="24"/>
              </w:rPr>
              <w:t>2-6</w:t>
            </w:r>
            <w:r>
              <w:rPr>
                <w:rFonts w:hint="eastAsia"/>
                <w:bCs/>
                <w:sz w:val="24"/>
              </w:rPr>
              <w:t>组合聚醚组成及主要理化性质</w:t>
            </w:r>
          </w:p>
          <w:tbl>
            <w:tblPr>
              <w:tblStyle w:val="1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216"/>
              <w:gridCol w:w="1050"/>
              <w:gridCol w:w="1004"/>
              <w:gridCol w:w="1095"/>
              <w:gridCol w:w="1602"/>
              <w:gridCol w:w="6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主要成分</w:t>
                  </w:r>
                </w:p>
              </w:tc>
              <w:tc>
                <w:tcPr>
                  <w:tcW w:w="768"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CAS</w:t>
                  </w:r>
                  <w:r>
                    <w:rPr>
                      <w:rFonts w:hint="eastAsia"/>
                      <w:bCs/>
                      <w:sz w:val="24"/>
                    </w:rPr>
                    <w:t>号</w:t>
                  </w:r>
                </w:p>
              </w:tc>
              <w:tc>
                <w:tcPr>
                  <w:tcW w:w="663"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质量分数</w:t>
                  </w:r>
                  <w:r>
                    <w:rPr>
                      <w:bCs/>
                      <w:sz w:val="24"/>
                    </w:rPr>
                    <w:t>(%)</w:t>
                  </w:r>
                </w:p>
              </w:tc>
              <w:tc>
                <w:tcPr>
                  <w:tcW w:w="635"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外观</w:t>
                  </w:r>
                </w:p>
              </w:tc>
              <w:tc>
                <w:tcPr>
                  <w:tcW w:w="692"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密度</w:t>
                  </w:r>
                </w:p>
              </w:tc>
              <w:tc>
                <w:tcPr>
                  <w:tcW w:w="1012"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动力粘度</w:t>
                  </w:r>
                </w:p>
              </w:tc>
              <w:tc>
                <w:tcPr>
                  <w:tcW w:w="413"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闪点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聚醚多元醇</w:t>
                  </w: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9082-00-2</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87~92</w:t>
                  </w:r>
                </w:p>
              </w:tc>
              <w:tc>
                <w:tcPr>
                  <w:tcW w:w="635"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无色或淡黄色液体</w:t>
                  </w:r>
                </w:p>
              </w:tc>
              <w:tc>
                <w:tcPr>
                  <w:tcW w:w="69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1.02g/cm3(25</w:t>
                  </w:r>
                  <w:r>
                    <w:rPr>
                      <w:rFonts w:hint="eastAsia"/>
                      <w:bCs/>
                      <w:sz w:val="24"/>
                    </w:rPr>
                    <w:t>℃</w:t>
                  </w:r>
                  <w:r>
                    <w:rPr>
                      <w:bCs/>
                      <w:sz w:val="24"/>
                    </w:rPr>
                    <w:t>)</w:t>
                  </w:r>
                </w:p>
              </w:tc>
              <w:tc>
                <w:tcPr>
                  <w:tcW w:w="1012"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900~1200mPa·s(25</w:t>
                  </w:r>
                  <w:r>
                    <w:rPr>
                      <w:rFonts w:hint="eastAsia"/>
                      <w:bCs/>
                      <w:sz w:val="24"/>
                    </w:rPr>
                    <w:t>℃</w:t>
                  </w:r>
                  <w:r>
                    <w:rPr>
                      <w:bCs/>
                      <w:sz w:val="24"/>
                    </w:rPr>
                    <w:t>)</w:t>
                  </w:r>
                </w:p>
              </w:tc>
              <w:tc>
                <w:tcPr>
                  <w:tcW w:w="413" w:type="pct"/>
                  <w:vMerge w:val="restar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bCs/>
                      <w:sz w:val="24"/>
                    </w:rPr>
                    <w:t>93</w:t>
                  </w:r>
                  <w:r>
                    <w:rPr>
                      <w:rFonts w:hint="eastAsia"/>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r>
                    <w:rPr>
                      <w:rFonts w:hint="eastAsia"/>
                      <w:bCs/>
                      <w:sz w:val="24"/>
                    </w:rPr>
                    <w:t>催化剂</w:t>
                  </w:r>
                </w:p>
              </w:tc>
              <w:tc>
                <w:tcPr>
                  <w:tcW w:w="7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280-57-9</w:t>
                  </w:r>
                </w:p>
              </w:tc>
              <w:tc>
                <w:tcPr>
                  <w:tcW w:w="6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0.5~1.5</w:t>
                  </w:r>
                </w:p>
              </w:tc>
              <w:tc>
                <w:tcPr>
                  <w:tcW w:w="63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692"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1012"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413" w:type="pct"/>
                  <w:vMerge w:val="continue"/>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z w:val="24"/>
                    </w:rPr>
                  </w:pPr>
                  <w:r>
                    <w:rPr>
                      <w:rFonts w:hint="eastAsia"/>
                      <w:bCs/>
                      <w:sz w:val="24"/>
                    </w:rPr>
                    <w:t>其他</w:t>
                  </w:r>
                </w:p>
              </w:tc>
              <w:tc>
                <w:tcPr>
                  <w:tcW w:w="768"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w:t>
                  </w:r>
                </w:p>
              </w:tc>
              <w:tc>
                <w:tcPr>
                  <w:tcW w:w="663"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6.5~12.5</w:t>
                  </w:r>
                </w:p>
              </w:tc>
              <w:tc>
                <w:tcPr>
                  <w:tcW w:w="635"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p>
              </w:tc>
              <w:tc>
                <w:tcPr>
                  <w:tcW w:w="692"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p>
              </w:tc>
              <w:tc>
                <w:tcPr>
                  <w:tcW w:w="1012"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p>
              </w:tc>
              <w:tc>
                <w:tcPr>
                  <w:tcW w:w="413" w:type="pct"/>
                  <w:vMerge w:val="continue"/>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bCs/>
                      <w:sz w:val="24"/>
                    </w:rPr>
                  </w:pPr>
                </w:p>
              </w:tc>
            </w:tr>
          </w:tbl>
          <w:p>
            <w:pPr>
              <w:adjustRightInd w:val="0"/>
              <w:snapToGrid w:val="0"/>
              <w:spacing w:line="360" w:lineRule="auto"/>
              <w:ind w:firstLine="480" w:firstLineChars="200"/>
              <w:jc w:val="left"/>
              <w:rPr>
                <w:bCs/>
                <w:sz w:val="24"/>
              </w:rPr>
            </w:pPr>
            <w:r>
              <w:rPr>
                <w:rFonts w:hint="eastAsia"/>
                <w:bCs/>
                <w:sz w:val="24"/>
              </w:rPr>
              <w:t>备注：经与《建设项目环境风险评价技术导则》（</w:t>
            </w:r>
            <w:r>
              <w:rPr>
                <w:bCs/>
                <w:sz w:val="24"/>
              </w:rPr>
              <w:t>HJ169-2018</w:t>
            </w:r>
            <w:r>
              <w:rPr>
                <w:rFonts w:hint="eastAsia"/>
                <w:bCs/>
                <w:sz w:val="24"/>
              </w:rPr>
              <w:t>）对照，本项目使用的组合聚醚中所含的三种组分均非附录</w:t>
            </w:r>
            <w:r>
              <w:rPr>
                <w:bCs/>
                <w:sz w:val="24"/>
              </w:rPr>
              <w:t>B</w:t>
            </w:r>
            <w:r>
              <w:rPr>
                <w:rFonts w:hint="eastAsia"/>
                <w:bCs/>
                <w:sz w:val="24"/>
              </w:rPr>
              <w:t>中的突发环境事件风险物质。</w:t>
            </w:r>
          </w:p>
          <w:p>
            <w:pPr>
              <w:adjustRightInd w:val="0"/>
              <w:snapToGrid w:val="0"/>
              <w:spacing w:line="360" w:lineRule="auto"/>
              <w:jc w:val="left"/>
              <w:rPr>
                <w:bCs/>
                <w:sz w:val="24"/>
              </w:rPr>
            </w:pPr>
            <w:r>
              <w:rPr>
                <w:bCs/>
                <w:sz w:val="24"/>
              </w:rPr>
              <w:t>5</w:t>
            </w:r>
            <w:r>
              <w:rPr>
                <w:rFonts w:hint="eastAsia"/>
                <w:bCs/>
                <w:sz w:val="24"/>
              </w:rPr>
              <w:t>、主要生产设备</w:t>
            </w:r>
          </w:p>
          <w:p>
            <w:pPr>
              <w:pStyle w:val="39"/>
              <w:widowControl/>
              <w:adjustRightInd/>
              <w:spacing w:line="360" w:lineRule="auto"/>
              <w:ind w:firstLine="480" w:firstLineChars="200"/>
              <w:rPr>
                <w:rFonts w:ascii="Times New Roman"/>
                <w:bCs/>
                <w:kern w:val="2"/>
                <w:szCs w:val="24"/>
              </w:rPr>
            </w:pPr>
            <w:r>
              <w:rPr>
                <w:rFonts w:hint="eastAsia" w:ascii="Times New Roman"/>
                <w:bCs/>
                <w:kern w:val="2"/>
                <w:szCs w:val="24"/>
              </w:rPr>
              <w:t>项目主要生产设备见表</w:t>
            </w:r>
            <w:r>
              <w:rPr>
                <w:rFonts w:ascii="Times New Roman"/>
                <w:bCs/>
                <w:kern w:val="2"/>
                <w:szCs w:val="24"/>
              </w:rPr>
              <w:t>2-7</w:t>
            </w:r>
            <w:r>
              <w:rPr>
                <w:rFonts w:hint="eastAsia" w:ascii="Times New Roman"/>
                <w:bCs/>
                <w:kern w:val="2"/>
                <w:szCs w:val="24"/>
              </w:rPr>
              <w:t>。</w:t>
            </w:r>
          </w:p>
          <w:p>
            <w:pPr>
              <w:pStyle w:val="39"/>
              <w:widowControl/>
              <w:adjustRightInd/>
              <w:spacing w:line="240" w:lineRule="auto"/>
              <w:jc w:val="center"/>
              <w:rPr>
                <w:rFonts w:ascii="Times New Roman"/>
                <w:bCs/>
                <w:kern w:val="2"/>
                <w:szCs w:val="24"/>
              </w:rPr>
            </w:pPr>
            <w:r>
              <w:rPr>
                <w:rFonts w:hint="eastAsia" w:ascii="Times New Roman"/>
                <w:bCs/>
                <w:kern w:val="2"/>
                <w:szCs w:val="24"/>
              </w:rPr>
              <w:t>表</w:t>
            </w:r>
            <w:r>
              <w:rPr>
                <w:rFonts w:ascii="Times New Roman"/>
                <w:bCs/>
                <w:kern w:val="2"/>
                <w:szCs w:val="24"/>
              </w:rPr>
              <w:t xml:space="preserve">2-7   </w:t>
            </w:r>
            <w:r>
              <w:rPr>
                <w:rFonts w:hint="eastAsia" w:ascii="Times New Roman"/>
                <w:bCs/>
                <w:kern w:val="2"/>
                <w:szCs w:val="24"/>
              </w:rPr>
              <w:t>项目主要生产设备一览表</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017"/>
              <w:gridCol w:w="1270"/>
              <w:gridCol w:w="1365"/>
              <w:gridCol w:w="918"/>
              <w:gridCol w:w="1354"/>
              <w:gridCol w:w="1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12"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序号</w:t>
                  </w:r>
                </w:p>
              </w:tc>
              <w:tc>
                <w:tcPr>
                  <w:tcW w:w="643"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生产线</w:t>
                  </w:r>
                </w:p>
              </w:tc>
              <w:tc>
                <w:tcPr>
                  <w:tcW w:w="803"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名称</w:t>
                  </w:r>
                </w:p>
              </w:tc>
              <w:tc>
                <w:tcPr>
                  <w:tcW w:w="862"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型号</w:t>
                  </w:r>
                </w:p>
              </w:tc>
              <w:tc>
                <w:tcPr>
                  <w:tcW w:w="580"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变动前数量</w:t>
                  </w:r>
                </w:p>
              </w:tc>
              <w:tc>
                <w:tcPr>
                  <w:tcW w:w="855" w:type="pct"/>
                  <w:tcBorders>
                    <w:top w:val="single" w:color="auto" w:sz="12"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变动后数量</w:t>
                  </w:r>
                </w:p>
              </w:tc>
              <w:tc>
                <w:tcPr>
                  <w:tcW w:w="855" w:type="pct"/>
                  <w:tcBorders>
                    <w:top w:val="single" w:color="auto" w:sz="12" w:space="0"/>
                    <w:left w:val="single" w:color="auto" w:sz="4" w:space="0"/>
                    <w:bottom w:val="single" w:color="auto" w:sz="4" w:space="0"/>
                    <w:right w:val="single" w:color="auto" w:sz="12" w:space="0"/>
                  </w:tcBorders>
                  <w:vAlign w:val="center"/>
                </w:tcPr>
                <w:p>
                  <w:pPr>
                    <w:autoSpaceDE w:val="0"/>
                    <w:adjustRightInd w:val="0"/>
                    <w:snapToGrid w:val="0"/>
                    <w:jc w:val="center"/>
                    <w:rPr>
                      <w:bCs/>
                      <w:sz w:val="24"/>
                    </w:rPr>
                  </w:pPr>
                  <w:r>
                    <w:rPr>
                      <w:rFonts w:hint="eastAsia"/>
                      <w:bCs/>
                      <w:sz w:val="24"/>
                    </w:rPr>
                    <w:t>使用工序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1</w:t>
                  </w:r>
                </w:p>
              </w:tc>
              <w:tc>
                <w:tcPr>
                  <w:tcW w:w="643" w:type="pct"/>
                  <w:vMerge w:val="restar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吸音棉生产线</w:t>
                  </w: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单组份制棉机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90kW</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套</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套</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制棉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399" w:type="pct"/>
                  <w:vMerge w:val="restar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2</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自动模切机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精密四柱液压裁断机</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产品冲切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399"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rFonts w:hint="eastAsia"/>
                      <w:bCs/>
                      <w:sz w:val="24"/>
                    </w:rPr>
                    <w:t>烘箱</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热熔定型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399"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 w:val="24"/>
                    </w:rPr>
                  </w:pP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天然气燃烧器</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BTG-28</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0</w:t>
                  </w:r>
                  <w:r>
                    <w:rPr>
                      <w:rFonts w:hint="eastAsia"/>
                      <w:bCs/>
                      <w:sz w:val="24"/>
                    </w:rPr>
                    <w:t>套</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w:t>
                  </w:r>
                  <w:r>
                    <w:rPr>
                      <w:rFonts w:hint="eastAsia"/>
                      <w:bCs/>
                      <w:sz w:val="24"/>
                    </w:rPr>
                    <w:t>套</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热熔定型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3</w:t>
                  </w:r>
                </w:p>
              </w:tc>
              <w:tc>
                <w:tcPr>
                  <w:tcW w:w="643" w:type="pct"/>
                  <w:vMerge w:val="restar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轻质发泡生产线</w:t>
                  </w: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轻质发泡机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100kW</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轻质发泡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4</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热压成型机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315T</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产品模压成型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5</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复合机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XLL-H1600</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材料复合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6</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接触式烘箱</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XM-17</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材料加热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7</w:t>
                  </w:r>
                </w:p>
              </w:tc>
              <w:tc>
                <w:tcPr>
                  <w:tcW w:w="64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模内发泡生产线</w:t>
                  </w: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bCs/>
                      <w:sz w:val="24"/>
                    </w:rPr>
                    <w:t>PU</w:t>
                  </w:r>
                  <w:r>
                    <w:rPr>
                      <w:rFonts w:hint="eastAsia"/>
                      <w:bCs/>
                      <w:sz w:val="24"/>
                    </w:rPr>
                    <w:t>发泡机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80kW</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模内发泡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8</w:t>
                  </w:r>
                </w:p>
              </w:tc>
              <w:tc>
                <w:tcPr>
                  <w:tcW w:w="643" w:type="pct"/>
                  <w:vMerge w:val="restar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辅助设备</w:t>
                  </w:r>
                </w:p>
              </w:tc>
              <w:tc>
                <w:tcPr>
                  <w:tcW w:w="803" w:type="pct"/>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r>
                    <w:rPr>
                      <w:rFonts w:hint="eastAsia"/>
                      <w:bCs/>
                      <w:sz w:val="24"/>
                    </w:rPr>
                    <w:t>螺杆式空压机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55kW</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1</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提供压缩空气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9</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 w:val="24"/>
                    </w:rPr>
                  </w:pPr>
                  <w:r>
                    <w:rPr>
                      <w:rFonts w:hint="eastAsia"/>
                      <w:bCs/>
                      <w:sz w:val="24"/>
                    </w:rPr>
                    <w:t>油温机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4</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模具加热，电加热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4" w:space="0"/>
                    <w:right w:val="single" w:color="auto" w:sz="4" w:space="0"/>
                  </w:tcBorders>
                  <w:vAlign w:val="center"/>
                </w:tcPr>
                <w:p>
                  <w:pPr>
                    <w:autoSpaceDE w:val="0"/>
                    <w:adjustRightInd w:val="0"/>
                    <w:snapToGrid w:val="0"/>
                    <w:jc w:val="center"/>
                    <w:rPr>
                      <w:bCs/>
                      <w:sz w:val="24"/>
                    </w:rPr>
                  </w:pPr>
                  <w:r>
                    <w:rPr>
                      <w:bCs/>
                      <w:sz w:val="24"/>
                    </w:rPr>
                    <w:t>10</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 w:val="24"/>
                    </w:rPr>
                  </w:pPr>
                  <w:r>
                    <w:rPr>
                      <w:rFonts w:hint="eastAsia"/>
                      <w:bCs/>
                      <w:sz w:val="24"/>
                    </w:rPr>
                    <w:t>模温机</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w:t>
                  </w:r>
                </w:p>
              </w:tc>
              <w:tc>
                <w:tcPr>
                  <w:tcW w:w="58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w:t>
                  </w:r>
                  <w:r>
                    <w:rPr>
                      <w:rFonts w:hint="eastAsia"/>
                      <w:bCs/>
                      <w:sz w:val="24"/>
                    </w:rPr>
                    <w:t>台</w:t>
                  </w:r>
                </w:p>
              </w:tc>
              <w:tc>
                <w:tcPr>
                  <w:tcW w:w="85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z w:val="24"/>
                    </w:rPr>
                  </w:pPr>
                  <w:r>
                    <w:rPr>
                      <w:bCs/>
                      <w:sz w:val="24"/>
                    </w:rPr>
                    <w:t>2</w:t>
                  </w:r>
                  <w:r>
                    <w:rPr>
                      <w:rFonts w:hint="eastAsia"/>
                      <w:bCs/>
                      <w:sz w:val="24"/>
                    </w:rPr>
                    <w:t>台</w:t>
                  </w:r>
                </w:p>
              </w:tc>
              <w:tc>
                <w:tcPr>
                  <w:tcW w:w="855"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z w:val="24"/>
                    </w:rPr>
                  </w:pPr>
                  <w:r>
                    <w:rPr>
                      <w:rFonts w:hint="eastAsia"/>
                      <w:bCs/>
                      <w:sz w:val="24"/>
                    </w:rPr>
                    <w:t>模具加热，电加热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9" w:type="pct"/>
                  <w:tcBorders>
                    <w:top w:val="single" w:color="auto" w:sz="4" w:space="0"/>
                    <w:left w:val="single" w:color="auto" w:sz="12" w:space="0"/>
                    <w:bottom w:val="single" w:color="auto" w:sz="12" w:space="0"/>
                    <w:right w:val="single" w:color="auto" w:sz="4" w:space="0"/>
                  </w:tcBorders>
                  <w:vAlign w:val="center"/>
                </w:tcPr>
                <w:p>
                  <w:pPr>
                    <w:autoSpaceDE w:val="0"/>
                    <w:adjustRightInd w:val="0"/>
                    <w:snapToGrid w:val="0"/>
                    <w:jc w:val="center"/>
                    <w:rPr>
                      <w:bCs/>
                      <w:sz w:val="24"/>
                    </w:rPr>
                  </w:pPr>
                  <w:r>
                    <w:rPr>
                      <w:bCs/>
                      <w:sz w:val="24"/>
                    </w:rPr>
                    <w:t>11</w:t>
                  </w:r>
                </w:p>
              </w:tc>
              <w:tc>
                <w:tcPr>
                  <w:tcW w:w="643" w:type="pct"/>
                  <w:vMerge w:val="continue"/>
                  <w:tcBorders>
                    <w:top w:val="single" w:color="auto" w:sz="4" w:space="0"/>
                    <w:left w:val="single" w:color="auto" w:sz="4" w:space="0"/>
                    <w:bottom w:val="single" w:color="auto" w:sz="12" w:space="0"/>
                    <w:right w:val="single" w:color="auto" w:sz="4" w:space="0"/>
                  </w:tcBorders>
                  <w:vAlign w:val="center"/>
                </w:tcPr>
                <w:p>
                  <w:pPr>
                    <w:autoSpaceDE w:val="0"/>
                    <w:adjustRightInd w:val="0"/>
                    <w:snapToGrid w:val="0"/>
                    <w:jc w:val="center"/>
                    <w:rPr>
                      <w:bCs/>
                      <w:sz w:val="24"/>
                    </w:rPr>
                  </w:pPr>
                </w:p>
              </w:tc>
              <w:tc>
                <w:tcPr>
                  <w:tcW w:w="803" w:type="pct"/>
                  <w:tcBorders>
                    <w:top w:val="single" w:color="auto" w:sz="4" w:space="0"/>
                    <w:left w:val="single" w:color="auto" w:sz="4" w:space="0"/>
                    <w:bottom w:val="single" w:color="auto" w:sz="12" w:space="0"/>
                    <w:right w:val="single" w:color="auto" w:sz="4" w:space="0"/>
                  </w:tcBorders>
                  <w:vAlign w:val="center"/>
                </w:tcPr>
                <w:p>
                  <w:pPr>
                    <w:widowControl/>
                    <w:jc w:val="center"/>
                    <w:textAlignment w:val="center"/>
                    <w:rPr>
                      <w:bCs/>
                      <w:sz w:val="24"/>
                    </w:rPr>
                  </w:pPr>
                  <w:r>
                    <w:rPr>
                      <w:rFonts w:hint="eastAsia"/>
                      <w:bCs/>
                      <w:sz w:val="24"/>
                    </w:rPr>
                    <w:t>风机</w:t>
                  </w:r>
                </w:p>
              </w:tc>
              <w:tc>
                <w:tcPr>
                  <w:tcW w:w="862"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w:t>
                  </w:r>
                </w:p>
              </w:tc>
              <w:tc>
                <w:tcPr>
                  <w:tcW w:w="580"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5</w:t>
                  </w:r>
                  <w:r>
                    <w:rPr>
                      <w:rFonts w:hint="eastAsia"/>
                      <w:bCs/>
                      <w:sz w:val="24"/>
                    </w:rPr>
                    <w:t>台</w:t>
                  </w:r>
                </w:p>
              </w:tc>
              <w:tc>
                <w:tcPr>
                  <w:tcW w:w="855"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z w:val="24"/>
                    </w:rPr>
                  </w:pPr>
                  <w:r>
                    <w:rPr>
                      <w:bCs/>
                      <w:sz w:val="24"/>
                    </w:rPr>
                    <w:t>5</w:t>
                  </w:r>
                  <w:r>
                    <w:rPr>
                      <w:rFonts w:hint="eastAsia"/>
                      <w:bCs/>
                      <w:sz w:val="24"/>
                    </w:rPr>
                    <w:t>台</w:t>
                  </w:r>
                </w:p>
              </w:tc>
              <w:tc>
                <w:tcPr>
                  <w:tcW w:w="855" w:type="pct"/>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bCs/>
                      <w:sz w:val="24"/>
                    </w:rPr>
                  </w:pPr>
                  <w:r>
                    <w:rPr>
                      <w:rFonts w:hint="eastAsia"/>
                      <w:bCs/>
                      <w:sz w:val="24"/>
                    </w:rPr>
                    <w:t>生产线及废气处理</w:t>
                  </w:r>
                </w:p>
              </w:tc>
            </w:tr>
          </w:tbl>
          <w:p>
            <w:pPr>
              <w:adjustRightInd w:val="0"/>
              <w:snapToGrid w:val="0"/>
              <w:spacing w:line="360" w:lineRule="auto"/>
              <w:jc w:val="left"/>
              <w:rPr>
                <w:bCs/>
                <w:sz w:val="24"/>
              </w:rPr>
            </w:pPr>
            <w:r>
              <w:rPr>
                <w:bCs/>
                <w:sz w:val="24"/>
              </w:rPr>
              <w:t>6</w:t>
            </w:r>
            <w:r>
              <w:rPr>
                <w:rFonts w:hint="eastAsia"/>
                <w:bCs/>
                <w:sz w:val="24"/>
              </w:rPr>
              <w:t>、公用工程</w:t>
            </w:r>
          </w:p>
          <w:p>
            <w:pPr>
              <w:adjustRightInd w:val="0"/>
              <w:snapToGrid w:val="0"/>
              <w:spacing w:line="360" w:lineRule="auto"/>
              <w:ind w:firstLine="480" w:firstLineChars="200"/>
              <w:jc w:val="left"/>
              <w:rPr>
                <w:bCs/>
                <w:sz w:val="24"/>
              </w:rPr>
            </w:pPr>
            <w:r>
              <w:rPr>
                <w:rFonts w:hint="eastAsia"/>
                <w:bCs/>
                <w:sz w:val="24"/>
              </w:rPr>
              <w:t>项目变动前后生产用水及生活用水均不发生变化，详见以下分析：</w:t>
            </w:r>
          </w:p>
          <w:p>
            <w:pPr>
              <w:adjustRightInd w:val="0"/>
              <w:snapToGrid w:val="0"/>
              <w:spacing w:line="360" w:lineRule="auto"/>
              <w:ind w:firstLine="480" w:firstLineChars="200"/>
              <w:jc w:val="left"/>
              <w:rPr>
                <w:bCs/>
                <w:sz w:val="24"/>
              </w:rPr>
            </w:pPr>
            <w:r>
              <w:rPr>
                <w:rFonts w:hint="eastAsia"/>
                <w:bCs/>
                <w:sz w:val="24"/>
              </w:rPr>
              <w:t>（</w:t>
            </w:r>
            <w:r>
              <w:rPr>
                <w:bCs/>
                <w:sz w:val="24"/>
              </w:rPr>
              <w:t>1</w:t>
            </w:r>
            <w:r>
              <w:rPr>
                <w:rFonts w:hint="eastAsia"/>
                <w:bCs/>
                <w:sz w:val="24"/>
              </w:rPr>
              <w:t>）给水</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1 \* GB3 \* MERGEFORMAT </w:instrText>
            </w:r>
            <w:r>
              <w:rPr>
                <w:bCs/>
                <w:sz w:val="24"/>
              </w:rPr>
              <w:fldChar w:fldCharType="separate"/>
            </w:r>
            <w:r>
              <w:rPr>
                <w:rFonts w:hint="eastAsia"/>
                <w:bCs/>
                <w:sz w:val="24"/>
              </w:rPr>
              <w:t>①</w:t>
            </w:r>
            <w:r>
              <w:rPr>
                <w:bCs/>
                <w:sz w:val="24"/>
              </w:rPr>
              <w:fldChar w:fldCharType="end"/>
            </w:r>
            <w:r>
              <w:rPr>
                <w:rFonts w:hint="eastAsia"/>
                <w:bCs/>
                <w:sz w:val="24"/>
              </w:rPr>
              <w:t>生活用水：项目劳动定员</w:t>
            </w:r>
            <w:r>
              <w:rPr>
                <w:bCs/>
                <w:sz w:val="24"/>
              </w:rPr>
              <w:t>100</w:t>
            </w:r>
            <w:r>
              <w:rPr>
                <w:rFonts w:hint="eastAsia"/>
                <w:bCs/>
                <w:sz w:val="24"/>
              </w:rPr>
              <w:t>人，不提供食宿。根据《陕西行业用水定额》（</w:t>
            </w:r>
            <w:r>
              <w:rPr>
                <w:bCs/>
                <w:sz w:val="24"/>
              </w:rPr>
              <w:t>DB61/T943-2020</w:t>
            </w:r>
            <w:r>
              <w:rPr>
                <w:rFonts w:hint="eastAsia"/>
                <w:bCs/>
                <w:sz w:val="24"/>
              </w:rPr>
              <w:t>），生活用水定额按</w:t>
            </w:r>
            <w:r>
              <w:rPr>
                <w:bCs/>
                <w:sz w:val="24"/>
              </w:rPr>
              <w:t>25L/</w:t>
            </w:r>
            <w:r>
              <w:rPr>
                <w:rFonts w:hint="eastAsia"/>
                <w:bCs/>
                <w:sz w:val="24"/>
              </w:rPr>
              <w:t>（人</w:t>
            </w:r>
            <w:r>
              <w:rPr>
                <w:bCs/>
                <w:sz w:val="24"/>
              </w:rPr>
              <w:t>·d</w:t>
            </w:r>
            <w:r>
              <w:rPr>
                <w:rFonts w:hint="eastAsia"/>
                <w:bCs/>
                <w:sz w:val="24"/>
              </w:rPr>
              <w:t>）计，则项目生活用水量为</w:t>
            </w:r>
            <w:r>
              <w:rPr>
                <w:bCs/>
                <w:sz w:val="24"/>
              </w:rPr>
              <w:t>2.5m3/d</w:t>
            </w:r>
            <w:r>
              <w:rPr>
                <w:rFonts w:hint="eastAsia"/>
                <w:bCs/>
                <w:sz w:val="24"/>
              </w:rPr>
              <w:t>（</w:t>
            </w:r>
            <w:r>
              <w:rPr>
                <w:bCs/>
                <w:sz w:val="24"/>
              </w:rPr>
              <w:t>625m3/a</w:t>
            </w:r>
            <w:r>
              <w:rPr>
                <w:rFonts w:hint="eastAsia"/>
                <w:bCs/>
                <w:sz w:val="24"/>
              </w:rPr>
              <w:t>）。</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2 \* GB3 \* MERGEFORMAT </w:instrText>
            </w:r>
            <w:r>
              <w:rPr>
                <w:bCs/>
                <w:sz w:val="24"/>
              </w:rPr>
              <w:fldChar w:fldCharType="separate"/>
            </w:r>
            <w:r>
              <w:rPr>
                <w:rFonts w:hint="eastAsia"/>
                <w:bCs/>
                <w:sz w:val="24"/>
              </w:rPr>
              <w:t>②</w:t>
            </w:r>
            <w:r>
              <w:rPr>
                <w:bCs/>
                <w:sz w:val="24"/>
              </w:rPr>
              <w:fldChar w:fldCharType="end"/>
            </w:r>
            <w:r>
              <w:rPr>
                <w:rFonts w:hint="eastAsia"/>
                <w:bCs/>
                <w:sz w:val="24"/>
              </w:rPr>
              <w:t>生产用水：模内发泡生产线发泡机、轻质发泡生产线复合机及热压成型机冷却用水。采用间接冷却方式，冷却水经循环水池（</w:t>
            </w:r>
            <w:r>
              <w:rPr>
                <w:bCs/>
                <w:sz w:val="24"/>
              </w:rPr>
              <w:t>15m3</w:t>
            </w:r>
            <w:r>
              <w:rPr>
                <w:rFonts w:hint="eastAsia"/>
                <w:bCs/>
                <w:sz w:val="24"/>
              </w:rPr>
              <w:t>）降温后循环使用不外排。系统循环用水量为</w:t>
            </w:r>
            <w:r>
              <w:rPr>
                <w:bCs/>
                <w:sz w:val="24"/>
              </w:rPr>
              <w:t>10m3/d</w:t>
            </w:r>
            <w:r>
              <w:rPr>
                <w:rFonts w:hint="eastAsia"/>
                <w:bCs/>
                <w:sz w:val="24"/>
              </w:rPr>
              <w:t>，循环损失量约为</w:t>
            </w:r>
            <w:r>
              <w:rPr>
                <w:bCs/>
                <w:sz w:val="24"/>
              </w:rPr>
              <w:t>0.1m3/d</w:t>
            </w:r>
            <w:r>
              <w:rPr>
                <w:rFonts w:hint="eastAsia"/>
                <w:bCs/>
                <w:sz w:val="24"/>
              </w:rPr>
              <w:t>，则需补充新鲜水量为</w:t>
            </w:r>
            <w:r>
              <w:rPr>
                <w:bCs/>
                <w:sz w:val="24"/>
              </w:rPr>
              <w:t>0.1m3/d</w:t>
            </w:r>
            <w:r>
              <w:rPr>
                <w:rFonts w:hint="eastAsia"/>
                <w:bCs/>
                <w:sz w:val="24"/>
              </w:rPr>
              <w:t>（</w:t>
            </w:r>
            <w:r>
              <w:rPr>
                <w:bCs/>
                <w:sz w:val="24"/>
              </w:rPr>
              <w:t>25m3/a</w:t>
            </w:r>
            <w:r>
              <w:rPr>
                <w:rFonts w:hint="eastAsia"/>
                <w:bCs/>
                <w:sz w:val="24"/>
              </w:rPr>
              <w:t>）。</w:t>
            </w:r>
          </w:p>
          <w:p>
            <w:pPr>
              <w:adjustRightInd w:val="0"/>
              <w:snapToGrid w:val="0"/>
              <w:spacing w:line="360" w:lineRule="auto"/>
              <w:ind w:firstLine="480" w:firstLineChars="200"/>
              <w:jc w:val="left"/>
              <w:rPr>
                <w:bCs/>
                <w:sz w:val="24"/>
              </w:rPr>
            </w:pPr>
            <w:r>
              <w:rPr>
                <w:rFonts w:hint="eastAsia"/>
                <w:bCs/>
                <w:sz w:val="24"/>
              </w:rPr>
              <w:t>（</w:t>
            </w:r>
            <w:r>
              <w:rPr>
                <w:bCs/>
                <w:sz w:val="24"/>
              </w:rPr>
              <w:t>2</w:t>
            </w:r>
            <w:r>
              <w:rPr>
                <w:rFonts w:hint="eastAsia"/>
                <w:bCs/>
                <w:sz w:val="24"/>
              </w:rPr>
              <w:t>）排水</w:t>
            </w:r>
          </w:p>
          <w:p>
            <w:pPr>
              <w:adjustRightInd w:val="0"/>
              <w:snapToGrid w:val="0"/>
              <w:spacing w:line="360" w:lineRule="auto"/>
              <w:ind w:firstLine="480" w:firstLineChars="200"/>
              <w:jc w:val="left"/>
              <w:rPr>
                <w:bCs/>
                <w:sz w:val="24"/>
              </w:rPr>
            </w:pPr>
            <w:r>
              <w:rPr>
                <w:rFonts w:hint="eastAsia"/>
                <w:bCs/>
                <w:sz w:val="24"/>
              </w:rPr>
              <w:t>项目冷却水循环使用不外排；生活污水产污系数取</w:t>
            </w:r>
            <w:r>
              <w:rPr>
                <w:bCs/>
                <w:sz w:val="24"/>
              </w:rPr>
              <w:t>0.8</w:t>
            </w:r>
            <w:r>
              <w:rPr>
                <w:rFonts w:hint="eastAsia"/>
                <w:bCs/>
                <w:sz w:val="24"/>
              </w:rPr>
              <w:t>，生活污水产生量为</w:t>
            </w:r>
            <w:r>
              <w:rPr>
                <w:bCs/>
                <w:sz w:val="24"/>
              </w:rPr>
              <w:t>2m3/d</w:t>
            </w:r>
            <w:r>
              <w:rPr>
                <w:rFonts w:hint="eastAsia"/>
                <w:bCs/>
                <w:sz w:val="24"/>
              </w:rPr>
              <w:t>（</w:t>
            </w:r>
            <w:r>
              <w:rPr>
                <w:bCs/>
                <w:sz w:val="24"/>
              </w:rPr>
              <w:t>500m3/a</w:t>
            </w:r>
            <w:r>
              <w:rPr>
                <w:rFonts w:hint="eastAsia"/>
                <w:bCs/>
                <w:sz w:val="24"/>
              </w:rPr>
              <w:t>），经厂区化粪池处理后通过市政污水管网排至鄠邑区第二污水处理厂。</w:t>
            </w:r>
          </w:p>
          <w:p>
            <w:pPr>
              <w:pStyle w:val="47"/>
              <w:rPr>
                <w:rFonts w:eastAsia="宋体"/>
                <w:bCs/>
                <w:sz w:val="24"/>
              </w:rPr>
            </w:pPr>
            <w:r>
              <w:rPr>
                <w:rFonts w:hint="eastAsia" w:eastAsia="宋体"/>
                <w:bCs/>
                <w:sz w:val="24"/>
              </w:rPr>
              <w:t>表</w:t>
            </w:r>
            <w:r>
              <w:rPr>
                <w:rFonts w:eastAsia="宋体"/>
                <w:bCs/>
                <w:sz w:val="24"/>
              </w:rPr>
              <w:t xml:space="preserve">2-8 </w:t>
            </w:r>
            <w:r>
              <w:rPr>
                <w:rFonts w:hint="eastAsia" w:eastAsia="宋体"/>
                <w:bCs/>
                <w:sz w:val="24"/>
              </w:rPr>
              <w:t>项目用排水情况一览表</w:t>
            </w:r>
          </w:p>
          <w:tbl>
            <w:tblPr>
              <w:tblStyle w:val="18"/>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273"/>
              <w:gridCol w:w="1291"/>
              <w:gridCol w:w="1155"/>
              <w:gridCol w:w="1166"/>
              <w:gridCol w:w="948"/>
              <w:gridCol w:w="13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7" w:type="pct"/>
                  <w:tcBorders>
                    <w:top w:val="single" w:color="000000" w:sz="12" w:space="0"/>
                    <w:left w:val="single" w:color="000000" w:sz="12" w:space="0"/>
                    <w:bottom w:val="single" w:color="000000" w:sz="4" w:space="0"/>
                    <w:right w:val="single" w:color="000000" w:sz="4" w:space="0"/>
                  </w:tcBorders>
                  <w:vAlign w:val="center"/>
                </w:tcPr>
                <w:p>
                  <w:pPr>
                    <w:jc w:val="center"/>
                    <w:rPr>
                      <w:bCs/>
                      <w:sz w:val="24"/>
                    </w:rPr>
                  </w:pPr>
                  <w:r>
                    <w:rPr>
                      <w:rFonts w:hint="eastAsia"/>
                      <w:bCs/>
                      <w:sz w:val="24"/>
                    </w:rPr>
                    <w:t>序号</w:t>
                  </w:r>
                </w:p>
              </w:tc>
              <w:tc>
                <w:tcPr>
                  <w:tcW w:w="804" w:type="pct"/>
                  <w:tcBorders>
                    <w:top w:val="single" w:color="000000" w:sz="12"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用水类型</w:t>
                  </w:r>
                </w:p>
              </w:tc>
              <w:tc>
                <w:tcPr>
                  <w:tcW w:w="815" w:type="pct"/>
                  <w:tcBorders>
                    <w:top w:val="single" w:color="000000" w:sz="12"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新鲜水量</w:t>
                  </w:r>
                </w:p>
                <w:p>
                  <w:pPr>
                    <w:jc w:val="center"/>
                    <w:rPr>
                      <w:bCs/>
                      <w:sz w:val="24"/>
                    </w:rPr>
                  </w:pPr>
                  <w:r>
                    <w:rPr>
                      <w:rFonts w:hint="eastAsia"/>
                      <w:bCs/>
                      <w:sz w:val="24"/>
                    </w:rPr>
                    <w:t>（</w:t>
                  </w:r>
                  <w:r>
                    <w:rPr>
                      <w:bCs/>
                      <w:sz w:val="24"/>
                    </w:rPr>
                    <w:t>m3/d</w:t>
                  </w:r>
                  <w:r>
                    <w:rPr>
                      <w:rFonts w:hint="eastAsia"/>
                      <w:bCs/>
                      <w:sz w:val="24"/>
                    </w:rPr>
                    <w:t>）</w:t>
                  </w:r>
                </w:p>
              </w:tc>
              <w:tc>
                <w:tcPr>
                  <w:tcW w:w="729" w:type="pct"/>
                  <w:tcBorders>
                    <w:top w:val="single" w:color="000000" w:sz="12"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消耗量</w:t>
                  </w:r>
                </w:p>
                <w:p>
                  <w:pPr>
                    <w:jc w:val="center"/>
                    <w:rPr>
                      <w:bCs/>
                      <w:sz w:val="24"/>
                    </w:rPr>
                  </w:pPr>
                  <w:r>
                    <w:rPr>
                      <w:rFonts w:hint="eastAsia"/>
                      <w:bCs/>
                      <w:sz w:val="24"/>
                    </w:rPr>
                    <w:t>（</w:t>
                  </w:r>
                  <w:r>
                    <w:rPr>
                      <w:bCs/>
                      <w:sz w:val="24"/>
                    </w:rPr>
                    <w:t>m3/d</w:t>
                  </w:r>
                  <w:r>
                    <w:rPr>
                      <w:rFonts w:hint="eastAsia"/>
                      <w:bCs/>
                      <w:sz w:val="24"/>
                    </w:rPr>
                    <w:t>）</w:t>
                  </w:r>
                </w:p>
              </w:tc>
              <w:tc>
                <w:tcPr>
                  <w:tcW w:w="736" w:type="pct"/>
                  <w:tcBorders>
                    <w:top w:val="single" w:color="000000" w:sz="12"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循环量（</w:t>
                  </w:r>
                  <w:r>
                    <w:rPr>
                      <w:bCs/>
                      <w:sz w:val="24"/>
                    </w:rPr>
                    <w:t>m3/d</w:t>
                  </w:r>
                  <w:r>
                    <w:rPr>
                      <w:rFonts w:hint="eastAsia"/>
                      <w:bCs/>
                      <w:sz w:val="24"/>
                    </w:rPr>
                    <w:t>）</w:t>
                  </w:r>
                </w:p>
              </w:tc>
              <w:tc>
                <w:tcPr>
                  <w:tcW w:w="599" w:type="pct"/>
                  <w:tcBorders>
                    <w:top w:val="single" w:color="000000" w:sz="12"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排水量</w:t>
                  </w:r>
                </w:p>
                <w:p>
                  <w:pPr>
                    <w:jc w:val="center"/>
                    <w:rPr>
                      <w:bCs/>
                      <w:sz w:val="24"/>
                    </w:rPr>
                  </w:pPr>
                  <w:r>
                    <w:rPr>
                      <w:rFonts w:hint="eastAsia"/>
                      <w:bCs/>
                      <w:sz w:val="24"/>
                    </w:rPr>
                    <w:t>（</w:t>
                  </w:r>
                  <w:r>
                    <w:rPr>
                      <w:bCs/>
                      <w:sz w:val="24"/>
                    </w:rPr>
                    <w:t>m3/d</w:t>
                  </w:r>
                  <w:r>
                    <w:rPr>
                      <w:rFonts w:hint="eastAsia"/>
                      <w:bCs/>
                      <w:sz w:val="24"/>
                    </w:rPr>
                    <w:t>）</w:t>
                  </w:r>
                </w:p>
              </w:tc>
              <w:tc>
                <w:tcPr>
                  <w:tcW w:w="826" w:type="pct"/>
                  <w:tcBorders>
                    <w:top w:val="single" w:color="000000" w:sz="12" w:space="0"/>
                    <w:left w:val="single" w:color="000000" w:sz="4" w:space="0"/>
                    <w:bottom w:val="single" w:color="000000" w:sz="4" w:space="0"/>
                    <w:right w:val="single" w:color="000000" w:sz="12" w:space="0"/>
                  </w:tcBorders>
                  <w:vAlign w:val="center"/>
                </w:tcPr>
                <w:p>
                  <w:pPr>
                    <w:jc w:val="center"/>
                    <w:rPr>
                      <w:bCs/>
                      <w:sz w:val="24"/>
                    </w:rPr>
                  </w:pPr>
                  <w:r>
                    <w:rPr>
                      <w:rFonts w:hint="eastAsia"/>
                      <w:bCs/>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7" w:type="pct"/>
                  <w:tcBorders>
                    <w:top w:val="single" w:color="000000" w:sz="4" w:space="0"/>
                    <w:left w:val="single" w:color="000000" w:sz="12" w:space="0"/>
                    <w:bottom w:val="single" w:color="000000" w:sz="4" w:space="0"/>
                    <w:right w:val="single" w:color="000000" w:sz="4" w:space="0"/>
                  </w:tcBorders>
                  <w:vAlign w:val="center"/>
                </w:tcPr>
                <w:p>
                  <w:pPr>
                    <w:jc w:val="center"/>
                    <w:rPr>
                      <w:bCs/>
                      <w:sz w:val="24"/>
                    </w:rPr>
                  </w:pPr>
                  <w:r>
                    <w:rPr>
                      <w:bCs/>
                      <w:sz w:val="24"/>
                    </w:rPr>
                    <w:t>1</w:t>
                  </w:r>
                </w:p>
              </w:tc>
              <w:tc>
                <w:tcPr>
                  <w:tcW w:w="804"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生活用水</w:t>
                  </w:r>
                </w:p>
              </w:tc>
              <w:tc>
                <w:tcPr>
                  <w:tcW w:w="815"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2.5</w:t>
                  </w:r>
                </w:p>
              </w:tc>
              <w:tc>
                <w:tcPr>
                  <w:tcW w:w="729"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0.5</w:t>
                  </w:r>
                </w:p>
              </w:tc>
              <w:tc>
                <w:tcPr>
                  <w:tcW w:w="736"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0</w:t>
                  </w:r>
                </w:p>
              </w:tc>
              <w:tc>
                <w:tcPr>
                  <w:tcW w:w="599"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2.0</w:t>
                  </w:r>
                </w:p>
              </w:tc>
              <w:tc>
                <w:tcPr>
                  <w:tcW w:w="826" w:type="pct"/>
                  <w:tcBorders>
                    <w:top w:val="single" w:color="000000" w:sz="4" w:space="0"/>
                    <w:left w:val="single" w:color="000000" w:sz="4" w:space="0"/>
                    <w:bottom w:val="single" w:color="000000" w:sz="4" w:space="0"/>
                    <w:right w:val="single" w:color="000000" w:sz="12" w:space="0"/>
                  </w:tcBorders>
                  <w:vAlign w:val="center"/>
                </w:tcPr>
                <w:p>
                  <w:pPr>
                    <w:jc w:val="center"/>
                    <w:rPr>
                      <w:bCs/>
                      <w:sz w:val="24"/>
                    </w:rPr>
                  </w:pPr>
                  <w:r>
                    <w:rPr>
                      <w:bCs/>
                      <w:sz w:val="24"/>
                    </w:rPr>
                    <w:t>100</w:t>
                  </w:r>
                  <w:r>
                    <w:rPr>
                      <w:rFonts w:hint="eastAsia"/>
                      <w:bCs/>
                      <w:sz w:val="24"/>
                    </w:rPr>
                    <w:t>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7" w:type="pct"/>
                  <w:tcBorders>
                    <w:top w:val="single" w:color="000000" w:sz="4" w:space="0"/>
                    <w:left w:val="single" w:color="000000" w:sz="12" w:space="0"/>
                    <w:bottom w:val="single" w:color="000000" w:sz="4" w:space="0"/>
                    <w:right w:val="single" w:color="000000" w:sz="4" w:space="0"/>
                  </w:tcBorders>
                  <w:vAlign w:val="center"/>
                </w:tcPr>
                <w:p>
                  <w:pPr>
                    <w:jc w:val="center"/>
                    <w:rPr>
                      <w:bCs/>
                      <w:sz w:val="24"/>
                    </w:rPr>
                  </w:pPr>
                  <w:r>
                    <w:rPr>
                      <w:bCs/>
                      <w:sz w:val="24"/>
                    </w:rPr>
                    <w:t>2</w:t>
                  </w:r>
                </w:p>
              </w:tc>
              <w:tc>
                <w:tcPr>
                  <w:tcW w:w="804"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rFonts w:hint="eastAsia"/>
                      <w:bCs/>
                      <w:sz w:val="24"/>
                    </w:rPr>
                    <w:t>冷却用水</w:t>
                  </w:r>
                </w:p>
              </w:tc>
              <w:tc>
                <w:tcPr>
                  <w:tcW w:w="815"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0.1</w:t>
                  </w:r>
                </w:p>
              </w:tc>
              <w:tc>
                <w:tcPr>
                  <w:tcW w:w="729"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0.1</w:t>
                  </w:r>
                </w:p>
              </w:tc>
              <w:tc>
                <w:tcPr>
                  <w:tcW w:w="736"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9.9</w:t>
                  </w:r>
                </w:p>
              </w:tc>
              <w:tc>
                <w:tcPr>
                  <w:tcW w:w="599" w:type="pct"/>
                  <w:tcBorders>
                    <w:top w:val="single" w:color="000000" w:sz="4" w:space="0"/>
                    <w:left w:val="single" w:color="000000" w:sz="4" w:space="0"/>
                    <w:bottom w:val="single" w:color="000000" w:sz="4" w:space="0"/>
                    <w:right w:val="single" w:color="000000" w:sz="4" w:space="0"/>
                  </w:tcBorders>
                  <w:vAlign w:val="center"/>
                </w:tcPr>
                <w:p>
                  <w:pPr>
                    <w:jc w:val="center"/>
                    <w:rPr>
                      <w:bCs/>
                      <w:sz w:val="24"/>
                    </w:rPr>
                  </w:pPr>
                  <w:r>
                    <w:rPr>
                      <w:bCs/>
                      <w:sz w:val="24"/>
                    </w:rPr>
                    <w:t>0</w:t>
                  </w:r>
                </w:p>
              </w:tc>
              <w:tc>
                <w:tcPr>
                  <w:tcW w:w="826" w:type="pct"/>
                  <w:tcBorders>
                    <w:top w:val="single" w:color="000000" w:sz="4" w:space="0"/>
                    <w:left w:val="single" w:color="000000" w:sz="4" w:space="0"/>
                    <w:bottom w:val="single" w:color="000000" w:sz="4" w:space="0"/>
                    <w:right w:val="single" w:color="000000" w:sz="12" w:space="0"/>
                  </w:tcBorders>
                  <w:vAlign w:val="center"/>
                </w:tcPr>
                <w:p>
                  <w:pPr>
                    <w:jc w:val="center"/>
                    <w:rPr>
                      <w:bCs/>
                      <w:sz w:val="24"/>
                    </w:rPr>
                  </w:pPr>
                  <w:r>
                    <w:rPr>
                      <w:bCs/>
                      <w:sz w:val="24"/>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7" w:type="pct"/>
                  <w:tcBorders>
                    <w:top w:val="single" w:color="000000" w:sz="4" w:space="0"/>
                    <w:left w:val="single" w:color="000000" w:sz="12" w:space="0"/>
                    <w:bottom w:val="single" w:color="000000" w:sz="12" w:space="0"/>
                    <w:right w:val="single" w:color="000000" w:sz="4" w:space="0"/>
                  </w:tcBorders>
                  <w:vAlign w:val="center"/>
                </w:tcPr>
                <w:p>
                  <w:pPr>
                    <w:jc w:val="center"/>
                    <w:rPr>
                      <w:bCs/>
                      <w:sz w:val="24"/>
                    </w:rPr>
                  </w:pPr>
                  <w:r>
                    <w:rPr>
                      <w:rFonts w:hint="eastAsia"/>
                      <w:bCs/>
                      <w:sz w:val="24"/>
                    </w:rPr>
                    <w:t>合计</w:t>
                  </w:r>
                </w:p>
              </w:tc>
              <w:tc>
                <w:tcPr>
                  <w:tcW w:w="804" w:type="pct"/>
                  <w:tcBorders>
                    <w:top w:val="single" w:color="000000" w:sz="4" w:space="0"/>
                    <w:left w:val="single" w:color="000000" w:sz="4" w:space="0"/>
                    <w:bottom w:val="single" w:color="000000" w:sz="12" w:space="0"/>
                    <w:right w:val="single" w:color="000000" w:sz="4" w:space="0"/>
                  </w:tcBorders>
                  <w:vAlign w:val="center"/>
                </w:tcPr>
                <w:p>
                  <w:pPr>
                    <w:jc w:val="center"/>
                    <w:rPr>
                      <w:bCs/>
                      <w:sz w:val="24"/>
                    </w:rPr>
                  </w:pPr>
                  <w:r>
                    <w:rPr>
                      <w:bCs/>
                      <w:sz w:val="24"/>
                    </w:rPr>
                    <w:t>--</w:t>
                  </w:r>
                </w:p>
              </w:tc>
              <w:tc>
                <w:tcPr>
                  <w:tcW w:w="815" w:type="pct"/>
                  <w:tcBorders>
                    <w:top w:val="single" w:color="000000" w:sz="4" w:space="0"/>
                    <w:left w:val="single" w:color="000000" w:sz="4" w:space="0"/>
                    <w:bottom w:val="single" w:color="000000" w:sz="12" w:space="0"/>
                    <w:right w:val="single" w:color="000000" w:sz="4" w:space="0"/>
                  </w:tcBorders>
                  <w:vAlign w:val="center"/>
                </w:tcPr>
                <w:p>
                  <w:pPr>
                    <w:jc w:val="center"/>
                    <w:rPr>
                      <w:bCs/>
                      <w:sz w:val="24"/>
                    </w:rPr>
                  </w:pPr>
                  <w:r>
                    <w:rPr>
                      <w:bCs/>
                      <w:sz w:val="24"/>
                    </w:rPr>
                    <w:t>2.6</w:t>
                  </w:r>
                </w:p>
              </w:tc>
              <w:tc>
                <w:tcPr>
                  <w:tcW w:w="729" w:type="pct"/>
                  <w:tcBorders>
                    <w:top w:val="single" w:color="000000" w:sz="4" w:space="0"/>
                    <w:left w:val="single" w:color="000000" w:sz="4" w:space="0"/>
                    <w:bottom w:val="single" w:color="000000" w:sz="12" w:space="0"/>
                    <w:right w:val="single" w:color="000000" w:sz="4" w:space="0"/>
                  </w:tcBorders>
                  <w:vAlign w:val="center"/>
                </w:tcPr>
                <w:p>
                  <w:pPr>
                    <w:jc w:val="center"/>
                    <w:rPr>
                      <w:bCs/>
                      <w:sz w:val="24"/>
                    </w:rPr>
                  </w:pPr>
                  <w:r>
                    <w:rPr>
                      <w:bCs/>
                      <w:sz w:val="24"/>
                    </w:rPr>
                    <w:t>0.6</w:t>
                  </w:r>
                </w:p>
              </w:tc>
              <w:tc>
                <w:tcPr>
                  <w:tcW w:w="736" w:type="pct"/>
                  <w:tcBorders>
                    <w:top w:val="single" w:color="000000" w:sz="4" w:space="0"/>
                    <w:left w:val="single" w:color="000000" w:sz="4" w:space="0"/>
                    <w:bottom w:val="single" w:color="000000" w:sz="12" w:space="0"/>
                    <w:right w:val="single" w:color="000000" w:sz="4" w:space="0"/>
                  </w:tcBorders>
                  <w:vAlign w:val="center"/>
                </w:tcPr>
                <w:p>
                  <w:pPr>
                    <w:jc w:val="center"/>
                    <w:rPr>
                      <w:bCs/>
                      <w:sz w:val="24"/>
                    </w:rPr>
                  </w:pPr>
                  <w:r>
                    <w:rPr>
                      <w:bCs/>
                      <w:sz w:val="24"/>
                    </w:rPr>
                    <w:t>9.9</w:t>
                  </w:r>
                </w:p>
              </w:tc>
              <w:tc>
                <w:tcPr>
                  <w:tcW w:w="599" w:type="pct"/>
                  <w:tcBorders>
                    <w:top w:val="single" w:color="000000" w:sz="4" w:space="0"/>
                    <w:left w:val="single" w:color="000000" w:sz="4" w:space="0"/>
                    <w:bottom w:val="single" w:color="000000" w:sz="12" w:space="0"/>
                    <w:right w:val="single" w:color="000000" w:sz="4" w:space="0"/>
                  </w:tcBorders>
                  <w:vAlign w:val="center"/>
                </w:tcPr>
                <w:p>
                  <w:pPr>
                    <w:jc w:val="center"/>
                    <w:rPr>
                      <w:bCs/>
                      <w:sz w:val="24"/>
                    </w:rPr>
                  </w:pPr>
                  <w:r>
                    <w:rPr>
                      <w:bCs/>
                      <w:sz w:val="24"/>
                    </w:rPr>
                    <w:t>2.0</w:t>
                  </w:r>
                </w:p>
              </w:tc>
              <w:tc>
                <w:tcPr>
                  <w:tcW w:w="826" w:type="pct"/>
                  <w:tcBorders>
                    <w:top w:val="single" w:color="000000" w:sz="4" w:space="0"/>
                    <w:left w:val="single" w:color="000000" w:sz="4" w:space="0"/>
                    <w:bottom w:val="single" w:color="000000" w:sz="12" w:space="0"/>
                    <w:right w:val="single" w:color="000000" w:sz="12" w:space="0"/>
                  </w:tcBorders>
                  <w:vAlign w:val="center"/>
                </w:tcPr>
                <w:p>
                  <w:pPr>
                    <w:jc w:val="center"/>
                    <w:rPr>
                      <w:bCs/>
                      <w:sz w:val="24"/>
                    </w:rPr>
                  </w:pPr>
                  <w:r>
                    <w:rPr>
                      <w:bCs/>
                      <w:sz w:val="24"/>
                    </w:rPr>
                    <w:t>/</w:t>
                  </w:r>
                </w:p>
              </w:tc>
            </w:tr>
          </w:tbl>
          <w:p>
            <w:pPr>
              <w:adjustRightInd w:val="0"/>
              <w:snapToGrid w:val="0"/>
              <w:spacing w:line="360" w:lineRule="auto"/>
              <w:jc w:val="center"/>
              <w:rPr>
                <w:bCs/>
                <w:sz w:val="24"/>
              </w:rPr>
            </w:pPr>
            <w:r>
              <w:rPr>
                <w:bCs/>
                <w:sz w:val="24"/>
              </w:rPr>
              <w:object>
                <v:shape id="_x0000_i1026" o:spt="75" type="#_x0000_t75" style="height:150pt;width:348pt;" o:ole="t" filled="f" o:preferrelative="t" stroked="f" coordsize="21600,21600">
                  <v:path/>
                  <v:fill on="f" focussize="0,0"/>
                  <v:stroke on="f" joinstyle="miter"/>
                  <v:imagedata r:id="rId10" o:title=""/>
                  <o:lock v:ext="edit" aspectratio="f"/>
                  <w10:wrap type="none"/>
                  <w10:anchorlock/>
                </v:shape>
                <o:OLEObject Type="Embed" ProgID="Visio.Drawing.11" ShapeID="_x0000_i1026" DrawAspect="Content" ObjectID="_1468075725" r:id="rId9">
                  <o:LockedField>false</o:LockedField>
                </o:OLEObject>
              </w:object>
            </w:r>
          </w:p>
          <w:p>
            <w:pPr>
              <w:adjustRightInd w:val="0"/>
              <w:snapToGrid w:val="0"/>
              <w:spacing w:line="360" w:lineRule="auto"/>
              <w:jc w:val="center"/>
              <w:rPr>
                <w:bCs/>
                <w:sz w:val="24"/>
              </w:rPr>
            </w:pPr>
            <w:r>
              <w:rPr>
                <w:rFonts w:hint="eastAsia"/>
                <w:bCs/>
                <w:sz w:val="24"/>
              </w:rPr>
              <w:t>图</w:t>
            </w:r>
            <w:r>
              <w:rPr>
                <w:bCs/>
                <w:sz w:val="24"/>
              </w:rPr>
              <w:t xml:space="preserve">2-1    </w:t>
            </w:r>
            <w:r>
              <w:rPr>
                <w:rFonts w:hint="eastAsia"/>
                <w:bCs/>
                <w:sz w:val="24"/>
              </w:rPr>
              <w:t>项目水平衡图</w:t>
            </w:r>
            <w:r>
              <w:rPr>
                <w:bCs/>
                <w:sz w:val="24"/>
              </w:rPr>
              <w:t xml:space="preserve">    </w:t>
            </w:r>
            <w:r>
              <w:rPr>
                <w:rFonts w:hint="eastAsia"/>
                <w:bCs/>
                <w:sz w:val="24"/>
              </w:rPr>
              <w:t>单位：</w:t>
            </w:r>
            <w:r>
              <w:rPr>
                <w:bCs/>
                <w:sz w:val="24"/>
              </w:rPr>
              <w:t>m3/d</w:t>
            </w:r>
          </w:p>
          <w:p>
            <w:pPr>
              <w:numPr>
                <w:ilvl w:val="0"/>
                <w:numId w:val="3"/>
              </w:numPr>
              <w:adjustRightInd w:val="0"/>
              <w:snapToGrid w:val="0"/>
              <w:spacing w:line="360" w:lineRule="auto"/>
              <w:jc w:val="left"/>
              <w:rPr>
                <w:bCs/>
                <w:sz w:val="24"/>
              </w:rPr>
            </w:pPr>
            <w:r>
              <w:rPr>
                <w:rFonts w:hint="eastAsia"/>
                <w:bCs/>
                <w:sz w:val="24"/>
              </w:rPr>
              <w:t>工程进度</w:t>
            </w:r>
          </w:p>
          <w:p>
            <w:pPr>
              <w:adjustRightInd w:val="0"/>
              <w:snapToGrid w:val="0"/>
              <w:spacing w:line="360" w:lineRule="auto"/>
              <w:ind w:firstLine="480" w:firstLineChars="200"/>
              <w:jc w:val="left"/>
              <w:rPr>
                <w:bCs/>
                <w:sz w:val="24"/>
              </w:rPr>
            </w:pPr>
            <w:r>
              <w:rPr>
                <w:rFonts w:hint="eastAsia"/>
                <w:bCs/>
                <w:sz w:val="24"/>
              </w:rPr>
              <w:t>租赁园区现有已建厂房进行设备安装及生产，目前吸音棉生产线已建成，模内发泡剂轻质发泡线暂未建设。</w:t>
            </w:r>
          </w:p>
          <w:p>
            <w:pPr>
              <w:adjustRightInd w:val="0"/>
              <w:snapToGrid w:val="0"/>
              <w:spacing w:line="360" w:lineRule="auto"/>
              <w:jc w:val="left"/>
              <w:rPr>
                <w:bCs/>
                <w:sz w:val="24"/>
              </w:rPr>
            </w:pPr>
            <w:r>
              <w:rPr>
                <w:bCs/>
                <w:sz w:val="24"/>
              </w:rPr>
              <w:t>8</w:t>
            </w:r>
            <w:r>
              <w:rPr>
                <w:rFonts w:hint="eastAsia"/>
                <w:bCs/>
                <w:sz w:val="24"/>
              </w:rPr>
              <w:t>、劳动定员及工作制度</w:t>
            </w:r>
          </w:p>
          <w:p>
            <w:pPr>
              <w:spacing w:line="360" w:lineRule="auto"/>
              <w:ind w:firstLine="480" w:firstLineChars="200"/>
              <w:rPr>
                <w:bCs/>
                <w:sz w:val="24"/>
              </w:rPr>
            </w:pPr>
            <w:r>
              <w:rPr>
                <w:rFonts w:hint="eastAsia"/>
                <w:bCs/>
                <w:sz w:val="24"/>
              </w:rPr>
              <w:t>项目劳动定员及工作制度见下表。</w:t>
            </w:r>
          </w:p>
          <w:p>
            <w:pPr>
              <w:pStyle w:val="54"/>
              <w:rPr>
                <w:b w:val="0"/>
                <w:bCs/>
                <w:sz w:val="24"/>
                <w:szCs w:val="24"/>
              </w:rPr>
            </w:pPr>
            <w:r>
              <w:rPr>
                <w:rFonts w:hint="eastAsia"/>
                <w:b w:val="0"/>
                <w:bCs/>
                <w:sz w:val="24"/>
                <w:szCs w:val="24"/>
              </w:rPr>
              <w:t>表</w:t>
            </w:r>
            <w:r>
              <w:rPr>
                <w:b w:val="0"/>
                <w:bCs/>
                <w:sz w:val="24"/>
                <w:szCs w:val="24"/>
              </w:rPr>
              <w:t xml:space="preserve">2-9   </w:t>
            </w:r>
            <w:r>
              <w:rPr>
                <w:rFonts w:hint="eastAsia"/>
                <w:b w:val="0"/>
                <w:bCs/>
                <w:sz w:val="24"/>
                <w:szCs w:val="24"/>
              </w:rPr>
              <w:t>项目变动前后劳动定员及工作制度一览表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572"/>
              <w:gridCol w:w="2556"/>
              <w:gridCol w:w="1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3" w:type="dxa"/>
                  <w:tcBorders>
                    <w:top w:val="single" w:color="auto" w:sz="12" w:space="0"/>
                    <w:left w:val="single" w:color="auto" w:sz="12"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主要指标</w:t>
                  </w:r>
                </w:p>
              </w:tc>
              <w:tc>
                <w:tcPr>
                  <w:tcW w:w="2732" w:type="dxa"/>
                  <w:tcBorders>
                    <w:top w:val="single" w:color="auto" w:sz="12" w:space="0"/>
                    <w:left w:val="single" w:color="auto" w:sz="4"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变动前</w:t>
                  </w:r>
                </w:p>
              </w:tc>
              <w:tc>
                <w:tcPr>
                  <w:tcW w:w="2715" w:type="dxa"/>
                  <w:tcBorders>
                    <w:top w:val="single" w:color="auto" w:sz="12" w:space="0"/>
                    <w:left w:val="single" w:color="auto" w:sz="4"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变动后</w:t>
                  </w:r>
                </w:p>
              </w:tc>
              <w:tc>
                <w:tcPr>
                  <w:tcW w:w="1482" w:type="dxa"/>
                  <w:tcBorders>
                    <w:top w:val="single" w:color="auto" w:sz="12" w:space="0"/>
                    <w:left w:val="single" w:color="auto" w:sz="4" w:space="0"/>
                    <w:bottom w:val="single" w:color="auto" w:sz="4" w:space="0"/>
                    <w:right w:val="single" w:color="auto" w:sz="12" w:space="0"/>
                  </w:tcBorders>
                  <w:vAlign w:val="center"/>
                </w:tcPr>
                <w:p>
                  <w:pPr>
                    <w:pStyle w:val="55"/>
                    <w:rPr>
                      <w:bCs/>
                      <w:spacing w:val="0"/>
                      <w:kern w:val="2"/>
                      <w:sz w:val="24"/>
                      <w:szCs w:val="24"/>
                    </w:rPr>
                  </w:pPr>
                  <w:r>
                    <w:rPr>
                      <w:rFonts w:hint="eastAsia"/>
                      <w:bCs/>
                      <w:spacing w:val="0"/>
                      <w:kern w:val="2"/>
                      <w:sz w:val="24"/>
                      <w:szCs w:val="24"/>
                    </w:rPr>
                    <w:t>变化情况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3" w:type="dxa"/>
                  <w:tcBorders>
                    <w:top w:val="single" w:color="auto" w:sz="4" w:space="0"/>
                    <w:left w:val="single" w:color="auto" w:sz="12"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年工作天数</w:t>
                  </w:r>
                </w:p>
              </w:tc>
              <w:tc>
                <w:tcPr>
                  <w:tcW w:w="2732" w:type="dxa"/>
                  <w:tcBorders>
                    <w:top w:val="single" w:color="auto" w:sz="4" w:space="0"/>
                    <w:left w:val="single" w:color="auto" w:sz="4" w:space="0"/>
                    <w:bottom w:val="single" w:color="auto" w:sz="4" w:space="0"/>
                    <w:right w:val="single" w:color="auto" w:sz="4" w:space="0"/>
                  </w:tcBorders>
                  <w:vAlign w:val="center"/>
                </w:tcPr>
                <w:p>
                  <w:pPr>
                    <w:pStyle w:val="55"/>
                    <w:rPr>
                      <w:bCs/>
                      <w:spacing w:val="0"/>
                      <w:kern w:val="2"/>
                      <w:sz w:val="24"/>
                      <w:szCs w:val="24"/>
                    </w:rPr>
                  </w:pPr>
                  <w:r>
                    <w:rPr>
                      <w:bCs/>
                      <w:spacing w:val="0"/>
                      <w:kern w:val="2"/>
                      <w:sz w:val="24"/>
                      <w:szCs w:val="24"/>
                    </w:rPr>
                    <w:t>250</w:t>
                  </w:r>
                  <w:r>
                    <w:rPr>
                      <w:rFonts w:hint="eastAsia"/>
                      <w:bCs/>
                      <w:spacing w:val="0"/>
                      <w:kern w:val="2"/>
                      <w:sz w:val="24"/>
                      <w:szCs w:val="24"/>
                    </w:rPr>
                    <w:t>天</w:t>
                  </w:r>
                </w:p>
              </w:tc>
              <w:tc>
                <w:tcPr>
                  <w:tcW w:w="2715" w:type="dxa"/>
                  <w:tcBorders>
                    <w:top w:val="single" w:color="auto" w:sz="4" w:space="0"/>
                    <w:left w:val="single" w:color="auto" w:sz="4" w:space="0"/>
                    <w:bottom w:val="single" w:color="auto" w:sz="4" w:space="0"/>
                    <w:right w:val="single" w:color="auto" w:sz="4" w:space="0"/>
                  </w:tcBorders>
                  <w:vAlign w:val="center"/>
                </w:tcPr>
                <w:p>
                  <w:pPr>
                    <w:pStyle w:val="55"/>
                    <w:rPr>
                      <w:bCs/>
                      <w:spacing w:val="0"/>
                      <w:kern w:val="2"/>
                      <w:sz w:val="24"/>
                      <w:szCs w:val="24"/>
                    </w:rPr>
                  </w:pPr>
                  <w:r>
                    <w:rPr>
                      <w:bCs/>
                      <w:spacing w:val="0"/>
                      <w:kern w:val="2"/>
                      <w:sz w:val="24"/>
                      <w:szCs w:val="24"/>
                    </w:rPr>
                    <w:t>250</w:t>
                  </w:r>
                  <w:r>
                    <w:rPr>
                      <w:rFonts w:hint="eastAsia"/>
                      <w:bCs/>
                      <w:spacing w:val="0"/>
                      <w:kern w:val="2"/>
                      <w:sz w:val="24"/>
                      <w:szCs w:val="24"/>
                    </w:rPr>
                    <w:t>天</w:t>
                  </w:r>
                </w:p>
              </w:tc>
              <w:tc>
                <w:tcPr>
                  <w:tcW w:w="1482" w:type="dxa"/>
                  <w:tcBorders>
                    <w:top w:val="single" w:color="auto" w:sz="4" w:space="0"/>
                    <w:left w:val="single" w:color="auto" w:sz="4" w:space="0"/>
                    <w:bottom w:val="single" w:color="auto" w:sz="4" w:space="0"/>
                    <w:right w:val="single" w:color="auto" w:sz="12" w:space="0"/>
                  </w:tcBorders>
                  <w:vAlign w:val="center"/>
                </w:tcPr>
                <w:p>
                  <w:pPr>
                    <w:pStyle w:val="55"/>
                    <w:rPr>
                      <w:bCs/>
                      <w:spacing w:val="0"/>
                      <w:kern w:val="2"/>
                      <w:sz w:val="24"/>
                      <w:szCs w:val="24"/>
                    </w:rPr>
                  </w:pPr>
                  <w:r>
                    <w:rPr>
                      <w:rFonts w:hint="eastAsia"/>
                      <w:bCs/>
                      <w:spacing w:val="0"/>
                      <w:kern w:val="2"/>
                      <w:sz w:val="24"/>
                      <w:szCs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3" w:type="dxa"/>
                  <w:tcBorders>
                    <w:top w:val="single" w:color="auto" w:sz="4" w:space="0"/>
                    <w:left w:val="single" w:color="auto" w:sz="12"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员工人数</w:t>
                  </w:r>
                </w:p>
              </w:tc>
              <w:tc>
                <w:tcPr>
                  <w:tcW w:w="2732" w:type="dxa"/>
                  <w:tcBorders>
                    <w:top w:val="single" w:color="auto" w:sz="4" w:space="0"/>
                    <w:left w:val="single" w:color="auto" w:sz="4" w:space="0"/>
                    <w:bottom w:val="single" w:color="auto" w:sz="4" w:space="0"/>
                    <w:right w:val="single" w:color="auto" w:sz="4" w:space="0"/>
                  </w:tcBorders>
                  <w:vAlign w:val="center"/>
                </w:tcPr>
                <w:p>
                  <w:pPr>
                    <w:pStyle w:val="55"/>
                    <w:rPr>
                      <w:bCs/>
                      <w:spacing w:val="0"/>
                      <w:kern w:val="2"/>
                      <w:sz w:val="24"/>
                      <w:szCs w:val="24"/>
                    </w:rPr>
                  </w:pPr>
                  <w:r>
                    <w:rPr>
                      <w:bCs/>
                      <w:spacing w:val="0"/>
                      <w:kern w:val="2"/>
                      <w:sz w:val="24"/>
                      <w:szCs w:val="24"/>
                    </w:rPr>
                    <w:t>100</w:t>
                  </w:r>
                </w:p>
              </w:tc>
              <w:tc>
                <w:tcPr>
                  <w:tcW w:w="2715" w:type="dxa"/>
                  <w:tcBorders>
                    <w:top w:val="single" w:color="auto" w:sz="4" w:space="0"/>
                    <w:left w:val="single" w:color="auto" w:sz="4" w:space="0"/>
                    <w:bottom w:val="single" w:color="auto" w:sz="4" w:space="0"/>
                    <w:right w:val="single" w:color="auto" w:sz="4" w:space="0"/>
                  </w:tcBorders>
                  <w:vAlign w:val="center"/>
                </w:tcPr>
                <w:p>
                  <w:pPr>
                    <w:pStyle w:val="55"/>
                    <w:rPr>
                      <w:bCs/>
                      <w:spacing w:val="0"/>
                      <w:kern w:val="2"/>
                      <w:sz w:val="24"/>
                      <w:szCs w:val="24"/>
                    </w:rPr>
                  </w:pPr>
                  <w:r>
                    <w:rPr>
                      <w:bCs/>
                      <w:spacing w:val="0"/>
                      <w:kern w:val="2"/>
                      <w:sz w:val="24"/>
                      <w:szCs w:val="24"/>
                    </w:rPr>
                    <w:t>100</w:t>
                  </w:r>
                </w:p>
              </w:tc>
              <w:tc>
                <w:tcPr>
                  <w:tcW w:w="1482" w:type="dxa"/>
                  <w:tcBorders>
                    <w:top w:val="single" w:color="auto" w:sz="4" w:space="0"/>
                    <w:left w:val="single" w:color="auto" w:sz="4" w:space="0"/>
                    <w:bottom w:val="single" w:color="auto" w:sz="4" w:space="0"/>
                    <w:right w:val="single" w:color="auto" w:sz="12" w:space="0"/>
                  </w:tcBorders>
                  <w:vAlign w:val="center"/>
                </w:tcPr>
                <w:p>
                  <w:pPr>
                    <w:pStyle w:val="55"/>
                    <w:rPr>
                      <w:bCs/>
                      <w:spacing w:val="0"/>
                      <w:kern w:val="2"/>
                      <w:sz w:val="24"/>
                      <w:szCs w:val="24"/>
                    </w:rPr>
                  </w:pPr>
                  <w:r>
                    <w:rPr>
                      <w:rFonts w:hint="eastAsia"/>
                      <w:bCs/>
                      <w:spacing w:val="0"/>
                      <w:kern w:val="2"/>
                      <w:sz w:val="24"/>
                      <w:szCs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3" w:type="dxa"/>
                  <w:tcBorders>
                    <w:top w:val="single" w:color="auto" w:sz="4" w:space="0"/>
                    <w:left w:val="single" w:color="auto" w:sz="12"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工作制度</w:t>
                  </w:r>
                </w:p>
              </w:tc>
              <w:tc>
                <w:tcPr>
                  <w:tcW w:w="2732" w:type="dxa"/>
                  <w:tcBorders>
                    <w:top w:val="single" w:color="auto" w:sz="4" w:space="0"/>
                    <w:left w:val="single" w:color="auto" w:sz="4"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每日两班，每班</w:t>
                  </w:r>
                  <w:r>
                    <w:rPr>
                      <w:bCs/>
                      <w:spacing w:val="0"/>
                      <w:kern w:val="2"/>
                      <w:sz w:val="24"/>
                      <w:szCs w:val="24"/>
                    </w:rPr>
                    <w:t>7</w:t>
                  </w:r>
                  <w:r>
                    <w:rPr>
                      <w:rFonts w:hint="eastAsia"/>
                      <w:bCs/>
                      <w:spacing w:val="0"/>
                      <w:kern w:val="2"/>
                      <w:sz w:val="24"/>
                      <w:szCs w:val="24"/>
                    </w:rPr>
                    <w:t>小时，每天工作</w:t>
                  </w:r>
                  <w:r>
                    <w:rPr>
                      <w:bCs/>
                      <w:spacing w:val="0"/>
                      <w:kern w:val="2"/>
                      <w:sz w:val="24"/>
                      <w:szCs w:val="24"/>
                    </w:rPr>
                    <w:t>14</w:t>
                  </w:r>
                  <w:r>
                    <w:rPr>
                      <w:rFonts w:hint="eastAsia"/>
                      <w:bCs/>
                      <w:spacing w:val="0"/>
                      <w:kern w:val="2"/>
                      <w:sz w:val="24"/>
                      <w:szCs w:val="24"/>
                    </w:rPr>
                    <w:t>小时。</w:t>
                  </w:r>
                </w:p>
              </w:tc>
              <w:tc>
                <w:tcPr>
                  <w:tcW w:w="2715" w:type="dxa"/>
                  <w:tcBorders>
                    <w:top w:val="single" w:color="auto" w:sz="4" w:space="0"/>
                    <w:left w:val="single" w:color="auto" w:sz="4" w:space="0"/>
                    <w:bottom w:val="single" w:color="auto" w:sz="4" w:space="0"/>
                    <w:right w:val="single" w:color="auto" w:sz="4" w:space="0"/>
                  </w:tcBorders>
                  <w:vAlign w:val="center"/>
                </w:tcPr>
                <w:p>
                  <w:pPr>
                    <w:pStyle w:val="55"/>
                    <w:rPr>
                      <w:bCs/>
                      <w:spacing w:val="0"/>
                      <w:kern w:val="2"/>
                      <w:sz w:val="24"/>
                      <w:szCs w:val="24"/>
                    </w:rPr>
                  </w:pPr>
                  <w:r>
                    <w:rPr>
                      <w:rFonts w:hint="eastAsia"/>
                      <w:bCs/>
                      <w:spacing w:val="0"/>
                      <w:kern w:val="2"/>
                      <w:sz w:val="24"/>
                      <w:szCs w:val="24"/>
                    </w:rPr>
                    <w:t>每日两班，每班</w:t>
                  </w:r>
                  <w:r>
                    <w:rPr>
                      <w:bCs/>
                      <w:spacing w:val="0"/>
                      <w:kern w:val="2"/>
                      <w:sz w:val="24"/>
                      <w:szCs w:val="24"/>
                    </w:rPr>
                    <w:t>7</w:t>
                  </w:r>
                  <w:r>
                    <w:rPr>
                      <w:rFonts w:hint="eastAsia"/>
                      <w:bCs/>
                      <w:spacing w:val="0"/>
                      <w:kern w:val="2"/>
                      <w:sz w:val="24"/>
                      <w:szCs w:val="24"/>
                    </w:rPr>
                    <w:t>小时，每天工作</w:t>
                  </w:r>
                  <w:r>
                    <w:rPr>
                      <w:bCs/>
                      <w:spacing w:val="0"/>
                      <w:kern w:val="2"/>
                      <w:sz w:val="24"/>
                      <w:szCs w:val="24"/>
                    </w:rPr>
                    <w:t>14</w:t>
                  </w:r>
                  <w:r>
                    <w:rPr>
                      <w:rFonts w:hint="eastAsia"/>
                      <w:bCs/>
                      <w:spacing w:val="0"/>
                      <w:kern w:val="2"/>
                      <w:sz w:val="24"/>
                      <w:szCs w:val="24"/>
                    </w:rPr>
                    <w:t>小时。</w:t>
                  </w:r>
                </w:p>
              </w:tc>
              <w:tc>
                <w:tcPr>
                  <w:tcW w:w="1482" w:type="dxa"/>
                  <w:tcBorders>
                    <w:top w:val="single" w:color="auto" w:sz="4" w:space="0"/>
                    <w:left w:val="single" w:color="auto" w:sz="4" w:space="0"/>
                    <w:bottom w:val="single" w:color="auto" w:sz="4" w:space="0"/>
                    <w:right w:val="single" w:color="auto" w:sz="12" w:space="0"/>
                  </w:tcBorders>
                  <w:vAlign w:val="center"/>
                </w:tcPr>
                <w:p>
                  <w:pPr>
                    <w:pStyle w:val="55"/>
                    <w:rPr>
                      <w:bCs/>
                      <w:spacing w:val="0"/>
                      <w:kern w:val="2"/>
                      <w:sz w:val="24"/>
                      <w:szCs w:val="24"/>
                    </w:rPr>
                  </w:pPr>
                  <w:r>
                    <w:rPr>
                      <w:rFonts w:hint="eastAsia"/>
                      <w:bCs/>
                      <w:spacing w:val="0"/>
                      <w:kern w:val="2"/>
                      <w:sz w:val="24"/>
                      <w:szCs w:val="24"/>
                    </w:rPr>
                    <w:t>不变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3" w:type="dxa"/>
                  <w:tcBorders>
                    <w:top w:val="single" w:color="auto" w:sz="4" w:space="0"/>
                    <w:left w:val="single" w:color="auto" w:sz="12" w:space="0"/>
                    <w:bottom w:val="single" w:color="auto" w:sz="12" w:space="0"/>
                    <w:right w:val="single" w:color="auto" w:sz="4" w:space="0"/>
                  </w:tcBorders>
                  <w:vAlign w:val="center"/>
                </w:tcPr>
                <w:p>
                  <w:pPr>
                    <w:pStyle w:val="55"/>
                    <w:rPr>
                      <w:bCs/>
                      <w:spacing w:val="0"/>
                      <w:kern w:val="2"/>
                      <w:sz w:val="24"/>
                      <w:szCs w:val="24"/>
                    </w:rPr>
                  </w:pPr>
                  <w:r>
                    <w:rPr>
                      <w:rFonts w:hint="eastAsia"/>
                      <w:bCs/>
                      <w:spacing w:val="0"/>
                      <w:kern w:val="2"/>
                      <w:sz w:val="24"/>
                      <w:szCs w:val="24"/>
                    </w:rPr>
                    <w:t>食宿情况</w:t>
                  </w:r>
                </w:p>
              </w:tc>
              <w:tc>
                <w:tcPr>
                  <w:tcW w:w="2732" w:type="dxa"/>
                  <w:tcBorders>
                    <w:top w:val="single" w:color="auto" w:sz="4" w:space="0"/>
                    <w:left w:val="single" w:color="auto" w:sz="4" w:space="0"/>
                    <w:bottom w:val="single" w:color="auto" w:sz="12" w:space="0"/>
                    <w:right w:val="single" w:color="auto" w:sz="4" w:space="0"/>
                  </w:tcBorders>
                  <w:vAlign w:val="center"/>
                </w:tcPr>
                <w:p>
                  <w:pPr>
                    <w:pStyle w:val="55"/>
                    <w:rPr>
                      <w:bCs/>
                      <w:spacing w:val="0"/>
                      <w:kern w:val="2"/>
                      <w:sz w:val="24"/>
                      <w:szCs w:val="24"/>
                    </w:rPr>
                  </w:pPr>
                  <w:r>
                    <w:rPr>
                      <w:rFonts w:hint="eastAsia"/>
                      <w:bCs/>
                      <w:spacing w:val="0"/>
                      <w:kern w:val="2"/>
                      <w:sz w:val="24"/>
                      <w:szCs w:val="24"/>
                    </w:rPr>
                    <w:t>无食堂，不住宿。</w:t>
                  </w:r>
                </w:p>
              </w:tc>
              <w:tc>
                <w:tcPr>
                  <w:tcW w:w="2715" w:type="dxa"/>
                  <w:tcBorders>
                    <w:top w:val="single" w:color="auto" w:sz="4" w:space="0"/>
                    <w:left w:val="single" w:color="auto" w:sz="4" w:space="0"/>
                    <w:bottom w:val="single" w:color="auto" w:sz="12" w:space="0"/>
                    <w:right w:val="single" w:color="auto" w:sz="4" w:space="0"/>
                  </w:tcBorders>
                  <w:vAlign w:val="center"/>
                </w:tcPr>
                <w:p>
                  <w:pPr>
                    <w:pStyle w:val="55"/>
                    <w:rPr>
                      <w:bCs/>
                      <w:spacing w:val="0"/>
                      <w:kern w:val="2"/>
                      <w:sz w:val="24"/>
                      <w:szCs w:val="24"/>
                    </w:rPr>
                  </w:pPr>
                  <w:r>
                    <w:rPr>
                      <w:rFonts w:hint="eastAsia"/>
                      <w:bCs/>
                      <w:spacing w:val="0"/>
                      <w:kern w:val="2"/>
                      <w:sz w:val="24"/>
                      <w:szCs w:val="24"/>
                    </w:rPr>
                    <w:t>无食堂，不住宿。</w:t>
                  </w:r>
                </w:p>
              </w:tc>
              <w:tc>
                <w:tcPr>
                  <w:tcW w:w="1482" w:type="dxa"/>
                  <w:tcBorders>
                    <w:top w:val="single" w:color="auto" w:sz="4" w:space="0"/>
                    <w:left w:val="single" w:color="auto" w:sz="4" w:space="0"/>
                    <w:bottom w:val="single" w:color="auto" w:sz="12" w:space="0"/>
                    <w:right w:val="single" w:color="auto" w:sz="12" w:space="0"/>
                  </w:tcBorders>
                  <w:vAlign w:val="center"/>
                </w:tcPr>
                <w:p>
                  <w:pPr>
                    <w:pStyle w:val="55"/>
                    <w:rPr>
                      <w:bCs/>
                      <w:spacing w:val="0"/>
                      <w:kern w:val="2"/>
                      <w:sz w:val="24"/>
                      <w:szCs w:val="24"/>
                    </w:rPr>
                  </w:pPr>
                  <w:r>
                    <w:rPr>
                      <w:rFonts w:hint="eastAsia"/>
                      <w:bCs/>
                      <w:spacing w:val="0"/>
                      <w:kern w:val="2"/>
                      <w:sz w:val="24"/>
                      <w:szCs w:val="24"/>
                    </w:rPr>
                    <w:t>不变</w:t>
                  </w:r>
                </w:p>
              </w:tc>
            </w:tr>
          </w:tbl>
          <w:p>
            <w:pPr>
              <w:adjustRightInd w:val="0"/>
              <w:snapToGrid w:val="0"/>
              <w:spacing w:line="360" w:lineRule="auto"/>
              <w:jc w:val="left"/>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823" w:type="dxa"/>
            <w:vAlign w:val="center"/>
          </w:tcPr>
          <w:p>
            <w:pPr>
              <w:pStyle w:val="16"/>
              <w:spacing w:beforeAutospacing="0" w:afterAutospacing="0"/>
              <w:jc w:val="center"/>
              <w:rPr>
                <w:rFonts w:ascii="Times New Roman" w:hAnsi="Times New Roman"/>
                <w:szCs w:val="24"/>
              </w:rPr>
            </w:pPr>
            <w:r>
              <w:rPr>
                <w:rFonts w:hint="eastAsia" w:ascii="Times New Roman" w:hAnsi="Times New Roman"/>
                <w:szCs w:val="24"/>
              </w:rPr>
              <w:t>工艺流程和产排污环节</w:t>
            </w:r>
          </w:p>
        </w:tc>
        <w:tc>
          <w:tcPr>
            <w:tcW w:w="8161" w:type="dxa"/>
          </w:tcPr>
          <w:p>
            <w:pPr>
              <w:widowControl/>
              <w:adjustRightInd w:val="0"/>
              <w:snapToGrid w:val="0"/>
              <w:spacing w:line="360" w:lineRule="auto"/>
              <w:ind w:firstLine="482" w:firstLineChars="200"/>
              <w:jc w:val="left"/>
            </w:pPr>
            <w:r>
              <w:rPr>
                <w:rFonts w:hint="eastAsia"/>
                <w:b/>
                <w:bCs/>
                <w:kern w:val="0"/>
                <w:sz w:val="24"/>
              </w:rPr>
              <w:t>一、施工期</w:t>
            </w:r>
          </w:p>
          <w:p>
            <w:pPr>
              <w:widowControl/>
              <w:adjustRightInd w:val="0"/>
              <w:snapToGrid w:val="0"/>
              <w:spacing w:line="360" w:lineRule="auto"/>
              <w:ind w:firstLine="480" w:firstLineChars="200"/>
              <w:jc w:val="left"/>
            </w:pPr>
            <w:r>
              <w:rPr>
                <w:rFonts w:hint="eastAsia"/>
                <w:kern w:val="0"/>
                <w:sz w:val="24"/>
              </w:rPr>
              <w:t>本项目租赁园区现有已建厂房生产，施工期间主要为设备安装，无土建工程。项目吸音棉生产线已建成，模内发泡生产线及轻质发泡生产线暂未建设线，施工期持续时间较短，对环境产生污染较小，本次不做施工期分析。</w:t>
            </w:r>
          </w:p>
          <w:p>
            <w:pPr>
              <w:widowControl/>
              <w:numPr>
                <w:ilvl w:val="0"/>
                <w:numId w:val="4"/>
              </w:numPr>
              <w:adjustRightInd w:val="0"/>
              <w:snapToGrid w:val="0"/>
              <w:spacing w:line="360" w:lineRule="auto"/>
              <w:ind w:firstLine="482" w:firstLineChars="200"/>
              <w:jc w:val="left"/>
              <w:rPr>
                <w:b/>
                <w:bCs/>
                <w:kern w:val="0"/>
                <w:sz w:val="24"/>
              </w:rPr>
            </w:pPr>
            <w:r>
              <w:rPr>
                <w:rFonts w:hint="eastAsia"/>
                <w:b/>
                <w:bCs/>
                <w:kern w:val="0"/>
                <w:sz w:val="24"/>
              </w:rPr>
              <w:t>运营期</w:t>
            </w:r>
          </w:p>
          <w:p>
            <w:pPr>
              <w:widowControl/>
              <w:adjustRightInd w:val="0"/>
              <w:snapToGrid w:val="0"/>
              <w:spacing w:line="360" w:lineRule="auto"/>
              <w:ind w:firstLine="480" w:firstLineChars="200"/>
              <w:jc w:val="left"/>
              <w:rPr>
                <w:kern w:val="0"/>
                <w:sz w:val="24"/>
              </w:rPr>
            </w:pPr>
            <w:r>
              <w:rPr>
                <w:rFonts w:hint="eastAsia"/>
                <w:kern w:val="0"/>
                <w:sz w:val="24"/>
              </w:rPr>
              <w:t>本项目设置吸音棉生产线一条、模内发泡生产线一条、轻质发泡生产线一条。具体工艺流程如下：</w:t>
            </w:r>
          </w:p>
          <w:p>
            <w:pPr>
              <w:widowControl/>
              <w:numPr>
                <w:ilvl w:val="0"/>
                <w:numId w:val="5"/>
              </w:numPr>
              <w:adjustRightInd w:val="0"/>
              <w:snapToGrid w:val="0"/>
              <w:spacing w:line="360" w:lineRule="auto"/>
              <w:ind w:firstLine="480" w:firstLineChars="200"/>
              <w:jc w:val="left"/>
              <w:rPr>
                <w:kern w:val="0"/>
                <w:sz w:val="24"/>
              </w:rPr>
            </w:pPr>
            <w:r>
              <w:rPr>
                <w:rFonts w:hint="eastAsia"/>
                <w:kern w:val="0"/>
                <w:sz w:val="24"/>
              </w:rPr>
              <w:t>吸音棉生产线工艺流程及产排污环节图（重大变动部分生产线）</w:t>
            </w: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widowControl/>
              <w:adjustRightInd w:val="0"/>
              <w:snapToGrid w:val="0"/>
              <w:spacing w:line="360" w:lineRule="auto"/>
              <w:jc w:val="left"/>
              <w:rPr>
                <w:kern w:val="0"/>
                <w:sz w:val="24"/>
              </w:rPr>
            </w:pPr>
          </w:p>
          <w:p>
            <w:pPr>
              <w:pStyle w:val="35"/>
              <w:jc w:val="center"/>
              <w:rPr>
                <w:color w:val="auto"/>
              </w:rPr>
            </w:pPr>
            <w:r>
              <w:rPr>
                <w:color w:val="auto"/>
              </w:rPr>
              <w:object>
                <v:shape id="_x0000_i1027" o:spt="75" type="#_x0000_t75" style="height:294pt;width:208.5pt;" o:ole="t" filled="f" o:preferrelative="t" stroked="f" coordsize="21600,21600">
                  <v:path/>
                  <v:fill on="f" focussize="0,0"/>
                  <v:stroke on="f" joinstyle="miter"/>
                  <v:imagedata r:id="rId12" o:title=""/>
                  <o:lock v:ext="edit" aspectratio="f"/>
                  <w10:wrap type="none"/>
                  <w10:anchorlock/>
                </v:shape>
                <o:OLEObject Type="Embed" ProgID="Visio.Drawing.11" ShapeID="_x0000_i1027" DrawAspect="Content" ObjectID="_1468075726" r:id="rId11">
                  <o:LockedField>false</o:LockedField>
                </o:OLEObject>
              </w:object>
            </w:r>
          </w:p>
          <w:p>
            <w:pPr>
              <w:widowControl/>
              <w:adjustRightInd w:val="0"/>
              <w:snapToGrid w:val="0"/>
              <w:spacing w:line="360" w:lineRule="auto"/>
              <w:jc w:val="center"/>
              <w:rPr>
                <w:b/>
                <w:bCs/>
                <w:kern w:val="0"/>
                <w:szCs w:val="21"/>
              </w:rPr>
            </w:pPr>
            <w:r>
              <w:rPr>
                <w:rFonts w:hint="eastAsia"/>
                <w:b/>
                <w:bCs/>
                <w:kern w:val="0"/>
                <w:szCs w:val="21"/>
              </w:rPr>
              <w:t>图</w:t>
            </w:r>
            <w:r>
              <w:rPr>
                <w:b/>
                <w:bCs/>
                <w:kern w:val="0"/>
                <w:szCs w:val="21"/>
              </w:rPr>
              <w:t xml:space="preserve">2-2   </w:t>
            </w:r>
            <w:r>
              <w:rPr>
                <w:rFonts w:hint="eastAsia"/>
                <w:b/>
                <w:bCs/>
                <w:kern w:val="0"/>
                <w:szCs w:val="21"/>
              </w:rPr>
              <w:t>吸音棉生产线工艺流程及产排污环节图</w:t>
            </w:r>
          </w:p>
          <w:p>
            <w:pPr>
              <w:widowControl/>
              <w:adjustRightInd w:val="0"/>
              <w:snapToGrid w:val="0"/>
              <w:spacing w:line="360" w:lineRule="auto"/>
              <w:ind w:firstLine="482" w:firstLineChars="200"/>
              <w:rPr>
                <w:b/>
                <w:bCs/>
                <w:kern w:val="0"/>
                <w:sz w:val="24"/>
              </w:rPr>
            </w:pPr>
            <w:r>
              <w:rPr>
                <w:rFonts w:hint="eastAsia"/>
                <w:b/>
                <w:bCs/>
                <w:kern w:val="0"/>
                <w:sz w:val="24"/>
              </w:rPr>
              <w:t>工艺流程简述：</w:t>
            </w:r>
          </w:p>
          <w:p>
            <w:pPr>
              <w:widowControl/>
              <w:adjustRightInd w:val="0"/>
              <w:snapToGrid w:val="0"/>
              <w:spacing w:line="360" w:lineRule="auto"/>
              <w:ind w:firstLine="480" w:firstLineChars="200"/>
              <w:rPr>
                <w:kern w:val="0"/>
                <w:sz w:val="24"/>
              </w:rPr>
            </w:pPr>
            <w:r>
              <w:rPr>
                <w:rFonts w:hint="eastAsia"/>
                <w:kern w:val="0"/>
                <w:sz w:val="24"/>
              </w:rPr>
              <w:t>对外购的袋装中空涤纶短纤维进行开包，开包后将中空涤纶短纤维进入开松梳理机，经过精开松将纤维变得蓬松，纤维块的密度降低，纤维与杂质间的联系减弱，初步去处杂质。然后经过梳理机的梳理，将原料分梳成单纤维状态，组成网状纤维薄层，再集合成纤维条，完成中空涤纶短纤维的预处理。中空涤纶短纤维开松梳理过程中产生少量粉尘</w:t>
            </w:r>
            <w:r>
              <w:rPr>
                <w:rFonts w:hint="eastAsia"/>
                <w:b/>
                <w:bCs/>
                <w:kern w:val="0"/>
                <w:sz w:val="24"/>
              </w:rPr>
              <w:t>（变更前为无组织排放，变更后为有组织排放）</w:t>
            </w:r>
            <w:r>
              <w:rPr>
                <w:rFonts w:hint="eastAsia"/>
                <w:kern w:val="0"/>
                <w:sz w:val="24"/>
              </w:rPr>
              <w:t>。</w:t>
            </w:r>
          </w:p>
          <w:p>
            <w:pPr>
              <w:widowControl/>
              <w:adjustRightInd w:val="0"/>
              <w:snapToGrid w:val="0"/>
              <w:spacing w:line="360" w:lineRule="auto"/>
              <w:ind w:firstLine="482" w:firstLineChars="200"/>
              <w:rPr>
                <w:kern w:val="0"/>
                <w:sz w:val="24"/>
              </w:rPr>
            </w:pPr>
            <w:r>
              <w:rPr>
                <w:rFonts w:hint="eastAsia"/>
                <w:b/>
                <w:bCs/>
                <w:kern w:val="0"/>
                <w:sz w:val="24"/>
              </w:rPr>
              <w:t>预处理后的中空涤纶短纤维进入接触式烘箱进行热熔定型（烘箱温度为</w:t>
            </w:r>
            <w:r>
              <w:rPr>
                <w:b/>
                <w:bCs/>
                <w:kern w:val="0"/>
                <w:sz w:val="24"/>
              </w:rPr>
              <w:t>165</w:t>
            </w:r>
            <w:r>
              <w:rPr>
                <w:rFonts w:hint="eastAsia" w:ascii="宋体" w:hAnsi="宋体" w:cs="宋体"/>
                <w:b/>
                <w:bCs/>
                <w:kern w:val="0"/>
                <w:sz w:val="24"/>
              </w:rPr>
              <w:t>℃</w:t>
            </w:r>
            <w:r>
              <w:rPr>
                <w:rFonts w:hint="eastAsia"/>
                <w:b/>
                <w:bCs/>
                <w:kern w:val="0"/>
                <w:sz w:val="24"/>
              </w:rPr>
              <w:t>，变更前为电加热，变更后为天然气燃烧气直接加热，加热过程不使用水），此过程产生有机废气及天然气燃烧废气（变更前为有机废气，变更后为有机废气和天然气燃烧废气）；</w:t>
            </w:r>
            <w:r>
              <w:rPr>
                <w:rFonts w:hint="eastAsia"/>
                <w:kern w:val="0"/>
                <w:sz w:val="24"/>
              </w:rPr>
              <w:t>产生的</w:t>
            </w:r>
            <w:r>
              <w:rPr>
                <w:rFonts w:hint="eastAsia"/>
                <w:b/>
                <w:bCs/>
                <w:kern w:val="0"/>
                <w:sz w:val="24"/>
              </w:rPr>
              <w:t>有机废气和天然气燃烧废气</w:t>
            </w:r>
            <w:r>
              <w:rPr>
                <w:rFonts w:hint="eastAsia"/>
                <w:kern w:val="0"/>
                <w:sz w:val="24"/>
              </w:rPr>
              <w:t>由烘箱自带的密闭集气管道收集并进入二级活性炭吸附装置处理。</w:t>
            </w:r>
          </w:p>
          <w:p>
            <w:pPr>
              <w:widowControl/>
              <w:adjustRightInd w:val="0"/>
              <w:snapToGrid w:val="0"/>
              <w:spacing w:line="360" w:lineRule="auto"/>
              <w:ind w:firstLine="480" w:firstLineChars="200"/>
              <w:rPr>
                <w:kern w:val="0"/>
                <w:sz w:val="24"/>
              </w:rPr>
            </w:pPr>
            <w:r>
              <w:rPr>
                <w:rFonts w:hint="eastAsia"/>
                <w:kern w:val="0"/>
                <w:sz w:val="24"/>
              </w:rPr>
              <w:t>定型后的半成品进行收卷分切，再进入自动模切机冲切成不同的形状，此过程产生吸音棉冲切边角料；冲切后的吸音棉成品打包入库。</w:t>
            </w:r>
          </w:p>
          <w:p>
            <w:pPr>
              <w:widowControl/>
              <w:numPr>
                <w:ilvl w:val="0"/>
                <w:numId w:val="5"/>
              </w:numPr>
              <w:adjustRightInd w:val="0"/>
              <w:snapToGrid w:val="0"/>
              <w:spacing w:line="360" w:lineRule="auto"/>
              <w:ind w:firstLine="480" w:firstLineChars="200"/>
              <w:jc w:val="left"/>
              <w:rPr>
                <w:kern w:val="0"/>
                <w:sz w:val="24"/>
              </w:rPr>
            </w:pPr>
            <w:r>
              <w:rPr>
                <w:rFonts w:hint="eastAsia"/>
                <w:kern w:val="0"/>
                <w:sz w:val="24"/>
              </w:rPr>
              <w:t>模内发泡生产线工艺流程及产排污环节图</w:t>
            </w:r>
          </w:p>
          <w:p>
            <w:pPr>
              <w:widowControl/>
              <w:adjustRightInd w:val="0"/>
              <w:snapToGrid w:val="0"/>
              <w:spacing w:line="360" w:lineRule="auto"/>
              <w:jc w:val="center"/>
              <w:rPr>
                <w:kern w:val="0"/>
                <w:sz w:val="24"/>
              </w:rPr>
            </w:pPr>
            <w:r>
              <w:rPr>
                <w:kern w:val="0"/>
                <w:sz w:val="24"/>
              </w:rPr>
              <w:object>
                <v:shape id="_x0000_i1028" o:spt="75" type="#_x0000_t75" style="height:241.5pt;width:199.5pt;" o:ole="t" filled="f" o:preferrelative="t" stroked="f" coordsize="21600,21600">
                  <v:path/>
                  <v:fill on="f" focussize="0,0"/>
                  <v:stroke on="f" joinstyle="miter"/>
                  <v:imagedata r:id="rId14" o:title=""/>
                  <o:lock v:ext="edit" aspectratio="f"/>
                  <w10:wrap type="none"/>
                  <w10:anchorlock/>
                </v:shape>
                <o:OLEObject Type="Embed" ProgID="Visio.Drawing.11" ShapeID="_x0000_i1028" DrawAspect="Content" ObjectID="_1468075727" r:id="rId13">
                  <o:LockedField>false</o:LockedField>
                </o:OLEObject>
              </w:object>
            </w:r>
          </w:p>
          <w:p>
            <w:pPr>
              <w:widowControl/>
              <w:adjustRightInd w:val="0"/>
              <w:snapToGrid w:val="0"/>
              <w:spacing w:line="360" w:lineRule="auto"/>
              <w:jc w:val="center"/>
              <w:rPr>
                <w:b/>
                <w:bCs/>
                <w:kern w:val="0"/>
                <w:szCs w:val="21"/>
              </w:rPr>
            </w:pPr>
            <w:r>
              <w:rPr>
                <w:rFonts w:hint="eastAsia"/>
                <w:b/>
                <w:bCs/>
                <w:kern w:val="0"/>
                <w:szCs w:val="21"/>
              </w:rPr>
              <w:t>图</w:t>
            </w:r>
            <w:r>
              <w:rPr>
                <w:b/>
                <w:bCs/>
                <w:kern w:val="0"/>
                <w:szCs w:val="21"/>
              </w:rPr>
              <w:t xml:space="preserve">2-3   </w:t>
            </w:r>
            <w:r>
              <w:rPr>
                <w:rFonts w:hint="eastAsia"/>
                <w:b/>
                <w:bCs/>
                <w:kern w:val="0"/>
                <w:szCs w:val="21"/>
              </w:rPr>
              <w:t>模内发泡生产线工艺流程及产排污环节图</w:t>
            </w:r>
          </w:p>
          <w:p>
            <w:pPr>
              <w:widowControl/>
              <w:adjustRightInd w:val="0"/>
              <w:snapToGrid w:val="0"/>
              <w:spacing w:line="360" w:lineRule="auto"/>
              <w:ind w:firstLine="482" w:firstLineChars="200"/>
              <w:rPr>
                <w:b/>
                <w:bCs/>
                <w:kern w:val="0"/>
                <w:sz w:val="24"/>
              </w:rPr>
            </w:pPr>
            <w:r>
              <w:rPr>
                <w:rFonts w:hint="eastAsia"/>
                <w:b/>
                <w:bCs/>
                <w:kern w:val="0"/>
                <w:sz w:val="24"/>
              </w:rPr>
              <w:t>工艺流程简述：</w:t>
            </w:r>
          </w:p>
          <w:p>
            <w:pPr>
              <w:widowControl/>
              <w:adjustRightInd w:val="0"/>
              <w:snapToGrid w:val="0"/>
              <w:spacing w:line="360" w:lineRule="auto"/>
              <w:ind w:firstLine="480" w:firstLineChars="200"/>
              <w:jc w:val="left"/>
              <w:rPr>
                <w:kern w:val="0"/>
                <w:sz w:val="24"/>
              </w:rPr>
            </w:pPr>
            <w:r>
              <w:rPr>
                <w:rFonts w:hint="eastAsia"/>
                <w:kern w:val="0"/>
                <w:sz w:val="24"/>
              </w:rPr>
              <w:t>配料：将发泡</w:t>
            </w:r>
            <w:r>
              <w:rPr>
                <w:kern w:val="0"/>
                <w:sz w:val="24"/>
              </w:rPr>
              <w:t>A</w:t>
            </w:r>
            <w:r>
              <w:rPr>
                <w:rFonts w:hint="eastAsia"/>
                <w:kern w:val="0"/>
                <w:sz w:val="24"/>
              </w:rPr>
              <w:t>料（组合聚醚）和发泡</w:t>
            </w:r>
            <w:r>
              <w:rPr>
                <w:kern w:val="0"/>
                <w:sz w:val="24"/>
              </w:rPr>
              <w:t>B</w:t>
            </w:r>
            <w:r>
              <w:rPr>
                <w:rFonts w:hint="eastAsia"/>
                <w:kern w:val="0"/>
                <w:sz w:val="24"/>
              </w:rPr>
              <w:t>料（改性异氰酸酯）通过泵从原料桶分别打入两个密闭的配料罐中。</w:t>
            </w:r>
          </w:p>
          <w:p>
            <w:pPr>
              <w:widowControl/>
              <w:adjustRightInd w:val="0"/>
              <w:snapToGrid w:val="0"/>
              <w:spacing w:line="360" w:lineRule="auto"/>
              <w:ind w:firstLine="480" w:firstLineChars="200"/>
              <w:jc w:val="left"/>
              <w:rPr>
                <w:kern w:val="0"/>
                <w:sz w:val="24"/>
              </w:rPr>
            </w:pPr>
            <w:r>
              <w:rPr>
                <w:rFonts w:hint="eastAsia"/>
                <w:kern w:val="0"/>
                <w:sz w:val="24"/>
              </w:rPr>
              <w:t>浇注：将</w:t>
            </w:r>
            <w:r>
              <w:rPr>
                <w:kern w:val="0"/>
                <w:sz w:val="24"/>
              </w:rPr>
              <w:t>PU</w:t>
            </w:r>
            <w:r>
              <w:rPr>
                <w:rFonts w:hint="eastAsia"/>
                <w:kern w:val="0"/>
                <w:sz w:val="24"/>
              </w:rPr>
              <w:t>发泡机上面板打开，喷入脱模剂，通过两个配料罐自带的管道用混合头将</w:t>
            </w:r>
            <w:r>
              <w:rPr>
                <w:kern w:val="0"/>
                <w:sz w:val="24"/>
              </w:rPr>
              <w:t>A</w:t>
            </w:r>
            <w:r>
              <w:rPr>
                <w:rFonts w:hint="eastAsia"/>
                <w:kern w:val="0"/>
                <w:sz w:val="24"/>
              </w:rPr>
              <w:t>、</w:t>
            </w:r>
            <w:r>
              <w:rPr>
                <w:kern w:val="0"/>
                <w:sz w:val="24"/>
              </w:rPr>
              <w:t>B</w:t>
            </w:r>
            <w:r>
              <w:rPr>
                <w:rFonts w:hint="eastAsia"/>
                <w:kern w:val="0"/>
                <w:sz w:val="24"/>
              </w:rPr>
              <w:t>料按一定比例和规定路径由人工浇注至事先放置好模具的</w:t>
            </w:r>
            <w:r>
              <w:rPr>
                <w:kern w:val="0"/>
                <w:sz w:val="24"/>
              </w:rPr>
              <w:t>PU</w:t>
            </w:r>
            <w:r>
              <w:rPr>
                <w:rFonts w:hint="eastAsia"/>
                <w:kern w:val="0"/>
                <w:sz w:val="24"/>
              </w:rPr>
              <w:t>发泡机中，此过程无有机废气产生。</w:t>
            </w:r>
          </w:p>
          <w:p>
            <w:pPr>
              <w:widowControl/>
              <w:adjustRightInd w:val="0"/>
              <w:snapToGrid w:val="0"/>
              <w:spacing w:line="360" w:lineRule="auto"/>
              <w:ind w:firstLine="480" w:firstLineChars="200"/>
              <w:jc w:val="left"/>
              <w:rPr>
                <w:kern w:val="0"/>
                <w:sz w:val="24"/>
              </w:rPr>
            </w:pPr>
            <w:r>
              <w:rPr>
                <w:rFonts w:hint="eastAsia"/>
                <w:kern w:val="0"/>
                <w:sz w:val="24"/>
              </w:rPr>
              <w:t>发泡及熟化：浇注完成后将发泡机上面板盖上进行发泡及熟化，发泡温度为</w:t>
            </w:r>
            <w:r>
              <w:rPr>
                <w:kern w:val="0"/>
                <w:sz w:val="24"/>
              </w:rPr>
              <w:t>60</w:t>
            </w:r>
            <w:r>
              <w:rPr>
                <w:rFonts w:hint="eastAsia" w:ascii="宋体" w:hAnsi="宋体" w:cs="宋体"/>
                <w:kern w:val="0"/>
                <w:sz w:val="24"/>
              </w:rPr>
              <w:t>℃</w:t>
            </w:r>
            <w:r>
              <w:rPr>
                <w:rFonts w:hint="eastAsia"/>
                <w:kern w:val="0"/>
                <w:sz w:val="24"/>
              </w:rPr>
              <w:t>，发泡机采用电加热（模温机）。此过程产生有机废气，产生的废气由集气罩收集。</w:t>
            </w:r>
          </w:p>
          <w:p>
            <w:pPr>
              <w:widowControl/>
              <w:adjustRightInd w:val="0"/>
              <w:snapToGrid w:val="0"/>
              <w:spacing w:line="360" w:lineRule="auto"/>
              <w:ind w:firstLine="480" w:firstLineChars="200"/>
              <w:jc w:val="left"/>
              <w:rPr>
                <w:kern w:val="0"/>
                <w:sz w:val="24"/>
              </w:rPr>
            </w:pPr>
            <w:r>
              <w:rPr>
                <w:rFonts w:hint="eastAsia"/>
                <w:kern w:val="0"/>
                <w:sz w:val="24"/>
              </w:rPr>
              <w:t>后处理：打开发泡机，取出熟化后的发泡件，对发泡件进行裁切处理，此过程产生废边角料。</w:t>
            </w:r>
          </w:p>
          <w:p>
            <w:pPr>
              <w:widowControl/>
              <w:adjustRightInd w:val="0"/>
              <w:snapToGrid w:val="0"/>
              <w:spacing w:line="360" w:lineRule="auto"/>
              <w:ind w:firstLine="480" w:firstLineChars="200"/>
              <w:jc w:val="left"/>
              <w:rPr>
                <w:kern w:val="0"/>
                <w:sz w:val="24"/>
              </w:rPr>
            </w:pPr>
            <w:r>
              <w:rPr>
                <w:rFonts w:hint="eastAsia"/>
                <w:kern w:val="0"/>
                <w:sz w:val="24"/>
              </w:rPr>
              <w:t>包装入库：裁切后的发泡件进行打包入库。</w:t>
            </w:r>
          </w:p>
          <w:p>
            <w:pPr>
              <w:widowControl/>
              <w:numPr>
                <w:ilvl w:val="0"/>
                <w:numId w:val="5"/>
              </w:numPr>
              <w:adjustRightInd w:val="0"/>
              <w:snapToGrid w:val="0"/>
              <w:spacing w:line="360" w:lineRule="auto"/>
              <w:ind w:firstLine="480" w:firstLineChars="200"/>
              <w:jc w:val="left"/>
              <w:rPr>
                <w:kern w:val="0"/>
                <w:sz w:val="24"/>
              </w:rPr>
            </w:pPr>
            <w:r>
              <w:rPr>
                <w:rFonts w:hint="eastAsia"/>
                <w:kern w:val="0"/>
                <w:sz w:val="24"/>
              </w:rPr>
              <w:t>轻质发泡生产线工艺流程及产排污环节图</w:t>
            </w:r>
          </w:p>
          <w:p>
            <w:pPr>
              <w:widowControl/>
              <w:adjustRightInd w:val="0"/>
              <w:snapToGrid w:val="0"/>
              <w:spacing w:line="360" w:lineRule="auto"/>
              <w:jc w:val="center"/>
              <w:rPr>
                <w:kern w:val="0"/>
                <w:sz w:val="24"/>
              </w:rPr>
            </w:pPr>
            <w:r>
              <w:rPr>
                <w:kern w:val="0"/>
                <w:sz w:val="24"/>
              </w:rPr>
              <w:object>
                <v:shape id="_x0000_i1029" o:spt="75" type="#_x0000_t75" style="height:366pt;width:303.75pt;" o:ole="t" filled="f" o:preferrelative="t" stroked="f" coordsize="21600,21600">
                  <v:path/>
                  <v:fill on="f" focussize="0,0"/>
                  <v:stroke on="f" joinstyle="miter"/>
                  <v:imagedata r:id="rId16" o:title=""/>
                  <o:lock v:ext="edit" aspectratio="f"/>
                  <w10:wrap type="none"/>
                  <w10:anchorlock/>
                </v:shape>
                <o:OLEObject Type="Embed" ProgID="Visio.Drawing.11" ShapeID="_x0000_i1029" DrawAspect="Content" ObjectID="_1468075728" r:id="rId15">
                  <o:LockedField>false</o:LockedField>
                </o:OLEObject>
              </w:object>
            </w:r>
          </w:p>
          <w:p>
            <w:pPr>
              <w:widowControl/>
              <w:adjustRightInd w:val="0"/>
              <w:snapToGrid w:val="0"/>
              <w:spacing w:line="360" w:lineRule="auto"/>
              <w:jc w:val="center"/>
              <w:rPr>
                <w:b/>
                <w:bCs/>
                <w:kern w:val="0"/>
                <w:szCs w:val="21"/>
              </w:rPr>
            </w:pPr>
            <w:r>
              <w:rPr>
                <w:rFonts w:hint="eastAsia"/>
                <w:b/>
                <w:bCs/>
                <w:kern w:val="0"/>
                <w:szCs w:val="21"/>
              </w:rPr>
              <w:t>图</w:t>
            </w:r>
            <w:r>
              <w:rPr>
                <w:b/>
                <w:bCs/>
                <w:kern w:val="0"/>
                <w:szCs w:val="21"/>
              </w:rPr>
              <w:t xml:space="preserve">2-4   </w:t>
            </w:r>
            <w:r>
              <w:rPr>
                <w:rFonts w:hint="eastAsia"/>
                <w:b/>
                <w:bCs/>
                <w:kern w:val="0"/>
                <w:szCs w:val="21"/>
              </w:rPr>
              <w:t>轻质发泡生产线工艺流程及产排污环节图</w:t>
            </w:r>
          </w:p>
          <w:p>
            <w:pPr>
              <w:widowControl/>
              <w:adjustRightInd w:val="0"/>
              <w:snapToGrid w:val="0"/>
              <w:spacing w:line="360" w:lineRule="auto"/>
              <w:ind w:firstLine="482" w:firstLineChars="200"/>
              <w:jc w:val="left"/>
              <w:rPr>
                <w:b/>
                <w:bCs/>
                <w:kern w:val="0"/>
                <w:sz w:val="24"/>
              </w:rPr>
            </w:pPr>
            <w:r>
              <w:rPr>
                <w:rFonts w:hint="eastAsia"/>
                <w:b/>
                <w:bCs/>
                <w:kern w:val="0"/>
                <w:sz w:val="24"/>
              </w:rPr>
              <w:t>工艺流程简述：</w:t>
            </w:r>
          </w:p>
          <w:p>
            <w:pPr>
              <w:widowControl/>
              <w:adjustRightInd w:val="0"/>
              <w:snapToGrid w:val="0"/>
              <w:spacing w:line="360" w:lineRule="auto"/>
              <w:ind w:firstLine="480" w:firstLineChars="200"/>
              <w:jc w:val="left"/>
              <w:rPr>
                <w:kern w:val="0"/>
                <w:sz w:val="24"/>
              </w:rPr>
            </w:pPr>
            <w:r>
              <w:rPr>
                <w:rFonts w:hint="eastAsia"/>
                <w:kern w:val="0"/>
                <w:sz w:val="24"/>
              </w:rPr>
              <w:t>配料：将发泡</w:t>
            </w:r>
            <w:r>
              <w:rPr>
                <w:kern w:val="0"/>
                <w:sz w:val="24"/>
              </w:rPr>
              <w:t>A</w:t>
            </w:r>
            <w:r>
              <w:rPr>
                <w:rFonts w:hint="eastAsia"/>
                <w:kern w:val="0"/>
                <w:sz w:val="24"/>
              </w:rPr>
              <w:t>料（组合聚醚）和发泡</w:t>
            </w:r>
            <w:r>
              <w:rPr>
                <w:kern w:val="0"/>
                <w:sz w:val="24"/>
              </w:rPr>
              <w:t>B</w:t>
            </w:r>
            <w:r>
              <w:rPr>
                <w:rFonts w:hint="eastAsia"/>
                <w:kern w:val="0"/>
                <w:sz w:val="24"/>
              </w:rPr>
              <w:t>料（改性异氰酸酯）通过泵从原料桶分别打入两个密闭的配料罐中。</w:t>
            </w:r>
          </w:p>
          <w:p>
            <w:pPr>
              <w:widowControl/>
              <w:adjustRightInd w:val="0"/>
              <w:snapToGrid w:val="0"/>
              <w:spacing w:line="360" w:lineRule="auto"/>
              <w:ind w:firstLine="480" w:firstLineChars="200"/>
              <w:jc w:val="left"/>
              <w:rPr>
                <w:kern w:val="0"/>
                <w:sz w:val="24"/>
              </w:rPr>
            </w:pPr>
            <w:r>
              <w:rPr>
                <w:rFonts w:hint="eastAsia"/>
                <w:kern w:val="0"/>
                <w:sz w:val="24"/>
              </w:rPr>
              <w:t>浇注：将</w:t>
            </w:r>
            <w:r>
              <w:rPr>
                <w:kern w:val="0"/>
                <w:sz w:val="24"/>
              </w:rPr>
              <w:t>PU</w:t>
            </w:r>
            <w:r>
              <w:rPr>
                <w:rFonts w:hint="eastAsia"/>
                <w:kern w:val="0"/>
                <w:sz w:val="24"/>
              </w:rPr>
              <w:t>发泡机上面板打开，喷入脱模剂，通过两个配料罐自带的管道用混合头将</w:t>
            </w:r>
            <w:r>
              <w:rPr>
                <w:kern w:val="0"/>
                <w:sz w:val="24"/>
              </w:rPr>
              <w:t>A</w:t>
            </w:r>
            <w:r>
              <w:rPr>
                <w:rFonts w:hint="eastAsia"/>
                <w:kern w:val="0"/>
                <w:sz w:val="24"/>
              </w:rPr>
              <w:t>、</w:t>
            </w:r>
            <w:r>
              <w:rPr>
                <w:kern w:val="0"/>
                <w:sz w:val="24"/>
              </w:rPr>
              <w:t>B</w:t>
            </w:r>
            <w:r>
              <w:rPr>
                <w:rFonts w:hint="eastAsia"/>
                <w:kern w:val="0"/>
                <w:sz w:val="24"/>
              </w:rPr>
              <w:t>料按一定比例和规定路径由人工浇注至事先放置好模具的</w:t>
            </w:r>
            <w:r>
              <w:rPr>
                <w:kern w:val="0"/>
                <w:sz w:val="24"/>
              </w:rPr>
              <w:t>PU</w:t>
            </w:r>
            <w:r>
              <w:rPr>
                <w:rFonts w:hint="eastAsia"/>
                <w:kern w:val="0"/>
                <w:sz w:val="24"/>
              </w:rPr>
              <w:t>发泡机中。同时由人工将袋装石墨通过进料机密封口注入，注入后关闭密封口，进料机通过气力管道输送经混合头与</w:t>
            </w:r>
            <w:r>
              <w:rPr>
                <w:kern w:val="0"/>
                <w:sz w:val="24"/>
              </w:rPr>
              <w:t>A</w:t>
            </w:r>
            <w:r>
              <w:rPr>
                <w:rFonts w:hint="eastAsia"/>
                <w:kern w:val="0"/>
                <w:sz w:val="24"/>
              </w:rPr>
              <w:t>、</w:t>
            </w:r>
            <w:r>
              <w:rPr>
                <w:kern w:val="0"/>
                <w:sz w:val="24"/>
              </w:rPr>
              <w:t>B</w:t>
            </w:r>
            <w:r>
              <w:rPr>
                <w:rFonts w:hint="eastAsia"/>
                <w:kern w:val="0"/>
                <w:sz w:val="24"/>
              </w:rPr>
              <w:t>料同时浇注至模具中。此过程无有机废气产生。</w:t>
            </w:r>
          </w:p>
          <w:p>
            <w:pPr>
              <w:widowControl/>
              <w:adjustRightInd w:val="0"/>
              <w:snapToGrid w:val="0"/>
              <w:spacing w:line="360" w:lineRule="auto"/>
              <w:ind w:firstLine="480" w:firstLineChars="200"/>
              <w:jc w:val="left"/>
              <w:rPr>
                <w:kern w:val="0"/>
                <w:sz w:val="24"/>
              </w:rPr>
            </w:pPr>
            <w:r>
              <w:rPr>
                <w:rFonts w:hint="eastAsia"/>
                <w:kern w:val="0"/>
                <w:sz w:val="24"/>
              </w:rPr>
              <w:t>发泡及熟化：浇注完成后将发泡机上面板盖上进行发泡及熟化，发泡温度为常温。此过程产生有机废气，产生的废气由集气罩收集。</w:t>
            </w:r>
          </w:p>
          <w:p>
            <w:pPr>
              <w:widowControl/>
              <w:adjustRightInd w:val="0"/>
              <w:snapToGrid w:val="0"/>
              <w:spacing w:line="360" w:lineRule="auto"/>
              <w:ind w:firstLine="480" w:firstLineChars="200"/>
              <w:jc w:val="left"/>
              <w:rPr>
                <w:kern w:val="0"/>
                <w:sz w:val="24"/>
              </w:rPr>
            </w:pPr>
            <w:r>
              <w:rPr>
                <w:rFonts w:hint="eastAsia"/>
                <w:kern w:val="0"/>
                <w:sz w:val="24"/>
              </w:rPr>
              <w:t>分切：对发泡好的预处理件进行分切得到发泡件半成品。</w:t>
            </w:r>
          </w:p>
          <w:p>
            <w:pPr>
              <w:widowControl/>
              <w:adjustRightInd w:val="0"/>
              <w:snapToGrid w:val="0"/>
              <w:spacing w:line="360" w:lineRule="auto"/>
              <w:ind w:firstLine="480" w:firstLineChars="200"/>
              <w:jc w:val="left"/>
              <w:rPr>
                <w:kern w:val="0"/>
                <w:sz w:val="24"/>
              </w:rPr>
            </w:pPr>
            <w:r>
              <w:rPr>
                <w:rFonts w:hint="eastAsia"/>
                <w:kern w:val="0"/>
                <w:sz w:val="24"/>
              </w:rPr>
              <w:t>复合</w:t>
            </w:r>
            <w:r>
              <w:rPr>
                <w:kern w:val="0"/>
                <w:sz w:val="24"/>
              </w:rPr>
              <w:t>/</w:t>
            </w:r>
            <w:r>
              <w:rPr>
                <w:rFonts w:hint="eastAsia"/>
                <w:kern w:val="0"/>
                <w:sz w:val="24"/>
              </w:rPr>
              <w:t>烘烤：将半成品平铺至复合机上，同时在发泡半成品上下表面同时放置无纺布（无纺布表面自带胶粉和覆膜，可在使用过程中撕下覆膜直接粘至物体表面）。复合温度为</w:t>
            </w:r>
            <w:r>
              <w:rPr>
                <w:kern w:val="0"/>
                <w:sz w:val="24"/>
              </w:rPr>
              <w:t>165</w:t>
            </w:r>
            <w:r>
              <w:rPr>
                <w:rFonts w:hint="eastAsia" w:ascii="宋体" w:hAnsi="宋体" w:cs="宋体"/>
                <w:kern w:val="0"/>
                <w:sz w:val="24"/>
              </w:rPr>
              <w:t>℃</w:t>
            </w:r>
            <w:r>
              <w:rPr>
                <w:rFonts w:hint="eastAsia"/>
                <w:kern w:val="0"/>
                <w:sz w:val="24"/>
              </w:rPr>
              <w:t>，由电加热液压油（油温机）后对发泡件进行间接加热。此过程产生有机废气，产生的废气由集气罩收集。</w:t>
            </w:r>
          </w:p>
          <w:p>
            <w:pPr>
              <w:widowControl/>
              <w:adjustRightInd w:val="0"/>
              <w:snapToGrid w:val="0"/>
              <w:spacing w:line="360" w:lineRule="auto"/>
              <w:ind w:firstLine="480" w:firstLineChars="200"/>
              <w:jc w:val="left"/>
              <w:rPr>
                <w:kern w:val="0"/>
                <w:sz w:val="24"/>
              </w:rPr>
            </w:pPr>
            <w:r>
              <w:rPr>
                <w:rFonts w:hint="eastAsia"/>
                <w:kern w:val="0"/>
                <w:sz w:val="24"/>
              </w:rPr>
              <w:t>热压成型：复合后的半成品进行热压成型，热压温度为</w:t>
            </w:r>
            <w:r>
              <w:rPr>
                <w:kern w:val="0"/>
                <w:sz w:val="24"/>
              </w:rPr>
              <w:t>200</w:t>
            </w:r>
            <w:r>
              <w:rPr>
                <w:rFonts w:hint="eastAsia" w:ascii="宋体" w:hAnsi="宋体" w:cs="宋体"/>
                <w:kern w:val="0"/>
                <w:sz w:val="24"/>
              </w:rPr>
              <w:t>℃</w:t>
            </w:r>
            <w:r>
              <w:rPr>
                <w:rFonts w:hint="eastAsia"/>
                <w:kern w:val="0"/>
                <w:sz w:val="24"/>
              </w:rPr>
              <w:t>，由电加热液压油后对发泡件进行间接加热。此过程产生有机废气，产生的废气由集气罩收集。</w:t>
            </w:r>
          </w:p>
          <w:p>
            <w:pPr>
              <w:widowControl/>
              <w:adjustRightInd w:val="0"/>
              <w:snapToGrid w:val="0"/>
              <w:spacing w:line="360" w:lineRule="auto"/>
              <w:ind w:firstLine="480" w:firstLineChars="200"/>
              <w:jc w:val="left"/>
              <w:rPr>
                <w:kern w:val="0"/>
                <w:sz w:val="24"/>
              </w:rPr>
            </w:pPr>
            <w:r>
              <w:rPr>
                <w:rFonts w:hint="eastAsia"/>
                <w:kern w:val="0"/>
                <w:sz w:val="24"/>
              </w:rPr>
              <w:t>包装入库：成型后的发泡件进行打包入库。</w:t>
            </w:r>
          </w:p>
          <w:p>
            <w:pPr>
              <w:widowControl/>
              <w:adjustRightInd w:val="0"/>
              <w:snapToGrid w:val="0"/>
              <w:spacing w:line="360" w:lineRule="auto"/>
              <w:ind w:firstLine="482" w:firstLineChars="200"/>
              <w:jc w:val="left"/>
            </w:pPr>
            <w:r>
              <w:rPr>
                <w:rFonts w:hint="eastAsia"/>
                <w:b/>
                <w:bCs/>
                <w:kern w:val="0"/>
                <w:sz w:val="24"/>
              </w:rPr>
              <w:t>三、项目污染工序及污染因子表</w:t>
            </w:r>
          </w:p>
          <w:p>
            <w:pPr>
              <w:widowControl/>
              <w:jc w:val="center"/>
              <w:rPr>
                <w:szCs w:val="21"/>
              </w:rPr>
            </w:pPr>
            <w:r>
              <w:rPr>
                <w:rFonts w:hint="eastAsia"/>
                <w:b/>
                <w:bCs/>
                <w:kern w:val="0"/>
                <w:szCs w:val="21"/>
              </w:rPr>
              <w:t>表</w:t>
            </w:r>
            <w:r>
              <w:rPr>
                <w:b/>
                <w:bCs/>
                <w:kern w:val="0"/>
                <w:szCs w:val="21"/>
              </w:rPr>
              <w:t xml:space="preserve">2-7   </w:t>
            </w:r>
            <w:r>
              <w:rPr>
                <w:rFonts w:hint="eastAsia"/>
                <w:b/>
                <w:bCs/>
                <w:kern w:val="0"/>
                <w:szCs w:val="21"/>
              </w:rPr>
              <w:t>运营期污染工序及污染因子情况一览表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266"/>
              <w:gridCol w:w="1562"/>
              <w:gridCol w:w="33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tcBorders>
                    <w:top w:val="single" w:color="auto" w:sz="12"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类型</w:t>
                  </w:r>
                </w:p>
              </w:tc>
              <w:tc>
                <w:tcPr>
                  <w:tcW w:w="1431" w:type="pct"/>
                  <w:tcBorders>
                    <w:top w:val="single" w:color="auto" w:sz="12"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产生工序</w:t>
                  </w:r>
                </w:p>
              </w:tc>
              <w:tc>
                <w:tcPr>
                  <w:tcW w:w="987" w:type="pct"/>
                  <w:tcBorders>
                    <w:top w:val="single" w:color="auto" w:sz="12"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主要污染物</w:t>
                  </w:r>
                </w:p>
              </w:tc>
              <w:tc>
                <w:tcPr>
                  <w:tcW w:w="2146" w:type="pct"/>
                  <w:tcBorders>
                    <w:top w:val="single" w:color="auto" w:sz="12"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kern w:val="0"/>
                      <w:szCs w:val="21"/>
                    </w:rPr>
                    <w:t>污染防治设施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restart"/>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废气</w:t>
                  </w: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吸音棉开松梳理</w:t>
                  </w:r>
                </w:p>
              </w:tc>
              <w:tc>
                <w:tcPr>
                  <w:tcW w:w="9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颗粒物</w:t>
                  </w:r>
                </w:p>
              </w:tc>
              <w:tc>
                <w:tcPr>
                  <w:tcW w:w="2146" w:type="pc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b/>
                      <w:bCs/>
                      <w:kern w:val="0"/>
                      <w:szCs w:val="21"/>
                    </w:rPr>
                    <w:t>布袋除尘器（</w:t>
                  </w:r>
                  <w:r>
                    <w:rPr>
                      <w:b/>
                      <w:bCs/>
                      <w:kern w:val="0"/>
                      <w:szCs w:val="21"/>
                    </w:rPr>
                    <w:t>TA002</w:t>
                  </w:r>
                  <w:r>
                    <w:rPr>
                      <w:rFonts w:hint="eastAsia"/>
                      <w:b/>
                      <w:bCs/>
                      <w:kern w:val="0"/>
                      <w:szCs w:val="21"/>
                    </w:rPr>
                    <w:t>）</w:t>
                  </w:r>
                  <w:r>
                    <w:rPr>
                      <w:b/>
                      <w:bCs/>
                      <w:kern w:val="0"/>
                      <w:szCs w:val="21"/>
                    </w:rPr>
                    <w:t>+15m</w:t>
                  </w:r>
                  <w:r>
                    <w:rPr>
                      <w:rFonts w:hint="eastAsia"/>
                      <w:b/>
                      <w:bCs/>
                      <w:kern w:val="0"/>
                      <w:szCs w:val="21"/>
                    </w:rPr>
                    <w:t>高排气筒（</w:t>
                  </w:r>
                  <w:r>
                    <w:rPr>
                      <w:b/>
                      <w:bCs/>
                      <w:kern w:val="0"/>
                      <w:szCs w:val="21"/>
                    </w:rPr>
                    <w:t>DA002</w:t>
                  </w:r>
                  <w:r>
                    <w:rPr>
                      <w:rFonts w:hint="eastAsia"/>
                      <w:b/>
                      <w:bCs/>
                      <w:kern w:val="0"/>
                      <w:szCs w:val="21"/>
                    </w:rPr>
                    <w:t>，变更前为布袋除尘器处理，车间无组织排放）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吸音棉热熔定型</w:t>
                  </w:r>
                </w:p>
              </w:tc>
              <w:tc>
                <w:tcPr>
                  <w:tcW w:w="9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非甲烷总烃、</w:t>
                  </w:r>
                  <w:r>
                    <w:rPr>
                      <w:rFonts w:hint="eastAsia"/>
                      <w:b/>
                      <w:bCs/>
                      <w:kern w:val="0"/>
                      <w:szCs w:val="21"/>
                    </w:rPr>
                    <w:t>天然气燃烧废气（新增）</w:t>
                  </w:r>
                </w:p>
              </w:tc>
              <w:tc>
                <w:tcPr>
                  <w:tcW w:w="2146" w:type="pct"/>
                  <w:vMerge w:val="restar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szCs w:val="21"/>
                      <w:shd w:val="clear" w:color="auto" w:fill="FFFFFF"/>
                    </w:rPr>
                    <w:t>吸音棉热熔定型</w:t>
                  </w:r>
                  <w:r>
                    <w:rPr>
                      <w:rFonts w:hint="eastAsia"/>
                      <w:szCs w:val="21"/>
                    </w:rPr>
                    <w:t>工序有机废气及天然气燃烧废气采用自带密闭集气管道收集，发泡熟化、复合热压工序有机废气采用集气罩收集，以上废气统一经二级活性炭吸附装置（</w:t>
                  </w:r>
                  <w:r>
                    <w:rPr>
                      <w:szCs w:val="21"/>
                    </w:rPr>
                    <w:t>TA001</w:t>
                  </w:r>
                  <w:r>
                    <w:rPr>
                      <w:rFonts w:hint="eastAsia"/>
                      <w:szCs w:val="21"/>
                    </w:rPr>
                    <w:t>）处理后经</w:t>
                  </w:r>
                  <w:r>
                    <w:rPr>
                      <w:szCs w:val="21"/>
                    </w:rPr>
                    <w:t>15m</w:t>
                  </w:r>
                  <w:r>
                    <w:rPr>
                      <w:rFonts w:hint="eastAsia"/>
                      <w:szCs w:val="21"/>
                    </w:rPr>
                    <w:t>高排气筒排放（</w:t>
                  </w:r>
                  <w:r>
                    <w:rPr>
                      <w:szCs w:val="21"/>
                    </w:rPr>
                    <w:t>DA001</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模内发泡线发泡熟化</w:t>
                  </w:r>
                </w:p>
              </w:tc>
              <w:tc>
                <w:tcPr>
                  <w:tcW w:w="987"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非甲烷总烃</w:t>
                  </w: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轻质发泡线复合</w:t>
                  </w:r>
                  <w:r>
                    <w:rPr>
                      <w:kern w:val="0"/>
                      <w:szCs w:val="21"/>
                    </w:rPr>
                    <w:t>/</w:t>
                  </w:r>
                  <w:r>
                    <w:rPr>
                      <w:rFonts w:hint="eastAsia"/>
                      <w:kern w:val="0"/>
                      <w:szCs w:val="21"/>
                    </w:rPr>
                    <w:t>烘烤</w:t>
                  </w:r>
                </w:p>
              </w:tc>
              <w:tc>
                <w:tcPr>
                  <w:tcW w:w="98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轻质发泡线热压成型</w:t>
                  </w:r>
                </w:p>
              </w:tc>
              <w:tc>
                <w:tcPr>
                  <w:tcW w:w="987"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废水</w:t>
                  </w: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办公生活</w:t>
                  </w:r>
                </w:p>
              </w:tc>
              <w:tc>
                <w:tcPr>
                  <w:tcW w:w="9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生活污水</w:t>
                  </w:r>
                </w:p>
              </w:tc>
              <w:tc>
                <w:tcPr>
                  <w:tcW w:w="2146" w:type="pc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kern w:val="0"/>
                      <w:szCs w:val="21"/>
                    </w:rPr>
                    <w:t>依托园区化粪池预处理后经市政管网排入鄠邑区第二污水处理厂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噪声</w:t>
                  </w: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设备运行</w:t>
                  </w:r>
                </w:p>
              </w:tc>
              <w:tc>
                <w:tcPr>
                  <w:tcW w:w="9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机械噪声</w:t>
                  </w:r>
                </w:p>
              </w:tc>
              <w:tc>
                <w:tcPr>
                  <w:tcW w:w="2146" w:type="pc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kern w:val="0"/>
                      <w:szCs w:val="21"/>
                    </w:rPr>
                    <w:t>选用低噪声设备、厂房隔声、减振处理、加强平时的运营维护等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restart"/>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固体废物</w:t>
                  </w: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职工办公生活</w:t>
                  </w:r>
                </w:p>
              </w:tc>
              <w:tc>
                <w:tcPr>
                  <w:tcW w:w="98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生活垃圾</w:t>
                  </w:r>
                </w:p>
              </w:tc>
              <w:tc>
                <w:tcPr>
                  <w:tcW w:w="2146" w:type="pc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szCs w:val="21"/>
                    </w:rPr>
                    <w:t>设垃圾桶分类收集，环卫部门统一清运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吸音棉冲切</w:t>
                  </w: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bCs/>
                      <w:szCs w:val="21"/>
                    </w:rPr>
                    <w:t>边角料</w:t>
                  </w:r>
                </w:p>
              </w:tc>
              <w:tc>
                <w:tcPr>
                  <w:tcW w:w="2146" w:type="pct"/>
                  <w:vMerge w:val="restar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szCs w:val="21"/>
                    </w:rPr>
                    <w:t>定期收集后外售综合利用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模内发泡件后处理</w:t>
                  </w: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bCs/>
                      <w:szCs w:val="21"/>
                    </w:rPr>
                    <w:t>边角料</w:t>
                  </w: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kern w:val="0"/>
                      <w:szCs w:val="21"/>
                    </w:rPr>
                  </w:pPr>
                  <w:r>
                    <w:rPr>
                      <w:rFonts w:hint="eastAsia"/>
                      <w:kern w:val="0"/>
                      <w:szCs w:val="21"/>
                    </w:rPr>
                    <w:t>原料拆包</w:t>
                  </w: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kern w:val="0"/>
                      <w:szCs w:val="21"/>
                    </w:rPr>
                  </w:pPr>
                  <w:r>
                    <w:rPr>
                      <w:rFonts w:hint="eastAsia"/>
                      <w:kern w:val="0"/>
                      <w:szCs w:val="21"/>
                    </w:rPr>
                    <w:t>废包材</w:t>
                  </w: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kern w:val="0"/>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kern w:val="0"/>
                      <w:szCs w:val="21"/>
                    </w:rPr>
                  </w:pPr>
                  <w:r>
                    <w:rPr>
                      <w:rFonts w:hint="eastAsia"/>
                      <w:kern w:val="0"/>
                      <w:szCs w:val="21"/>
                    </w:rPr>
                    <w:t>原料使用</w:t>
                  </w:r>
                </w:p>
              </w:tc>
              <w:tc>
                <w:tcPr>
                  <w:tcW w:w="9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kern w:val="0"/>
                      <w:szCs w:val="21"/>
                    </w:rPr>
                  </w:pPr>
                  <w:r>
                    <w:rPr>
                      <w:rFonts w:hint="eastAsia"/>
                      <w:kern w:val="0"/>
                      <w:szCs w:val="21"/>
                    </w:rPr>
                    <w:t>废原料桶</w:t>
                  </w:r>
                </w:p>
              </w:tc>
              <w:tc>
                <w:tcPr>
                  <w:tcW w:w="2146" w:type="pct"/>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kern w:val="0"/>
                      <w:szCs w:val="21"/>
                    </w:rPr>
                  </w:pPr>
                  <w:r>
                    <w:rPr>
                      <w:rFonts w:hint="eastAsia"/>
                      <w:szCs w:val="21"/>
                    </w:rPr>
                    <w:t>由供货厂家定期回收循环利用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废气处理设备</w:t>
                  </w:r>
                </w:p>
              </w:tc>
              <w:tc>
                <w:tcPr>
                  <w:tcW w:w="98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废活性炭</w:t>
                  </w:r>
                </w:p>
              </w:tc>
              <w:tc>
                <w:tcPr>
                  <w:tcW w:w="2146" w:type="pct"/>
                  <w:vMerge w:val="restar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r>
                    <w:rPr>
                      <w:rFonts w:hint="eastAsia"/>
                      <w:szCs w:val="21"/>
                    </w:rPr>
                    <w:t>设专用桶分类收集，液体危废暂存桶下方设置托盘，各类暂存危废暂存间，交有资质单位处置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r>
                    <w:rPr>
                      <w:rFonts w:hint="eastAsia"/>
                      <w:kern w:val="0"/>
                      <w:szCs w:val="21"/>
                    </w:rPr>
                    <w:t>设备检修维护</w:t>
                  </w:r>
                </w:p>
              </w:tc>
              <w:tc>
                <w:tcPr>
                  <w:tcW w:w="98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废液压油</w:t>
                  </w: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kern w:val="0"/>
                      <w:szCs w:val="21"/>
                    </w:rPr>
                  </w:pPr>
                </w:p>
              </w:tc>
              <w:tc>
                <w:tcPr>
                  <w:tcW w:w="1431" w:type="pct"/>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Cs w:val="21"/>
                    </w:rPr>
                  </w:pPr>
                </w:p>
              </w:tc>
              <w:tc>
                <w:tcPr>
                  <w:tcW w:w="98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废润滑油</w:t>
                  </w:r>
                </w:p>
              </w:tc>
              <w:tc>
                <w:tcPr>
                  <w:tcW w:w="2146" w:type="pct"/>
                  <w:vMerge w:val="continue"/>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 w:type="pct"/>
                  <w:vMerge w:val="continue"/>
                  <w:tcBorders>
                    <w:top w:val="single" w:color="auto" w:sz="4" w:space="0"/>
                    <w:left w:val="single" w:color="auto" w:sz="12" w:space="0"/>
                    <w:bottom w:val="single" w:color="auto" w:sz="12" w:space="0"/>
                    <w:right w:val="single" w:color="auto" w:sz="4" w:space="0"/>
                  </w:tcBorders>
                  <w:vAlign w:val="center"/>
                </w:tcPr>
                <w:p>
                  <w:pPr>
                    <w:widowControl/>
                    <w:adjustRightInd w:val="0"/>
                    <w:snapToGrid w:val="0"/>
                    <w:jc w:val="center"/>
                    <w:rPr>
                      <w:kern w:val="0"/>
                      <w:szCs w:val="21"/>
                    </w:rPr>
                  </w:pPr>
                </w:p>
              </w:tc>
              <w:tc>
                <w:tcPr>
                  <w:tcW w:w="1431" w:type="pct"/>
                  <w:vMerge w:val="continue"/>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rPr>
                      <w:kern w:val="0"/>
                      <w:szCs w:val="21"/>
                    </w:rPr>
                  </w:pPr>
                </w:p>
              </w:tc>
              <w:tc>
                <w:tcPr>
                  <w:tcW w:w="987" w:type="pct"/>
                  <w:tcBorders>
                    <w:top w:val="single" w:color="auto" w:sz="4" w:space="0"/>
                    <w:left w:val="single" w:color="auto" w:sz="4" w:space="0"/>
                    <w:bottom w:val="single" w:color="auto" w:sz="12" w:space="0"/>
                    <w:right w:val="single" w:color="auto" w:sz="4" w:space="0"/>
                  </w:tcBorders>
                  <w:vAlign w:val="center"/>
                </w:tcPr>
                <w:p>
                  <w:pPr>
                    <w:wordWrap w:val="0"/>
                    <w:adjustRightInd w:val="0"/>
                    <w:snapToGrid w:val="0"/>
                    <w:jc w:val="center"/>
                    <w:rPr>
                      <w:szCs w:val="21"/>
                    </w:rPr>
                  </w:pPr>
                  <w:r>
                    <w:rPr>
                      <w:rFonts w:hint="eastAsia"/>
                      <w:szCs w:val="21"/>
                    </w:rPr>
                    <w:t>废含油手套、抹布</w:t>
                  </w:r>
                </w:p>
              </w:tc>
              <w:tc>
                <w:tcPr>
                  <w:tcW w:w="2146" w:type="pct"/>
                  <w:vMerge w:val="continue"/>
                  <w:tcBorders>
                    <w:top w:val="single" w:color="auto" w:sz="4" w:space="0"/>
                    <w:left w:val="single" w:color="auto" w:sz="4" w:space="0"/>
                    <w:bottom w:val="single" w:color="auto" w:sz="12" w:space="0"/>
                    <w:right w:val="single" w:color="auto" w:sz="12" w:space="0"/>
                  </w:tcBorders>
                  <w:vAlign w:val="center"/>
                </w:tcPr>
                <w:p>
                  <w:pPr>
                    <w:widowControl/>
                    <w:adjustRightInd w:val="0"/>
                    <w:snapToGrid w:val="0"/>
                    <w:jc w:val="center"/>
                    <w:rPr>
                      <w:kern w:val="0"/>
                      <w:szCs w:val="21"/>
                    </w:rPr>
                  </w:pPr>
                </w:p>
              </w:tc>
            </w:tr>
          </w:tbl>
          <w:p>
            <w:pPr>
              <w:adjustRightInd w:val="0"/>
              <w:snapToGrid w:val="0"/>
              <w:spacing w:line="360" w:lineRule="auto"/>
              <w:rPr>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823" w:type="dxa"/>
            <w:tcBorders>
              <w:bottom w:val="single" w:color="auto" w:sz="8" w:space="0"/>
            </w:tcBorders>
            <w:vAlign w:val="center"/>
          </w:tcPr>
          <w:p>
            <w:pPr>
              <w:pStyle w:val="16"/>
              <w:spacing w:beforeAutospacing="0" w:afterAutospacing="0"/>
              <w:jc w:val="center"/>
              <w:rPr>
                <w:rFonts w:ascii="Times New Roman" w:hAnsi="Times New Roman"/>
                <w:szCs w:val="24"/>
              </w:rPr>
            </w:pPr>
            <w:r>
              <w:rPr>
                <w:rFonts w:hint="eastAsia" w:ascii="Times New Roman" w:hAnsi="Times New Roman"/>
                <w:bCs/>
                <w:kern w:val="2"/>
                <w:szCs w:val="24"/>
              </w:rPr>
              <w:t>与项目有关的原有环境污染问题</w:t>
            </w:r>
          </w:p>
        </w:tc>
        <w:tc>
          <w:tcPr>
            <w:tcW w:w="8161" w:type="dxa"/>
            <w:tcBorders>
              <w:bottom w:val="single" w:color="auto" w:sz="8" w:space="0"/>
            </w:tcBorders>
            <w:vAlign w:val="center"/>
          </w:tcPr>
          <w:p>
            <w:pPr>
              <w:spacing w:line="360" w:lineRule="auto"/>
              <w:ind w:firstLine="480" w:firstLineChars="200"/>
              <w:rPr>
                <w:rFonts w:hAnsi="宋体"/>
                <w:sz w:val="24"/>
                <w:lang w:val="zh-CN"/>
              </w:rPr>
            </w:pPr>
            <w:r>
              <w:rPr>
                <w:rFonts w:hint="eastAsia" w:hAnsi="宋体"/>
                <w:sz w:val="24"/>
                <w:lang w:val="zh-CN"/>
              </w:rPr>
              <w:t>西安粹益汽车配件有限公司于</w:t>
            </w:r>
            <w:r>
              <w:rPr>
                <w:rFonts w:hAnsi="宋体"/>
                <w:sz w:val="24"/>
                <w:lang w:val="zh-CN"/>
              </w:rPr>
              <w:t>20</w:t>
            </w:r>
            <w:r>
              <w:rPr>
                <w:rFonts w:hAnsi="宋体"/>
                <w:sz w:val="24"/>
              </w:rPr>
              <w:t>22</w:t>
            </w:r>
            <w:r>
              <w:rPr>
                <w:rFonts w:hint="eastAsia" w:hAnsi="宋体"/>
                <w:sz w:val="24"/>
                <w:lang w:val="zh-CN"/>
              </w:rPr>
              <w:t>年</w:t>
            </w:r>
            <w:r>
              <w:rPr>
                <w:rFonts w:hAnsi="宋体"/>
                <w:sz w:val="24"/>
              </w:rPr>
              <w:t>10</w:t>
            </w:r>
            <w:r>
              <w:rPr>
                <w:rFonts w:hint="eastAsia" w:hAnsi="宋体"/>
                <w:sz w:val="24"/>
                <w:lang w:val="zh-CN"/>
              </w:rPr>
              <w:t>月委托</w:t>
            </w:r>
            <w:r>
              <w:rPr>
                <w:rFonts w:hint="eastAsia" w:hAnsi="宋体"/>
                <w:sz w:val="24"/>
              </w:rPr>
              <w:t>陕西恒绿环保科技有限公司</w:t>
            </w:r>
            <w:r>
              <w:rPr>
                <w:rFonts w:hint="eastAsia" w:hAnsi="宋体"/>
                <w:sz w:val="24"/>
                <w:lang w:val="zh-CN"/>
              </w:rPr>
              <w:t>编制完成了《汽车核心零部件生产建设项目环境影响报告</w:t>
            </w:r>
            <w:r>
              <w:rPr>
                <w:rFonts w:hint="eastAsia" w:hAnsi="宋体"/>
                <w:sz w:val="24"/>
              </w:rPr>
              <w:t>表</w:t>
            </w:r>
            <w:r>
              <w:rPr>
                <w:rFonts w:hint="eastAsia" w:hAnsi="宋体"/>
                <w:sz w:val="24"/>
                <w:lang w:val="zh-CN"/>
              </w:rPr>
              <w:t>》，</w:t>
            </w:r>
            <w:r>
              <w:rPr>
                <w:rFonts w:hAnsi="宋体"/>
                <w:sz w:val="24"/>
              </w:rPr>
              <w:t>2022</w:t>
            </w:r>
            <w:r>
              <w:rPr>
                <w:rFonts w:hint="eastAsia" w:hAnsi="宋体"/>
                <w:sz w:val="24"/>
              </w:rPr>
              <w:t>年</w:t>
            </w:r>
            <w:r>
              <w:rPr>
                <w:rFonts w:hAnsi="宋体"/>
                <w:sz w:val="24"/>
              </w:rPr>
              <w:t>12</w:t>
            </w:r>
            <w:r>
              <w:rPr>
                <w:rFonts w:hint="eastAsia" w:hAnsi="宋体"/>
                <w:sz w:val="24"/>
              </w:rPr>
              <w:t>月</w:t>
            </w:r>
            <w:r>
              <w:rPr>
                <w:rFonts w:hAnsi="宋体"/>
                <w:sz w:val="24"/>
              </w:rPr>
              <w:t>12</w:t>
            </w:r>
            <w:r>
              <w:rPr>
                <w:rFonts w:hint="eastAsia" w:hAnsi="宋体"/>
                <w:sz w:val="24"/>
              </w:rPr>
              <w:t>日，西安市生态环境局鄠邑分局鄠环批复</w:t>
            </w:r>
            <w:r>
              <w:rPr>
                <w:rFonts w:hAnsi="宋体"/>
                <w:sz w:val="24"/>
              </w:rPr>
              <w:t>[2022]45</w:t>
            </w:r>
            <w:r>
              <w:rPr>
                <w:rFonts w:hint="eastAsia" w:hAnsi="宋体"/>
                <w:sz w:val="24"/>
              </w:rPr>
              <w:t>号下达了环评批复，未进行竣工环境保护验收。</w:t>
            </w:r>
          </w:p>
          <w:p>
            <w:pPr>
              <w:adjustRightInd w:val="0"/>
              <w:snapToGrid w:val="0"/>
              <w:spacing w:line="360" w:lineRule="auto"/>
              <w:ind w:firstLine="480" w:firstLineChars="200"/>
              <w:rPr>
                <w:bCs/>
                <w:sz w:val="24"/>
                <w:szCs w:val="22"/>
              </w:rPr>
            </w:pPr>
            <w:r>
              <w:rPr>
                <w:rFonts w:hint="eastAsia"/>
                <w:sz w:val="24"/>
                <w:szCs w:val="32"/>
              </w:rPr>
              <w:t>根据现场踏勘，本项目吸音棉生产线已建成但未投入运行，模内发泡和轻质发泡生产线暂未建设，项目建设与原环评建设内容对比，吸音棉热熔定型工序由电加热变为天然气加热，新增污染物</w:t>
            </w:r>
            <w:r>
              <w:rPr>
                <w:sz w:val="24"/>
                <w:szCs w:val="32"/>
              </w:rPr>
              <w:t>SO</w:t>
            </w:r>
            <w:r>
              <w:rPr>
                <w:sz w:val="24"/>
                <w:szCs w:val="32"/>
                <w:vertAlign w:val="subscript"/>
              </w:rPr>
              <w:t>2</w:t>
            </w:r>
            <w:r>
              <w:rPr>
                <w:rFonts w:hint="eastAsia"/>
                <w:sz w:val="24"/>
                <w:szCs w:val="32"/>
              </w:rPr>
              <w:t>、</w:t>
            </w:r>
            <w:r>
              <w:rPr>
                <w:sz w:val="24"/>
                <w:szCs w:val="32"/>
              </w:rPr>
              <w:t>NO</w:t>
            </w:r>
            <w:r>
              <w:rPr>
                <w:sz w:val="24"/>
                <w:szCs w:val="32"/>
                <w:vertAlign w:val="subscript"/>
              </w:rPr>
              <w:t>x</w:t>
            </w:r>
            <w:r>
              <w:rPr>
                <w:rFonts w:hint="eastAsia"/>
                <w:sz w:val="24"/>
                <w:szCs w:val="32"/>
              </w:rPr>
              <w:t>排放，</w:t>
            </w:r>
            <w:r>
              <w:rPr>
                <w:rFonts w:hint="eastAsia"/>
                <w:bCs/>
                <w:iCs/>
                <w:sz w:val="24"/>
              </w:rPr>
              <w:t>其他生产线生产工艺及污染物排放均不变，变动后项目总产能不变；项目变动导致污染物颗粒物、二氧化硫、氮氧化物的排放量均增加</w:t>
            </w:r>
            <w:r>
              <w:rPr>
                <w:rFonts w:hint="eastAsia"/>
                <w:b/>
                <w:sz w:val="24"/>
                <w:szCs w:val="32"/>
              </w:rPr>
              <w:t>。</w:t>
            </w:r>
            <w:r>
              <w:rPr>
                <w:rFonts w:hint="eastAsia"/>
                <w:bCs/>
                <w:sz w:val="24"/>
                <w:szCs w:val="22"/>
              </w:rPr>
              <w:t>项目变动前后主要污染物排放变化情况见下表。</w:t>
            </w:r>
          </w:p>
          <w:p>
            <w:pPr>
              <w:tabs>
                <w:tab w:val="left" w:pos="1053"/>
              </w:tabs>
              <w:autoSpaceDE w:val="0"/>
              <w:autoSpaceDN w:val="0"/>
              <w:adjustRightInd w:val="0"/>
              <w:snapToGrid w:val="0"/>
              <w:jc w:val="center"/>
              <w:rPr>
                <w:b/>
                <w:kern w:val="0"/>
                <w:szCs w:val="21"/>
                <w:lang w:val="zh-CN"/>
              </w:rPr>
            </w:pPr>
            <w:r>
              <w:rPr>
                <w:rFonts w:hint="eastAsia"/>
                <w:b/>
                <w:kern w:val="0"/>
                <w:szCs w:val="21"/>
                <w:lang w:val="zh-CN"/>
              </w:rPr>
              <w:t>表</w:t>
            </w:r>
            <w:r>
              <w:rPr>
                <w:b/>
                <w:kern w:val="0"/>
                <w:szCs w:val="21"/>
              </w:rPr>
              <w:t xml:space="preserve">2-8   </w:t>
            </w:r>
            <w:r>
              <w:rPr>
                <w:rFonts w:hint="eastAsia"/>
                <w:b/>
                <w:kern w:val="0"/>
                <w:szCs w:val="21"/>
                <w:lang w:val="zh-CN"/>
              </w:rPr>
              <w:t>项目变动前后主要污染物排放变化情况一览表</w:t>
            </w:r>
          </w:p>
          <w:tbl>
            <w:tblPr>
              <w:tblStyle w:val="18"/>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28" w:type="dxa"/>
                <w:left w:w="28" w:type="dxa"/>
                <w:bottom w:w="28" w:type="dxa"/>
                <w:right w:w="28" w:type="dxa"/>
              </w:tblCellMar>
            </w:tblPr>
            <w:tblGrid>
              <w:gridCol w:w="1166"/>
              <w:gridCol w:w="2164"/>
              <w:gridCol w:w="1673"/>
              <w:gridCol w:w="1807"/>
              <w:gridCol w:w="11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tcBorders>
                    <w:top w:val="single" w:color="000000" w:sz="12" w:space="0"/>
                    <w:left w:val="single" w:color="000000" w:sz="12" w:space="0"/>
                    <w:bottom w:val="single" w:color="000000" w:sz="4" w:space="0"/>
                    <w:right w:val="single" w:color="000000" w:sz="4" w:space="0"/>
                  </w:tcBorders>
                  <w:vAlign w:val="center"/>
                </w:tcPr>
                <w:p>
                  <w:pPr>
                    <w:pStyle w:val="38"/>
                    <w:rPr>
                      <w:rFonts w:eastAsia="宋体"/>
                      <w:bCs/>
                      <w:sz w:val="21"/>
                      <w:szCs w:val="21"/>
                    </w:rPr>
                  </w:pPr>
                  <w:r>
                    <w:rPr>
                      <w:rFonts w:hint="eastAsia" w:eastAsia="宋体"/>
                      <w:bCs/>
                      <w:sz w:val="21"/>
                      <w:szCs w:val="21"/>
                    </w:rPr>
                    <w:t>污染类别</w:t>
                  </w:r>
                </w:p>
              </w:tc>
              <w:tc>
                <w:tcPr>
                  <w:tcW w:w="2354" w:type="dxa"/>
                  <w:tcBorders>
                    <w:top w:val="single" w:color="000000" w:sz="12" w:space="0"/>
                    <w:left w:val="single" w:color="000000" w:sz="4" w:space="0"/>
                    <w:bottom w:val="single" w:color="000000" w:sz="4" w:space="0"/>
                    <w:right w:val="single" w:color="000000" w:sz="4" w:space="0"/>
                  </w:tcBorders>
                  <w:vAlign w:val="center"/>
                </w:tcPr>
                <w:p>
                  <w:pPr>
                    <w:pStyle w:val="38"/>
                    <w:rPr>
                      <w:rFonts w:eastAsia="宋体"/>
                      <w:bCs/>
                      <w:sz w:val="21"/>
                      <w:szCs w:val="21"/>
                    </w:rPr>
                  </w:pPr>
                  <w:r>
                    <w:rPr>
                      <w:rFonts w:hint="eastAsia" w:eastAsia="宋体"/>
                      <w:bCs/>
                      <w:sz w:val="21"/>
                      <w:szCs w:val="21"/>
                    </w:rPr>
                    <w:t>主要污染物名称</w:t>
                  </w:r>
                </w:p>
              </w:tc>
              <w:tc>
                <w:tcPr>
                  <w:tcW w:w="1818" w:type="dxa"/>
                  <w:tcBorders>
                    <w:top w:val="single" w:color="000000" w:sz="12" w:space="0"/>
                    <w:left w:val="single" w:color="000000" w:sz="4" w:space="0"/>
                    <w:bottom w:val="single" w:color="000000" w:sz="4" w:space="0"/>
                    <w:right w:val="single" w:color="000000" w:sz="4" w:space="0"/>
                  </w:tcBorders>
                  <w:vAlign w:val="center"/>
                </w:tcPr>
                <w:p>
                  <w:pPr>
                    <w:pStyle w:val="38"/>
                    <w:rPr>
                      <w:rFonts w:eastAsia="宋体"/>
                      <w:bCs/>
                      <w:sz w:val="21"/>
                      <w:szCs w:val="21"/>
                    </w:rPr>
                  </w:pPr>
                  <w:r>
                    <w:rPr>
                      <w:rFonts w:hint="eastAsia" w:eastAsia="宋体"/>
                      <w:bCs/>
                      <w:sz w:val="21"/>
                      <w:szCs w:val="21"/>
                    </w:rPr>
                    <w:t>变动前污染物排放量（</w:t>
                  </w:r>
                  <w:r>
                    <w:rPr>
                      <w:rFonts w:eastAsia="宋体"/>
                      <w:bCs/>
                      <w:sz w:val="21"/>
                      <w:szCs w:val="21"/>
                    </w:rPr>
                    <w:t>t/a</w:t>
                  </w:r>
                  <w:r>
                    <w:rPr>
                      <w:rFonts w:hint="eastAsia" w:eastAsia="宋体"/>
                      <w:bCs/>
                      <w:sz w:val="21"/>
                      <w:szCs w:val="21"/>
                    </w:rPr>
                    <w:t>）</w:t>
                  </w:r>
                </w:p>
              </w:tc>
              <w:tc>
                <w:tcPr>
                  <w:tcW w:w="1964" w:type="dxa"/>
                  <w:tcBorders>
                    <w:top w:val="single" w:color="000000" w:sz="12" w:space="0"/>
                    <w:left w:val="single" w:color="000000" w:sz="4" w:space="0"/>
                    <w:bottom w:val="single" w:color="000000" w:sz="4" w:space="0"/>
                    <w:right w:val="single" w:color="000000" w:sz="4" w:space="0"/>
                  </w:tcBorders>
                  <w:vAlign w:val="center"/>
                </w:tcPr>
                <w:p>
                  <w:pPr>
                    <w:pStyle w:val="38"/>
                    <w:rPr>
                      <w:rFonts w:eastAsia="宋体"/>
                      <w:bCs/>
                      <w:sz w:val="21"/>
                      <w:szCs w:val="21"/>
                    </w:rPr>
                  </w:pPr>
                  <w:r>
                    <w:rPr>
                      <w:rFonts w:hint="eastAsia" w:eastAsia="宋体"/>
                      <w:bCs/>
                      <w:sz w:val="21"/>
                      <w:szCs w:val="21"/>
                    </w:rPr>
                    <w:t>变动后污染物排放量（</w:t>
                  </w:r>
                  <w:r>
                    <w:rPr>
                      <w:rFonts w:eastAsia="宋体"/>
                      <w:bCs/>
                      <w:sz w:val="21"/>
                      <w:szCs w:val="21"/>
                    </w:rPr>
                    <w:t>t/a</w:t>
                  </w:r>
                  <w:r>
                    <w:rPr>
                      <w:rFonts w:hint="eastAsia" w:eastAsia="宋体"/>
                      <w:bCs/>
                      <w:sz w:val="21"/>
                      <w:szCs w:val="21"/>
                    </w:rPr>
                    <w:t>）</w:t>
                  </w:r>
                </w:p>
              </w:tc>
              <w:tc>
                <w:tcPr>
                  <w:tcW w:w="1198" w:type="dxa"/>
                  <w:tcBorders>
                    <w:top w:val="single" w:color="000000" w:sz="12" w:space="0"/>
                    <w:left w:val="single" w:color="000000" w:sz="4" w:space="0"/>
                    <w:bottom w:val="single" w:color="000000" w:sz="4" w:space="0"/>
                    <w:right w:val="single" w:color="000000" w:sz="12" w:space="0"/>
                  </w:tcBorders>
                  <w:vAlign w:val="center"/>
                </w:tcPr>
                <w:p>
                  <w:pPr>
                    <w:pStyle w:val="38"/>
                    <w:rPr>
                      <w:rFonts w:eastAsia="宋体"/>
                      <w:bCs/>
                      <w:sz w:val="21"/>
                      <w:szCs w:val="21"/>
                    </w:rPr>
                  </w:pPr>
                  <w:r>
                    <w:rPr>
                      <w:rFonts w:hint="eastAsia" w:eastAsia="宋体"/>
                      <w:bCs/>
                      <w:sz w:val="21"/>
                      <w:szCs w:val="21"/>
                    </w:rPr>
                    <w:t>变化情况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restart"/>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r>
                    <w:rPr>
                      <w:rFonts w:hint="eastAsia" w:eastAsia="宋体"/>
                      <w:sz w:val="21"/>
                      <w:szCs w:val="21"/>
                    </w:rPr>
                    <w:t>废气</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sz w:val="21"/>
                      <w:szCs w:val="21"/>
                    </w:rPr>
                  </w:pPr>
                  <w:r>
                    <w:rPr>
                      <w:rFonts w:hint="eastAsia" w:eastAsia="宋体"/>
                      <w:kern w:val="0"/>
                      <w:sz w:val="21"/>
                      <w:szCs w:val="22"/>
                    </w:rPr>
                    <w:t>非甲烷总烃</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sz w:val="21"/>
                      <w:szCs w:val="21"/>
                    </w:rPr>
                  </w:pPr>
                  <w:r>
                    <w:rPr>
                      <w:rFonts w:eastAsia="宋体"/>
                      <w:kern w:val="0"/>
                      <w:sz w:val="21"/>
                      <w:szCs w:val="22"/>
                    </w:rPr>
                    <w:t>0.574</w:t>
                  </w:r>
                </w:p>
              </w:tc>
              <w:tc>
                <w:tcPr>
                  <w:tcW w:w="1964" w:type="dxa"/>
                  <w:tcBorders>
                    <w:top w:val="single" w:color="000000" w:sz="4" w:space="0"/>
                    <w:left w:val="single" w:color="000000" w:sz="4" w:space="0"/>
                    <w:bottom w:val="single" w:color="000000" w:sz="4" w:space="0"/>
                    <w:right w:val="single" w:color="000000" w:sz="4" w:space="0"/>
                  </w:tcBorders>
                  <w:vAlign w:val="center"/>
                </w:tcPr>
                <w:p>
                  <w:pPr>
                    <w:widowControl/>
                    <w:jc w:val="center"/>
                    <w:rPr>
                      <w:szCs w:val="21"/>
                    </w:rPr>
                  </w:pPr>
                  <w:r>
                    <w:rPr>
                      <w:szCs w:val="21"/>
                    </w:rPr>
                    <w:t>0.574</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b/>
                      <w:bCs/>
                      <w:sz w:val="21"/>
                      <w:szCs w:val="21"/>
                    </w:rPr>
                  </w:pPr>
                  <w:r>
                    <w:rPr>
                      <w:rFonts w:hint="eastAsia" w:eastAsia="宋体"/>
                      <w:b/>
                      <w:bCs/>
                      <w:kern w:val="0"/>
                      <w:sz w:val="21"/>
                      <w:szCs w:val="22"/>
                    </w:rPr>
                    <w:t>颗粒物</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b/>
                      <w:bCs/>
                      <w:sz w:val="21"/>
                      <w:szCs w:val="21"/>
                    </w:rPr>
                  </w:pPr>
                  <w:r>
                    <w:rPr>
                      <w:rFonts w:eastAsia="宋体"/>
                      <w:b/>
                      <w:bCs/>
                      <w:kern w:val="0"/>
                      <w:sz w:val="21"/>
                      <w:szCs w:val="22"/>
                    </w:rPr>
                    <w:t>0.37</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b/>
                      <w:bCs/>
                      <w:szCs w:val="21"/>
                    </w:rPr>
                  </w:pPr>
                  <w:r>
                    <w:rPr>
                      <w:b/>
                      <w:bCs/>
                      <w:szCs w:val="21"/>
                    </w:rPr>
                    <w:t>0.396</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b/>
                      <w:bCs/>
                      <w:szCs w:val="21"/>
                    </w:rPr>
                  </w:pPr>
                  <w:r>
                    <w:rPr>
                      <w:b/>
                      <w:bCs/>
                      <w:szCs w:val="21"/>
                    </w:rPr>
                    <w:t>+0.026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b/>
                      <w:bCs/>
                      <w:sz w:val="21"/>
                      <w:szCs w:val="21"/>
                    </w:rPr>
                  </w:pPr>
                  <w:r>
                    <w:rPr>
                      <w:rFonts w:eastAsia="宋体"/>
                      <w:b/>
                      <w:bCs/>
                      <w:kern w:val="0"/>
                      <w:sz w:val="21"/>
                      <w:szCs w:val="22"/>
                    </w:rPr>
                    <w:t>SO</w:t>
                  </w:r>
                  <w:r>
                    <w:rPr>
                      <w:rFonts w:eastAsia="宋体"/>
                      <w:b/>
                      <w:bCs/>
                      <w:kern w:val="0"/>
                      <w:sz w:val="21"/>
                      <w:szCs w:val="22"/>
                      <w:vertAlign w:val="subscript"/>
                    </w:rPr>
                    <w:t>2</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b/>
                      <w:bCs/>
                      <w:sz w:val="21"/>
                      <w:szCs w:val="21"/>
                    </w:rPr>
                  </w:pPr>
                  <w:r>
                    <w:rPr>
                      <w:rFonts w:eastAsia="宋体"/>
                      <w:b/>
                      <w:bCs/>
                      <w:kern w:val="0"/>
                      <w:sz w:val="21"/>
                      <w:szCs w:val="22"/>
                    </w:rPr>
                    <w:t>0</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b/>
                      <w:bCs/>
                      <w:szCs w:val="21"/>
                    </w:rPr>
                  </w:pPr>
                  <w:r>
                    <w:rPr>
                      <w:b/>
                      <w:bCs/>
                      <w:szCs w:val="21"/>
                    </w:rPr>
                    <w:t>0.026</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b/>
                      <w:bCs/>
                      <w:szCs w:val="21"/>
                    </w:rPr>
                  </w:pPr>
                  <w:r>
                    <w:rPr>
                      <w:b/>
                      <w:bCs/>
                      <w:szCs w:val="21"/>
                    </w:rPr>
                    <w:t>+0.026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b/>
                      <w:bCs/>
                      <w:sz w:val="21"/>
                      <w:szCs w:val="21"/>
                    </w:rPr>
                  </w:pPr>
                  <w:r>
                    <w:rPr>
                      <w:rFonts w:eastAsia="宋体"/>
                      <w:b/>
                      <w:bCs/>
                      <w:kern w:val="0"/>
                      <w:sz w:val="21"/>
                      <w:szCs w:val="22"/>
                    </w:rPr>
                    <w:t>NOx</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38"/>
                    <w:autoSpaceDE w:val="0"/>
                    <w:autoSpaceDN w:val="0"/>
                    <w:rPr>
                      <w:rFonts w:eastAsia="宋体"/>
                      <w:b/>
                      <w:bCs/>
                      <w:sz w:val="21"/>
                      <w:szCs w:val="21"/>
                    </w:rPr>
                  </w:pPr>
                  <w:r>
                    <w:rPr>
                      <w:rFonts w:eastAsia="宋体"/>
                      <w:b/>
                      <w:bCs/>
                      <w:kern w:val="0"/>
                      <w:sz w:val="21"/>
                      <w:szCs w:val="22"/>
                    </w:rPr>
                    <w:t>0</w:t>
                  </w:r>
                </w:p>
              </w:tc>
              <w:tc>
                <w:tcPr>
                  <w:tcW w:w="1964" w:type="dxa"/>
                  <w:tcBorders>
                    <w:top w:val="single" w:color="000000" w:sz="4" w:space="0"/>
                    <w:left w:val="single" w:color="000000" w:sz="4" w:space="0"/>
                    <w:bottom w:val="single" w:color="000000" w:sz="4" w:space="0"/>
                    <w:right w:val="single" w:color="000000" w:sz="4" w:space="0"/>
                  </w:tcBorders>
                  <w:vAlign w:val="center"/>
                </w:tcPr>
                <w:p>
                  <w:pPr>
                    <w:jc w:val="center"/>
                    <w:rPr>
                      <w:b/>
                      <w:bCs/>
                      <w:szCs w:val="21"/>
                    </w:rPr>
                  </w:pPr>
                  <w:r>
                    <w:rPr>
                      <w:b/>
                      <w:bCs/>
                      <w:szCs w:val="21"/>
                    </w:rPr>
                    <w:t>0.391</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b/>
                      <w:bCs/>
                      <w:szCs w:val="21"/>
                    </w:rPr>
                  </w:pPr>
                  <w:r>
                    <w:rPr>
                      <w:b/>
                      <w:bCs/>
                      <w:szCs w:val="21"/>
                    </w:rPr>
                    <w:t>+0.391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restart"/>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r>
                    <w:rPr>
                      <w:rFonts w:hint="eastAsia" w:eastAsia="宋体"/>
                      <w:sz w:val="21"/>
                      <w:szCs w:val="21"/>
                    </w:rPr>
                    <w:t>废水</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COD</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0.149</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0.149</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BOD</w:t>
                  </w:r>
                  <w:r>
                    <w:rPr>
                      <w:rFonts w:ascii="Times New Roman"/>
                      <w:snapToGrid w:val="0"/>
                      <w:kern w:val="21"/>
                      <w:szCs w:val="21"/>
                      <w:vertAlign w:val="subscript"/>
                    </w:rPr>
                    <w:t>5</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0.090</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0.090</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w w:val="99"/>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SS</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0.066</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0.066</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w w:val="99"/>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氨氮</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0.023</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0.023</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w w:val="99"/>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总磷</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0.003</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0.003</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w w:val="99"/>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总氮</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0.024</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0.024</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w w:val="99"/>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restart"/>
                  <w:tcBorders>
                    <w:top w:val="single" w:color="000000" w:sz="4" w:space="0"/>
                    <w:left w:val="single" w:color="000000" w:sz="12" w:space="0"/>
                    <w:bottom w:val="single" w:color="000000" w:sz="4" w:space="0"/>
                    <w:right w:val="single" w:color="000000" w:sz="4" w:space="0"/>
                  </w:tcBorders>
                  <w:vAlign w:val="center"/>
                </w:tcPr>
                <w:p>
                  <w:pPr>
                    <w:pStyle w:val="38"/>
                    <w:rPr>
                      <w:rFonts w:eastAsia="宋体"/>
                      <w:sz w:val="21"/>
                      <w:szCs w:val="21"/>
                    </w:rPr>
                  </w:pPr>
                  <w:r>
                    <w:rPr>
                      <w:rFonts w:hint="eastAsia" w:eastAsia="宋体"/>
                      <w:sz w:val="21"/>
                      <w:szCs w:val="21"/>
                    </w:rPr>
                    <w:t>固废</w:t>
                  </w: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吸音棉边角料</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4.3</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4.3</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模内发泡边角料</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2.9</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2.9</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废包材</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废原料桶</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3.0</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3.0</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废活性炭</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3.1</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3.1</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废液压油</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0.5</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0.5</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lang w:val="zh-CN"/>
                    </w:rPr>
                  </w:pPr>
                  <w:r>
                    <w:rPr>
                      <w:rFonts w:hint="eastAsia" w:ascii="Times New Roman"/>
                      <w:snapToGrid w:val="0"/>
                      <w:kern w:val="21"/>
                      <w:szCs w:val="21"/>
                    </w:rPr>
                    <w:t>废润滑油</w:t>
                  </w:r>
                </w:p>
              </w:tc>
              <w:tc>
                <w:tcPr>
                  <w:tcW w:w="1818"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w:t>
                  </w:r>
                </w:p>
              </w:tc>
              <w:tc>
                <w:tcPr>
                  <w:tcW w:w="1964" w:type="dxa"/>
                  <w:tcBorders>
                    <w:top w:val="single" w:color="000000" w:sz="4" w:space="0"/>
                    <w:left w:val="single" w:color="000000" w:sz="4" w:space="0"/>
                    <w:bottom w:val="single" w:color="000000" w:sz="4"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w:t>
                  </w:r>
                </w:p>
              </w:tc>
              <w:tc>
                <w:tcPr>
                  <w:tcW w:w="1198" w:type="dxa"/>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szCs w:val="21"/>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28" w:type="dxa"/>
                  <w:left w:w="28" w:type="dxa"/>
                  <w:bottom w:w="28" w:type="dxa"/>
                  <w:right w:w="28" w:type="dxa"/>
                </w:tblCellMar>
              </w:tblPrEx>
              <w:trPr>
                <w:trHeight w:val="397" w:hRule="atLeast"/>
                <w:jc w:val="center"/>
              </w:trPr>
              <w:tc>
                <w:tcPr>
                  <w:tcW w:w="1265" w:type="dxa"/>
                  <w:vMerge w:val="continue"/>
                  <w:tcBorders>
                    <w:top w:val="single" w:color="000000" w:sz="4" w:space="0"/>
                    <w:left w:val="single" w:color="000000" w:sz="12" w:space="0"/>
                    <w:bottom w:val="single" w:color="000000" w:sz="12" w:space="0"/>
                    <w:right w:val="single" w:color="000000" w:sz="4" w:space="0"/>
                  </w:tcBorders>
                  <w:vAlign w:val="center"/>
                </w:tcPr>
                <w:p>
                  <w:pPr>
                    <w:jc w:val="center"/>
                    <w:rPr>
                      <w:szCs w:val="21"/>
                    </w:rPr>
                  </w:pPr>
                </w:p>
              </w:tc>
              <w:tc>
                <w:tcPr>
                  <w:tcW w:w="2354" w:type="dxa"/>
                  <w:tcBorders>
                    <w:top w:val="single" w:color="000000" w:sz="4" w:space="0"/>
                    <w:left w:val="single" w:color="000000" w:sz="4" w:space="0"/>
                    <w:bottom w:val="single" w:color="000000" w:sz="12" w:space="0"/>
                    <w:right w:val="single" w:color="000000" w:sz="4"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废含油手套抹布</w:t>
                  </w:r>
                </w:p>
              </w:tc>
              <w:tc>
                <w:tcPr>
                  <w:tcW w:w="1818" w:type="dxa"/>
                  <w:tcBorders>
                    <w:top w:val="single" w:color="000000" w:sz="4" w:space="0"/>
                    <w:left w:val="single" w:color="000000" w:sz="4" w:space="0"/>
                    <w:bottom w:val="single" w:color="000000" w:sz="12"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2.0kg/a</w:t>
                  </w:r>
                </w:p>
              </w:tc>
              <w:tc>
                <w:tcPr>
                  <w:tcW w:w="1964" w:type="dxa"/>
                  <w:tcBorders>
                    <w:top w:val="single" w:color="000000" w:sz="4" w:space="0"/>
                    <w:left w:val="single" w:color="000000" w:sz="4" w:space="0"/>
                    <w:bottom w:val="single" w:color="000000" w:sz="12" w:space="0"/>
                    <w:right w:val="single" w:color="000000" w:sz="4"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2.0kg/a</w:t>
                  </w:r>
                </w:p>
              </w:tc>
              <w:tc>
                <w:tcPr>
                  <w:tcW w:w="1198" w:type="dxa"/>
                  <w:tcBorders>
                    <w:top w:val="single" w:color="000000" w:sz="4" w:space="0"/>
                    <w:left w:val="single" w:color="000000" w:sz="4" w:space="0"/>
                    <w:bottom w:val="single" w:color="000000" w:sz="12" w:space="0"/>
                    <w:right w:val="single" w:color="000000" w:sz="12" w:space="0"/>
                  </w:tcBorders>
                  <w:vAlign w:val="center"/>
                </w:tcPr>
                <w:p>
                  <w:pPr>
                    <w:jc w:val="center"/>
                    <w:rPr>
                      <w:szCs w:val="21"/>
                    </w:rPr>
                  </w:pPr>
                  <w:r>
                    <w:rPr>
                      <w:szCs w:val="21"/>
                    </w:rPr>
                    <w:t>0</w:t>
                  </w:r>
                </w:p>
              </w:tc>
            </w:tr>
          </w:tbl>
          <w:p>
            <w:pPr>
              <w:adjustRightInd w:val="0"/>
              <w:snapToGrid w:val="0"/>
              <w:spacing w:line="360" w:lineRule="auto"/>
              <w:ind w:firstLine="480" w:firstLineChars="200"/>
              <w:rPr>
                <w:bCs/>
                <w:sz w:val="24"/>
                <w:szCs w:val="22"/>
              </w:rPr>
            </w:pPr>
          </w:p>
        </w:tc>
      </w:tr>
    </w:tbl>
    <w:p>
      <w:pPr>
        <w:pStyle w:val="16"/>
        <w:jc w:val="center"/>
        <w:rPr>
          <w:rFonts w:ascii="Times New Roman" w:hAnsi="Times New Roman" w:eastAsia="黑体"/>
          <w:snapToGrid w:val="0"/>
          <w:sz w:val="36"/>
          <w:szCs w:val="36"/>
        </w:rPr>
        <w:sectPr>
          <w:pgSz w:w="11906" w:h="16838"/>
          <w:pgMar w:top="1417" w:right="1417" w:bottom="1417" w:left="1417" w:header="851" w:footer="851" w:gutter="0"/>
          <w:cols w:space="720" w:num="1"/>
          <w:docGrid w:linePitch="312" w:charSpace="0"/>
        </w:sectPr>
      </w:pPr>
    </w:p>
    <w:p>
      <w:pPr>
        <w:pStyle w:val="2"/>
        <w:jc w:val="center"/>
      </w:pPr>
      <w:r>
        <w:rPr>
          <w:rFonts w:hint="eastAsia"/>
        </w:rPr>
        <w:t>三、区域环境质量现状、环境保护目标及评价标准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9" w:hRule="atLeast"/>
          <w:jc w:val="center"/>
        </w:trPr>
        <w:tc>
          <w:tcPr>
            <w:tcW w:w="800" w:type="dxa"/>
            <w:tcBorders>
              <w:top w:val="single" w:color="auto" w:sz="8" w:space="0"/>
            </w:tcBorders>
            <w:vAlign w:val="center"/>
          </w:tcPr>
          <w:p>
            <w:pPr>
              <w:adjustRightInd w:val="0"/>
              <w:snapToGrid w:val="0"/>
              <w:jc w:val="center"/>
              <w:rPr>
                <w:kern w:val="0"/>
                <w:sz w:val="24"/>
              </w:rPr>
            </w:pPr>
            <w:r>
              <w:rPr>
                <w:rFonts w:hint="eastAsia"/>
                <w:kern w:val="0"/>
                <w:sz w:val="24"/>
              </w:rPr>
              <w:t>区域</w:t>
            </w:r>
          </w:p>
          <w:p>
            <w:pPr>
              <w:adjustRightInd w:val="0"/>
              <w:snapToGrid w:val="0"/>
              <w:jc w:val="center"/>
              <w:rPr>
                <w:kern w:val="0"/>
                <w:sz w:val="24"/>
              </w:rPr>
            </w:pPr>
            <w:r>
              <w:rPr>
                <w:rFonts w:hint="eastAsia"/>
                <w:kern w:val="0"/>
                <w:sz w:val="24"/>
              </w:rPr>
              <w:t>环境</w:t>
            </w:r>
          </w:p>
          <w:p>
            <w:pPr>
              <w:adjustRightInd w:val="0"/>
              <w:snapToGrid w:val="0"/>
              <w:jc w:val="center"/>
              <w:rPr>
                <w:kern w:val="0"/>
                <w:sz w:val="24"/>
              </w:rPr>
            </w:pPr>
            <w:r>
              <w:rPr>
                <w:rFonts w:hint="eastAsia"/>
                <w:kern w:val="0"/>
                <w:sz w:val="24"/>
              </w:rPr>
              <w:t>质量</w:t>
            </w:r>
          </w:p>
          <w:p>
            <w:pPr>
              <w:adjustRightInd w:val="0"/>
              <w:snapToGrid w:val="0"/>
              <w:jc w:val="center"/>
              <w:rPr>
                <w:kern w:val="0"/>
                <w:sz w:val="24"/>
              </w:rPr>
            </w:pPr>
            <w:r>
              <w:rPr>
                <w:rFonts w:hint="eastAsia"/>
                <w:kern w:val="0"/>
                <w:sz w:val="24"/>
              </w:rPr>
              <w:t>现状</w:t>
            </w:r>
          </w:p>
        </w:tc>
        <w:tc>
          <w:tcPr>
            <w:tcW w:w="8190" w:type="dxa"/>
            <w:tcBorders>
              <w:top w:val="single" w:color="auto" w:sz="8" w:space="0"/>
            </w:tcBorders>
            <w:vAlign w:val="center"/>
          </w:tcPr>
          <w:p>
            <w:pPr>
              <w:adjustRightInd w:val="0"/>
              <w:snapToGrid w:val="0"/>
              <w:spacing w:line="360" w:lineRule="auto"/>
              <w:jc w:val="left"/>
              <w:rPr>
                <w:b/>
                <w:bCs/>
                <w:sz w:val="24"/>
              </w:rPr>
            </w:pPr>
            <w:r>
              <w:rPr>
                <w:b/>
                <w:bCs/>
                <w:sz w:val="24"/>
              </w:rPr>
              <w:t>1</w:t>
            </w:r>
            <w:r>
              <w:rPr>
                <w:rFonts w:hint="eastAsia"/>
                <w:b/>
                <w:bCs/>
                <w:sz w:val="24"/>
              </w:rPr>
              <w:t>、大气环境</w:t>
            </w:r>
          </w:p>
          <w:p>
            <w:pPr>
              <w:adjustRightInd w:val="0"/>
              <w:snapToGrid w:val="0"/>
              <w:spacing w:line="360" w:lineRule="auto"/>
              <w:ind w:firstLine="566" w:firstLineChars="236"/>
              <w:rPr>
                <w:sz w:val="24"/>
              </w:rPr>
            </w:pPr>
            <w:r>
              <w:rPr>
                <w:rFonts w:hint="eastAsia"/>
                <w:sz w:val="24"/>
              </w:rPr>
              <w:t>（</w:t>
            </w:r>
            <w:r>
              <w:rPr>
                <w:sz w:val="24"/>
              </w:rPr>
              <w:t>1</w:t>
            </w:r>
            <w:r>
              <w:rPr>
                <w:rFonts w:hint="eastAsia"/>
                <w:sz w:val="24"/>
              </w:rPr>
              <w:t>）空气质量达标区判定</w:t>
            </w:r>
          </w:p>
          <w:p>
            <w:pPr>
              <w:adjustRightInd w:val="0"/>
              <w:snapToGrid w:val="0"/>
              <w:spacing w:line="360" w:lineRule="auto"/>
              <w:ind w:firstLine="566" w:firstLineChars="236"/>
              <w:rPr>
                <w:sz w:val="24"/>
              </w:rPr>
            </w:pPr>
            <w:r>
              <w:rPr>
                <w:rFonts w:hint="eastAsia"/>
                <w:sz w:val="24"/>
              </w:rPr>
              <w:t>本项目位于西安市鄠邑区。根据大气功能区划，本项目所在地为二类功能区，环境空气质量标准执行《环境空气质量标准》（</w:t>
            </w:r>
            <w:r>
              <w:rPr>
                <w:sz w:val="24"/>
              </w:rPr>
              <w:t>GB 3095-2012</w:t>
            </w:r>
            <w:r>
              <w:rPr>
                <w:rFonts w:hint="eastAsia"/>
                <w:sz w:val="24"/>
              </w:rPr>
              <w:t>）二级标准要求。</w:t>
            </w:r>
          </w:p>
          <w:p>
            <w:pPr>
              <w:adjustRightInd w:val="0"/>
              <w:snapToGrid w:val="0"/>
              <w:spacing w:line="360" w:lineRule="auto"/>
              <w:ind w:firstLine="422"/>
              <w:rPr>
                <w:sz w:val="24"/>
              </w:rPr>
            </w:pPr>
            <w:r>
              <w:rPr>
                <w:rFonts w:hint="eastAsia"/>
                <w:sz w:val="24"/>
              </w:rPr>
              <w:t>本次环境空气质量基本污染物现状评价根据陕西省生态环境厅办公室《环保快报</w:t>
            </w:r>
            <w:r>
              <w:rPr>
                <w:sz w:val="24"/>
              </w:rPr>
              <w:t>-2022</w:t>
            </w:r>
            <w:r>
              <w:rPr>
                <w:rFonts w:hint="eastAsia"/>
                <w:sz w:val="24"/>
              </w:rPr>
              <w:t>年</w:t>
            </w:r>
            <w:r>
              <w:rPr>
                <w:sz w:val="24"/>
              </w:rPr>
              <w:t>1-12</w:t>
            </w:r>
            <w:r>
              <w:rPr>
                <w:rFonts w:hint="eastAsia"/>
                <w:sz w:val="24"/>
              </w:rPr>
              <w:t>月全省环境空气质量状况》附表</w:t>
            </w:r>
            <w:r>
              <w:rPr>
                <w:sz w:val="24"/>
              </w:rPr>
              <w:t>4</w:t>
            </w:r>
            <w:r>
              <w:rPr>
                <w:rFonts w:hint="eastAsia"/>
                <w:sz w:val="24"/>
              </w:rPr>
              <w:t>关中地区</w:t>
            </w:r>
            <w:r>
              <w:rPr>
                <w:sz w:val="24"/>
              </w:rPr>
              <w:t>69</w:t>
            </w:r>
            <w:r>
              <w:rPr>
                <w:rFonts w:hint="eastAsia"/>
                <w:sz w:val="24"/>
              </w:rPr>
              <w:t>各县区空气质量状况统计表，对鄠邑区区域环境空气质量现状进行分析，统计结果见表</w:t>
            </w:r>
            <w:r>
              <w:rPr>
                <w:sz w:val="24"/>
              </w:rPr>
              <w:t>3-1</w:t>
            </w:r>
            <w:r>
              <w:rPr>
                <w:rFonts w:hint="eastAsia"/>
                <w:sz w:val="24"/>
              </w:rPr>
              <w:t>。</w:t>
            </w:r>
          </w:p>
          <w:p>
            <w:pPr>
              <w:adjustRightInd w:val="0"/>
              <w:snapToGrid w:val="0"/>
              <w:ind w:firstLine="422"/>
              <w:jc w:val="center"/>
              <w:rPr>
                <w:b/>
                <w:szCs w:val="21"/>
              </w:rPr>
            </w:pPr>
            <w:r>
              <w:rPr>
                <w:rFonts w:hint="eastAsia"/>
                <w:b/>
                <w:szCs w:val="21"/>
              </w:rPr>
              <w:t>表</w:t>
            </w:r>
            <w:r>
              <w:rPr>
                <w:b/>
                <w:szCs w:val="21"/>
              </w:rPr>
              <w:t xml:space="preserve">3-1  </w:t>
            </w:r>
            <w:r>
              <w:rPr>
                <w:rFonts w:hint="eastAsia"/>
                <w:b/>
                <w:szCs w:val="21"/>
              </w:rPr>
              <w:t>本项目所在地达标区判定情况一览表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612"/>
              <w:gridCol w:w="1146"/>
              <w:gridCol w:w="1146"/>
              <w:gridCol w:w="1280"/>
              <w:gridCol w:w="8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vMerge w:val="restar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Cs/>
                      <w:kern w:val="0"/>
                      <w:szCs w:val="21"/>
                    </w:rPr>
                  </w:pPr>
                  <w:r>
                    <w:rPr>
                      <w:rFonts w:hint="eastAsia"/>
                      <w:bCs/>
                      <w:kern w:val="0"/>
                      <w:szCs w:val="21"/>
                    </w:rPr>
                    <w:t>污染物</w:t>
                  </w:r>
                </w:p>
              </w:tc>
              <w:tc>
                <w:tcPr>
                  <w:tcW w:w="1654"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kern w:val="0"/>
                      <w:szCs w:val="21"/>
                    </w:rPr>
                  </w:pPr>
                  <w:r>
                    <w:rPr>
                      <w:rFonts w:hint="eastAsia"/>
                      <w:bCs/>
                      <w:kern w:val="0"/>
                      <w:szCs w:val="21"/>
                    </w:rPr>
                    <w:t>年评价指标</w:t>
                  </w:r>
                </w:p>
              </w:tc>
              <w:tc>
                <w:tcPr>
                  <w:tcW w:w="670"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kern w:val="0"/>
                      <w:szCs w:val="21"/>
                    </w:rPr>
                  </w:pPr>
                  <w:r>
                    <w:rPr>
                      <w:rFonts w:hint="eastAsia"/>
                      <w:bCs/>
                      <w:kern w:val="0"/>
                      <w:szCs w:val="21"/>
                    </w:rPr>
                    <w:t>评价标准</w:t>
                  </w:r>
                </w:p>
                <w:p>
                  <w:pPr>
                    <w:adjustRightInd w:val="0"/>
                    <w:snapToGrid w:val="0"/>
                    <w:jc w:val="center"/>
                    <w:rPr>
                      <w:bCs/>
                      <w:kern w:val="0"/>
                      <w:szCs w:val="21"/>
                    </w:rPr>
                  </w:pPr>
                  <w:r>
                    <w:rPr>
                      <w:rFonts w:hint="eastAsia"/>
                      <w:bCs/>
                      <w:kern w:val="0"/>
                      <w:szCs w:val="21"/>
                    </w:rPr>
                    <w:t>（</w:t>
                  </w:r>
                  <w:r>
                    <w:rPr>
                      <w:bCs/>
                      <w:kern w:val="0"/>
                      <w:szCs w:val="21"/>
                    </w:rPr>
                    <w:t>μg/m</w:t>
                  </w:r>
                  <w:r>
                    <w:rPr>
                      <w:bCs/>
                      <w:kern w:val="0"/>
                      <w:szCs w:val="21"/>
                      <w:vertAlign w:val="superscript"/>
                    </w:rPr>
                    <w:t>3</w:t>
                  </w:r>
                  <w:r>
                    <w:rPr>
                      <w:rFonts w:hint="eastAsia"/>
                      <w:bCs/>
                      <w:kern w:val="0"/>
                      <w:szCs w:val="21"/>
                    </w:rPr>
                    <w:t>）</w:t>
                  </w:r>
                </w:p>
              </w:tc>
              <w:tc>
                <w:tcPr>
                  <w:tcW w:w="725"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kern w:val="0"/>
                      <w:szCs w:val="21"/>
                    </w:rPr>
                  </w:pPr>
                  <w:r>
                    <w:rPr>
                      <w:rFonts w:hint="eastAsia"/>
                      <w:bCs/>
                      <w:kern w:val="0"/>
                      <w:szCs w:val="21"/>
                    </w:rPr>
                    <w:t>现状浓度（</w:t>
                  </w:r>
                  <w:r>
                    <w:rPr>
                      <w:bCs/>
                      <w:kern w:val="0"/>
                      <w:szCs w:val="21"/>
                    </w:rPr>
                    <w:t>μg/m</w:t>
                  </w:r>
                  <w:r>
                    <w:rPr>
                      <w:bCs/>
                      <w:kern w:val="0"/>
                      <w:szCs w:val="21"/>
                      <w:vertAlign w:val="superscript"/>
                    </w:rPr>
                    <w:t>3</w:t>
                  </w:r>
                  <w:r>
                    <w:rPr>
                      <w:rFonts w:hint="eastAsia"/>
                      <w:bCs/>
                      <w:kern w:val="0"/>
                      <w:szCs w:val="21"/>
                    </w:rPr>
                    <w:t>）</w:t>
                  </w:r>
                </w:p>
              </w:tc>
              <w:tc>
                <w:tcPr>
                  <w:tcW w:w="823"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Cs/>
                      <w:kern w:val="0"/>
                      <w:szCs w:val="21"/>
                    </w:rPr>
                  </w:pPr>
                  <w:r>
                    <w:rPr>
                      <w:rFonts w:hint="eastAsia"/>
                      <w:bCs/>
                      <w:kern w:val="0"/>
                      <w:szCs w:val="21"/>
                    </w:rPr>
                    <w:t>最大浓度占标率（</w:t>
                  </w:r>
                  <w:r>
                    <w:rPr>
                      <w:bCs/>
                      <w:kern w:val="0"/>
                      <w:szCs w:val="21"/>
                    </w:rPr>
                    <w:t>%</w:t>
                  </w:r>
                  <w:r>
                    <w:rPr>
                      <w:rFonts w:hint="eastAsia"/>
                      <w:bCs/>
                      <w:kern w:val="0"/>
                      <w:szCs w:val="21"/>
                    </w:rPr>
                    <w:t>）</w:t>
                  </w:r>
                </w:p>
              </w:tc>
              <w:tc>
                <w:tcPr>
                  <w:tcW w:w="568" w:type="pct"/>
                  <w:vMerge w:val="restar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Cs/>
                      <w:kern w:val="0"/>
                      <w:szCs w:val="21"/>
                    </w:rPr>
                  </w:pPr>
                  <w:r>
                    <w:rPr>
                      <w:rFonts w:hint="eastAsia"/>
                      <w:bCs/>
                      <w:kern w:val="0"/>
                      <w:szCs w:val="21"/>
                    </w:rPr>
                    <w:t>达标</w:t>
                  </w:r>
                </w:p>
                <w:p>
                  <w:pPr>
                    <w:adjustRightInd w:val="0"/>
                    <w:snapToGrid w:val="0"/>
                    <w:jc w:val="center"/>
                    <w:rPr>
                      <w:bCs/>
                      <w:kern w:val="0"/>
                      <w:szCs w:val="21"/>
                    </w:rPr>
                  </w:pPr>
                  <w:r>
                    <w:rPr>
                      <w:rFonts w:hint="eastAsia"/>
                      <w:bCs/>
                      <w:kern w:val="0"/>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exact"/>
                    <w:jc w:val="center"/>
                    <w:rPr>
                      <w:kern w:val="0"/>
                      <w:szCs w:val="21"/>
                    </w:rPr>
                  </w:pPr>
                </w:p>
              </w:tc>
              <w:tc>
                <w:tcPr>
                  <w:tcW w:w="1654"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p>
              </w:tc>
              <w:tc>
                <w:tcPr>
                  <w:tcW w:w="67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p>
              </w:tc>
              <w:tc>
                <w:tcPr>
                  <w:tcW w:w="72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p>
              </w:tc>
              <w:tc>
                <w:tcPr>
                  <w:tcW w:w="568" w:type="pct"/>
                  <w:vMerge w:val="continue"/>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exact"/>
                    <w:jc w:val="center"/>
                    <w:rPr>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PM</w:t>
                  </w:r>
                  <w:r>
                    <w:rPr>
                      <w:kern w:val="0"/>
                      <w:szCs w:val="21"/>
                      <w:vertAlign w:val="subscript"/>
                    </w:rPr>
                    <w:t>10</w:t>
                  </w:r>
                </w:p>
              </w:tc>
              <w:tc>
                <w:tcPr>
                  <w:tcW w:w="1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rFonts w:hint="eastAsia"/>
                      <w:kern w:val="0"/>
                      <w:szCs w:val="21"/>
                    </w:rPr>
                    <w:t>年平均质量浓度</w:t>
                  </w:r>
                </w:p>
              </w:tc>
              <w:tc>
                <w:tcPr>
                  <w:tcW w:w="6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70</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79</w:t>
                  </w:r>
                </w:p>
              </w:tc>
              <w:tc>
                <w:tcPr>
                  <w:tcW w:w="8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Cs w:val="21"/>
                    </w:rPr>
                  </w:pPr>
                  <w:r>
                    <w:rPr>
                      <w:szCs w:val="21"/>
                    </w:rPr>
                    <w:t>112.8</w:t>
                  </w:r>
                </w:p>
              </w:tc>
              <w:tc>
                <w:tcPr>
                  <w:tcW w:w="568"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exact"/>
                    <w:jc w:val="center"/>
                    <w:rPr>
                      <w:kern w:val="0"/>
                      <w:szCs w:val="21"/>
                    </w:rPr>
                  </w:pPr>
                  <w:r>
                    <w:rPr>
                      <w:rFonts w:hint="eastAsia"/>
                      <w:kern w:val="0"/>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PM</w:t>
                  </w:r>
                  <w:r>
                    <w:rPr>
                      <w:kern w:val="0"/>
                      <w:szCs w:val="21"/>
                      <w:vertAlign w:val="subscript"/>
                    </w:rPr>
                    <w:t>2.5</w:t>
                  </w:r>
                </w:p>
              </w:tc>
              <w:tc>
                <w:tcPr>
                  <w:tcW w:w="1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rFonts w:hint="eastAsia"/>
                      <w:kern w:val="0"/>
                      <w:szCs w:val="21"/>
                    </w:rPr>
                    <w:t>年平均质量浓度</w:t>
                  </w:r>
                </w:p>
              </w:tc>
              <w:tc>
                <w:tcPr>
                  <w:tcW w:w="6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35</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48</w:t>
                  </w:r>
                </w:p>
              </w:tc>
              <w:tc>
                <w:tcPr>
                  <w:tcW w:w="8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Cs w:val="21"/>
                    </w:rPr>
                  </w:pPr>
                  <w:r>
                    <w:rPr>
                      <w:szCs w:val="21"/>
                    </w:rPr>
                    <w:t>137.1</w:t>
                  </w:r>
                </w:p>
              </w:tc>
              <w:tc>
                <w:tcPr>
                  <w:tcW w:w="568"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exact"/>
                    <w:jc w:val="center"/>
                    <w:rPr>
                      <w:kern w:val="0"/>
                      <w:szCs w:val="21"/>
                    </w:rPr>
                  </w:pPr>
                  <w:r>
                    <w:rPr>
                      <w:rFonts w:hint="eastAsia"/>
                      <w:kern w:val="0"/>
                      <w:szCs w:val="21"/>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SO</w:t>
                  </w:r>
                  <w:r>
                    <w:rPr>
                      <w:kern w:val="0"/>
                      <w:szCs w:val="21"/>
                      <w:vertAlign w:val="subscript"/>
                    </w:rPr>
                    <w:t>2</w:t>
                  </w:r>
                </w:p>
              </w:tc>
              <w:tc>
                <w:tcPr>
                  <w:tcW w:w="1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rFonts w:hint="eastAsia"/>
                      <w:kern w:val="0"/>
                      <w:szCs w:val="21"/>
                    </w:rPr>
                    <w:t>年平均质量浓度</w:t>
                  </w:r>
                </w:p>
              </w:tc>
              <w:tc>
                <w:tcPr>
                  <w:tcW w:w="6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60</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8</w:t>
                  </w:r>
                </w:p>
              </w:tc>
              <w:tc>
                <w:tcPr>
                  <w:tcW w:w="8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Cs w:val="21"/>
                    </w:rPr>
                  </w:pPr>
                  <w:r>
                    <w:rPr>
                      <w:szCs w:val="21"/>
                    </w:rPr>
                    <w:t>13.3</w:t>
                  </w:r>
                </w:p>
              </w:tc>
              <w:tc>
                <w:tcPr>
                  <w:tcW w:w="568"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exact"/>
                    <w:jc w:val="center"/>
                    <w:rPr>
                      <w:szCs w:val="21"/>
                    </w:rPr>
                  </w:pPr>
                  <w:r>
                    <w:rPr>
                      <w:rFonts w:hint="eastAsia"/>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NO</w:t>
                  </w:r>
                  <w:r>
                    <w:rPr>
                      <w:kern w:val="0"/>
                      <w:szCs w:val="21"/>
                      <w:vertAlign w:val="subscript"/>
                    </w:rPr>
                    <w:t>2</w:t>
                  </w:r>
                </w:p>
              </w:tc>
              <w:tc>
                <w:tcPr>
                  <w:tcW w:w="1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rFonts w:hint="eastAsia"/>
                      <w:kern w:val="0"/>
                      <w:szCs w:val="21"/>
                    </w:rPr>
                    <w:t>年平均质量浓度</w:t>
                  </w:r>
                </w:p>
              </w:tc>
              <w:tc>
                <w:tcPr>
                  <w:tcW w:w="6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40</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26</w:t>
                  </w:r>
                </w:p>
              </w:tc>
              <w:tc>
                <w:tcPr>
                  <w:tcW w:w="8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Cs w:val="21"/>
                    </w:rPr>
                  </w:pPr>
                  <w:r>
                    <w:rPr>
                      <w:szCs w:val="21"/>
                    </w:rPr>
                    <w:t>72.5</w:t>
                  </w:r>
                </w:p>
              </w:tc>
              <w:tc>
                <w:tcPr>
                  <w:tcW w:w="568"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exact"/>
                    <w:jc w:val="center"/>
                    <w:rPr>
                      <w:szCs w:val="21"/>
                    </w:rPr>
                  </w:pPr>
                  <w:r>
                    <w:rPr>
                      <w:rFonts w:hint="eastAsia"/>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CO</w:t>
                  </w:r>
                </w:p>
              </w:tc>
              <w:tc>
                <w:tcPr>
                  <w:tcW w:w="165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95%</w:t>
                  </w:r>
                  <w:r>
                    <w:rPr>
                      <w:rFonts w:hint="eastAsia"/>
                      <w:kern w:val="0"/>
                      <w:szCs w:val="21"/>
                    </w:rPr>
                    <w:t>顺位</w:t>
                  </w:r>
                  <w:r>
                    <w:rPr>
                      <w:kern w:val="0"/>
                      <w:szCs w:val="21"/>
                    </w:rPr>
                    <w:t>24</w:t>
                  </w:r>
                  <w:r>
                    <w:rPr>
                      <w:rFonts w:hint="eastAsia"/>
                      <w:kern w:val="0"/>
                      <w:szCs w:val="21"/>
                    </w:rPr>
                    <w:t>小时平均浓度</w:t>
                  </w:r>
                </w:p>
              </w:tc>
              <w:tc>
                <w:tcPr>
                  <w:tcW w:w="6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4000</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kern w:val="0"/>
                      <w:szCs w:val="21"/>
                    </w:rPr>
                  </w:pPr>
                  <w:r>
                    <w:rPr>
                      <w:kern w:val="0"/>
                      <w:szCs w:val="21"/>
                    </w:rPr>
                    <w:t>1500</w:t>
                  </w:r>
                </w:p>
              </w:tc>
              <w:tc>
                <w:tcPr>
                  <w:tcW w:w="82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szCs w:val="21"/>
                    </w:rPr>
                  </w:pPr>
                  <w:r>
                    <w:rPr>
                      <w:szCs w:val="21"/>
                    </w:rPr>
                    <w:t>37.5</w:t>
                  </w:r>
                </w:p>
              </w:tc>
              <w:tc>
                <w:tcPr>
                  <w:tcW w:w="568"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exact"/>
                    <w:jc w:val="center"/>
                    <w:rPr>
                      <w:szCs w:val="21"/>
                    </w:rPr>
                  </w:pPr>
                  <w:r>
                    <w:rPr>
                      <w:rFonts w:hint="eastAsia"/>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8" w:type="pct"/>
                  <w:tcBorders>
                    <w:top w:val="single" w:color="auto" w:sz="4" w:space="0"/>
                    <w:left w:val="single" w:color="auto" w:sz="12" w:space="0"/>
                    <w:bottom w:val="single" w:color="auto" w:sz="12" w:space="0"/>
                    <w:right w:val="single" w:color="auto" w:sz="4" w:space="0"/>
                  </w:tcBorders>
                  <w:vAlign w:val="center"/>
                </w:tcPr>
                <w:p>
                  <w:pPr>
                    <w:adjustRightInd w:val="0"/>
                    <w:snapToGrid w:val="0"/>
                    <w:spacing w:line="360" w:lineRule="exact"/>
                    <w:jc w:val="center"/>
                    <w:rPr>
                      <w:kern w:val="0"/>
                      <w:szCs w:val="21"/>
                    </w:rPr>
                  </w:pPr>
                  <w:r>
                    <w:rPr>
                      <w:kern w:val="0"/>
                      <w:szCs w:val="21"/>
                    </w:rPr>
                    <w:t>O</w:t>
                  </w:r>
                  <w:r>
                    <w:rPr>
                      <w:kern w:val="0"/>
                      <w:szCs w:val="21"/>
                      <w:vertAlign w:val="subscript"/>
                    </w:rPr>
                    <w:t>3</w:t>
                  </w:r>
                </w:p>
              </w:tc>
              <w:tc>
                <w:tcPr>
                  <w:tcW w:w="1654"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exact"/>
                    <w:jc w:val="center"/>
                    <w:rPr>
                      <w:kern w:val="0"/>
                      <w:szCs w:val="21"/>
                    </w:rPr>
                  </w:pPr>
                  <w:r>
                    <w:rPr>
                      <w:kern w:val="0"/>
                      <w:szCs w:val="21"/>
                    </w:rPr>
                    <w:t>90%</w:t>
                  </w:r>
                  <w:r>
                    <w:rPr>
                      <w:rFonts w:hint="eastAsia"/>
                      <w:kern w:val="0"/>
                      <w:szCs w:val="21"/>
                    </w:rPr>
                    <w:t>顺位</w:t>
                  </w:r>
                  <w:r>
                    <w:rPr>
                      <w:kern w:val="0"/>
                      <w:szCs w:val="21"/>
                    </w:rPr>
                    <w:t>8</w:t>
                  </w:r>
                  <w:r>
                    <w:rPr>
                      <w:rFonts w:hint="eastAsia"/>
                      <w:kern w:val="0"/>
                      <w:szCs w:val="21"/>
                    </w:rPr>
                    <w:t>小时平均浓度</w:t>
                  </w:r>
                </w:p>
              </w:tc>
              <w:tc>
                <w:tcPr>
                  <w:tcW w:w="670"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exact"/>
                    <w:jc w:val="center"/>
                    <w:rPr>
                      <w:kern w:val="0"/>
                      <w:szCs w:val="21"/>
                    </w:rPr>
                  </w:pPr>
                  <w:r>
                    <w:rPr>
                      <w:kern w:val="0"/>
                      <w:szCs w:val="21"/>
                    </w:rPr>
                    <w:t>160</w:t>
                  </w:r>
                </w:p>
              </w:tc>
              <w:tc>
                <w:tcPr>
                  <w:tcW w:w="725"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exact"/>
                    <w:jc w:val="center"/>
                    <w:rPr>
                      <w:kern w:val="0"/>
                      <w:szCs w:val="21"/>
                    </w:rPr>
                  </w:pPr>
                  <w:r>
                    <w:rPr>
                      <w:kern w:val="0"/>
                      <w:szCs w:val="21"/>
                    </w:rPr>
                    <w:t>187</w:t>
                  </w:r>
                </w:p>
              </w:tc>
              <w:tc>
                <w:tcPr>
                  <w:tcW w:w="823" w:type="pct"/>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exact"/>
                    <w:jc w:val="center"/>
                    <w:rPr>
                      <w:szCs w:val="21"/>
                    </w:rPr>
                  </w:pPr>
                  <w:r>
                    <w:rPr>
                      <w:szCs w:val="21"/>
                    </w:rPr>
                    <w:t>116.9</w:t>
                  </w:r>
                </w:p>
              </w:tc>
              <w:tc>
                <w:tcPr>
                  <w:tcW w:w="568" w:type="pct"/>
                  <w:tcBorders>
                    <w:top w:val="single" w:color="auto" w:sz="4" w:space="0"/>
                    <w:left w:val="single" w:color="auto" w:sz="4" w:space="0"/>
                    <w:bottom w:val="single" w:color="auto" w:sz="12" w:space="0"/>
                    <w:right w:val="single" w:color="auto" w:sz="12" w:space="0"/>
                  </w:tcBorders>
                  <w:vAlign w:val="center"/>
                </w:tcPr>
                <w:p>
                  <w:pPr>
                    <w:adjustRightInd w:val="0"/>
                    <w:snapToGrid w:val="0"/>
                    <w:spacing w:line="360" w:lineRule="exact"/>
                    <w:jc w:val="center"/>
                    <w:rPr>
                      <w:szCs w:val="21"/>
                    </w:rPr>
                  </w:pPr>
                  <w:r>
                    <w:rPr>
                      <w:rFonts w:hint="eastAsia"/>
                      <w:kern w:val="0"/>
                      <w:szCs w:val="21"/>
                    </w:rPr>
                    <w:t>超标</w:t>
                  </w:r>
                </w:p>
              </w:tc>
            </w:tr>
          </w:tbl>
          <w:p>
            <w:pPr>
              <w:adjustRightInd w:val="0"/>
              <w:snapToGrid w:val="0"/>
              <w:spacing w:line="360" w:lineRule="auto"/>
              <w:ind w:firstLine="480" w:firstLineChars="200"/>
              <w:rPr>
                <w:sz w:val="24"/>
              </w:rPr>
            </w:pPr>
            <w:r>
              <w:rPr>
                <w:rFonts w:hint="eastAsia"/>
                <w:sz w:val="24"/>
              </w:rPr>
              <w:t>环境空气常规六项指标中，</w:t>
            </w:r>
            <w:r>
              <w:rPr>
                <w:sz w:val="24"/>
              </w:rPr>
              <w:t>SO</w:t>
            </w:r>
            <w:r>
              <w:rPr>
                <w:sz w:val="24"/>
                <w:vertAlign w:val="subscript"/>
              </w:rPr>
              <w:t>2</w:t>
            </w:r>
            <w:r>
              <w:rPr>
                <w:rFonts w:hint="eastAsia"/>
                <w:sz w:val="24"/>
              </w:rPr>
              <w:t>年平均质量浓度、</w:t>
            </w:r>
            <w:r>
              <w:rPr>
                <w:sz w:val="24"/>
              </w:rPr>
              <w:t>NO</w:t>
            </w:r>
            <w:r>
              <w:rPr>
                <w:sz w:val="24"/>
                <w:vertAlign w:val="subscript"/>
              </w:rPr>
              <w:t>2</w:t>
            </w:r>
            <w:r>
              <w:rPr>
                <w:rFonts w:hint="eastAsia"/>
                <w:sz w:val="24"/>
              </w:rPr>
              <w:t>年平均质量浓度、</w:t>
            </w:r>
            <w:r>
              <w:rPr>
                <w:sz w:val="24"/>
              </w:rPr>
              <w:t>CO95%</w:t>
            </w:r>
            <w:r>
              <w:rPr>
                <w:rFonts w:hint="eastAsia"/>
                <w:sz w:val="24"/>
              </w:rPr>
              <w:t>顺位</w:t>
            </w:r>
            <w:r>
              <w:rPr>
                <w:sz w:val="24"/>
              </w:rPr>
              <w:t>24</w:t>
            </w:r>
            <w:r>
              <w:rPr>
                <w:rFonts w:hint="eastAsia"/>
                <w:sz w:val="24"/>
              </w:rPr>
              <w:t>小时平均浓度达到《环境空气质量标准》（</w:t>
            </w:r>
            <w:r>
              <w:rPr>
                <w:sz w:val="24"/>
              </w:rPr>
              <w:t>GB 3095-2012</w:t>
            </w:r>
            <w:r>
              <w:rPr>
                <w:rFonts w:hint="eastAsia"/>
                <w:sz w:val="24"/>
              </w:rPr>
              <w:t>）二级标准要求，</w:t>
            </w:r>
            <w:r>
              <w:rPr>
                <w:sz w:val="24"/>
              </w:rPr>
              <w:t>PM</w:t>
            </w:r>
            <w:r>
              <w:rPr>
                <w:sz w:val="24"/>
                <w:vertAlign w:val="subscript"/>
              </w:rPr>
              <w:t>10</w:t>
            </w:r>
            <w:r>
              <w:rPr>
                <w:rFonts w:hint="eastAsia"/>
                <w:sz w:val="24"/>
              </w:rPr>
              <w:t>年平均质量浓度、</w:t>
            </w:r>
            <w:r>
              <w:rPr>
                <w:sz w:val="24"/>
              </w:rPr>
              <w:t>PM</w:t>
            </w:r>
            <w:r>
              <w:rPr>
                <w:sz w:val="24"/>
                <w:vertAlign w:val="subscript"/>
              </w:rPr>
              <w:t>2.5</w:t>
            </w:r>
            <w:r>
              <w:rPr>
                <w:rFonts w:hint="eastAsia"/>
                <w:sz w:val="24"/>
              </w:rPr>
              <w:t>年平均质量浓度、</w:t>
            </w:r>
            <w:r>
              <w:rPr>
                <w:sz w:val="24"/>
              </w:rPr>
              <w:t>O</w:t>
            </w:r>
            <w:r>
              <w:rPr>
                <w:sz w:val="24"/>
                <w:vertAlign w:val="subscript"/>
              </w:rPr>
              <w:t>3</w:t>
            </w:r>
            <w:r>
              <w:rPr>
                <w:sz w:val="24"/>
              </w:rPr>
              <w:t>90%</w:t>
            </w:r>
            <w:r>
              <w:rPr>
                <w:rFonts w:hint="eastAsia"/>
                <w:sz w:val="24"/>
              </w:rPr>
              <w:t>顺位</w:t>
            </w:r>
            <w:r>
              <w:rPr>
                <w:sz w:val="24"/>
              </w:rPr>
              <w:t>8</w:t>
            </w:r>
            <w:r>
              <w:rPr>
                <w:rFonts w:hint="eastAsia"/>
                <w:sz w:val="24"/>
              </w:rPr>
              <w:t>小时平均浓度超过《环境空气质量标准》（</w:t>
            </w:r>
            <w:r>
              <w:rPr>
                <w:sz w:val="24"/>
              </w:rPr>
              <w:t>GB 3095-2012</w:t>
            </w:r>
            <w:r>
              <w:rPr>
                <w:rFonts w:hint="eastAsia"/>
                <w:sz w:val="24"/>
              </w:rPr>
              <w:t>）二级标准要求。</w:t>
            </w:r>
          </w:p>
          <w:p>
            <w:pPr>
              <w:tabs>
                <w:tab w:val="left" w:pos="3555"/>
              </w:tabs>
              <w:adjustRightInd w:val="0"/>
              <w:snapToGrid w:val="0"/>
              <w:spacing w:line="360" w:lineRule="auto"/>
              <w:ind w:firstLine="480" w:firstLineChars="200"/>
              <w:rPr>
                <w:b/>
                <w:bCs/>
                <w:sz w:val="24"/>
              </w:rPr>
            </w:pPr>
            <w:r>
              <w:rPr>
                <w:rFonts w:hint="eastAsia"/>
                <w:sz w:val="24"/>
              </w:rPr>
              <w:t>根据《环境影响评价技术导则</w:t>
            </w:r>
            <w:r>
              <w:rPr>
                <w:sz w:val="24"/>
              </w:rPr>
              <w:t xml:space="preserve"> </w:t>
            </w:r>
            <w:r>
              <w:rPr>
                <w:rFonts w:hint="eastAsia"/>
                <w:sz w:val="24"/>
              </w:rPr>
              <w:t>大气环境》（</w:t>
            </w:r>
            <w:r>
              <w:rPr>
                <w:sz w:val="24"/>
              </w:rPr>
              <w:t>HJ 2.2-2018</w:t>
            </w:r>
            <w:r>
              <w:rPr>
                <w:rFonts w:hint="eastAsia"/>
                <w:sz w:val="24"/>
              </w:rPr>
              <w:t>），城市环境空气质量达标情况评价指标为</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w:t>
            </w:r>
            <w:r>
              <w:rPr>
                <w:sz w:val="24"/>
              </w:rPr>
              <w:t>CO</w:t>
            </w:r>
            <w:r>
              <w:rPr>
                <w:rFonts w:hint="eastAsia"/>
                <w:sz w:val="24"/>
              </w:rPr>
              <w:t>、</w:t>
            </w:r>
            <w:r>
              <w:rPr>
                <w:sz w:val="24"/>
              </w:rPr>
              <w:t>O</w:t>
            </w:r>
            <w:r>
              <w:rPr>
                <w:sz w:val="24"/>
                <w:vertAlign w:val="subscript"/>
              </w:rPr>
              <w:t>3</w:t>
            </w:r>
            <w:r>
              <w:rPr>
                <w:rFonts w:hint="eastAsia"/>
                <w:sz w:val="24"/>
              </w:rPr>
              <w:t>，六项污染物年评价指标全部达标即为城市环境空气质量达标。因此，本项目所在区域属于不达标区域。</w:t>
            </w:r>
          </w:p>
          <w:p>
            <w:pPr>
              <w:tabs>
                <w:tab w:val="left" w:pos="3555"/>
              </w:tabs>
              <w:adjustRightInd w:val="0"/>
              <w:snapToGrid w:val="0"/>
              <w:spacing w:line="360" w:lineRule="auto"/>
              <w:ind w:firstLine="480" w:firstLineChars="200"/>
              <w:rPr>
                <w:sz w:val="24"/>
              </w:rPr>
            </w:pPr>
            <w:r>
              <w:rPr>
                <w:rFonts w:hint="eastAsia"/>
                <w:sz w:val="24"/>
              </w:rPr>
              <w:t>（</w:t>
            </w:r>
            <w:r>
              <w:rPr>
                <w:sz w:val="24"/>
              </w:rPr>
              <w:t>2</w:t>
            </w:r>
            <w:r>
              <w:rPr>
                <w:rFonts w:hint="eastAsia"/>
                <w:sz w:val="24"/>
              </w:rPr>
              <w:t>）其他污染物环境质量现状</w:t>
            </w:r>
          </w:p>
          <w:p>
            <w:pPr>
              <w:adjustRightInd w:val="0"/>
              <w:snapToGrid w:val="0"/>
              <w:spacing w:line="360" w:lineRule="auto"/>
              <w:ind w:firstLine="566" w:firstLineChars="236"/>
              <w:rPr>
                <w:sz w:val="24"/>
              </w:rPr>
            </w:pPr>
            <w:r>
              <w:rPr>
                <w:rFonts w:hint="eastAsia"/>
                <w:sz w:val="24"/>
              </w:rPr>
              <w:t>本项目大气环境质量现状其他污染物非甲烷总烃引用《西安天润塑业有限公司润滑油桶、汽车配件等塑料制品生产项目环境质量检测》（</w:t>
            </w:r>
            <w:r>
              <w:rPr>
                <w:sz w:val="24"/>
              </w:rPr>
              <w:t>SPJC2020-</w:t>
            </w:r>
            <w:r>
              <w:rPr>
                <w:rFonts w:hint="eastAsia"/>
                <w:sz w:val="24"/>
              </w:rPr>
              <w:t>）数据（见附件</w:t>
            </w:r>
            <w:r>
              <w:rPr>
                <w:sz w:val="24"/>
              </w:rPr>
              <w:t>8</w:t>
            </w:r>
            <w:r>
              <w:rPr>
                <w:rFonts w:hint="eastAsia"/>
                <w:sz w:val="24"/>
              </w:rPr>
              <w:t>），监测时间</w:t>
            </w:r>
            <w:r>
              <w:rPr>
                <w:sz w:val="24"/>
              </w:rPr>
              <w:t>2020</w:t>
            </w:r>
            <w:r>
              <w:rPr>
                <w:rFonts w:hint="eastAsia"/>
                <w:sz w:val="24"/>
              </w:rPr>
              <w:t>年</w:t>
            </w:r>
            <w:r>
              <w:rPr>
                <w:sz w:val="24"/>
              </w:rPr>
              <w:t>11</w:t>
            </w:r>
            <w:r>
              <w:rPr>
                <w:rFonts w:hint="eastAsia"/>
                <w:sz w:val="24"/>
              </w:rPr>
              <w:t>月</w:t>
            </w:r>
            <w:r>
              <w:rPr>
                <w:sz w:val="24"/>
              </w:rPr>
              <w:t>5</w:t>
            </w:r>
            <w:r>
              <w:rPr>
                <w:rFonts w:hint="eastAsia"/>
                <w:sz w:val="24"/>
              </w:rPr>
              <w:t>日～</w:t>
            </w:r>
            <w:r>
              <w:rPr>
                <w:sz w:val="24"/>
              </w:rPr>
              <w:t>2020</w:t>
            </w:r>
            <w:r>
              <w:rPr>
                <w:rFonts w:hint="eastAsia"/>
                <w:sz w:val="24"/>
              </w:rPr>
              <w:t>年</w:t>
            </w:r>
            <w:r>
              <w:rPr>
                <w:sz w:val="24"/>
              </w:rPr>
              <w:t>11</w:t>
            </w:r>
            <w:r>
              <w:rPr>
                <w:rFonts w:hint="eastAsia"/>
                <w:sz w:val="24"/>
              </w:rPr>
              <w:t>月</w:t>
            </w:r>
            <w:r>
              <w:rPr>
                <w:sz w:val="24"/>
              </w:rPr>
              <w:t>11</w:t>
            </w:r>
            <w:r>
              <w:rPr>
                <w:rFonts w:hint="eastAsia"/>
                <w:sz w:val="24"/>
              </w:rPr>
              <w:t>日，该项目监测点位于本项目东北侧约为</w:t>
            </w:r>
            <w:r>
              <w:rPr>
                <w:sz w:val="24"/>
              </w:rPr>
              <w:t>1100m</w:t>
            </w:r>
            <w:r>
              <w:rPr>
                <w:rFonts w:hint="eastAsia"/>
                <w:sz w:val="24"/>
              </w:rPr>
              <w:t>，满足《建设项目环境影响报告表编制技术指南（污染影响类）（试行）》中</w:t>
            </w:r>
            <w:r>
              <w:rPr>
                <w:sz w:val="24"/>
              </w:rPr>
              <w:t>“</w:t>
            </w:r>
            <w:r>
              <w:rPr>
                <w:rFonts w:hint="eastAsia"/>
                <w:sz w:val="24"/>
              </w:rPr>
              <w:t>引用建设项目周边</w:t>
            </w:r>
            <w:r>
              <w:rPr>
                <w:sz w:val="24"/>
              </w:rPr>
              <w:t>5</w:t>
            </w:r>
            <w:r>
              <w:rPr>
                <w:rFonts w:hint="eastAsia"/>
                <w:sz w:val="24"/>
              </w:rPr>
              <w:t>千米范围内近</w:t>
            </w:r>
            <w:r>
              <w:rPr>
                <w:sz w:val="24"/>
              </w:rPr>
              <w:t>3</w:t>
            </w:r>
            <w:r>
              <w:rPr>
                <w:rFonts w:hint="eastAsia"/>
                <w:sz w:val="24"/>
              </w:rPr>
              <w:t>年的现有监测数据</w:t>
            </w:r>
            <w:r>
              <w:rPr>
                <w:sz w:val="24"/>
              </w:rPr>
              <w:t>”</w:t>
            </w:r>
            <w:r>
              <w:rPr>
                <w:rFonts w:hint="eastAsia"/>
                <w:sz w:val="24"/>
              </w:rPr>
              <w:t>要求，因此监测数据引用可行。</w:t>
            </w:r>
            <w:r>
              <w:rPr>
                <w:sz w:val="24"/>
              </w:rPr>
              <w:t>TSP</w:t>
            </w:r>
            <w:r>
              <w:rPr>
                <w:rFonts w:hint="eastAsia"/>
                <w:sz w:val="24"/>
              </w:rPr>
              <w:t>引用《陕西华尔达新型材料有限公司陕西华尔达废弃资源回收利用项目现状监测》（君携检测（现）字第</w:t>
            </w:r>
            <w:r>
              <w:rPr>
                <w:sz w:val="24"/>
              </w:rPr>
              <w:t>2010001</w:t>
            </w:r>
            <w:r>
              <w:rPr>
                <w:rFonts w:hint="eastAsia"/>
                <w:sz w:val="24"/>
              </w:rPr>
              <w:t>号）数据（见附件</w:t>
            </w:r>
            <w:r>
              <w:rPr>
                <w:sz w:val="24"/>
              </w:rPr>
              <w:t>9</w:t>
            </w:r>
            <w:r>
              <w:rPr>
                <w:rFonts w:hint="eastAsia"/>
                <w:sz w:val="24"/>
              </w:rPr>
              <w:t>），监测时间</w:t>
            </w:r>
            <w:r>
              <w:rPr>
                <w:sz w:val="24"/>
              </w:rPr>
              <w:t>2020</w:t>
            </w:r>
            <w:r>
              <w:rPr>
                <w:rFonts w:hint="eastAsia"/>
                <w:sz w:val="24"/>
              </w:rPr>
              <w:t>年</w:t>
            </w:r>
            <w:r>
              <w:rPr>
                <w:sz w:val="24"/>
              </w:rPr>
              <w:t>10</w:t>
            </w:r>
            <w:r>
              <w:rPr>
                <w:rFonts w:hint="eastAsia"/>
                <w:sz w:val="24"/>
              </w:rPr>
              <w:t>月</w:t>
            </w:r>
            <w:r>
              <w:rPr>
                <w:sz w:val="24"/>
              </w:rPr>
              <w:t>16</w:t>
            </w:r>
            <w:r>
              <w:rPr>
                <w:rFonts w:hint="eastAsia"/>
                <w:sz w:val="24"/>
              </w:rPr>
              <w:t>日</w:t>
            </w:r>
            <w:r>
              <w:rPr>
                <w:sz w:val="24"/>
              </w:rPr>
              <w:t>~2020</w:t>
            </w:r>
            <w:r>
              <w:rPr>
                <w:rFonts w:hint="eastAsia"/>
                <w:sz w:val="24"/>
              </w:rPr>
              <w:t>年</w:t>
            </w:r>
            <w:r>
              <w:rPr>
                <w:sz w:val="24"/>
              </w:rPr>
              <w:t>10</w:t>
            </w:r>
            <w:r>
              <w:rPr>
                <w:rFonts w:hint="eastAsia"/>
                <w:sz w:val="24"/>
              </w:rPr>
              <w:t>月</w:t>
            </w:r>
            <w:r>
              <w:rPr>
                <w:sz w:val="24"/>
              </w:rPr>
              <w:t>23</w:t>
            </w:r>
            <w:r>
              <w:rPr>
                <w:rFonts w:hint="eastAsia"/>
                <w:sz w:val="24"/>
              </w:rPr>
              <w:t>日，该项目监测点位于本项目东南侧约</w:t>
            </w:r>
            <w:r>
              <w:rPr>
                <w:sz w:val="24"/>
              </w:rPr>
              <w:t>2380m</w:t>
            </w:r>
            <w:r>
              <w:rPr>
                <w:rFonts w:hint="eastAsia"/>
                <w:sz w:val="24"/>
              </w:rPr>
              <w:t>，满足《建设项目环境影响报告表编制技术指南（污染影响类）（试行）》中</w:t>
            </w:r>
            <w:r>
              <w:rPr>
                <w:sz w:val="24"/>
              </w:rPr>
              <w:t>“</w:t>
            </w:r>
            <w:r>
              <w:rPr>
                <w:rFonts w:hint="eastAsia"/>
                <w:sz w:val="24"/>
              </w:rPr>
              <w:t>引用建设项目周边</w:t>
            </w:r>
            <w:r>
              <w:rPr>
                <w:sz w:val="24"/>
              </w:rPr>
              <w:t>5</w:t>
            </w:r>
            <w:r>
              <w:rPr>
                <w:rFonts w:hint="eastAsia"/>
                <w:sz w:val="24"/>
              </w:rPr>
              <w:t>千米范围内近</w:t>
            </w:r>
            <w:r>
              <w:rPr>
                <w:sz w:val="24"/>
              </w:rPr>
              <w:t>3</w:t>
            </w:r>
            <w:r>
              <w:rPr>
                <w:rFonts w:hint="eastAsia"/>
                <w:sz w:val="24"/>
              </w:rPr>
              <w:t>年的现有监测数据</w:t>
            </w:r>
            <w:r>
              <w:rPr>
                <w:sz w:val="24"/>
              </w:rPr>
              <w:t>”</w:t>
            </w:r>
            <w:r>
              <w:rPr>
                <w:rFonts w:hint="eastAsia"/>
                <w:sz w:val="24"/>
              </w:rPr>
              <w:t>要求，因此监测数据引用可行。监测结果见表</w:t>
            </w:r>
            <w:r>
              <w:rPr>
                <w:sz w:val="24"/>
              </w:rPr>
              <w:t>3-2</w:t>
            </w:r>
            <w:r>
              <w:rPr>
                <w:rFonts w:hint="eastAsia"/>
                <w:sz w:val="24"/>
              </w:rPr>
              <w:t>。</w:t>
            </w:r>
          </w:p>
          <w:p>
            <w:pPr>
              <w:adjustRightInd w:val="0"/>
              <w:snapToGrid w:val="0"/>
              <w:ind w:firstLine="422"/>
              <w:jc w:val="center"/>
              <w:rPr>
                <w:b/>
                <w:szCs w:val="21"/>
              </w:rPr>
            </w:pPr>
            <w:r>
              <w:rPr>
                <w:rFonts w:hint="eastAsia"/>
                <w:b/>
                <w:szCs w:val="21"/>
              </w:rPr>
              <w:t>表</w:t>
            </w:r>
            <w:r>
              <w:rPr>
                <w:b/>
                <w:szCs w:val="21"/>
              </w:rPr>
              <w:t xml:space="preserve">3-2  </w:t>
            </w:r>
            <w:r>
              <w:rPr>
                <w:rFonts w:hint="eastAsia"/>
                <w:b/>
                <w:szCs w:val="21"/>
              </w:rPr>
              <w:t>环境空气质量监测结果统计表（其他污染物）</w:t>
            </w:r>
          </w:p>
          <w:tbl>
            <w:tblPr>
              <w:tblStyle w:val="18"/>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748"/>
              <w:gridCol w:w="1275"/>
              <w:gridCol w:w="1039"/>
              <w:gridCol w:w="994"/>
              <w:gridCol w:w="1039"/>
              <w:gridCol w:w="7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6"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监测因子</w:t>
                  </w:r>
                </w:p>
              </w:tc>
              <w:tc>
                <w:tcPr>
                  <w:tcW w:w="948"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监测时间</w:t>
                  </w:r>
                </w:p>
              </w:tc>
              <w:tc>
                <w:tcPr>
                  <w:tcW w:w="812"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浓度范围</w:t>
                  </w:r>
                </w:p>
                <w:p>
                  <w:pPr>
                    <w:adjustRightInd w:val="0"/>
                    <w:snapToGrid w:val="0"/>
                    <w:jc w:val="center"/>
                    <w:rPr>
                      <w:kern w:val="0"/>
                      <w:szCs w:val="21"/>
                    </w:rPr>
                  </w:pPr>
                  <w:r>
                    <w:rPr>
                      <w:rFonts w:hint="eastAsia"/>
                      <w:kern w:val="0"/>
                      <w:szCs w:val="21"/>
                    </w:rPr>
                    <w:t>（</w:t>
                  </w:r>
                  <w:r>
                    <w:rPr>
                      <w:kern w:val="0"/>
                      <w:szCs w:val="21"/>
                    </w:rPr>
                    <w:t>mg/m</w:t>
                  </w:r>
                  <w:r>
                    <w:rPr>
                      <w:kern w:val="0"/>
                      <w:szCs w:val="21"/>
                      <w:vertAlign w:val="superscript"/>
                    </w:rPr>
                    <w:t>3</w:t>
                  </w:r>
                  <w:r>
                    <w:rPr>
                      <w:rFonts w:hint="eastAsia"/>
                      <w:kern w:val="0"/>
                      <w:szCs w:val="21"/>
                    </w:rPr>
                    <w:t>）</w:t>
                  </w:r>
                </w:p>
              </w:tc>
              <w:tc>
                <w:tcPr>
                  <w:tcW w:w="617"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标准值</w:t>
                  </w:r>
                </w:p>
              </w:tc>
              <w:tc>
                <w:tcPr>
                  <w:tcW w:w="691"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最大浓度占标率</w:t>
                  </w:r>
                </w:p>
              </w:tc>
              <w:tc>
                <w:tcPr>
                  <w:tcW w:w="691"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rFonts w:hint="eastAsia"/>
                      <w:kern w:val="0"/>
                      <w:szCs w:val="21"/>
                    </w:rPr>
                    <w:t>超标率（％）</w:t>
                  </w:r>
                </w:p>
              </w:tc>
              <w:tc>
                <w:tcPr>
                  <w:tcW w:w="521"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kern w:val="0"/>
                      <w:szCs w:val="21"/>
                    </w:rPr>
                  </w:pPr>
                  <w:r>
                    <w:rPr>
                      <w:rFonts w:hint="eastAsia"/>
                      <w:kern w:val="0"/>
                      <w:szCs w:val="21"/>
                    </w:rPr>
                    <w:t>达标</w:t>
                  </w:r>
                </w:p>
                <w:p>
                  <w:pPr>
                    <w:adjustRightInd w:val="0"/>
                    <w:snapToGrid w:val="0"/>
                    <w:jc w:val="center"/>
                    <w:rPr>
                      <w:kern w:val="0"/>
                      <w:szCs w:val="21"/>
                    </w:rPr>
                  </w:pPr>
                  <w:r>
                    <w:rPr>
                      <w:rFonts w:hint="eastAsia"/>
                      <w:kern w:val="0"/>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16"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非甲烷总烃</w:t>
                  </w:r>
                </w:p>
              </w:tc>
              <w:tc>
                <w:tcPr>
                  <w:tcW w:w="948" w:type="pct"/>
                  <w:tcBorders>
                    <w:top w:val="single" w:color="auto" w:sz="4" w:space="0"/>
                    <w:left w:val="single" w:color="auto" w:sz="4" w:space="0"/>
                    <w:bottom w:val="single" w:color="auto" w:sz="4" w:space="0"/>
                    <w:right w:val="single" w:color="auto" w:sz="4" w:space="0"/>
                  </w:tcBorders>
                  <w:vAlign w:val="center"/>
                </w:tcPr>
                <w:p>
                  <w:pPr>
                    <w:jc w:val="center"/>
                  </w:pPr>
                  <w:r>
                    <w:t>2020.11.5~11.11</w:t>
                  </w:r>
                </w:p>
              </w:tc>
              <w:tc>
                <w:tcPr>
                  <w:tcW w:w="8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kern w:val="0"/>
                      <w:szCs w:val="21"/>
                    </w:rPr>
                    <w:t>0.80~0.94</w:t>
                  </w:r>
                </w:p>
              </w:tc>
              <w:tc>
                <w:tcPr>
                  <w:tcW w:w="6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szCs w:val="21"/>
                    </w:rPr>
                    <w:t>2.0mg/m</w:t>
                  </w:r>
                  <w:r>
                    <w:rPr>
                      <w:szCs w:val="21"/>
                      <w:vertAlign w:val="superscript"/>
                    </w:rPr>
                    <w:t>3</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kern w:val="0"/>
                      <w:szCs w:val="21"/>
                    </w:rPr>
                    <w:t>47%</w:t>
                  </w:r>
                </w:p>
              </w:tc>
              <w:tc>
                <w:tcPr>
                  <w:tcW w:w="69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kern w:val="0"/>
                      <w:szCs w:val="21"/>
                    </w:rPr>
                  </w:pPr>
                  <w:r>
                    <w:rPr>
                      <w:kern w:val="0"/>
                      <w:szCs w:val="21"/>
                    </w:rPr>
                    <w:t>0</w:t>
                  </w:r>
                </w:p>
              </w:tc>
              <w:tc>
                <w:tcPr>
                  <w:tcW w:w="521"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kern w:val="0"/>
                      <w:szCs w:val="21"/>
                    </w:rPr>
                  </w:pPr>
                  <w:r>
                    <w:rPr>
                      <w:rFonts w:hint="eastAsia"/>
                      <w:kern w:val="0"/>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16"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szCs w:val="21"/>
                    </w:rPr>
                  </w:pPr>
                  <w:r>
                    <w:rPr>
                      <w:szCs w:val="21"/>
                    </w:rPr>
                    <w:t>TSP</w:t>
                  </w:r>
                </w:p>
              </w:tc>
              <w:tc>
                <w:tcPr>
                  <w:tcW w:w="948" w:type="pct"/>
                  <w:tcBorders>
                    <w:top w:val="single" w:color="auto" w:sz="4" w:space="0"/>
                    <w:left w:val="single" w:color="auto" w:sz="4" w:space="0"/>
                    <w:bottom w:val="single" w:color="auto" w:sz="12" w:space="0"/>
                    <w:right w:val="single" w:color="auto" w:sz="4" w:space="0"/>
                  </w:tcBorders>
                  <w:vAlign w:val="center"/>
                </w:tcPr>
                <w:p>
                  <w:pPr>
                    <w:jc w:val="center"/>
                  </w:pPr>
                  <w:r>
                    <w:t>2020.10.16~10.23</w:t>
                  </w:r>
                </w:p>
              </w:tc>
              <w:tc>
                <w:tcPr>
                  <w:tcW w:w="812"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kern w:val="0"/>
                      <w:szCs w:val="21"/>
                    </w:rPr>
                  </w:pPr>
                  <w:r>
                    <w:rPr>
                      <w:kern w:val="0"/>
                      <w:szCs w:val="21"/>
                    </w:rPr>
                    <w:t>0.142~0.190</w:t>
                  </w:r>
                </w:p>
              </w:tc>
              <w:tc>
                <w:tcPr>
                  <w:tcW w:w="617"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szCs w:val="21"/>
                    </w:rPr>
                  </w:pPr>
                  <w:r>
                    <w:rPr>
                      <w:szCs w:val="21"/>
                    </w:rPr>
                    <w:t>0.3mg/m</w:t>
                  </w:r>
                  <w:r>
                    <w:rPr>
                      <w:szCs w:val="21"/>
                      <w:vertAlign w:val="superscript"/>
                    </w:rPr>
                    <w:t>3</w:t>
                  </w:r>
                </w:p>
              </w:tc>
              <w:tc>
                <w:tcPr>
                  <w:tcW w:w="69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kern w:val="0"/>
                      <w:szCs w:val="21"/>
                    </w:rPr>
                  </w:pPr>
                  <w:r>
                    <w:rPr>
                      <w:kern w:val="0"/>
                      <w:szCs w:val="21"/>
                    </w:rPr>
                    <w:t>63.3%</w:t>
                  </w:r>
                </w:p>
              </w:tc>
              <w:tc>
                <w:tcPr>
                  <w:tcW w:w="69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kern w:val="0"/>
                      <w:szCs w:val="21"/>
                    </w:rPr>
                  </w:pPr>
                  <w:r>
                    <w:rPr>
                      <w:kern w:val="0"/>
                      <w:szCs w:val="21"/>
                    </w:rPr>
                    <w:t>0</w:t>
                  </w:r>
                </w:p>
              </w:tc>
              <w:tc>
                <w:tcPr>
                  <w:tcW w:w="521" w:type="pct"/>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kern w:val="0"/>
                      <w:szCs w:val="21"/>
                    </w:rPr>
                  </w:pPr>
                  <w:r>
                    <w:rPr>
                      <w:rFonts w:hint="eastAsia"/>
                      <w:kern w:val="0"/>
                      <w:szCs w:val="21"/>
                    </w:rPr>
                    <w:t>达标</w:t>
                  </w:r>
                </w:p>
              </w:tc>
            </w:tr>
          </w:tbl>
          <w:p>
            <w:pPr>
              <w:adjustRightInd w:val="0"/>
              <w:snapToGrid w:val="0"/>
              <w:spacing w:line="360" w:lineRule="auto"/>
              <w:ind w:firstLine="480" w:firstLineChars="200"/>
              <w:jc w:val="left"/>
            </w:pPr>
            <w:r>
              <w:rPr>
                <w:rFonts w:hint="eastAsia"/>
                <w:sz w:val="24"/>
              </w:rPr>
              <w:t>从监测结果可以看出，项目所在区域非甲烷总烃一次监测值满足《大气污染物排放标准详解》中非甲烷总烃小时质量标准推荐值的要求。</w:t>
            </w:r>
            <w:r>
              <w:rPr>
                <w:sz w:val="24"/>
              </w:rPr>
              <w:t>TSP</w:t>
            </w:r>
            <w:r>
              <w:rPr>
                <w:rFonts w:hint="eastAsia"/>
                <w:sz w:val="24"/>
              </w:rPr>
              <w:t>满足合《环境空气质量标准》（</w:t>
            </w:r>
            <w:r>
              <w:rPr>
                <w:sz w:val="24"/>
              </w:rPr>
              <w:t>GB 3095-2012</w:t>
            </w:r>
            <w:r>
              <w:rPr>
                <w:rFonts w:hint="eastAsia"/>
                <w:sz w:val="24"/>
              </w:rPr>
              <w:t>）二级标准限值要求。</w:t>
            </w:r>
          </w:p>
          <w:p>
            <w:pPr>
              <w:adjustRightInd w:val="0"/>
              <w:snapToGrid w:val="0"/>
              <w:spacing w:line="360" w:lineRule="auto"/>
              <w:rPr>
                <w:b/>
                <w:bCs/>
                <w:sz w:val="24"/>
              </w:rPr>
            </w:pPr>
            <w:r>
              <w:rPr>
                <w:b/>
                <w:bCs/>
                <w:sz w:val="24"/>
              </w:rPr>
              <w:t>2</w:t>
            </w:r>
            <w:r>
              <w:rPr>
                <w:rFonts w:hint="eastAsia"/>
                <w:b/>
                <w:bCs/>
                <w:sz w:val="24"/>
              </w:rPr>
              <w:t>、声环境</w:t>
            </w:r>
          </w:p>
          <w:p>
            <w:pPr>
              <w:adjustRightInd w:val="0"/>
              <w:snapToGrid w:val="0"/>
              <w:spacing w:line="360" w:lineRule="auto"/>
              <w:ind w:firstLine="480" w:firstLineChars="200"/>
              <w:jc w:val="left"/>
              <w:rPr>
                <w:sz w:val="24"/>
              </w:rPr>
            </w:pPr>
            <w:r>
              <w:rPr>
                <w:rFonts w:hint="eastAsia"/>
                <w:sz w:val="24"/>
              </w:rPr>
              <w:t>本项目厂界外周边</w:t>
            </w:r>
            <w:r>
              <w:rPr>
                <w:sz w:val="24"/>
              </w:rPr>
              <w:t>50</w:t>
            </w:r>
            <w:r>
              <w:rPr>
                <w:rFonts w:hint="eastAsia"/>
                <w:sz w:val="24"/>
              </w:rPr>
              <w:t>米范围内无声环境保护目标，故不进行声环境现状监测。</w:t>
            </w:r>
          </w:p>
          <w:p>
            <w:pPr>
              <w:adjustRightInd w:val="0"/>
              <w:snapToGrid w:val="0"/>
              <w:spacing w:line="360" w:lineRule="auto"/>
              <w:rPr>
                <w:b/>
                <w:bCs/>
                <w:sz w:val="24"/>
              </w:rPr>
            </w:pPr>
            <w:r>
              <w:rPr>
                <w:b/>
                <w:bCs/>
                <w:sz w:val="24"/>
              </w:rPr>
              <w:t>3</w:t>
            </w:r>
            <w:r>
              <w:rPr>
                <w:rFonts w:hint="eastAsia"/>
                <w:b/>
                <w:bCs/>
                <w:sz w:val="24"/>
              </w:rPr>
              <w:t>、地表水环境</w:t>
            </w:r>
          </w:p>
          <w:p>
            <w:pPr>
              <w:adjustRightInd w:val="0"/>
              <w:snapToGrid w:val="0"/>
              <w:spacing w:line="360" w:lineRule="auto"/>
              <w:ind w:firstLine="480" w:firstLineChars="200"/>
              <w:jc w:val="left"/>
              <w:rPr>
                <w:sz w:val="24"/>
              </w:rPr>
            </w:pPr>
            <w:r>
              <w:rPr>
                <w:rFonts w:hint="eastAsia"/>
                <w:sz w:val="24"/>
              </w:rPr>
              <w:t>根据《</w:t>
            </w:r>
            <w:r>
              <w:rPr>
                <w:sz w:val="24"/>
              </w:rPr>
              <w:t>2022</w:t>
            </w:r>
            <w:r>
              <w:rPr>
                <w:rFonts w:hint="eastAsia"/>
                <w:sz w:val="24"/>
              </w:rPr>
              <w:t>年陕西省生态环境状况公报》（</w:t>
            </w:r>
            <w:r>
              <w:rPr>
                <w:sz w:val="24"/>
              </w:rPr>
              <w:t>2023</w:t>
            </w:r>
            <w:r>
              <w:rPr>
                <w:rFonts w:hint="eastAsia"/>
                <w:sz w:val="24"/>
              </w:rPr>
              <w:t>年</w:t>
            </w:r>
            <w:r>
              <w:rPr>
                <w:sz w:val="24"/>
              </w:rPr>
              <w:t>6</w:t>
            </w:r>
            <w:r>
              <w:rPr>
                <w:rFonts w:hint="eastAsia"/>
                <w:sz w:val="24"/>
              </w:rPr>
              <w:t>月</w:t>
            </w:r>
            <w:r>
              <w:rPr>
                <w:sz w:val="24"/>
              </w:rPr>
              <w:t>3</w:t>
            </w:r>
            <w:r>
              <w:rPr>
                <w:rFonts w:hint="eastAsia"/>
                <w:sz w:val="24"/>
              </w:rPr>
              <w:t>日发布），渭河干流水质优，与上年相比，水质无明显变化。监测的</w:t>
            </w:r>
            <w:r>
              <w:rPr>
                <w:sz w:val="24"/>
              </w:rPr>
              <w:t>21</w:t>
            </w:r>
            <w:r>
              <w:rPr>
                <w:rFonts w:hint="eastAsia"/>
                <w:sz w:val="24"/>
              </w:rPr>
              <w:t>个国控、省控断面中，Ⅰ～Ⅲ类</w:t>
            </w:r>
            <w:r>
              <w:rPr>
                <w:sz w:val="24"/>
              </w:rPr>
              <w:t>21</w:t>
            </w:r>
            <w:r>
              <w:rPr>
                <w:rFonts w:hint="eastAsia"/>
                <w:sz w:val="24"/>
              </w:rPr>
              <w:t>个，占</w:t>
            </w:r>
            <w:r>
              <w:rPr>
                <w:sz w:val="24"/>
              </w:rPr>
              <w:t>100.0%</w:t>
            </w:r>
            <w:r>
              <w:rPr>
                <w:rFonts w:hint="eastAsia"/>
                <w:sz w:val="24"/>
              </w:rPr>
              <w:t>；无Ⅳ类、Ⅴ类和劣Ⅴ类断面。渭河</w:t>
            </w:r>
            <w:r>
              <w:rPr>
                <w:sz w:val="24"/>
              </w:rPr>
              <w:t>33</w:t>
            </w:r>
            <w:r>
              <w:rPr>
                <w:rFonts w:hint="eastAsia"/>
                <w:sz w:val="24"/>
              </w:rPr>
              <w:t>条支流总体水质良好。清姜河、金陵河、宝鸡峡总干渠、千河、石头河、漆水河、黑河、田峪河、沣河、灞河、泾河、三水河、漆水河（石）、幸福渠和葫芦河水质优，泔河、小韦河、涝河、皂河、太平河、黑河（泾）、北洛河、白豹川河、三道川河、石堡川河、漕运明渠、沋河和新河水质良好，石川河、清河和临河轻度污染，马莲河和沮河重度污染。</w:t>
            </w:r>
          </w:p>
          <w:p>
            <w:pPr>
              <w:adjustRightInd w:val="0"/>
              <w:snapToGrid w:val="0"/>
              <w:spacing w:line="360" w:lineRule="auto"/>
              <w:ind w:firstLine="480" w:firstLineChars="200"/>
              <w:jc w:val="left"/>
              <w:rPr>
                <w:sz w:val="24"/>
              </w:rPr>
            </w:pPr>
            <w:r>
              <w:rPr>
                <w:rFonts w:hint="eastAsia"/>
                <w:sz w:val="24"/>
              </w:rPr>
              <w:t>本项目西侧</w:t>
            </w:r>
            <w:r>
              <w:rPr>
                <w:sz w:val="24"/>
              </w:rPr>
              <w:t>50m</w:t>
            </w:r>
            <w:r>
              <w:rPr>
                <w:rFonts w:hint="eastAsia"/>
                <w:sz w:val="24"/>
              </w:rPr>
              <w:t>处为新河。根据公报数据，新河水质良好。</w:t>
            </w:r>
          </w:p>
          <w:p>
            <w:pPr>
              <w:adjustRightInd w:val="0"/>
              <w:snapToGrid w:val="0"/>
              <w:spacing w:line="360" w:lineRule="auto"/>
              <w:rPr>
                <w:b/>
                <w:bCs/>
                <w:sz w:val="24"/>
              </w:rPr>
            </w:pPr>
            <w:r>
              <w:rPr>
                <w:b/>
                <w:bCs/>
                <w:sz w:val="24"/>
              </w:rPr>
              <w:t>4</w:t>
            </w:r>
            <w:r>
              <w:rPr>
                <w:rFonts w:hint="eastAsia"/>
                <w:b/>
                <w:bCs/>
                <w:sz w:val="24"/>
              </w:rPr>
              <w:t>、地下水、土壤环境</w:t>
            </w:r>
          </w:p>
          <w:p>
            <w:pPr>
              <w:adjustRightInd w:val="0"/>
              <w:snapToGrid w:val="0"/>
              <w:spacing w:line="360" w:lineRule="auto"/>
              <w:ind w:firstLine="480" w:firstLineChars="200"/>
              <w:jc w:val="left"/>
              <w:rPr>
                <w:sz w:val="24"/>
              </w:rPr>
            </w:pPr>
            <w:r>
              <w:rPr>
                <w:rFonts w:hint="eastAsia" w:ascii="宋体" w:hAnsi="宋体"/>
                <w:sz w:val="24"/>
              </w:rPr>
              <w:t>根据《建设项目环境影响报告表编制技术指南》（污染影响类）中原则上不开展环境质量现状调查。本项目大气无土壤污染因子，危废暂存间按要求采取防渗措施，不存在土壤、地下水污染途径，因此本项目不进行地下水环境质量现状调查，不进行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kern w:val="0"/>
                <w:sz w:val="24"/>
              </w:rPr>
            </w:pPr>
            <w:r>
              <w:rPr>
                <w:rFonts w:hint="eastAsia"/>
                <w:kern w:val="0"/>
                <w:sz w:val="24"/>
              </w:rPr>
              <w:t>环境</w:t>
            </w:r>
          </w:p>
          <w:p>
            <w:pPr>
              <w:adjustRightInd w:val="0"/>
              <w:snapToGrid w:val="0"/>
              <w:jc w:val="center"/>
              <w:rPr>
                <w:kern w:val="0"/>
                <w:sz w:val="24"/>
              </w:rPr>
            </w:pPr>
            <w:r>
              <w:rPr>
                <w:rFonts w:hint="eastAsia"/>
                <w:kern w:val="0"/>
                <w:sz w:val="24"/>
              </w:rPr>
              <w:t>保护</w:t>
            </w:r>
          </w:p>
          <w:p>
            <w:pPr>
              <w:adjustRightInd w:val="0"/>
              <w:snapToGrid w:val="0"/>
              <w:jc w:val="center"/>
              <w:rPr>
                <w:kern w:val="0"/>
                <w:sz w:val="24"/>
              </w:rPr>
            </w:pPr>
            <w:r>
              <w:rPr>
                <w:rFonts w:hint="eastAsia"/>
                <w:kern w:val="0"/>
                <w:sz w:val="24"/>
              </w:rPr>
              <w:t>目标</w:t>
            </w:r>
          </w:p>
        </w:tc>
        <w:tc>
          <w:tcPr>
            <w:tcW w:w="8190" w:type="dxa"/>
            <w:vAlign w:val="center"/>
          </w:tcPr>
          <w:p>
            <w:pPr>
              <w:adjustRightInd w:val="0"/>
              <w:snapToGrid w:val="0"/>
              <w:spacing w:beforeLines="50" w:line="360" w:lineRule="auto"/>
              <w:ind w:firstLine="480" w:firstLineChars="200"/>
              <w:rPr>
                <w:sz w:val="24"/>
              </w:rPr>
            </w:pPr>
            <w:r>
              <w:rPr>
                <w:rFonts w:hint="eastAsia"/>
                <w:sz w:val="24"/>
              </w:rPr>
              <w:t>根据现场调查，本项目位于西安市鄠邑区沣京工业园谭滨路北段，项目评价区域附近无自然保护区、水源保护区、文化教育环境敏感区、珍稀动植物保护物种等。根据项目的所处地理位置、项目周围的环境关系和环境特征，确定与项目相关的主要环境保护目标。环境保护目标详细情况见表</w:t>
            </w:r>
            <w:r>
              <w:rPr>
                <w:sz w:val="24"/>
              </w:rPr>
              <w:t>3-3</w:t>
            </w:r>
            <w:r>
              <w:rPr>
                <w:rFonts w:hint="eastAsia"/>
                <w:sz w:val="24"/>
              </w:rPr>
              <w:t>。</w:t>
            </w:r>
          </w:p>
          <w:p>
            <w:pPr>
              <w:adjustRightInd w:val="0"/>
              <w:snapToGrid w:val="0"/>
              <w:ind w:firstLine="422" w:firstLineChars="200"/>
              <w:jc w:val="center"/>
              <w:rPr>
                <w:b/>
                <w:bCs/>
                <w:szCs w:val="21"/>
              </w:rPr>
            </w:pPr>
            <w:r>
              <w:rPr>
                <w:rFonts w:hint="eastAsia"/>
                <w:b/>
                <w:bCs/>
                <w:szCs w:val="21"/>
              </w:rPr>
              <w:t>表</w:t>
            </w:r>
            <w:r>
              <w:rPr>
                <w:b/>
                <w:bCs/>
                <w:szCs w:val="21"/>
              </w:rPr>
              <w:t xml:space="preserve">3-3  </w:t>
            </w:r>
            <w:r>
              <w:rPr>
                <w:rFonts w:hint="eastAsia"/>
                <w:b/>
                <w:bCs/>
                <w:szCs w:val="21"/>
              </w:rPr>
              <w:t>项目环境保护目标</w:t>
            </w:r>
          </w:p>
          <w:tbl>
            <w:tblPr>
              <w:tblStyle w:val="18"/>
              <w:tblW w:w="498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667"/>
              <w:gridCol w:w="1179"/>
              <w:gridCol w:w="1104"/>
              <w:gridCol w:w="1174"/>
              <w:gridCol w:w="938"/>
              <w:gridCol w:w="590"/>
              <w:gridCol w:w="702"/>
              <w:gridCol w:w="15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trPr>
              <w:tc>
                <w:tcPr>
                  <w:tcW w:w="420" w:type="pct"/>
                  <w:vMerge w:val="restar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pPr>
                  <w:r>
                    <w:rPr>
                      <w:rFonts w:hint="eastAsia"/>
                    </w:rPr>
                    <w:t>环境要素</w:t>
                  </w:r>
                </w:p>
              </w:tc>
              <w:tc>
                <w:tcPr>
                  <w:tcW w:w="1439" w:type="pct"/>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坐标（</w:t>
                  </w:r>
                  <w:r>
                    <w:t>°</w:t>
                  </w:r>
                  <w:r>
                    <w:rPr>
                      <w:rFonts w:hint="eastAsia"/>
                    </w:rPr>
                    <w:t>）</w:t>
                  </w:r>
                </w:p>
              </w:tc>
              <w:tc>
                <w:tcPr>
                  <w:tcW w:w="741"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保护对象</w:t>
                  </w:r>
                </w:p>
              </w:tc>
              <w:tc>
                <w:tcPr>
                  <w:tcW w:w="592"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保护</w:t>
                  </w:r>
                </w:p>
                <w:p>
                  <w:pPr>
                    <w:adjustRightInd w:val="0"/>
                    <w:snapToGrid w:val="0"/>
                    <w:jc w:val="center"/>
                  </w:pPr>
                  <w:r>
                    <w:rPr>
                      <w:rFonts w:hint="eastAsia"/>
                    </w:rPr>
                    <w:t>内容（人）</w:t>
                  </w:r>
                </w:p>
              </w:tc>
              <w:tc>
                <w:tcPr>
                  <w:tcW w:w="372"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相对场址方位</w:t>
                  </w:r>
                </w:p>
              </w:tc>
              <w:tc>
                <w:tcPr>
                  <w:tcW w:w="441"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相对距离（</w:t>
                  </w:r>
                  <w:r>
                    <w:t>m</w:t>
                  </w:r>
                  <w:r>
                    <w:rPr>
                      <w:rFonts w:hint="eastAsia"/>
                    </w:rPr>
                    <w:t>）</w:t>
                  </w:r>
                </w:p>
              </w:tc>
              <w:tc>
                <w:tcPr>
                  <w:tcW w:w="991" w:type="pct"/>
                  <w:vMerge w:val="restart"/>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pPr>
                  <w:r>
                    <w:rPr>
                      <w:rFonts w:hint="eastAsia"/>
                    </w:rPr>
                    <w:t>保护要求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trPr>
              <w:tc>
                <w:tcPr>
                  <w:tcW w:w="420" w:type="pct"/>
                  <w:vMerge w:val="continue"/>
                  <w:tcBorders>
                    <w:top w:val="single" w:color="auto" w:sz="6" w:space="0"/>
                    <w:left w:val="single" w:color="auto" w:sz="12" w:space="0"/>
                    <w:bottom w:val="single" w:color="auto" w:sz="6" w:space="0"/>
                    <w:right w:val="single" w:color="auto" w:sz="6" w:space="0"/>
                  </w:tcBorders>
                  <w:vAlign w:val="center"/>
                </w:tcPr>
                <w:p>
                  <w:pPr>
                    <w:adjustRightInd w:val="0"/>
                    <w:snapToGrid w:val="0"/>
                    <w:jc w:val="center"/>
                  </w:pPr>
                </w:p>
              </w:tc>
              <w:tc>
                <w:tcPr>
                  <w:tcW w:w="74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X</w:t>
                  </w:r>
                </w:p>
              </w:tc>
              <w:tc>
                <w:tcPr>
                  <w:tcW w:w="69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Y</w:t>
                  </w:r>
                </w:p>
              </w:tc>
              <w:tc>
                <w:tcPr>
                  <w:tcW w:w="74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p>
              </w:tc>
              <w:tc>
                <w:tcPr>
                  <w:tcW w:w="59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p>
              </w:tc>
              <w:tc>
                <w:tcPr>
                  <w:tcW w:w="372"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p>
              </w:tc>
              <w:tc>
                <w:tcPr>
                  <w:tcW w:w="441" w:type="pct"/>
                  <w:vMerge w:val="continue"/>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p>
              </w:tc>
              <w:tc>
                <w:tcPr>
                  <w:tcW w:w="991" w:type="pct"/>
                  <w:vMerge w:val="continue"/>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89" w:hRule="atLeast"/>
              </w:trPr>
              <w:tc>
                <w:tcPr>
                  <w:tcW w:w="420" w:type="pct"/>
                  <w:tcBorders>
                    <w:top w:val="single" w:color="auto" w:sz="6" w:space="0"/>
                    <w:left w:val="single" w:color="auto" w:sz="12" w:space="0"/>
                    <w:bottom w:val="single" w:color="auto" w:sz="6" w:space="0"/>
                    <w:right w:val="single" w:color="auto" w:sz="6" w:space="0"/>
                  </w:tcBorders>
                  <w:vAlign w:val="center"/>
                </w:tcPr>
                <w:p>
                  <w:pPr>
                    <w:adjustRightInd w:val="0"/>
                    <w:snapToGrid w:val="0"/>
                    <w:jc w:val="center"/>
                  </w:pPr>
                  <w:r>
                    <w:rPr>
                      <w:rFonts w:hint="eastAsia"/>
                    </w:rPr>
                    <w:t>环境空气</w:t>
                  </w:r>
                </w:p>
              </w:tc>
              <w:tc>
                <w:tcPr>
                  <w:tcW w:w="743"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108.64872</w:t>
                  </w:r>
                </w:p>
              </w:tc>
              <w:tc>
                <w:tcPr>
                  <w:tcW w:w="69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34.118158</w:t>
                  </w:r>
                </w:p>
              </w:tc>
              <w:tc>
                <w:tcPr>
                  <w:tcW w:w="74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东滩</w:t>
                  </w:r>
                </w:p>
              </w:tc>
              <w:tc>
                <w:tcPr>
                  <w:tcW w:w="59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1600</w:t>
                  </w:r>
                </w:p>
              </w:tc>
              <w:tc>
                <w:tcPr>
                  <w:tcW w:w="37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W</w:t>
                  </w:r>
                </w:p>
              </w:tc>
              <w:tc>
                <w:tcPr>
                  <w:tcW w:w="441"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360</w:t>
                  </w:r>
                </w:p>
              </w:tc>
              <w:tc>
                <w:tcPr>
                  <w:tcW w:w="991"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rPr>
                      <w:rFonts w:hint="eastAsia"/>
                    </w:rPr>
                    <w:t>《环境空气质量标准》</w:t>
                  </w:r>
                  <w:r>
                    <w:t>GB3095</w:t>
                  </w:r>
                </w:p>
                <w:p>
                  <w:pPr>
                    <w:adjustRightInd w:val="0"/>
                    <w:snapToGrid w:val="0"/>
                    <w:jc w:val="center"/>
                  </w:pPr>
                  <w:r>
                    <w:t>-2012</w:t>
                  </w:r>
                  <w:r>
                    <w:rPr>
                      <w:rFonts w:hint="eastAsia"/>
                    </w:rPr>
                    <w:t>二级标准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trPr>
              <w:tc>
                <w:tcPr>
                  <w:tcW w:w="420" w:type="pct"/>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r>
                    <w:rPr>
                      <w:rFonts w:hint="eastAsia"/>
                      <w:szCs w:val="21"/>
                    </w:rPr>
                    <w:t>声环境</w:t>
                  </w:r>
                </w:p>
              </w:tc>
              <w:tc>
                <w:tcPr>
                  <w:tcW w:w="3587" w:type="pct"/>
                  <w:gridSpan w:val="6"/>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项目地</w:t>
                  </w:r>
                  <w:r>
                    <w:rPr>
                      <w:szCs w:val="21"/>
                    </w:rPr>
                    <w:t>50m</w:t>
                  </w:r>
                  <w:r>
                    <w:rPr>
                      <w:rFonts w:hint="eastAsia"/>
                      <w:szCs w:val="21"/>
                    </w:rPr>
                    <w:t>范围内无机关、学校、小区、医院等环境空气环境敏感目标。</w:t>
                  </w:r>
                </w:p>
              </w:tc>
              <w:tc>
                <w:tcPr>
                  <w:tcW w:w="991" w:type="pct"/>
                  <w:tcBorders>
                    <w:top w:val="single" w:color="auto" w:sz="6" w:space="0"/>
                    <w:left w:val="single" w:color="auto" w:sz="6" w:space="0"/>
                    <w:bottom w:val="single" w:color="auto" w:sz="6" w:space="0"/>
                    <w:right w:val="single" w:color="auto" w:sz="12" w:space="0"/>
                  </w:tcBorders>
                  <w:vAlign w:val="center"/>
                </w:tcPr>
                <w:p>
                  <w:pPr>
                    <w:tabs>
                      <w:tab w:val="left" w:pos="8013"/>
                    </w:tabs>
                    <w:adjustRightInd w:val="0"/>
                    <w:snapToGrid w:val="0"/>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trPr>
              <w:tc>
                <w:tcPr>
                  <w:tcW w:w="420" w:type="pct"/>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r>
                    <w:rPr>
                      <w:rFonts w:hint="eastAsia"/>
                      <w:szCs w:val="21"/>
                    </w:rPr>
                    <w:t>生态环境</w:t>
                  </w:r>
                </w:p>
              </w:tc>
              <w:tc>
                <w:tcPr>
                  <w:tcW w:w="3587" w:type="pct"/>
                  <w:gridSpan w:val="6"/>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项目地</w:t>
                  </w:r>
                  <w:r>
                    <w:rPr>
                      <w:szCs w:val="21"/>
                    </w:rPr>
                    <w:t>500m</w:t>
                  </w:r>
                  <w:r>
                    <w:rPr>
                      <w:rFonts w:hint="eastAsia"/>
                      <w:szCs w:val="21"/>
                    </w:rPr>
                    <w:t>范围内无无自然保护区、珍稀动植物保护物种等环境空气环境敏感目标。</w:t>
                  </w:r>
                </w:p>
              </w:tc>
              <w:tc>
                <w:tcPr>
                  <w:tcW w:w="991" w:type="pct"/>
                  <w:tcBorders>
                    <w:top w:val="single" w:color="auto" w:sz="6" w:space="0"/>
                    <w:left w:val="single" w:color="auto" w:sz="6" w:space="0"/>
                    <w:bottom w:val="single" w:color="auto" w:sz="6" w:space="0"/>
                    <w:right w:val="single" w:color="auto" w:sz="12" w:space="0"/>
                  </w:tcBorders>
                  <w:vAlign w:val="center"/>
                </w:tcPr>
                <w:p>
                  <w:pPr>
                    <w:tabs>
                      <w:tab w:val="left" w:pos="8013"/>
                    </w:tabs>
                    <w:adjustRightInd w:val="0"/>
                    <w:snapToGrid w:val="0"/>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trPr>
              <w:tc>
                <w:tcPr>
                  <w:tcW w:w="420" w:type="pct"/>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szCs w:val="21"/>
                    </w:rPr>
                  </w:pPr>
                  <w:r>
                    <w:rPr>
                      <w:rFonts w:hint="eastAsia"/>
                      <w:szCs w:val="21"/>
                    </w:rPr>
                    <w:t>地下水</w:t>
                  </w:r>
                </w:p>
              </w:tc>
              <w:tc>
                <w:tcPr>
                  <w:tcW w:w="3587" w:type="pct"/>
                  <w:gridSpan w:val="6"/>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szCs w:val="21"/>
                    </w:rPr>
                  </w:pPr>
                  <w:r>
                    <w:rPr>
                      <w:rFonts w:hint="eastAsia"/>
                      <w:szCs w:val="21"/>
                    </w:rPr>
                    <w:t>项目地</w:t>
                  </w:r>
                  <w:r>
                    <w:rPr>
                      <w:szCs w:val="21"/>
                    </w:rPr>
                    <w:t>100m</w:t>
                  </w:r>
                  <w:r>
                    <w:rPr>
                      <w:rFonts w:hint="eastAsia"/>
                      <w:szCs w:val="21"/>
                    </w:rPr>
                    <w:t>范围内无水源保护区、集中式水源地及分散式水水源地等环境敏感目标。</w:t>
                  </w:r>
                </w:p>
              </w:tc>
              <w:tc>
                <w:tcPr>
                  <w:tcW w:w="991" w:type="pct"/>
                  <w:tcBorders>
                    <w:top w:val="single" w:color="auto" w:sz="6" w:space="0"/>
                    <w:left w:val="single" w:color="auto" w:sz="6" w:space="0"/>
                    <w:bottom w:val="single" w:color="auto" w:sz="6" w:space="0"/>
                    <w:right w:val="single" w:color="auto" w:sz="12" w:space="0"/>
                  </w:tcBorders>
                  <w:vAlign w:val="center"/>
                </w:tcPr>
                <w:p>
                  <w:pPr>
                    <w:tabs>
                      <w:tab w:val="left" w:pos="8013"/>
                    </w:tabs>
                    <w:adjustRightInd w:val="0"/>
                    <w:snapToGrid w:val="0"/>
                    <w:jc w:val="center"/>
                  </w:pPr>
                  <w: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8" w:hRule="atLeast"/>
              </w:trPr>
              <w:tc>
                <w:tcPr>
                  <w:tcW w:w="420" w:type="pct"/>
                  <w:tcBorders>
                    <w:top w:val="single" w:color="auto" w:sz="6" w:space="0"/>
                    <w:left w:val="single" w:color="auto" w:sz="12" w:space="0"/>
                    <w:bottom w:val="single" w:color="auto" w:sz="12" w:space="0"/>
                    <w:right w:val="single" w:color="auto" w:sz="6" w:space="0"/>
                  </w:tcBorders>
                  <w:vAlign w:val="center"/>
                </w:tcPr>
                <w:p>
                  <w:pPr>
                    <w:adjustRightInd w:val="0"/>
                    <w:snapToGrid w:val="0"/>
                    <w:jc w:val="center"/>
                    <w:rPr>
                      <w:szCs w:val="21"/>
                    </w:rPr>
                  </w:pPr>
                  <w:r>
                    <w:rPr>
                      <w:rFonts w:hint="eastAsia"/>
                      <w:szCs w:val="21"/>
                    </w:rPr>
                    <w:t>土壤</w:t>
                  </w:r>
                </w:p>
              </w:tc>
              <w:tc>
                <w:tcPr>
                  <w:tcW w:w="3587" w:type="pct"/>
                  <w:gridSpan w:val="6"/>
                  <w:tcBorders>
                    <w:top w:val="single" w:color="auto" w:sz="6" w:space="0"/>
                    <w:left w:val="single" w:color="auto" w:sz="6" w:space="0"/>
                    <w:bottom w:val="single" w:color="auto" w:sz="12" w:space="0"/>
                    <w:right w:val="single" w:color="auto" w:sz="6" w:space="0"/>
                  </w:tcBorders>
                  <w:vAlign w:val="center"/>
                </w:tcPr>
                <w:p>
                  <w:pPr>
                    <w:adjustRightInd w:val="0"/>
                    <w:snapToGrid w:val="0"/>
                    <w:jc w:val="center"/>
                    <w:rPr>
                      <w:szCs w:val="21"/>
                    </w:rPr>
                  </w:pPr>
                  <w:r>
                    <w:rPr>
                      <w:rFonts w:hint="eastAsia"/>
                      <w:szCs w:val="21"/>
                    </w:rPr>
                    <w:t>项目地为工业用地，项目地</w:t>
                  </w:r>
                  <w:r>
                    <w:rPr>
                      <w:szCs w:val="21"/>
                    </w:rPr>
                    <w:t>50m</w:t>
                  </w:r>
                  <w:r>
                    <w:rPr>
                      <w:rFonts w:hint="eastAsia"/>
                      <w:szCs w:val="21"/>
                    </w:rPr>
                    <w:t>范围内无其他土壤敏感目标。</w:t>
                  </w:r>
                </w:p>
              </w:tc>
              <w:tc>
                <w:tcPr>
                  <w:tcW w:w="991" w:type="pct"/>
                  <w:tcBorders>
                    <w:top w:val="single" w:color="auto" w:sz="6" w:space="0"/>
                    <w:left w:val="single" w:color="auto" w:sz="6" w:space="0"/>
                    <w:bottom w:val="single" w:color="auto" w:sz="12" w:space="0"/>
                    <w:right w:val="single" w:color="auto" w:sz="12" w:space="0"/>
                  </w:tcBorders>
                  <w:vAlign w:val="center"/>
                </w:tcPr>
                <w:p>
                  <w:pPr>
                    <w:tabs>
                      <w:tab w:val="left" w:pos="8013"/>
                    </w:tabs>
                    <w:adjustRightInd w:val="0"/>
                    <w:snapToGrid w:val="0"/>
                    <w:jc w:val="center"/>
                  </w:pPr>
                  <w:r>
                    <w:t>/</w:t>
                  </w:r>
                </w:p>
              </w:tc>
            </w:tr>
          </w:tbl>
          <w:p>
            <w:pPr>
              <w:adjustRightInd w:val="0"/>
              <w:snapToGrid w:val="0"/>
              <w:spacing w:line="360" w:lineRule="auto"/>
              <w:jc w:val="left"/>
              <w:rPr>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pPr>
              <w:adjustRightInd w:val="0"/>
              <w:snapToGrid w:val="0"/>
              <w:jc w:val="center"/>
              <w:rPr>
                <w:kern w:val="0"/>
                <w:sz w:val="24"/>
              </w:rPr>
            </w:pPr>
            <w:r>
              <w:rPr>
                <w:rFonts w:hint="eastAsia"/>
                <w:kern w:val="0"/>
                <w:sz w:val="24"/>
              </w:rPr>
              <w:t>污染</w:t>
            </w:r>
          </w:p>
          <w:p>
            <w:pPr>
              <w:adjustRightInd w:val="0"/>
              <w:snapToGrid w:val="0"/>
              <w:jc w:val="center"/>
              <w:rPr>
                <w:kern w:val="0"/>
                <w:sz w:val="24"/>
              </w:rPr>
            </w:pPr>
            <w:r>
              <w:rPr>
                <w:rFonts w:hint="eastAsia"/>
                <w:kern w:val="0"/>
                <w:sz w:val="24"/>
              </w:rPr>
              <w:t>物排</w:t>
            </w:r>
          </w:p>
          <w:p>
            <w:pPr>
              <w:adjustRightInd w:val="0"/>
              <w:snapToGrid w:val="0"/>
              <w:jc w:val="center"/>
              <w:rPr>
                <w:kern w:val="0"/>
                <w:sz w:val="24"/>
              </w:rPr>
            </w:pPr>
            <w:r>
              <w:rPr>
                <w:rFonts w:hint="eastAsia"/>
                <w:kern w:val="0"/>
                <w:sz w:val="24"/>
              </w:rPr>
              <w:t>放控</w:t>
            </w:r>
          </w:p>
          <w:p>
            <w:pPr>
              <w:adjustRightInd w:val="0"/>
              <w:snapToGrid w:val="0"/>
              <w:jc w:val="center"/>
              <w:rPr>
                <w:kern w:val="0"/>
                <w:sz w:val="24"/>
              </w:rPr>
            </w:pPr>
            <w:r>
              <w:rPr>
                <w:rFonts w:hint="eastAsia"/>
                <w:kern w:val="0"/>
                <w:sz w:val="24"/>
              </w:rPr>
              <w:t>制标</w:t>
            </w:r>
          </w:p>
          <w:p>
            <w:pPr>
              <w:adjustRightInd w:val="0"/>
              <w:snapToGrid w:val="0"/>
              <w:jc w:val="center"/>
              <w:rPr>
                <w:kern w:val="0"/>
                <w:sz w:val="24"/>
              </w:rPr>
            </w:pPr>
            <w:r>
              <w:rPr>
                <w:rFonts w:hint="eastAsia"/>
                <w:kern w:val="0"/>
                <w:sz w:val="24"/>
              </w:rPr>
              <w:t>准</w:t>
            </w:r>
          </w:p>
        </w:tc>
        <w:tc>
          <w:tcPr>
            <w:tcW w:w="8190" w:type="dxa"/>
            <w:vAlign w:val="center"/>
          </w:tcPr>
          <w:p>
            <w:pPr>
              <w:adjustRightInd w:val="0"/>
              <w:snapToGrid w:val="0"/>
              <w:spacing w:line="360" w:lineRule="auto"/>
              <w:ind w:firstLine="480" w:firstLineChars="200"/>
              <w:jc w:val="left"/>
              <w:rPr>
                <w:bCs/>
                <w:sz w:val="24"/>
              </w:rPr>
            </w:pPr>
            <w:r>
              <w:rPr>
                <w:bCs/>
                <w:sz w:val="24"/>
              </w:rPr>
              <w:t>1</w:t>
            </w:r>
            <w:r>
              <w:rPr>
                <w:rFonts w:hint="eastAsia"/>
                <w:bCs/>
                <w:sz w:val="24"/>
              </w:rPr>
              <w:t>、大气污染物非甲烷总烃有组织排放执行《合成树脂工业污染物排放标准》（</w:t>
            </w:r>
            <w:r>
              <w:rPr>
                <w:bCs/>
                <w:sz w:val="24"/>
              </w:rPr>
              <w:t>GB31572-2015</w:t>
            </w:r>
            <w:r>
              <w:rPr>
                <w:rFonts w:hint="eastAsia"/>
                <w:bCs/>
                <w:sz w:val="24"/>
              </w:rPr>
              <w:t>）表</w:t>
            </w:r>
            <w:r>
              <w:rPr>
                <w:bCs/>
                <w:sz w:val="24"/>
              </w:rPr>
              <w:t>5</w:t>
            </w:r>
            <w:r>
              <w:rPr>
                <w:rFonts w:hint="eastAsia"/>
                <w:bCs/>
                <w:sz w:val="24"/>
              </w:rPr>
              <w:t>中的有关标准限值，项目非甲烷总烃、吸音棉开松梳理工序颗粒物排放执行《合成树脂工业污染物排放标准》（</w:t>
            </w:r>
            <w:r>
              <w:rPr>
                <w:bCs/>
                <w:sz w:val="24"/>
              </w:rPr>
              <w:t>GB31572-2015</w:t>
            </w:r>
            <w:r>
              <w:rPr>
                <w:rFonts w:hint="eastAsia"/>
                <w:bCs/>
                <w:sz w:val="24"/>
              </w:rPr>
              <w:t>）表</w:t>
            </w:r>
            <w:r>
              <w:rPr>
                <w:bCs/>
                <w:sz w:val="24"/>
              </w:rPr>
              <w:t>9</w:t>
            </w:r>
            <w:r>
              <w:rPr>
                <w:rFonts w:hint="eastAsia"/>
                <w:bCs/>
                <w:sz w:val="24"/>
              </w:rPr>
              <w:t>中有关标准，厂房外监控点非甲烷总烃执行《挥发性有机物无组织排放控制标准》（</w:t>
            </w:r>
            <w:r>
              <w:rPr>
                <w:bCs/>
                <w:sz w:val="24"/>
              </w:rPr>
              <w:t>GB37822-2019</w:t>
            </w:r>
            <w:r>
              <w:rPr>
                <w:rFonts w:hint="eastAsia"/>
                <w:bCs/>
                <w:sz w:val="24"/>
              </w:rPr>
              <w:t>）表</w:t>
            </w:r>
            <w:r>
              <w:rPr>
                <w:bCs/>
                <w:sz w:val="24"/>
              </w:rPr>
              <w:t>A.1</w:t>
            </w:r>
            <w:r>
              <w:rPr>
                <w:rFonts w:hint="eastAsia"/>
                <w:bCs/>
                <w:sz w:val="24"/>
              </w:rPr>
              <w:t>中厂区内非甲烷总烃无组织特别排放限值；</w:t>
            </w:r>
            <w:r>
              <w:rPr>
                <w:rFonts w:hint="eastAsia"/>
                <w:sz w:val="24"/>
              </w:rPr>
              <w:t>天然气燃烧废气执行《工业炉窑大气污染综合治理方案》（环大气〔</w:t>
            </w:r>
            <w:r>
              <w:rPr>
                <w:sz w:val="24"/>
              </w:rPr>
              <w:t>2019</w:t>
            </w:r>
            <w:r>
              <w:rPr>
                <w:rFonts w:hint="eastAsia"/>
                <w:sz w:val="24"/>
              </w:rPr>
              <w:t>〕</w:t>
            </w:r>
            <w:r>
              <w:rPr>
                <w:sz w:val="24"/>
              </w:rPr>
              <w:t>56</w:t>
            </w:r>
            <w:r>
              <w:rPr>
                <w:rFonts w:hint="eastAsia"/>
                <w:sz w:val="24"/>
              </w:rPr>
              <w:t>号）中重点区域工业炉窑排放标准；</w:t>
            </w:r>
          </w:p>
          <w:p>
            <w:pPr>
              <w:ind w:firstLine="482"/>
              <w:jc w:val="center"/>
              <w:rPr>
                <w:b/>
                <w:szCs w:val="21"/>
              </w:rPr>
            </w:pPr>
            <w:r>
              <w:rPr>
                <w:rFonts w:hint="eastAsia"/>
                <w:b/>
                <w:szCs w:val="21"/>
              </w:rPr>
              <w:t>表</w:t>
            </w:r>
            <w:r>
              <w:rPr>
                <w:b/>
                <w:szCs w:val="21"/>
              </w:rPr>
              <w:t>3-4</w:t>
            </w:r>
            <w:r>
              <w:rPr>
                <w:rFonts w:hint="eastAsia"/>
                <w:b/>
                <w:szCs w:val="21"/>
              </w:rPr>
              <w:t>大气污染物执行标准</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9"/>
              <w:gridCol w:w="1280"/>
              <w:gridCol w:w="1849"/>
              <w:gridCol w:w="2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522" w:type="pct"/>
                  <w:vMerge w:val="restar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pPr>
                  <w:r>
                    <w:rPr>
                      <w:rFonts w:hint="eastAsia"/>
                    </w:rPr>
                    <w:t>标准名称</w:t>
                  </w:r>
                </w:p>
              </w:tc>
              <w:tc>
                <w:tcPr>
                  <w:tcW w:w="806" w:type="pct"/>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rPr>
                      <w:rFonts w:hint="eastAsia"/>
                    </w:rPr>
                    <w:t>污染物名称</w:t>
                  </w:r>
                </w:p>
              </w:tc>
              <w:tc>
                <w:tcPr>
                  <w:tcW w:w="1164" w:type="pct"/>
                  <w:vMerge w:val="restart"/>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rPr>
                      <w:rFonts w:hint="eastAsia"/>
                    </w:rPr>
                    <w:t>最高允许排放浓度</w:t>
                  </w:r>
                  <w:r>
                    <w:t>mg/m</w:t>
                  </w:r>
                  <w:r>
                    <w:rPr>
                      <w:vertAlign w:val="superscript"/>
                    </w:rPr>
                    <w:t>3</w:t>
                  </w:r>
                </w:p>
              </w:tc>
              <w:tc>
                <w:tcPr>
                  <w:tcW w:w="1506" w:type="pct"/>
                  <w:vMerge w:val="restar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pPr>
                  <w:r>
                    <w:rPr>
                      <w:rFonts w:hint="eastAsia"/>
                    </w:rPr>
                    <w:t>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52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p>
              </w:tc>
              <w:tc>
                <w:tcPr>
                  <w:tcW w:w="1164"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p>
              </w:tc>
              <w:tc>
                <w:tcPr>
                  <w:tcW w:w="1506" w:type="pct"/>
                  <w:vMerge w:val="continue"/>
                  <w:tcBorders>
                    <w:top w:val="single" w:color="auto" w:sz="4" w:space="0"/>
                    <w:left w:val="single" w:color="auto" w:sz="4" w:space="0"/>
                    <w:bottom w:val="single" w:color="auto" w:sz="4" w:space="0"/>
                    <w:right w:val="single" w:color="auto" w:sz="12" w:space="0"/>
                  </w:tcBorders>
                  <w:vAlign w:val="center"/>
                </w:tcPr>
                <w:p>
                  <w:pPr>
                    <w:adjustRightInd w:val="0"/>
                    <w:snapToGrid w:val="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522"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r>
                    <w:rPr>
                      <w:rFonts w:hint="eastAsia"/>
                      <w:bCs/>
                      <w:szCs w:val="21"/>
                    </w:rPr>
                    <w:t>《合成树脂工业污染物排放标准》（</w:t>
                  </w:r>
                  <w:r>
                    <w:rPr>
                      <w:bCs/>
                      <w:szCs w:val="21"/>
                    </w:rPr>
                    <w:t>GB31572-2015</w:t>
                  </w:r>
                  <w:r>
                    <w:rPr>
                      <w:rFonts w:hint="eastAsia"/>
                      <w:bCs/>
                      <w:szCs w:val="21"/>
                    </w:rPr>
                    <w:t>）</w:t>
                  </w:r>
                </w:p>
              </w:tc>
              <w:tc>
                <w:tcPr>
                  <w:tcW w:w="806"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rPr>
                      <w:rFonts w:hint="eastAsia"/>
                    </w:rPr>
                    <w:t>非甲烷总烃</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t>60</w:t>
                  </w:r>
                </w:p>
              </w:tc>
              <w:tc>
                <w:tcPr>
                  <w:tcW w:w="1506"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pPr>
                  <w:r>
                    <w:rPr>
                      <w:rFonts w:hint="eastAsia"/>
                    </w:rPr>
                    <w:t>车间或生产设施排气筒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52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t>4.0</w:t>
                  </w:r>
                </w:p>
              </w:tc>
              <w:tc>
                <w:tcPr>
                  <w:tcW w:w="1506"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pPr>
                  <w:r>
                    <w:rPr>
                      <w:rFonts w:hint="eastAsia"/>
                    </w:rPr>
                    <w:t>企业边界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522"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r>
                    <w:rPr>
                      <w:rFonts w:hint="eastAsia"/>
                      <w:bCs/>
                      <w:szCs w:val="21"/>
                    </w:rPr>
                    <w:t>《挥发性有机物无组织排放控制标准》（</w:t>
                  </w:r>
                  <w:r>
                    <w:rPr>
                      <w:bCs/>
                      <w:szCs w:val="21"/>
                    </w:rPr>
                    <w:t>GB37822-2019</w:t>
                  </w:r>
                  <w:r>
                    <w:rPr>
                      <w:rFonts w:hint="eastAsia"/>
                      <w:bCs/>
                      <w:szCs w:val="21"/>
                    </w:rPr>
                    <w:t>）</w:t>
                  </w: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t>6.0</w:t>
                  </w:r>
                </w:p>
              </w:tc>
              <w:tc>
                <w:tcPr>
                  <w:tcW w:w="1506"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pPr>
                  <w:r>
                    <w:rPr>
                      <w:rFonts w:hint="eastAsia"/>
                    </w:rPr>
                    <w:t>厂房外监控点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522"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Cs w:val="21"/>
                    </w:rPr>
                  </w:pPr>
                  <w:r>
                    <w:rPr>
                      <w:rFonts w:hint="eastAsia"/>
                      <w:bCs/>
                      <w:szCs w:val="21"/>
                    </w:rPr>
                    <w:t>《合成树脂工业污染物排放标准》（</w:t>
                  </w:r>
                  <w:r>
                    <w:rPr>
                      <w:bCs/>
                      <w:szCs w:val="21"/>
                    </w:rPr>
                    <w:t>GB31572-2015</w:t>
                  </w:r>
                  <w:r>
                    <w:rPr>
                      <w:rFonts w:hint="eastAsia"/>
                      <w:bCs/>
                      <w:szCs w:val="21"/>
                    </w:rPr>
                    <w:t>）</w:t>
                  </w:r>
                </w:p>
              </w:tc>
              <w:tc>
                <w:tcPr>
                  <w:tcW w:w="806" w:type="pct"/>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rPr>
                      <w:rFonts w:hint="eastAsia"/>
                    </w:rPr>
                    <w:t>颗粒物</w:t>
                  </w:r>
                </w:p>
              </w:tc>
              <w:tc>
                <w:tcPr>
                  <w:tcW w:w="11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jc w:val="center"/>
                  </w:pPr>
                  <w:r>
                    <w:t>1.0</w:t>
                  </w:r>
                </w:p>
              </w:tc>
              <w:tc>
                <w:tcPr>
                  <w:tcW w:w="1506"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pPr>
                  <w:r>
                    <w:rPr>
                      <w:rFonts w:hint="eastAsia"/>
                    </w:rPr>
                    <w:t>企业边界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52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p>
              </w:tc>
              <w:tc>
                <w:tcPr>
                  <w:tcW w:w="80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p>
              </w:tc>
              <w:tc>
                <w:tcPr>
                  <w:tcW w:w="116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t>20</w:t>
                  </w:r>
                </w:p>
              </w:tc>
              <w:tc>
                <w:tcPr>
                  <w:tcW w:w="1506"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pPr>
                  <w:r>
                    <w:rPr>
                      <w:rFonts w:hint="eastAsia"/>
                    </w:rPr>
                    <w:t>车间或生产设施排气筒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522" w:type="pct"/>
                  <w:vMerge w:val="restart"/>
                  <w:tcBorders>
                    <w:top w:val="single" w:color="auto" w:sz="4" w:space="0"/>
                    <w:left w:val="single" w:color="auto" w:sz="12" w:space="0"/>
                    <w:bottom w:val="single" w:color="auto" w:sz="4" w:space="0"/>
                    <w:right w:val="single" w:color="auto" w:sz="4" w:space="0"/>
                  </w:tcBorders>
                  <w:vAlign w:val="center"/>
                </w:tcPr>
                <w:p>
                  <w:pPr>
                    <w:widowControl/>
                    <w:spacing w:line="240" w:lineRule="atLeast"/>
                    <w:jc w:val="center"/>
                    <w:rPr>
                      <w:bCs/>
                      <w:szCs w:val="21"/>
                    </w:rPr>
                  </w:pPr>
                  <w:r>
                    <w:rPr>
                      <w:rFonts w:hint="eastAsia"/>
                      <w:szCs w:val="21"/>
                    </w:rPr>
                    <w:t>《工业炉窑大气污染综合治理方案》（环大气〔</w:t>
                  </w:r>
                  <w:r>
                    <w:rPr>
                      <w:szCs w:val="21"/>
                    </w:rPr>
                    <w:t>2019</w:t>
                  </w:r>
                  <w:r>
                    <w:rPr>
                      <w:rFonts w:hint="eastAsia"/>
                      <w:szCs w:val="21"/>
                    </w:rPr>
                    <w:t>〕</w:t>
                  </w:r>
                  <w:r>
                    <w:rPr>
                      <w:szCs w:val="21"/>
                    </w:rPr>
                    <w:t>56</w:t>
                  </w:r>
                  <w:r>
                    <w:rPr>
                      <w:rFonts w:hint="eastAsia"/>
                      <w:szCs w:val="21"/>
                    </w:rPr>
                    <w:t>号）中重点区域工业炉窑排放标准</w:t>
                  </w:r>
                </w:p>
              </w:tc>
              <w:tc>
                <w:tcPr>
                  <w:tcW w:w="80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rFonts w:hint="eastAsia"/>
                      <w:szCs w:val="21"/>
                    </w:rPr>
                    <w:t>颗粒物</w:t>
                  </w:r>
                </w:p>
              </w:tc>
              <w:tc>
                <w:tcPr>
                  <w:tcW w:w="1164"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szCs w:val="21"/>
                    </w:rPr>
                    <w:t>30mg/m</w:t>
                  </w:r>
                  <w:r>
                    <w:rPr>
                      <w:szCs w:val="21"/>
                      <w:vertAlign w:val="superscript"/>
                    </w:rPr>
                    <w:t>3</w:t>
                  </w:r>
                </w:p>
              </w:tc>
              <w:tc>
                <w:tcPr>
                  <w:tcW w:w="1506" w:type="pct"/>
                  <w:vMerge w:val="restart"/>
                  <w:tcBorders>
                    <w:top w:val="single" w:color="auto" w:sz="4" w:space="0"/>
                    <w:left w:val="single" w:color="auto" w:sz="4" w:space="0"/>
                    <w:bottom w:val="single" w:color="auto" w:sz="4" w:space="0"/>
                    <w:right w:val="single" w:color="auto" w:sz="12" w:space="0"/>
                  </w:tcBorders>
                  <w:vAlign w:val="center"/>
                </w:tcPr>
                <w:p>
                  <w:pPr>
                    <w:spacing w:line="240" w:lineRule="atLeast"/>
                    <w:jc w:val="center"/>
                  </w:pPr>
                  <w:r>
                    <w:rPr>
                      <w:rFonts w:hint="eastAsia"/>
                    </w:rPr>
                    <w:t>车间或生产设施排气筒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522" w:type="pct"/>
                  <w:vMerge w:val="continue"/>
                  <w:tcBorders>
                    <w:top w:val="single" w:color="auto" w:sz="4" w:space="0"/>
                    <w:left w:val="single" w:color="auto" w:sz="12" w:space="0"/>
                    <w:bottom w:val="single" w:color="auto" w:sz="4" w:space="0"/>
                    <w:right w:val="single" w:color="auto" w:sz="4" w:space="0"/>
                  </w:tcBorders>
                  <w:vAlign w:val="center"/>
                </w:tcPr>
                <w:p>
                  <w:pPr>
                    <w:spacing w:line="240" w:lineRule="atLeast"/>
                    <w:jc w:val="center"/>
                    <w:rPr>
                      <w:bCs/>
                      <w:szCs w:val="21"/>
                    </w:rPr>
                  </w:pPr>
                </w:p>
              </w:tc>
              <w:tc>
                <w:tcPr>
                  <w:tcW w:w="806"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szCs w:val="21"/>
                    </w:rPr>
                    <w:t>SO</w:t>
                  </w:r>
                  <w:r>
                    <w:rPr>
                      <w:szCs w:val="21"/>
                      <w:vertAlign w:val="subscript"/>
                    </w:rPr>
                    <w:t>2</w:t>
                  </w:r>
                </w:p>
              </w:tc>
              <w:tc>
                <w:tcPr>
                  <w:tcW w:w="1164" w:type="pct"/>
                  <w:tcBorders>
                    <w:top w:val="single" w:color="auto" w:sz="4" w:space="0"/>
                    <w:left w:val="single" w:color="auto" w:sz="4" w:space="0"/>
                    <w:bottom w:val="single" w:color="auto" w:sz="4" w:space="0"/>
                    <w:right w:val="single" w:color="auto" w:sz="4" w:space="0"/>
                  </w:tcBorders>
                  <w:vAlign w:val="center"/>
                </w:tcPr>
                <w:p>
                  <w:pPr>
                    <w:spacing w:line="240" w:lineRule="atLeast"/>
                    <w:jc w:val="center"/>
                  </w:pPr>
                  <w:r>
                    <w:rPr>
                      <w:szCs w:val="21"/>
                    </w:rPr>
                    <w:t>200mg/m</w:t>
                  </w:r>
                  <w:r>
                    <w:rPr>
                      <w:szCs w:val="21"/>
                      <w:vertAlign w:val="superscript"/>
                    </w:rPr>
                    <w:t>3</w:t>
                  </w:r>
                </w:p>
              </w:tc>
              <w:tc>
                <w:tcPr>
                  <w:tcW w:w="1506" w:type="pct"/>
                  <w:vMerge w:val="continue"/>
                  <w:tcBorders>
                    <w:top w:val="single" w:color="auto" w:sz="4" w:space="0"/>
                    <w:left w:val="single" w:color="auto" w:sz="4" w:space="0"/>
                    <w:bottom w:val="single" w:color="auto" w:sz="4" w:space="0"/>
                    <w:right w:val="single" w:color="auto" w:sz="12" w:space="0"/>
                  </w:tcBorders>
                  <w:vAlign w:val="center"/>
                </w:tcPr>
                <w:p>
                  <w:pPr>
                    <w:spacing w:line="240" w:lineRule="atLeast"/>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522" w:type="pct"/>
                  <w:vMerge w:val="continue"/>
                  <w:tcBorders>
                    <w:top w:val="single" w:color="auto" w:sz="4" w:space="0"/>
                    <w:left w:val="single" w:color="auto" w:sz="12" w:space="0"/>
                    <w:bottom w:val="single" w:color="auto" w:sz="12" w:space="0"/>
                    <w:right w:val="single" w:color="auto" w:sz="4" w:space="0"/>
                  </w:tcBorders>
                  <w:vAlign w:val="center"/>
                </w:tcPr>
                <w:p>
                  <w:pPr>
                    <w:spacing w:line="240" w:lineRule="atLeast"/>
                    <w:jc w:val="center"/>
                    <w:rPr>
                      <w:bCs/>
                      <w:szCs w:val="21"/>
                    </w:rPr>
                  </w:pPr>
                </w:p>
              </w:tc>
              <w:tc>
                <w:tcPr>
                  <w:tcW w:w="806" w:type="pct"/>
                  <w:tcBorders>
                    <w:top w:val="single" w:color="auto" w:sz="4" w:space="0"/>
                    <w:left w:val="single" w:color="auto" w:sz="4" w:space="0"/>
                    <w:bottom w:val="single" w:color="auto" w:sz="12" w:space="0"/>
                    <w:right w:val="single" w:color="auto" w:sz="4" w:space="0"/>
                  </w:tcBorders>
                  <w:vAlign w:val="center"/>
                </w:tcPr>
                <w:p>
                  <w:pPr>
                    <w:spacing w:line="240" w:lineRule="atLeast"/>
                    <w:jc w:val="center"/>
                  </w:pPr>
                  <w:r>
                    <w:rPr>
                      <w:szCs w:val="21"/>
                    </w:rPr>
                    <w:t>NO</w:t>
                  </w:r>
                  <w:r>
                    <w:rPr>
                      <w:szCs w:val="21"/>
                      <w:vertAlign w:val="subscript"/>
                    </w:rPr>
                    <w:t>X</w:t>
                  </w:r>
                </w:p>
              </w:tc>
              <w:tc>
                <w:tcPr>
                  <w:tcW w:w="1164" w:type="pct"/>
                  <w:tcBorders>
                    <w:top w:val="single" w:color="auto" w:sz="4" w:space="0"/>
                    <w:left w:val="single" w:color="auto" w:sz="4" w:space="0"/>
                    <w:bottom w:val="single" w:color="auto" w:sz="12" w:space="0"/>
                    <w:right w:val="single" w:color="auto" w:sz="4" w:space="0"/>
                  </w:tcBorders>
                  <w:vAlign w:val="center"/>
                </w:tcPr>
                <w:p>
                  <w:pPr>
                    <w:spacing w:line="240" w:lineRule="atLeast"/>
                    <w:jc w:val="center"/>
                  </w:pPr>
                  <w:r>
                    <w:rPr>
                      <w:szCs w:val="21"/>
                    </w:rPr>
                    <w:t>300mg/m</w:t>
                  </w:r>
                  <w:r>
                    <w:rPr>
                      <w:szCs w:val="21"/>
                      <w:vertAlign w:val="superscript"/>
                    </w:rPr>
                    <w:t>3</w:t>
                  </w:r>
                </w:p>
              </w:tc>
              <w:tc>
                <w:tcPr>
                  <w:tcW w:w="1506" w:type="pct"/>
                  <w:vMerge w:val="continue"/>
                  <w:tcBorders>
                    <w:top w:val="single" w:color="auto" w:sz="4" w:space="0"/>
                    <w:left w:val="single" w:color="auto" w:sz="4" w:space="0"/>
                    <w:bottom w:val="single" w:color="auto" w:sz="12" w:space="0"/>
                    <w:right w:val="single" w:color="auto" w:sz="12" w:space="0"/>
                  </w:tcBorders>
                  <w:vAlign w:val="center"/>
                </w:tcPr>
                <w:p>
                  <w:pPr>
                    <w:spacing w:line="240" w:lineRule="atLeast"/>
                    <w:jc w:val="center"/>
                  </w:pPr>
                </w:p>
              </w:tc>
            </w:tr>
          </w:tbl>
          <w:p>
            <w:pPr>
              <w:adjustRightInd w:val="0"/>
              <w:snapToGrid w:val="0"/>
              <w:spacing w:line="360" w:lineRule="auto"/>
              <w:ind w:firstLine="480" w:firstLineChars="200"/>
              <w:jc w:val="left"/>
              <w:rPr>
                <w:bCs/>
                <w:sz w:val="24"/>
              </w:rPr>
            </w:pPr>
            <w:r>
              <w:rPr>
                <w:bCs/>
                <w:sz w:val="24"/>
              </w:rPr>
              <w:t>2</w:t>
            </w:r>
            <w:r>
              <w:rPr>
                <w:rFonts w:hint="eastAsia"/>
                <w:bCs/>
                <w:sz w:val="24"/>
              </w:rPr>
              <w:t>、废水排放执行《污水综合排放标准》（</w:t>
            </w:r>
            <w:r>
              <w:rPr>
                <w:bCs/>
                <w:sz w:val="24"/>
              </w:rPr>
              <w:t>GB8978-1996</w:t>
            </w:r>
            <w:r>
              <w:rPr>
                <w:rFonts w:hint="eastAsia"/>
                <w:bCs/>
                <w:sz w:val="24"/>
              </w:rPr>
              <w:t>）三级标准和《污水排入城镇下水道水质标准》（</w:t>
            </w:r>
            <w:r>
              <w:rPr>
                <w:bCs/>
                <w:sz w:val="24"/>
              </w:rPr>
              <w:t>GB/T31962-2015</w:t>
            </w:r>
            <w:r>
              <w:rPr>
                <w:rFonts w:hint="eastAsia"/>
                <w:bCs/>
                <w:sz w:val="24"/>
              </w:rPr>
              <w:t>）</w:t>
            </w:r>
            <w:r>
              <w:rPr>
                <w:bCs/>
                <w:sz w:val="24"/>
              </w:rPr>
              <w:t>B</w:t>
            </w:r>
            <w:r>
              <w:rPr>
                <w:rFonts w:hint="eastAsia"/>
                <w:bCs/>
                <w:sz w:val="24"/>
              </w:rPr>
              <w:t>级标准。</w:t>
            </w:r>
          </w:p>
          <w:p>
            <w:pPr>
              <w:jc w:val="center"/>
              <w:rPr>
                <w:b/>
                <w:szCs w:val="21"/>
              </w:rPr>
            </w:pPr>
            <w:r>
              <w:rPr>
                <w:rFonts w:hint="eastAsia"/>
                <w:b/>
                <w:szCs w:val="21"/>
              </w:rPr>
              <w:t>表</w:t>
            </w:r>
            <w:r>
              <w:rPr>
                <w:b/>
                <w:szCs w:val="21"/>
              </w:rPr>
              <w:t xml:space="preserve">3-5   </w:t>
            </w:r>
            <w:r>
              <w:rPr>
                <w:rFonts w:hint="eastAsia"/>
                <w:b/>
                <w:szCs w:val="21"/>
              </w:rPr>
              <w:t>污水排放执行标准</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1165"/>
              <w:gridCol w:w="1505"/>
              <w:gridCol w:w="1376"/>
              <w:gridCol w:w="11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tcBorders>
                    <w:top w:val="single" w:color="auto" w:sz="12" w:space="0"/>
                    <w:left w:val="single" w:color="auto" w:sz="12" w:space="0"/>
                    <w:bottom w:val="single" w:color="auto" w:sz="4" w:space="0"/>
                    <w:right w:val="single" w:color="auto" w:sz="4" w:space="0"/>
                  </w:tcBorders>
                  <w:vAlign w:val="center"/>
                </w:tcPr>
                <w:p>
                  <w:pPr>
                    <w:jc w:val="center"/>
                    <w:rPr>
                      <w:b/>
                      <w:szCs w:val="21"/>
                    </w:rPr>
                  </w:pPr>
                  <w:r>
                    <w:rPr>
                      <w:rFonts w:hint="eastAsia"/>
                      <w:b/>
                      <w:szCs w:val="21"/>
                    </w:rPr>
                    <w:t>标准名称</w:t>
                  </w:r>
                </w:p>
              </w:tc>
              <w:tc>
                <w:tcPr>
                  <w:tcW w:w="733"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执行标准</w:t>
                  </w:r>
                </w:p>
              </w:tc>
              <w:tc>
                <w:tcPr>
                  <w:tcW w:w="946"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项目</w:t>
                  </w:r>
                </w:p>
              </w:tc>
              <w:tc>
                <w:tcPr>
                  <w:tcW w:w="865"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标准值</w:t>
                  </w:r>
                </w:p>
              </w:tc>
              <w:tc>
                <w:tcPr>
                  <w:tcW w:w="742" w:type="pct"/>
                  <w:tcBorders>
                    <w:top w:val="single" w:color="auto" w:sz="12" w:space="0"/>
                    <w:left w:val="single" w:color="auto" w:sz="4" w:space="0"/>
                    <w:bottom w:val="single" w:color="auto" w:sz="4" w:space="0"/>
                    <w:right w:val="single" w:color="auto" w:sz="12" w:space="0"/>
                  </w:tcBorders>
                  <w:vAlign w:val="center"/>
                </w:tcPr>
                <w:p>
                  <w:pPr>
                    <w:jc w:val="center"/>
                    <w:rPr>
                      <w:b/>
                      <w:szCs w:val="21"/>
                    </w:rPr>
                  </w:pPr>
                  <w:r>
                    <w:rPr>
                      <w:rFonts w:hint="eastAsia"/>
                      <w:b/>
                      <w:szCs w:val="21"/>
                    </w:rPr>
                    <w:t>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restar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bCs/>
                      <w:szCs w:val="21"/>
                    </w:rPr>
                    <w:t>《污水综合排放标准》（</w:t>
                  </w:r>
                  <w:r>
                    <w:rPr>
                      <w:bCs/>
                      <w:szCs w:val="21"/>
                    </w:rPr>
                    <w:t>GB8978-1996</w:t>
                  </w:r>
                  <w:r>
                    <w:rPr>
                      <w:rFonts w:hint="eastAsia"/>
                      <w:bCs/>
                      <w:szCs w:val="21"/>
                    </w:rPr>
                    <w:t>）</w:t>
                  </w:r>
                </w:p>
              </w:tc>
              <w:tc>
                <w:tcPr>
                  <w:tcW w:w="733" w:type="pct"/>
                  <w:vMerge w:val="restar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三级标准</w:t>
                  </w:r>
                </w:p>
              </w:tc>
              <w:tc>
                <w:tcPr>
                  <w:tcW w:w="946"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rFonts w:eastAsia="黑体"/>
                      <w:bCs/>
                      <w:szCs w:val="21"/>
                    </w:rPr>
                    <w:t>pH</w:t>
                  </w:r>
                </w:p>
              </w:tc>
              <w:tc>
                <w:tcPr>
                  <w:tcW w:w="865"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szCs w:val="21"/>
                    </w:rPr>
                    <w:t>6~9</w:t>
                  </w:r>
                </w:p>
              </w:tc>
              <w:tc>
                <w:tcPr>
                  <w:tcW w:w="742" w:type="pct"/>
                  <w:tcBorders>
                    <w:top w:val="single" w:color="auto" w:sz="4" w:space="0"/>
                    <w:left w:val="single" w:color="auto" w:sz="4" w:space="0"/>
                    <w:bottom w:val="single" w:color="auto" w:sz="4" w:space="0"/>
                    <w:right w:val="single" w:color="auto" w:sz="12" w:space="0"/>
                  </w:tcBorders>
                  <w:vAlign w:val="center"/>
                </w:tcPr>
                <w:p>
                  <w:pPr>
                    <w:jc w:val="center"/>
                    <w:rPr>
                      <w:bCs/>
                      <w:szCs w:val="21"/>
                    </w:rPr>
                  </w:pPr>
                  <w:r>
                    <w:rPr>
                      <w:rFonts w:hint="eastAsia"/>
                      <w:szCs w:val="21"/>
                    </w:rPr>
                    <w:t>无量纲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zCs w:val="21"/>
                    </w:rPr>
                  </w:pPr>
                </w:p>
              </w:tc>
              <w:tc>
                <w:tcPr>
                  <w:tcW w:w="733"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946"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rFonts w:eastAsia="黑体"/>
                      <w:bCs/>
                      <w:szCs w:val="21"/>
                    </w:rPr>
                    <w:t>COD</w:t>
                  </w:r>
                </w:p>
              </w:tc>
              <w:tc>
                <w:tcPr>
                  <w:tcW w:w="865"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szCs w:val="21"/>
                    </w:rPr>
                    <w:t>500</w:t>
                  </w:r>
                </w:p>
              </w:tc>
              <w:tc>
                <w:tcPr>
                  <w:tcW w:w="742" w:type="pct"/>
                  <w:vMerge w:val="restart"/>
                  <w:tcBorders>
                    <w:top w:val="single" w:color="auto" w:sz="4" w:space="0"/>
                    <w:left w:val="single" w:color="auto" w:sz="4" w:space="0"/>
                    <w:bottom w:val="single" w:color="auto" w:sz="4" w:space="0"/>
                    <w:right w:val="single" w:color="auto" w:sz="12" w:space="0"/>
                  </w:tcBorders>
                  <w:vAlign w:val="center"/>
                </w:tcPr>
                <w:p>
                  <w:pPr>
                    <w:jc w:val="center"/>
                    <w:rPr>
                      <w:bCs/>
                      <w:szCs w:val="21"/>
                    </w:rPr>
                  </w:pPr>
                  <w:r>
                    <w:rPr>
                      <w:bCs/>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zCs w:val="21"/>
                    </w:rPr>
                  </w:pPr>
                </w:p>
              </w:tc>
              <w:tc>
                <w:tcPr>
                  <w:tcW w:w="733"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946"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szCs w:val="21"/>
                    </w:rPr>
                    <w:t>BOD</w:t>
                  </w:r>
                  <w:r>
                    <w:rPr>
                      <w:szCs w:val="21"/>
                      <w:vertAlign w:val="subscript"/>
                    </w:rPr>
                    <w:t>5</w:t>
                  </w:r>
                </w:p>
              </w:tc>
              <w:tc>
                <w:tcPr>
                  <w:tcW w:w="865"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szCs w:val="21"/>
                    </w:rPr>
                    <w:t>300</w:t>
                  </w:r>
                </w:p>
              </w:tc>
              <w:tc>
                <w:tcPr>
                  <w:tcW w:w="742"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zCs w:val="21"/>
                    </w:rPr>
                  </w:pPr>
                </w:p>
              </w:tc>
              <w:tc>
                <w:tcPr>
                  <w:tcW w:w="733"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946"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eastAsia="黑体"/>
                      <w:bCs/>
                      <w:szCs w:val="21"/>
                    </w:rPr>
                    <w:t>SS</w:t>
                  </w:r>
                </w:p>
              </w:tc>
              <w:tc>
                <w:tcPr>
                  <w:tcW w:w="865"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szCs w:val="21"/>
                    </w:rPr>
                    <w:t>400</w:t>
                  </w:r>
                </w:p>
              </w:tc>
              <w:tc>
                <w:tcPr>
                  <w:tcW w:w="742"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restar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szCs w:val="21"/>
                    </w:rPr>
                    <w:t>《污水排入城镇下水道水质标准》（</w:t>
                  </w:r>
                  <w:r>
                    <w:rPr>
                      <w:szCs w:val="21"/>
                    </w:rPr>
                    <w:t>GB/T31962-2015</w:t>
                  </w:r>
                  <w:r>
                    <w:rPr>
                      <w:rFonts w:hint="eastAsia"/>
                      <w:szCs w:val="21"/>
                    </w:rPr>
                    <w:t>）</w:t>
                  </w:r>
                </w:p>
              </w:tc>
              <w:tc>
                <w:tcPr>
                  <w:tcW w:w="733" w:type="pct"/>
                  <w:vMerge w:val="restar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szCs w:val="21"/>
                    </w:rPr>
                    <w:t>B</w:t>
                  </w:r>
                  <w:r>
                    <w:rPr>
                      <w:rFonts w:hint="eastAsia"/>
                      <w:szCs w:val="21"/>
                    </w:rPr>
                    <w:t>级</w:t>
                  </w:r>
                </w:p>
              </w:tc>
              <w:tc>
                <w:tcPr>
                  <w:tcW w:w="946"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氨氮</w:t>
                  </w:r>
                </w:p>
              </w:tc>
              <w:tc>
                <w:tcPr>
                  <w:tcW w:w="865" w:type="pct"/>
                  <w:tcBorders>
                    <w:top w:val="single" w:color="auto" w:sz="4" w:space="0"/>
                    <w:left w:val="single" w:color="auto" w:sz="4" w:space="0"/>
                    <w:bottom w:val="single" w:color="auto" w:sz="4" w:space="0"/>
                    <w:right w:val="single" w:color="auto" w:sz="4" w:space="0"/>
                  </w:tcBorders>
                  <w:vAlign w:val="center"/>
                </w:tcPr>
                <w:p>
                  <w:pPr>
                    <w:snapToGrid w:val="0"/>
                    <w:jc w:val="center"/>
                    <w:rPr>
                      <w:bCs/>
                      <w:szCs w:val="21"/>
                    </w:rPr>
                  </w:pPr>
                  <w:r>
                    <w:rPr>
                      <w:rFonts w:eastAsia="黑体"/>
                      <w:bCs/>
                      <w:szCs w:val="21"/>
                    </w:rPr>
                    <w:t>45</w:t>
                  </w:r>
                </w:p>
              </w:tc>
              <w:tc>
                <w:tcPr>
                  <w:tcW w:w="742"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zCs w:val="21"/>
                    </w:rPr>
                  </w:pPr>
                </w:p>
              </w:tc>
              <w:tc>
                <w:tcPr>
                  <w:tcW w:w="733"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946"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总磷（以</w:t>
                  </w:r>
                  <w:r>
                    <w:rPr>
                      <w:bCs/>
                      <w:szCs w:val="21"/>
                    </w:rPr>
                    <w:t>P</w:t>
                  </w:r>
                  <w:r>
                    <w:rPr>
                      <w:rFonts w:hint="eastAsia"/>
                      <w:bCs/>
                      <w:szCs w:val="21"/>
                    </w:rPr>
                    <w:t>计）</w:t>
                  </w:r>
                </w:p>
              </w:tc>
              <w:tc>
                <w:tcPr>
                  <w:tcW w:w="865"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eastAsia="黑体"/>
                      <w:bCs/>
                      <w:szCs w:val="21"/>
                    </w:rPr>
                    <w:t>8</w:t>
                  </w:r>
                </w:p>
              </w:tc>
              <w:tc>
                <w:tcPr>
                  <w:tcW w:w="742"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11" w:type="pct"/>
                  <w:vMerge w:val="continue"/>
                  <w:tcBorders>
                    <w:top w:val="single" w:color="auto" w:sz="4" w:space="0"/>
                    <w:left w:val="single" w:color="auto" w:sz="12" w:space="0"/>
                    <w:bottom w:val="single" w:color="auto" w:sz="12" w:space="0"/>
                    <w:right w:val="single" w:color="auto" w:sz="4" w:space="0"/>
                  </w:tcBorders>
                  <w:vAlign w:val="center"/>
                </w:tcPr>
                <w:p>
                  <w:pPr>
                    <w:jc w:val="center"/>
                    <w:rPr>
                      <w:bCs/>
                      <w:szCs w:val="21"/>
                    </w:rPr>
                  </w:pPr>
                </w:p>
              </w:tc>
              <w:tc>
                <w:tcPr>
                  <w:tcW w:w="733" w:type="pct"/>
                  <w:vMerge w:val="continue"/>
                  <w:tcBorders>
                    <w:top w:val="single" w:color="auto" w:sz="4" w:space="0"/>
                    <w:left w:val="single" w:color="auto" w:sz="4" w:space="0"/>
                    <w:bottom w:val="single" w:color="auto" w:sz="12" w:space="0"/>
                    <w:right w:val="single" w:color="auto" w:sz="4" w:space="0"/>
                  </w:tcBorders>
                  <w:vAlign w:val="center"/>
                </w:tcPr>
                <w:p>
                  <w:pPr>
                    <w:jc w:val="center"/>
                    <w:rPr>
                      <w:bCs/>
                      <w:szCs w:val="21"/>
                    </w:rPr>
                  </w:pPr>
                </w:p>
              </w:tc>
              <w:tc>
                <w:tcPr>
                  <w:tcW w:w="946"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rFonts w:hint="eastAsia"/>
                      <w:bCs/>
                      <w:szCs w:val="21"/>
                    </w:rPr>
                    <w:t>总氮（以</w:t>
                  </w:r>
                  <w:r>
                    <w:rPr>
                      <w:bCs/>
                      <w:szCs w:val="21"/>
                    </w:rPr>
                    <w:t>N</w:t>
                  </w:r>
                  <w:r>
                    <w:rPr>
                      <w:rFonts w:hint="eastAsia"/>
                      <w:bCs/>
                      <w:szCs w:val="21"/>
                    </w:rPr>
                    <w:t>计）</w:t>
                  </w:r>
                </w:p>
              </w:tc>
              <w:tc>
                <w:tcPr>
                  <w:tcW w:w="865"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rFonts w:eastAsia="黑体"/>
                      <w:bCs/>
                      <w:szCs w:val="21"/>
                    </w:rPr>
                    <w:t>70</w:t>
                  </w:r>
                </w:p>
              </w:tc>
              <w:tc>
                <w:tcPr>
                  <w:tcW w:w="742" w:type="pct"/>
                  <w:vMerge w:val="continue"/>
                  <w:tcBorders>
                    <w:top w:val="single" w:color="auto" w:sz="4" w:space="0"/>
                    <w:left w:val="single" w:color="auto" w:sz="4" w:space="0"/>
                    <w:bottom w:val="single" w:color="auto" w:sz="12" w:space="0"/>
                    <w:right w:val="single" w:color="auto" w:sz="12" w:space="0"/>
                  </w:tcBorders>
                  <w:vAlign w:val="center"/>
                </w:tcPr>
                <w:p>
                  <w:pPr>
                    <w:jc w:val="center"/>
                    <w:rPr>
                      <w:bCs/>
                      <w:szCs w:val="21"/>
                    </w:rPr>
                  </w:pPr>
                </w:p>
              </w:tc>
            </w:tr>
          </w:tbl>
          <w:p>
            <w:pPr>
              <w:adjustRightInd w:val="0"/>
              <w:snapToGrid w:val="0"/>
              <w:spacing w:line="360" w:lineRule="auto"/>
              <w:ind w:firstLine="480" w:firstLineChars="200"/>
              <w:rPr>
                <w:bCs/>
                <w:sz w:val="24"/>
              </w:rPr>
            </w:pPr>
            <w:r>
              <w:rPr>
                <w:bCs/>
                <w:sz w:val="24"/>
              </w:rPr>
              <w:t>3</w:t>
            </w:r>
            <w:r>
              <w:rPr>
                <w:rFonts w:hint="eastAsia"/>
                <w:bCs/>
                <w:sz w:val="24"/>
              </w:rPr>
              <w:t>、运营期厂界噪声执行《工业企业厂界环境噪声排放标准》（</w:t>
            </w:r>
            <w:r>
              <w:rPr>
                <w:bCs/>
                <w:sz w:val="24"/>
              </w:rPr>
              <w:t>GB12348-2008</w:t>
            </w:r>
            <w:r>
              <w:rPr>
                <w:rFonts w:hint="eastAsia"/>
                <w:bCs/>
                <w:sz w:val="24"/>
              </w:rPr>
              <w:t>）</w:t>
            </w:r>
            <w:r>
              <w:rPr>
                <w:bCs/>
                <w:sz w:val="24"/>
              </w:rPr>
              <w:t>3</w:t>
            </w:r>
            <w:r>
              <w:rPr>
                <w:rFonts w:hint="eastAsia"/>
                <w:bCs/>
                <w:sz w:val="24"/>
              </w:rPr>
              <w:t>类标准。</w:t>
            </w:r>
          </w:p>
          <w:p>
            <w:pPr>
              <w:adjustRightInd w:val="0"/>
              <w:jc w:val="center"/>
              <w:rPr>
                <w:b/>
                <w:szCs w:val="21"/>
              </w:rPr>
            </w:pPr>
            <w:r>
              <w:rPr>
                <w:rFonts w:hint="eastAsia"/>
                <w:b/>
                <w:szCs w:val="21"/>
              </w:rPr>
              <w:t>表</w:t>
            </w:r>
            <w:r>
              <w:rPr>
                <w:b/>
                <w:szCs w:val="21"/>
              </w:rPr>
              <w:t xml:space="preserve">3-6   </w:t>
            </w:r>
            <w:r>
              <w:rPr>
                <w:rFonts w:hint="eastAsia"/>
                <w:b/>
                <w:szCs w:val="21"/>
              </w:rPr>
              <w:t>噪声排放标准</w:t>
            </w:r>
            <w:r>
              <w:rPr>
                <w:b/>
                <w:szCs w:val="21"/>
              </w:rPr>
              <w:t xml:space="preserve">   </w:t>
            </w:r>
            <w:r>
              <w:rPr>
                <w:rFonts w:hint="eastAsia"/>
                <w:b/>
                <w:szCs w:val="21"/>
              </w:rPr>
              <w:t>单位</w:t>
            </w:r>
            <w:r>
              <w:rPr>
                <w:b/>
                <w:szCs w:val="21"/>
              </w:rPr>
              <w:t>dB(A)</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57"/>
              <w:gridCol w:w="1141"/>
              <w:gridCol w:w="999"/>
              <w:gridCol w:w="1084"/>
              <w:gridCol w:w="1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0" w:type="pct"/>
                  <w:vMerge w:val="restart"/>
                  <w:tcBorders>
                    <w:top w:val="single" w:color="auto" w:sz="12" w:space="0"/>
                    <w:left w:val="single" w:color="auto" w:sz="12" w:space="0"/>
                    <w:bottom w:val="single" w:color="auto" w:sz="4" w:space="0"/>
                    <w:right w:val="single" w:color="auto" w:sz="4" w:space="0"/>
                  </w:tcBorders>
                  <w:vAlign w:val="center"/>
                </w:tcPr>
                <w:p>
                  <w:pPr>
                    <w:jc w:val="center"/>
                    <w:rPr>
                      <w:b/>
                      <w:szCs w:val="21"/>
                    </w:rPr>
                  </w:pPr>
                  <w:r>
                    <w:rPr>
                      <w:rFonts w:hint="eastAsia"/>
                      <w:b/>
                      <w:szCs w:val="21"/>
                    </w:rPr>
                    <w:t>执行标准</w:t>
                  </w:r>
                </w:p>
              </w:tc>
              <w:tc>
                <w:tcPr>
                  <w:tcW w:w="718" w:type="pct"/>
                  <w:vMerge w:val="restart"/>
                  <w:tcBorders>
                    <w:top w:val="single" w:color="auto" w:sz="12" w:space="0"/>
                    <w:left w:val="single" w:color="auto" w:sz="4" w:space="0"/>
                    <w:bottom w:val="single" w:color="auto" w:sz="4" w:space="0"/>
                    <w:right w:val="single" w:color="auto" w:sz="4" w:space="0"/>
                  </w:tcBorders>
                  <w:vAlign w:val="center"/>
                </w:tcPr>
                <w:p>
                  <w:pPr>
                    <w:tabs>
                      <w:tab w:val="left" w:pos="3144"/>
                    </w:tabs>
                    <w:snapToGrid w:val="0"/>
                    <w:jc w:val="center"/>
                    <w:rPr>
                      <w:b/>
                      <w:szCs w:val="21"/>
                    </w:rPr>
                  </w:pPr>
                  <w:r>
                    <w:rPr>
                      <w:rFonts w:hint="eastAsia"/>
                      <w:b/>
                      <w:szCs w:val="21"/>
                    </w:rPr>
                    <w:t>执行</w:t>
                  </w:r>
                </w:p>
                <w:p>
                  <w:pPr>
                    <w:jc w:val="center"/>
                    <w:rPr>
                      <w:b/>
                      <w:szCs w:val="21"/>
                    </w:rPr>
                  </w:pPr>
                  <w:r>
                    <w:rPr>
                      <w:rFonts w:hint="eastAsia"/>
                      <w:b/>
                      <w:szCs w:val="21"/>
                    </w:rPr>
                    <w:t>范围</w:t>
                  </w:r>
                </w:p>
              </w:tc>
              <w:tc>
                <w:tcPr>
                  <w:tcW w:w="629" w:type="pct"/>
                  <w:vMerge w:val="restar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级别</w:t>
                  </w:r>
                </w:p>
              </w:tc>
              <w:tc>
                <w:tcPr>
                  <w:tcW w:w="1351" w:type="pct"/>
                  <w:gridSpan w:val="2"/>
                  <w:tcBorders>
                    <w:top w:val="single" w:color="auto" w:sz="12" w:space="0"/>
                    <w:left w:val="single" w:color="auto" w:sz="4" w:space="0"/>
                    <w:bottom w:val="single" w:color="auto" w:sz="4" w:space="0"/>
                    <w:right w:val="single" w:color="auto" w:sz="12" w:space="0"/>
                  </w:tcBorders>
                  <w:vAlign w:val="center"/>
                </w:tcPr>
                <w:p>
                  <w:pPr>
                    <w:jc w:val="center"/>
                    <w:rPr>
                      <w:b/>
                      <w:szCs w:val="21"/>
                    </w:rPr>
                  </w:pPr>
                  <w:r>
                    <w:rPr>
                      <w:rFonts w:hint="eastAsia"/>
                      <w:b/>
                      <w:szCs w:val="21"/>
                    </w:rPr>
                    <w:t>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0" w:type="pct"/>
                  <w:vMerge w:val="continue"/>
                  <w:tcBorders>
                    <w:top w:val="single" w:color="auto" w:sz="4" w:space="0"/>
                    <w:left w:val="single" w:color="auto" w:sz="12" w:space="0"/>
                    <w:bottom w:val="single" w:color="auto" w:sz="4" w:space="0"/>
                    <w:right w:val="single" w:color="auto" w:sz="4" w:space="0"/>
                  </w:tcBorders>
                  <w:vAlign w:val="center"/>
                </w:tcPr>
                <w:p>
                  <w:pPr>
                    <w:jc w:val="center"/>
                    <w:rPr>
                      <w:b/>
                      <w:szCs w:val="21"/>
                    </w:rPr>
                  </w:pPr>
                </w:p>
              </w:tc>
              <w:tc>
                <w:tcPr>
                  <w:tcW w:w="718" w:type="pct"/>
                  <w:vMerge w:val="continue"/>
                  <w:tcBorders>
                    <w:top w:val="single" w:color="auto" w:sz="4" w:space="0"/>
                    <w:left w:val="single" w:color="auto" w:sz="4" w:space="0"/>
                    <w:bottom w:val="single" w:color="auto" w:sz="4" w:space="0"/>
                    <w:right w:val="single" w:color="auto" w:sz="4" w:space="0"/>
                  </w:tcBorders>
                  <w:vAlign w:val="center"/>
                </w:tcPr>
                <w:p>
                  <w:pPr>
                    <w:jc w:val="center"/>
                    <w:rPr>
                      <w:b/>
                      <w:szCs w:val="21"/>
                    </w:rPr>
                  </w:pPr>
                </w:p>
              </w:tc>
              <w:tc>
                <w:tcPr>
                  <w:tcW w:w="629" w:type="pct"/>
                  <w:vMerge w:val="continue"/>
                  <w:tcBorders>
                    <w:top w:val="single" w:color="auto" w:sz="4" w:space="0"/>
                    <w:left w:val="single" w:color="auto" w:sz="4" w:space="0"/>
                    <w:bottom w:val="single" w:color="auto" w:sz="4" w:space="0"/>
                    <w:right w:val="single" w:color="auto" w:sz="4" w:space="0"/>
                  </w:tcBorders>
                  <w:vAlign w:val="center"/>
                </w:tcPr>
                <w:p>
                  <w:pPr>
                    <w:jc w:val="center"/>
                    <w:rPr>
                      <w:b/>
                      <w:szCs w:val="21"/>
                    </w:rPr>
                  </w:pPr>
                </w:p>
              </w:tc>
              <w:tc>
                <w:tcPr>
                  <w:tcW w:w="682" w:type="pct"/>
                  <w:tcBorders>
                    <w:top w:val="single" w:color="auto" w:sz="4" w:space="0"/>
                    <w:left w:val="single" w:color="auto" w:sz="4" w:space="0"/>
                    <w:bottom w:val="single" w:color="auto" w:sz="4" w:space="0"/>
                    <w:right w:val="single" w:color="auto" w:sz="4" w:space="0"/>
                  </w:tcBorders>
                  <w:vAlign w:val="center"/>
                </w:tcPr>
                <w:p>
                  <w:pPr>
                    <w:tabs>
                      <w:tab w:val="left" w:pos="3144"/>
                    </w:tabs>
                    <w:snapToGrid w:val="0"/>
                    <w:jc w:val="center"/>
                    <w:rPr>
                      <w:b/>
                      <w:szCs w:val="21"/>
                    </w:rPr>
                  </w:pPr>
                  <w:r>
                    <w:rPr>
                      <w:rFonts w:hint="eastAsia"/>
                      <w:b/>
                      <w:szCs w:val="21"/>
                    </w:rPr>
                    <w:t>昼间</w:t>
                  </w:r>
                </w:p>
              </w:tc>
              <w:tc>
                <w:tcPr>
                  <w:tcW w:w="669" w:type="pct"/>
                  <w:tcBorders>
                    <w:top w:val="single" w:color="auto" w:sz="4" w:space="0"/>
                    <w:left w:val="single" w:color="auto" w:sz="4" w:space="0"/>
                    <w:bottom w:val="single" w:color="auto" w:sz="4" w:space="0"/>
                    <w:right w:val="single" w:color="auto" w:sz="12" w:space="0"/>
                  </w:tcBorders>
                  <w:vAlign w:val="center"/>
                </w:tcPr>
                <w:p>
                  <w:pPr>
                    <w:tabs>
                      <w:tab w:val="left" w:pos="3144"/>
                    </w:tabs>
                    <w:snapToGrid w:val="0"/>
                    <w:jc w:val="center"/>
                    <w:rPr>
                      <w:b/>
                      <w:szCs w:val="21"/>
                    </w:rPr>
                  </w:pPr>
                  <w:r>
                    <w:rPr>
                      <w:rFonts w:hint="eastAsia"/>
                      <w:b/>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0" w:type="pct"/>
                  <w:tcBorders>
                    <w:top w:val="single" w:color="auto" w:sz="4" w:space="0"/>
                    <w:left w:val="single" w:color="auto" w:sz="12" w:space="0"/>
                    <w:bottom w:val="single" w:color="auto" w:sz="12" w:space="0"/>
                    <w:right w:val="single" w:color="auto" w:sz="4" w:space="0"/>
                  </w:tcBorders>
                  <w:vAlign w:val="center"/>
                </w:tcPr>
                <w:p>
                  <w:pPr>
                    <w:snapToGrid w:val="0"/>
                    <w:jc w:val="center"/>
                    <w:rPr>
                      <w:szCs w:val="21"/>
                    </w:rPr>
                  </w:pPr>
                  <w:r>
                    <w:rPr>
                      <w:rFonts w:hint="eastAsia"/>
                      <w:szCs w:val="21"/>
                    </w:rPr>
                    <w:t>《工业企业厂界环境噪声排放标准》</w:t>
                  </w:r>
                </w:p>
                <w:p>
                  <w:pPr>
                    <w:jc w:val="center"/>
                    <w:rPr>
                      <w:bCs/>
                      <w:szCs w:val="21"/>
                    </w:rPr>
                  </w:pPr>
                  <w:r>
                    <w:rPr>
                      <w:rFonts w:hint="eastAsia"/>
                      <w:szCs w:val="21"/>
                    </w:rPr>
                    <w:t>（</w:t>
                  </w:r>
                  <w:r>
                    <w:rPr>
                      <w:szCs w:val="21"/>
                    </w:rPr>
                    <w:t>GB12348-2008</w:t>
                  </w:r>
                  <w:r>
                    <w:rPr>
                      <w:rFonts w:hint="eastAsia"/>
                      <w:szCs w:val="21"/>
                    </w:rPr>
                    <w:t>）</w:t>
                  </w:r>
                </w:p>
              </w:tc>
              <w:tc>
                <w:tcPr>
                  <w:tcW w:w="718" w:type="pct"/>
                  <w:tcBorders>
                    <w:top w:val="single" w:color="auto" w:sz="4" w:space="0"/>
                    <w:left w:val="single" w:color="auto" w:sz="4" w:space="0"/>
                    <w:bottom w:val="single" w:color="auto" w:sz="12" w:space="0"/>
                    <w:right w:val="single" w:color="auto" w:sz="4" w:space="0"/>
                  </w:tcBorders>
                  <w:vAlign w:val="center"/>
                </w:tcPr>
                <w:p>
                  <w:pPr>
                    <w:jc w:val="center"/>
                    <w:rPr>
                      <w:szCs w:val="21"/>
                    </w:rPr>
                  </w:pPr>
                  <w:r>
                    <w:rPr>
                      <w:rFonts w:hint="eastAsia"/>
                      <w:szCs w:val="21"/>
                    </w:rPr>
                    <w:t>厂界</w:t>
                  </w:r>
                </w:p>
              </w:tc>
              <w:tc>
                <w:tcPr>
                  <w:tcW w:w="629" w:type="pct"/>
                  <w:tcBorders>
                    <w:top w:val="single" w:color="auto" w:sz="4" w:space="0"/>
                    <w:left w:val="single" w:color="auto" w:sz="4" w:space="0"/>
                    <w:bottom w:val="single" w:color="auto" w:sz="12" w:space="0"/>
                    <w:right w:val="single" w:color="auto" w:sz="4" w:space="0"/>
                  </w:tcBorders>
                  <w:vAlign w:val="center"/>
                </w:tcPr>
                <w:p>
                  <w:pPr>
                    <w:snapToGrid w:val="0"/>
                    <w:jc w:val="center"/>
                    <w:rPr>
                      <w:bCs/>
                      <w:szCs w:val="21"/>
                    </w:rPr>
                  </w:pPr>
                  <w:r>
                    <w:rPr>
                      <w:szCs w:val="21"/>
                    </w:rPr>
                    <w:t>3</w:t>
                  </w:r>
                  <w:r>
                    <w:rPr>
                      <w:rFonts w:hint="eastAsia"/>
                      <w:szCs w:val="21"/>
                    </w:rPr>
                    <w:t>类</w:t>
                  </w:r>
                </w:p>
              </w:tc>
              <w:tc>
                <w:tcPr>
                  <w:tcW w:w="682" w:type="pct"/>
                  <w:tcBorders>
                    <w:top w:val="single" w:color="auto" w:sz="4" w:space="0"/>
                    <w:left w:val="single" w:color="auto" w:sz="4" w:space="0"/>
                    <w:bottom w:val="single" w:color="auto" w:sz="12" w:space="0"/>
                    <w:right w:val="single" w:color="auto" w:sz="4" w:space="0"/>
                  </w:tcBorders>
                  <w:vAlign w:val="center"/>
                </w:tcPr>
                <w:p>
                  <w:pPr>
                    <w:snapToGrid w:val="0"/>
                    <w:jc w:val="center"/>
                    <w:rPr>
                      <w:bCs/>
                      <w:szCs w:val="21"/>
                    </w:rPr>
                  </w:pPr>
                  <w:r>
                    <w:rPr>
                      <w:szCs w:val="21"/>
                    </w:rPr>
                    <w:t>65</w:t>
                  </w:r>
                </w:p>
              </w:tc>
              <w:tc>
                <w:tcPr>
                  <w:tcW w:w="669" w:type="pct"/>
                  <w:tcBorders>
                    <w:top w:val="single" w:color="auto" w:sz="4" w:space="0"/>
                    <w:left w:val="single" w:color="auto" w:sz="4" w:space="0"/>
                    <w:bottom w:val="single" w:color="auto" w:sz="12" w:space="0"/>
                    <w:right w:val="single" w:color="auto" w:sz="12" w:space="0"/>
                  </w:tcBorders>
                  <w:vAlign w:val="center"/>
                </w:tcPr>
                <w:p>
                  <w:pPr>
                    <w:snapToGrid w:val="0"/>
                    <w:jc w:val="center"/>
                    <w:rPr>
                      <w:bCs/>
                      <w:szCs w:val="21"/>
                    </w:rPr>
                  </w:pPr>
                  <w:r>
                    <w:rPr>
                      <w:szCs w:val="21"/>
                    </w:rPr>
                    <w:t>55</w:t>
                  </w:r>
                </w:p>
              </w:tc>
            </w:tr>
          </w:tbl>
          <w:p>
            <w:pPr>
              <w:adjustRightInd w:val="0"/>
              <w:snapToGrid w:val="0"/>
              <w:spacing w:line="360" w:lineRule="auto"/>
              <w:ind w:firstLine="480" w:firstLineChars="200"/>
              <w:jc w:val="left"/>
              <w:rPr>
                <w:kern w:val="0"/>
                <w:szCs w:val="21"/>
              </w:rPr>
            </w:pPr>
            <w:r>
              <w:rPr>
                <w:bCs/>
                <w:sz w:val="24"/>
              </w:rPr>
              <w:t>4</w:t>
            </w:r>
            <w:r>
              <w:rPr>
                <w:rFonts w:hint="eastAsia"/>
                <w:bCs/>
                <w:sz w:val="24"/>
              </w:rPr>
              <w:t>、一般固体废物执行《一般工业固体废物贮存和填埋污染控制标准》</w:t>
            </w:r>
            <w:r>
              <w:fldChar w:fldCharType="begin"/>
            </w:r>
            <w:r>
              <w:instrText xml:space="preserve"> HYPERLINK "http://www.mee.gov.cn/ywgz/fgbz/bz/bzwb/gthw/gtfwwrkzbz/202012/W020201218695845325455.pdf" </w:instrText>
            </w:r>
            <w:r>
              <w:fldChar w:fldCharType="separate"/>
            </w:r>
            <w:r>
              <w:rPr>
                <w:rFonts w:hint="eastAsia"/>
                <w:bCs/>
                <w:sz w:val="24"/>
              </w:rPr>
              <w:t>（</w:t>
            </w:r>
            <w:r>
              <w:rPr>
                <w:bCs/>
                <w:sz w:val="24"/>
              </w:rPr>
              <w:t>GB 18599-2020</w:t>
            </w:r>
            <w:r>
              <w:rPr>
                <w:rFonts w:hint="eastAsia"/>
                <w:bCs/>
                <w:sz w:val="24"/>
              </w:rPr>
              <w:t>）</w:t>
            </w:r>
            <w:r>
              <w:rPr>
                <w:rFonts w:hint="eastAsia"/>
                <w:bCs/>
                <w:sz w:val="24"/>
              </w:rPr>
              <w:fldChar w:fldCharType="end"/>
            </w:r>
            <w:r>
              <w:rPr>
                <w:rFonts w:hint="eastAsia"/>
                <w:bCs/>
                <w:sz w:val="24"/>
              </w:rPr>
              <w:t>中的有关规定；危险废物执行《危险废物贮存污染控制标准》（</w:t>
            </w:r>
            <w:r>
              <w:rPr>
                <w:bCs/>
                <w:sz w:val="24"/>
              </w:rPr>
              <w:t>GB18597-2023</w:t>
            </w:r>
            <w:r>
              <w:rPr>
                <w:rFonts w:hint="eastAsia"/>
                <w:bCs/>
                <w:sz w:val="24"/>
              </w:rPr>
              <w:t>）中有关规定。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800" w:type="dxa"/>
            <w:tcBorders>
              <w:bottom w:val="single" w:color="auto" w:sz="8" w:space="0"/>
            </w:tcBorders>
            <w:vAlign w:val="center"/>
          </w:tcPr>
          <w:p>
            <w:pPr>
              <w:adjustRightInd w:val="0"/>
              <w:snapToGrid w:val="0"/>
              <w:jc w:val="center"/>
              <w:rPr>
                <w:kern w:val="0"/>
                <w:sz w:val="24"/>
              </w:rPr>
            </w:pPr>
            <w:r>
              <w:rPr>
                <w:rFonts w:hint="eastAsia"/>
                <w:kern w:val="0"/>
                <w:sz w:val="24"/>
              </w:rPr>
              <w:t>总量</w:t>
            </w:r>
          </w:p>
          <w:p>
            <w:pPr>
              <w:adjustRightInd w:val="0"/>
              <w:snapToGrid w:val="0"/>
              <w:jc w:val="center"/>
              <w:rPr>
                <w:kern w:val="0"/>
                <w:sz w:val="24"/>
              </w:rPr>
            </w:pPr>
            <w:r>
              <w:rPr>
                <w:rFonts w:hint="eastAsia"/>
                <w:kern w:val="0"/>
                <w:sz w:val="24"/>
              </w:rPr>
              <w:t>控制</w:t>
            </w:r>
          </w:p>
          <w:p>
            <w:pPr>
              <w:adjustRightInd w:val="0"/>
              <w:snapToGrid w:val="0"/>
              <w:jc w:val="center"/>
              <w:rPr>
                <w:kern w:val="0"/>
                <w:sz w:val="24"/>
              </w:rPr>
            </w:pPr>
            <w:r>
              <w:rPr>
                <w:rFonts w:hint="eastAsia"/>
                <w:kern w:val="0"/>
                <w:sz w:val="24"/>
              </w:rPr>
              <w:t>指标</w:t>
            </w:r>
          </w:p>
        </w:tc>
        <w:tc>
          <w:tcPr>
            <w:tcW w:w="8190" w:type="dxa"/>
            <w:tcBorders>
              <w:bottom w:val="single" w:color="auto" w:sz="8" w:space="0"/>
            </w:tcBorders>
            <w:vAlign w:val="center"/>
          </w:tcPr>
          <w:p>
            <w:pPr>
              <w:adjustRightInd w:val="0"/>
              <w:snapToGrid w:val="0"/>
              <w:spacing w:line="360" w:lineRule="auto"/>
              <w:ind w:firstLine="480" w:firstLineChars="200"/>
              <w:jc w:val="left"/>
              <w:rPr>
                <w:bCs/>
                <w:sz w:val="24"/>
              </w:rPr>
            </w:pPr>
            <w:r>
              <w:rPr>
                <w:rFonts w:hint="eastAsia"/>
                <w:bCs/>
                <w:sz w:val="24"/>
              </w:rPr>
              <w:t>按照陕西省及西安市</w:t>
            </w:r>
            <w:r>
              <w:rPr>
                <w:bCs/>
                <w:sz w:val="24"/>
              </w:rPr>
              <w:t>“</w:t>
            </w:r>
            <w:r>
              <w:rPr>
                <w:rFonts w:hint="eastAsia"/>
                <w:bCs/>
                <w:sz w:val="24"/>
              </w:rPr>
              <w:t>十四五</w:t>
            </w:r>
            <w:r>
              <w:rPr>
                <w:bCs/>
                <w:sz w:val="24"/>
              </w:rPr>
              <w:t>”</w:t>
            </w:r>
            <w:r>
              <w:rPr>
                <w:rFonts w:hint="eastAsia"/>
                <w:bCs/>
                <w:sz w:val="24"/>
              </w:rPr>
              <w:t>生态环境保护规划确定污染物为：化学需氧量、氨氮、氮氧化物及</w:t>
            </w:r>
            <w:r>
              <w:rPr>
                <w:bCs/>
                <w:sz w:val="24"/>
              </w:rPr>
              <w:t>VOC</w:t>
            </w:r>
            <w:r>
              <w:rPr>
                <w:bCs/>
                <w:sz w:val="24"/>
                <w:vertAlign w:val="subscript"/>
              </w:rPr>
              <w:t>S</w:t>
            </w:r>
            <w:r>
              <w:rPr>
                <w:rFonts w:hint="eastAsia"/>
                <w:bCs/>
                <w:sz w:val="24"/>
              </w:rPr>
              <w:t>。根据《固定污染源排污许可分类管理名录》（</w:t>
            </w:r>
            <w:r>
              <w:rPr>
                <w:bCs/>
                <w:sz w:val="24"/>
              </w:rPr>
              <w:t>2019</w:t>
            </w:r>
            <w:r>
              <w:rPr>
                <w:rFonts w:hint="eastAsia"/>
                <w:bCs/>
                <w:sz w:val="24"/>
              </w:rPr>
              <w:t>年版）本项目属于登记管理。</w:t>
            </w:r>
          </w:p>
          <w:p>
            <w:pPr>
              <w:adjustRightInd w:val="0"/>
              <w:snapToGrid w:val="0"/>
              <w:spacing w:line="360" w:lineRule="auto"/>
              <w:ind w:firstLine="480" w:firstLineChars="200"/>
              <w:jc w:val="left"/>
              <w:rPr>
                <w:kern w:val="0"/>
                <w:szCs w:val="21"/>
              </w:rPr>
            </w:pPr>
            <w:r>
              <w:rPr>
                <w:rFonts w:hint="eastAsia"/>
                <w:bCs/>
                <w:sz w:val="24"/>
              </w:rPr>
              <w:t>综上，本项目建议的总量控制指标为</w:t>
            </w:r>
            <w:r>
              <w:rPr>
                <w:bCs/>
                <w:sz w:val="24"/>
              </w:rPr>
              <w:t>VOCs</w:t>
            </w:r>
            <w:r>
              <w:rPr>
                <w:rFonts w:hint="eastAsia"/>
                <w:bCs/>
                <w:sz w:val="24"/>
              </w:rPr>
              <w:t>（以非甲烷总烃计）：</w:t>
            </w:r>
            <w:r>
              <w:rPr>
                <w:bCs/>
                <w:sz w:val="24"/>
              </w:rPr>
              <w:t>0.543t/a</w:t>
            </w:r>
            <w:r>
              <w:rPr>
                <w:rFonts w:hint="eastAsia"/>
                <w:bCs/>
                <w:sz w:val="24"/>
              </w:rPr>
              <w:t>；</w:t>
            </w:r>
            <w:r>
              <w:rPr>
                <w:bCs/>
                <w:sz w:val="24"/>
              </w:rPr>
              <w:t>SO</w:t>
            </w:r>
            <w:r>
              <w:rPr>
                <w:bCs/>
                <w:sz w:val="24"/>
                <w:vertAlign w:val="subscript"/>
              </w:rPr>
              <w:t>2</w:t>
            </w:r>
            <w:r>
              <w:rPr>
                <w:rFonts w:hint="eastAsia"/>
                <w:bCs/>
                <w:sz w:val="24"/>
              </w:rPr>
              <w:t>：</w:t>
            </w:r>
            <w:r>
              <w:rPr>
                <w:bCs/>
                <w:sz w:val="24"/>
              </w:rPr>
              <w:t>0.026t/a</w:t>
            </w:r>
            <w:r>
              <w:rPr>
                <w:rFonts w:hint="eastAsia"/>
                <w:bCs/>
                <w:sz w:val="24"/>
              </w:rPr>
              <w:t>、</w:t>
            </w:r>
            <w:r>
              <w:rPr>
                <w:bCs/>
                <w:sz w:val="24"/>
              </w:rPr>
              <w:t>NO</w:t>
            </w:r>
            <w:r>
              <w:rPr>
                <w:bCs/>
                <w:sz w:val="24"/>
                <w:vertAlign w:val="subscript"/>
              </w:rPr>
              <w:t>X</w:t>
            </w:r>
            <w:r>
              <w:rPr>
                <w:rFonts w:hint="eastAsia"/>
                <w:bCs/>
                <w:sz w:val="24"/>
              </w:rPr>
              <w:t>：</w:t>
            </w:r>
            <w:r>
              <w:rPr>
                <w:bCs/>
                <w:sz w:val="24"/>
              </w:rPr>
              <w:t>0.391t/a</w:t>
            </w:r>
            <w:r>
              <w:rPr>
                <w:rFonts w:hint="eastAsia"/>
                <w:bCs/>
                <w:sz w:val="24"/>
              </w:rPr>
              <w:t>。</w:t>
            </w:r>
            <w:r>
              <w:rPr>
                <w:bCs/>
                <w:sz w:val="24"/>
              </w:rPr>
              <w:t>COD</w:t>
            </w:r>
            <w:r>
              <w:rPr>
                <w:rFonts w:hint="eastAsia"/>
                <w:bCs/>
                <w:sz w:val="24"/>
              </w:rPr>
              <w:t>和氨氮排放量分别为</w:t>
            </w:r>
            <w:r>
              <w:rPr>
                <w:bCs/>
                <w:sz w:val="24"/>
              </w:rPr>
              <w:t>0.161t/a</w:t>
            </w:r>
            <w:r>
              <w:rPr>
                <w:rFonts w:hint="eastAsia"/>
                <w:bCs/>
                <w:sz w:val="24"/>
              </w:rPr>
              <w:t>、</w:t>
            </w:r>
            <w:r>
              <w:rPr>
                <w:bCs/>
                <w:sz w:val="24"/>
              </w:rPr>
              <w:t>0.024t/a</w:t>
            </w:r>
            <w:r>
              <w:rPr>
                <w:rFonts w:hint="eastAsia"/>
                <w:sz w:val="24"/>
              </w:rPr>
              <w:t>，总量指标已纳入鄠邑区第二污水处理厂水污染物总量控制指标，</w:t>
            </w:r>
            <w:r>
              <w:rPr>
                <w:sz w:val="24"/>
              </w:rPr>
              <w:t>COD</w:t>
            </w:r>
            <w:r>
              <w:rPr>
                <w:rFonts w:hint="eastAsia"/>
                <w:sz w:val="24"/>
              </w:rPr>
              <w:t>、氨氮不单独申请总量指标。</w:t>
            </w:r>
          </w:p>
        </w:tc>
      </w:tr>
    </w:tbl>
    <w:p>
      <w:pPr>
        <w:pStyle w:val="16"/>
        <w:jc w:val="center"/>
        <w:outlineLvl w:val="0"/>
        <w:rPr>
          <w:rFonts w:ascii="Times New Roman" w:hAnsi="Times New Roman" w:eastAsia="黑体"/>
          <w:snapToGrid w:val="0"/>
          <w:sz w:val="36"/>
          <w:szCs w:val="36"/>
        </w:rPr>
        <w:sectPr>
          <w:pgSz w:w="11907" w:h="16840"/>
          <w:pgMar w:top="1417" w:right="1417" w:bottom="1417" w:left="1417" w:header="851" w:footer="851" w:gutter="0"/>
          <w:cols w:space="720" w:num="1"/>
          <w:docGrid w:linePitch="312" w:charSpace="0"/>
        </w:sectPr>
      </w:pPr>
    </w:p>
    <w:p>
      <w:pPr>
        <w:pStyle w:val="2"/>
        <w:jc w:val="center"/>
      </w:pPr>
      <w:r>
        <w:rPr>
          <w:rFonts w:hint="eastAsia"/>
        </w:rPr>
        <w:t>四、主要环境影响和保护措施</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7"/>
        <w:gridCol w:w="89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9" w:hRule="atLeast"/>
          <w:jc w:val="center"/>
        </w:trPr>
        <w:tc>
          <w:tcPr>
            <w:tcW w:w="746" w:type="dxa"/>
            <w:tcBorders>
              <w:top w:val="single" w:color="auto" w:sz="8" w:space="0"/>
            </w:tcBorders>
            <w:tcMar>
              <w:left w:w="28" w:type="dxa"/>
              <w:right w:w="28" w:type="dxa"/>
            </w:tcMar>
            <w:vAlign w:val="center"/>
          </w:tcPr>
          <w:p>
            <w:pPr>
              <w:pStyle w:val="16"/>
              <w:spacing w:beforeAutospacing="0" w:afterAutospacing="0"/>
              <w:jc w:val="center"/>
              <w:rPr>
                <w:rFonts w:ascii="Times New Roman" w:hAnsi="Times New Roman"/>
                <w:kern w:val="2"/>
                <w:szCs w:val="24"/>
              </w:rPr>
            </w:pPr>
            <w:r>
              <w:rPr>
                <w:rFonts w:hint="eastAsia" w:ascii="Times New Roman" w:hAnsi="Times New Roman"/>
                <w:kern w:val="2"/>
                <w:szCs w:val="24"/>
              </w:rPr>
              <w:t>施工</w:t>
            </w:r>
          </w:p>
          <w:p>
            <w:pPr>
              <w:pStyle w:val="16"/>
              <w:spacing w:beforeAutospacing="0" w:afterAutospacing="0"/>
              <w:jc w:val="center"/>
              <w:rPr>
                <w:rFonts w:ascii="Times New Roman" w:hAnsi="Times New Roman"/>
                <w:kern w:val="2"/>
                <w:szCs w:val="24"/>
              </w:rPr>
            </w:pPr>
            <w:r>
              <w:rPr>
                <w:rFonts w:hint="eastAsia" w:ascii="Times New Roman" w:hAnsi="Times New Roman"/>
                <w:kern w:val="2"/>
                <w:szCs w:val="24"/>
              </w:rPr>
              <w:t>期环</w:t>
            </w:r>
          </w:p>
          <w:p>
            <w:pPr>
              <w:pStyle w:val="16"/>
              <w:spacing w:beforeAutospacing="0" w:afterAutospacing="0"/>
              <w:jc w:val="center"/>
              <w:rPr>
                <w:rFonts w:ascii="Times New Roman" w:hAnsi="Times New Roman"/>
                <w:kern w:val="2"/>
                <w:szCs w:val="24"/>
              </w:rPr>
            </w:pPr>
            <w:r>
              <w:rPr>
                <w:rFonts w:hint="eastAsia" w:ascii="Times New Roman" w:hAnsi="Times New Roman"/>
                <w:kern w:val="2"/>
                <w:szCs w:val="24"/>
              </w:rPr>
              <w:t>境保</w:t>
            </w:r>
          </w:p>
          <w:p>
            <w:pPr>
              <w:pStyle w:val="16"/>
              <w:spacing w:beforeAutospacing="0" w:afterAutospacing="0"/>
              <w:jc w:val="center"/>
              <w:rPr>
                <w:rFonts w:ascii="Times New Roman" w:hAnsi="Times New Roman"/>
                <w:kern w:val="2"/>
                <w:szCs w:val="24"/>
              </w:rPr>
            </w:pPr>
            <w:r>
              <w:rPr>
                <w:rFonts w:hint="eastAsia" w:ascii="Times New Roman" w:hAnsi="Times New Roman"/>
                <w:kern w:val="2"/>
                <w:szCs w:val="24"/>
              </w:rPr>
              <w:t>护措</w:t>
            </w:r>
          </w:p>
          <w:p>
            <w:pPr>
              <w:pStyle w:val="16"/>
              <w:spacing w:beforeAutospacing="0" w:afterAutospacing="0"/>
              <w:jc w:val="center"/>
              <w:rPr>
                <w:rFonts w:ascii="Times New Roman" w:hAnsi="Times New Roman"/>
                <w:bCs/>
                <w:kern w:val="2"/>
                <w:szCs w:val="24"/>
              </w:rPr>
            </w:pPr>
            <w:r>
              <w:rPr>
                <w:rFonts w:hint="eastAsia" w:ascii="Times New Roman" w:hAnsi="Times New Roman"/>
                <w:kern w:val="2"/>
                <w:szCs w:val="24"/>
              </w:rPr>
              <w:t>施</w:t>
            </w:r>
          </w:p>
        </w:tc>
        <w:tc>
          <w:tcPr>
            <w:tcW w:w="8162" w:type="dxa"/>
            <w:tcBorders>
              <w:top w:val="single" w:color="auto" w:sz="8" w:space="0"/>
            </w:tcBorders>
            <w:vAlign w:val="center"/>
          </w:tcPr>
          <w:p>
            <w:pPr>
              <w:adjustRightInd w:val="0"/>
              <w:snapToGrid w:val="0"/>
              <w:spacing w:line="360" w:lineRule="auto"/>
              <w:ind w:firstLine="480" w:firstLineChars="200"/>
              <w:jc w:val="left"/>
              <w:rPr>
                <w:bCs/>
                <w:sz w:val="24"/>
              </w:rPr>
            </w:pPr>
            <w:r>
              <w:rPr>
                <w:rFonts w:hint="eastAsia"/>
                <w:bCs/>
                <w:sz w:val="24"/>
              </w:rPr>
              <w:t>本项目位于沣京工业园，租赁西安沣京塑料制品有限公司空厂房进行生产建设，后续施工不涉及土建，主要为设备设施的购置及安装，施工量较小，施工期污染较小。施工期污染物主要为施工人员生活污水、施工噪声及施工固废。项目</w:t>
            </w:r>
            <w:r>
              <w:rPr>
                <w:rFonts w:hint="eastAsia"/>
                <w:kern w:val="0"/>
                <w:sz w:val="24"/>
              </w:rPr>
              <w:t>吸音棉生产线已建成，模内发泡生产线及轻质发泡生产线暂未建设线，施工期持续时间较短，对环境产生污染较小，本次不做施工期分析。</w:t>
            </w:r>
          </w:p>
          <w:p>
            <w:pPr>
              <w:adjustRightInd w:val="0"/>
              <w:snapToGrid w:val="0"/>
              <w:spacing w:line="360" w:lineRule="auto"/>
              <w:ind w:firstLine="480" w:firstLineChars="200"/>
              <w:jc w:val="left"/>
              <w:rPr>
                <w:bCs/>
                <w:spacing w:val="-10"/>
                <w:szCs w:val="21"/>
              </w:rPr>
            </w:pPr>
            <w:r>
              <w:rPr>
                <w:rFonts w:hint="eastAsia"/>
                <w:bCs/>
                <w:sz w:val="24"/>
              </w:rPr>
              <w:t>施工期人员生活污水依托厂区化粪池处理后经市政污水管网排至鄠邑区第二污水处理厂。施工期噪声主要为生产设备设施安装过程敲打噪声，加强施工人员管理，做到文明施工。施工期固废主要为废包装材料及生活垃圾，分类收集交由环卫部门统一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tcBorders>
              <w:bottom w:val="single" w:color="auto" w:sz="8" w:space="0"/>
            </w:tcBorders>
            <w:tcMar>
              <w:left w:w="28" w:type="dxa"/>
              <w:right w:w="28" w:type="dxa"/>
            </w:tcMar>
            <w:vAlign w:val="center"/>
          </w:tcPr>
          <w:p>
            <w:pPr>
              <w:adjustRightInd w:val="0"/>
              <w:snapToGrid w:val="0"/>
              <w:jc w:val="center"/>
              <w:rPr>
                <w:bCs/>
                <w:sz w:val="24"/>
              </w:rPr>
            </w:pPr>
            <w:r>
              <w:rPr>
                <w:rFonts w:hint="eastAsia"/>
                <w:bCs/>
                <w:sz w:val="24"/>
              </w:rPr>
              <w:t>运营</w:t>
            </w:r>
          </w:p>
          <w:p>
            <w:pPr>
              <w:adjustRightInd w:val="0"/>
              <w:snapToGrid w:val="0"/>
              <w:jc w:val="center"/>
              <w:rPr>
                <w:bCs/>
                <w:sz w:val="24"/>
              </w:rPr>
            </w:pPr>
            <w:r>
              <w:rPr>
                <w:rFonts w:hint="eastAsia"/>
                <w:bCs/>
                <w:sz w:val="24"/>
              </w:rPr>
              <w:t>期环</w:t>
            </w:r>
          </w:p>
          <w:p>
            <w:pPr>
              <w:adjustRightInd w:val="0"/>
              <w:snapToGrid w:val="0"/>
              <w:jc w:val="center"/>
              <w:rPr>
                <w:bCs/>
                <w:sz w:val="24"/>
              </w:rPr>
            </w:pPr>
            <w:r>
              <w:rPr>
                <w:rFonts w:hint="eastAsia"/>
                <w:bCs/>
                <w:sz w:val="24"/>
              </w:rPr>
              <w:t>境影</w:t>
            </w:r>
          </w:p>
          <w:p>
            <w:pPr>
              <w:adjustRightInd w:val="0"/>
              <w:snapToGrid w:val="0"/>
              <w:jc w:val="center"/>
              <w:rPr>
                <w:bCs/>
                <w:sz w:val="24"/>
              </w:rPr>
            </w:pPr>
            <w:r>
              <w:rPr>
                <w:rFonts w:hint="eastAsia"/>
                <w:bCs/>
                <w:sz w:val="24"/>
              </w:rPr>
              <w:t>响和</w:t>
            </w:r>
          </w:p>
          <w:p>
            <w:pPr>
              <w:adjustRightInd w:val="0"/>
              <w:snapToGrid w:val="0"/>
              <w:jc w:val="center"/>
              <w:rPr>
                <w:bCs/>
                <w:sz w:val="24"/>
              </w:rPr>
            </w:pPr>
            <w:r>
              <w:rPr>
                <w:rFonts w:hint="eastAsia"/>
                <w:bCs/>
                <w:sz w:val="24"/>
              </w:rPr>
              <w:t>保护</w:t>
            </w:r>
          </w:p>
          <w:p>
            <w:pPr>
              <w:adjustRightInd w:val="0"/>
              <w:snapToGrid w:val="0"/>
              <w:jc w:val="center"/>
              <w:rPr>
                <w:bCs/>
                <w:sz w:val="24"/>
              </w:rPr>
            </w:pPr>
            <w:r>
              <w:rPr>
                <w:rFonts w:hint="eastAsia"/>
                <w:bCs/>
                <w:sz w:val="24"/>
              </w:rPr>
              <w:t>措施</w:t>
            </w:r>
          </w:p>
        </w:tc>
        <w:tc>
          <w:tcPr>
            <w:tcW w:w="8162" w:type="dxa"/>
            <w:tcBorders>
              <w:bottom w:val="single" w:color="auto" w:sz="8" w:space="0"/>
            </w:tcBorders>
            <w:vAlign w:val="center"/>
          </w:tcPr>
          <w:p>
            <w:pPr>
              <w:adjustRightInd w:val="0"/>
              <w:snapToGrid w:val="0"/>
              <w:spacing w:line="360" w:lineRule="auto"/>
              <w:ind w:firstLine="482" w:firstLineChars="200"/>
              <w:jc w:val="left"/>
              <w:rPr>
                <w:bCs/>
                <w:sz w:val="24"/>
              </w:rPr>
            </w:pPr>
            <w:r>
              <w:rPr>
                <w:b/>
                <w:sz w:val="24"/>
              </w:rPr>
              <w:t>1</w:t>
            </w:r>
            <w:r>
              <w:rPr>
                <w:rFonts w:hint="eastAsia"/>
                <w:b/>
                <w:sz w:val="24"/>
              </w:rPr>
              <w:t>、废气</w:t>
            </w:r>
          </w:p>
          <w:p>
            <w:pPr>
              <w:adjustRightInd w:val="0"/>
              <w:snapToGrid w:val="0"/>
              <w:spacing w:line="360" w:lineRule="auto"/>
              <w:ind w:firstLine="480" w:firstLineChars="200"/>
              <w:jc w:val="left"/>
              <w:rPr>
                <w:sz w:val="24"/>
              </w:rPr>
            </w:pPr>
            <w:r>
              <w:rPr>
                <w:rFonts w:hint="eastAsia"/>
                <w:sz w:val="24"/>
              </w:rPr>
              <w:t>（</w:t>
            </w:r>
            <w:r>
              <w:rPr>
                <w:sz w:val="24"/>
              </w:rPr>
              <w:t>1</w:t>
            </w:r>
            <w:r>
              <w:rPr>
                <w:rFonts w:hint="eastAsia"/>
                <w:sz w:val="24"/>
              </w:rPr>
              <w:t>）污染工序及源强分析</w:t>
            </w:r>
          </w:p>
          <w:p>
            <w:pPr>
              <w:adjustRightInd w:val="0"/>
              <w:snapToGrid w:val="0"/>
              <w:spacing w:line="360" w:lineRule="auto"/>
              <w:ind w:firstLine="480" w:firstLineChars="200"/>
              <w:jc w:val="left"/>
              <w:rPr>
                <w:sz w:val="24"/>
              </w:rPr>
            </w:pPr>
            <w:r>
              <w:rPr>
                <w:rFonts w:hint="eastAsia"/>
                <w:sz w:val="24"/>
              </w:rPr>
              <w:t>本项目运营期产生的废气主要为吸音棉开松梳理工序粉尘，吸音棉生产线热熔定型、模内发泡生产线发泡熟化、轻质发泡生产线发泡熟化、复合及热压过程产生的有机废气（以非甲烷总烃计）。项目运营期废气产排情况见下表：</w:t>
            </w:r>
          </w:p>
          <w:p>
            <w:pPr>
              <w:adjustRightInd w:val="0"/>
              <w:snapToGrid w:val="0"/>
              <w:jc w:val="center"/>
              <w:rPr>
                <w:b/>
                <w:bCs/>
                <w:szCs w:val="21"/>
              </w:rPr>
            </w:pPr>
            <w:r>
              <w:rPr>
                <w:rFonts w:hint="eastAsia"/>
                <w:b/>
                <w:bCs/>
                <w:szCs w:val="21"/>
              </w:rPr>
              <w:t>表</w:t>
            </w:r>
            <w:r>
              <w:rPr>
                <w:b/>
                <w:bCs/>
                <w:szCs w:val="21"/>
              </w:rPr>
              <w:t xml:space="preserve">4-1  </w:t>
            </w:r>
            <w:r>
              <w:rPr>
                <w:rFonts w:hint="eastAsia"/>
                <w:b/>
                <w:bCs/>
                <w:szCs w:val="21"/>
              </w:rPr>
              <w:t>运营期废气产排情况一览表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549"/>
              <w:gridCol w:w="769"/>
              <w:gridCol w:w="1089"/>
              <w:gridCol w:w="920"/>
              <w:gridCol w:w="667"/>
              <w:gridCol w:w="1123"/>
              <w:gridCol w:w="768"/>
              <w:gridCol w:w="1088"/>
              <w:gridCol w:w="9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atLeast"/>
              </w:trPr>
              <w:tc>
                <w:tcPr>
                  <w:tcW w:w="442" w:type="pct"/>
                  <w:vMerge w:val="restar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
                      <w:spacing w:val="-17"/>
                      <w:szCs w:val="21"/>
                    </w:rPr>
                  </w:pPr>
                  <w:r>
                    <w:rPr>
                      <w:rFonts w:hint="eastAsia"/>
                      <w:b/>
                      <w:spacing w:val="-17"/>
                      <w:szCs w:val="21"/>
                    </w:rPr>
                    <w:t>污染源</w:t>
                  </w:r>
                </w:p>
              </w:tc>
              <w:tc>
                <w:tcPr>
                  <w:tcW w:w="316"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r>
                    <w:rPr>
                      <w:rFonts w:hint="eastAsia"/>
                      <w:b/>
                      <w:spacing w:val="-17"/>
                      <w:szCs w:val="21"/>
                    </w:rPr>
                    <w:t>污染物名称</w:t>
                  </w:r>
                </w:p>
              </w:tc>
              <w:tc>
                <w:tcPr>
                  <w:tcW w:w="1602" w:type="pct"/>
                  <w:gridSpan w:val="3"/>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r>
                    <w:rPr>
                      <w:rFonts w:hint="eastAsia"/>
                      <w:b/>
                      <w:spacing w:val="-17"/>
                      <w:szCs w:val="21"/>
                    </w:rPr>
                    <w:t>污染物产生情况</w:t>
                  </w:r>
                </w:p>
              </w:tc>
              <w:tc>
                <w:tcPr>
                  <w:tcW w:w="385"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r>
                    <w:rPr>
                      <w:rFonts w:hint="eastAsia"/>
                      <w:b/>
                      <w:spacing w:val="-17"/>
                      <w:szCs w:val="21"/>
                    </w:rPr>
                    <w:t>年运行时间</w:t>
                  </w:r>
                </w:p>
              </w:tc>
              <w:tc>
                <w:tcPr>
                  <w:tcW w:w="648"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r>
                    <w:rPr>
                      <w:rFonts w:hint="eastAsia"/>
                      <w:b/>
                      <w:spacing w:val="-17"/>
                      <w:szCs w:val="21"/>
                    </w:rPr>
                    <w:t>处理措施</w:t>
                  </w:r>
                </w:p>
              </w:tc>
              <w:tc>
                <w:tcPr>
                  <w:tcW w:w="1604" w:type="pct"/>
                  <w:gridSpan w:val="3"/>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
                      <w:spacing w:val="-17"/>
                      <w:szCs w:val="21"/>
                    </w:rPr>
                  </w:pPr>
                  <w:r>
                    <w:rPr>
                      <w:rFonts w:hint="eastAsia"/>
                      <w:b/>
                      <w:spacing w:val="-17"/>
                      <w:szCs w:val="21"/>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
                      <w:spacing w:val="-17"/>
                      <w:szCs w:val="21"/>
                    </w:rPr>
                  </w:pPr>
                </w:p>
              </w:tc>
              <w:tc>
                <w:tcPr>
                  <w:tcW w:w="31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r>
                    <w:rPr>
                      <w:rFonts w:hint="eastAsia"/>
                      <w:b/>
                      <w:spacing w:val="-17"/>
                      <w:szCs w:val="21"/>
                    </w:rPr>
                    <w:t>产生量（</w:t>
                  </w:r>
                  <w:r>
                    <w:rPr>
                      <w:b/>
                      <w:spacing w:val="-17"/>
                      <w:szCs w:val="21"/>
                    </w:rPr>
                    <w:t>t/a</w:t>
                  </w:r>
                  <w:r>
                    <w:rPr>
                      <w:rFonts w:hint="eastAsia"/>
                      <w:b/>
                      <w:spacing w:val="-17"/>
                      <w:szCs w:val="21"/>
                    </w:rPr>
                    <w:t>）</w:t>
                  </w:r>
                </w:p>
              </w:tc>
              <w:tc>
                <w:tcPr>
                  <w:tcW w:w="62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spacing w:val="-17"/>
                      <w:szCs w:val="21"/>
                    </w:rPr>
                  </w:pPr>
                  <w:r>
                    <w:rPr>
                      <w:rFonts w:hint="eastAsia"/>
                      <w:b/>
                      <w:spacing w:val="-17"/>
                      <w:szCs w:val="21"/>
                    </w:rPr>
                    <w:t>产生浓度（</w:t>
                  </w:r>
                  <w:r>
                    <w:rPr>
                      <w:b/>
                      <w:spacing w:val="-17"/>
                      <w:szCs w:val="21"/>
                    </w:rPr>
                    <w:t>mg/m</w:t>
                  </w:r>
                  <w:r>
                    <w:rPr>
                      <w:b/>
                      <w:spacing w:val="-17"/>
                      <w:szCs w:val="21"/>
                      <w:vertAlign w:val="superscript"/>
                    </w:rPr>
                    <w:t>3</w:t>
                  </w:r>
                  <w:r>
                    <w:rPr>
                      <w:rFonts w:hint="eastAsia"/>
                      <w:b/>
                      <w:spacing w:val="-17"/>
                      <w:szCs w:val="21"/>
                    </w:rPr>
                    <w:t>）</w:t>
                  </w:r>
                </w:p>
              </w:tc>
              <w:tc>
                <w:tcPr>
                  <w:tcW w:w="53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spacing w:val="-17"/>
                      <w:szCs w:val="21"/>
                    </w:rPr>
                  </w:pPr>
                  <w:r>
                    <w:rPr>
                      <w:rFonts w:hint="eastAsia"/>
                      <w:b/>
                      <w:spacing w:val="-17"/>
                      <w:szCs w:val="21"/>
                    </w:rPr>
                    <w:t>产生速率（</w:t>
                  </w:r>
                  <w:r>
                    <w:rPr>
                      <w:b/>
                      <w:spacing w:val="-17"/>
                      <w:szCs w:val="21"/>
                    </w:rPr>
                    <w:t>kg/h</w:t>
                  </w:r>
                  <w:r>
                    <w:rPr>
                      <w:rFonts w:hint="eastAsia"/>
                      <w:b/>
                      <w:spacing w:val="-17"/>
                      <w:szCs w:val="21"/>
                    </w:rPr>
                    <w:t>）</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pacing w:val="-17"/>
                      <w:szCs w:val="21"/>
                    </w:rPr>
                  </w:pPr>
                </w:p>
              </w:tc>
              <w:tc>
                <w:tcPr>
                  <w:tcW w:w="44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spacing w:val="-17"/>
                      <w:szCs w:val="21"/>
                    </w:rPr>
                  </w:pPr>
                  <w:r>
                    <w:rPr>
                      <w:rFonts w:hint="eastAsia"/>
                      <w:b/>
                      <w:spacing w:val="-17"/>
                      <w:szCs w:val="21"/>
                    </w:rPr>
                    <w:t>排放量（</w:t>
                  </w:r>
                  <w:r>
                    <w:rPr>
                      <w:b/>
                      <w:spacing w:val="-17"/>
                      <w:szCs w:val="21"/>
                    </w:rPr>
                    <w:t>t/a</w:t>
                  </w:r>
                  <w:r>
                    <w:rPr>
                      <w:rFonts w:hint="eastAsia"/>
                      <w:b/>
                      <w:spacing w:val="-17"/>
                      <w:szCs w:val="21"/>
                    </w:rPr>
                    <w:t>）</w:t>
                  </w:r>
                </w:p>
              </w:tc>
              <w:tc>
                <w:tcPr>
                  <w:tcW w:w="62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b/>
                      <w:spacing w:val="-17"/>
                      <w:szCs w:val="21"/>
                    </w:rPr>
                  </w:pPr>
                  <w:r>
                    <w:rPr>
                      <w:rFonts w:hint="eastAsia"/>
                      <w:b/>
                      <w:spacing w:val="-17"/>
                      <w:szCs w:val="21"/>
                    </w:rPr>
                    <w:t>排放浓度（</w:t>
                  </w:r>
                  <w:r>
                    <w:rPr>
                      <w:b/>
                      <w:spacing w:val="-17"/>
                      <w:szCs w:val="21"/>
                    </w:rPr>
                    <w:t>mg/m</w:t>
                  </w:r>
                  <w:r>
                    <w:rPr>
                      <w:b/>
                      <w:spacing w:val="-17"/>
                      <w:szCs w:val="21"/>
                      <w:vertAlign w:val="superscript"/>
                    </w:rPr>
                    <w:t>3</w:t>
                  </w:r>
                  <w:r>
                    <w:rPr>
                      <w:rFonts w:hint="eastAsia"/>
                      <w:b/>
                      <w:spacing w:val="-17"/>
                      <w:szCs w:val="21"/>
                    </w:rPr>
                    <w:t>）</w:t>
                  </w:r>
                </w:p>
              </w:tc>
              <w:tc>
                <w:tcPr>
                  <w:tcW w:w="532" w:type="pc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rPr>
                      <w:b/>
                      <w:spacing w:val="-17"/>
                      <w:szCs w:val="21"/>
                    </w:rPr>
                  </w:pPr>
                  <w:r>
                    <w:rPr>
                      <w:rFonts w:hint="eastAsia"/>
                      <w:b/>
                      <w:spacing w:val="-17"/>
                      <w:szCs w:val="21"/>
                    </w:rPr>
                    <w:t>排放速率（</w:t>
                  </w:r>
                  <w:r>
                    <w:rPr>
                      <w:b/>
                      <w:spacing w:val="-17"/>
                      <w:szCs w:val="21"/>
                    </w:rPr>
                    <w:t>kg/h</w:t>
                  </w:r>
                  <w:r>
                    <w:rPr>
                      <w:rFonts w:hint="eastAsia"/>
                      <w:b/>
                      <w:spacing w:val="-17"/>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DA001</w:t>
                  </w:r>
                </w:p>
              </w:tc>
              <w:tc>
                <w:tcPr>
                  <w:tcW w:w="3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rFonts w:hint="eastAsia"/>
                      <w:bCs/>
                      <w:spacing w:val="-17"/>
                      <w:szCs w:val="21"/>
                    </w:rPr>
                    <w:t>非甲烷总烃</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1.11</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15.86</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0.317</w:t>
                  </w:r>
                </w:p>
              </w:tc>
              <w:tc>
                <w:tcPr>
                  <w:tcW w:w="385"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3500h</w:t>
                  </w:r>
                </w:p>
              </w:tc>
              <w:tc>
                <w:tcPr>
                  <w:tcW w:w="648"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rFonts w:hint="eastAsia"/>
                      <w:bCs/>
                      <w:spacing w:val="-17"/>
                      <w:szCs w:val="21"/>
                    </w:rPr>
                    <w:t>集气管道或罩收集</w:t>
                  </w:r>
                  <w:r>
                    <w:rPr>
                      <w:bCs/>
                      <w:spacing w:val="-17"/>
                      <w:szCs w:val="21"/>
                    </w:rPr>
                    <w:t>+1</w:t>
                  </w:r>
                  <w:r>
                    <w:rPr>
                      <w:rFonts w:hint="eastAsia"/>
                      <w:bCs/>
                      <w:spacing w:val="-17"/>
                      <w:szCs w:val="21"/>
                    </w:rPr>
                    <w:t>套二级活性炭吸附装置（</w:t>
                  </w:r>
                  <w:r>
                    <w:rPr>
                      <w:bCs/>
                      <w:spacing w:val="-17"/>
                      <w:szCs w:val="21"/>
                    </w:rPr>
                    <w:t>TA001</w:t>
                  </w:r>
                  <w:r>
                    <w:rPr>
                      <w:rFonts w:hint="eastAsia"/>
                      <w:bCs/>
                      <w:spacing w:val="-17"/>
                      <w:szCs w:val="21"/>
                    </w:rPr>
                    <w:t>）</w:t>
                  </w:r>
                  <w:r>
                    <w:rPr>
                      <w:bCs/>
                      <w:spacing w:val="-17"/>
                      <w:szCs w:val="21"/>
                    </w:rPr>
                    <w:t>+1</w:t>
                  </w:r>
                  <w:r>
                    <w:rPr>
                      <w:rFonts w:hint="eastAsia"/>
                      <w:bCs/>
                      <w:spacing w:val="-17"/>
                      <w:szCs w:val="21"/>
                    </w:rPr>
                    <w:t>根</w:t>
                  </w:r>
                  <w:r>
                    <w:rPr>
                      <w:bCs/>
                      <w:spacing w:val="-17"/>
                      <w:szCs w:val="21"/>
                    </w:rPr>
                    <w:t>15m</w:t>
                  </w:r>
                  <w:r>
                    <w:rPr>
                      <w:rFonts w:hint="eastAsia"/>
                      <w:bCs/>
                      <w:spacing w:val="-17"/>
                      <w:szCs w:val="21"/>
                    </w:rPr>
                    <w:t>高排气筒（</w:t>
                  </w:r>
                  <w:r>
                    <w:rPr>
                      <w:bCs/>
                      <w:spacing w:val="-17"/>
                      <w:szCs w:val="21"/>
                    </w:rPr>
                    <w:t>DA001</w:t>
                  </w:r>
                  <w:r>
                    <w:rPr>
                      <w:rFonts w:hint="eastAsia"/>
                      <w:bCs/>
                      <w:spacing w:val="-17"/>
                      <w:szCs w:val="21"/>
                    </w:rPr>
                    <w:t>）</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0.333</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4.76</w:t>
                  </w:r>
                </w:p>
              </w:tc>
              <w:tc>
                <w:tcPr>
                  <w:tcW w:w="53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pacing w:val="-17"/>
                      <w:szCs w:val="21"/>
                    </w:rPr>
                  </w:pPr>
                  <w:r>
                    <w:rPr>
                      <w:bCs/>
                      <w:spacing w:val="-17"/>
                      <w:szCs w:val="21"/>
                    </w:rPr>
                    <w:t>0.095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7"/>
                      <w:szCs w:val="21"/>
                    </w:rPr>
                  </w:pPr>
                </w:p>
              </w:tc>
              <w:tc>
                <w:tcPr>
                  <w:tcW w:w="3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SO</w:t>
                  </w:r>
                  <w:r>
                    <w:rPr>
                      <w:bCs/>
                      <w:spacing w:val="-17"/>
                      <w:szCs w:val="21"/>
                      <w:vertAlign w:val="subscript"/>
                    </w:rPr>
                    <w:t>2</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napToGrid w:val="0"/>
                      <w:spacing w:val="-17"/>
                      <w:kern w:val="0"/>
                      <w:szCs w:val="21"/>
                    </w:rPr>
                    <w:t>0.026</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0.37</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0.007</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napToGrid w:val="0"/>
                      <w:spacing w:val="-17"/>
                      <w:kern w:val="0"/>
                      <w:szCs w:val="21"/>
                    </w:rPr>
                    <w:t>0.026</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0.37</w:t>
                  </w:r>
                </w:p>
              </w:tc>
              <w:tc>
                <w:tcPr>
                  <w:tcW w:w="53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pacing w:val="-17"/>
                      <w:szCs w:val="21"/>
                    </w:rPr>
                  </w:pPr>
                  <w:r>
                    <w:rPr>
                      <w:bCs/>
                      <w:spacing w:val="-17"/>
                      <w:szCs w:val="21"/>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7"/>
                      <w:szCs w:val="21"/>
                    </w:rPr>
                  </w:pPr>
                </w:p>
              </w:tc>
              <w:tc>
                <w:tcPr>
                  <w:tcW w:w="3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NO</w:t>
                  </w:r>
                  <w:r>
                    <w:rPr>
                      <w:bCs/>
                      <w:spacing w:val="-17"/>
                      <w:szCs w:val="21"/>
                      <w:vertAlign w:val="subscript"/>
                    </w:rPr>
                    <w:t>x</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0.391</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5.58</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0.112</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0.391</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5.58</w:t>
                  </w:r>
                </w:p>
              </w:tc>
              <w:tc>
                <w:tcPr>
                  <w:tcW w:w="53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pacing w:val="-17"/>
                      <w:szCs w:val="21"/>
                    </w:rPr>
                  </w:pPr>
                  <w:r>
                    <w:rPr>
                      <w:bCs/>
                      <w:spacing w:val="-17"/>
                      <w:szCs w:val="21"/>
                    </w:rPr>
                    <w:t>0.112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7"/>
                      <w:szCs w:val="21"/>
                    </w:rPr>
                  </w:pPr>
                </w:p>
              </w:tc>
              <w:tc>
                <w:tcPr>
                  <w:tcW w:w="3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rFonts w:hint="eastAsia"/>
                      <w:bCs/>
                      <w:spacing w:val="-17"/>
                      <w:szCs w:val="21"/>
                    </w:rPr>
                    <w:t>颗粒物</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napToGrid w:val="0"/>
                      <w:spacing w:val="-17"/>
                      <w:kern w:val="0"/>
                      <w:szCs w:val="21"/>
                    </w:rPr>
                    <w:t>0.026</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0.37</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0.007</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napToGrid w:val="0"/>
                      <w:spacing w:val="-17"/>
                      <w:kern w:val="0"/>
                      <w:szCs w:val="21"/>
                    </w:rPr>
                    <w:t>0.026</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0.37</w:t>
                  </w:r>
                </w:p>
              </w:tc>
              <w:tc>
                <w:tcPr>
                  <w:tcW w:w="53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pacing w:val="-17"/>
                      <w:szCs w:val="21"/>
                    </w:rPr>
                  </w:pPr>
                  <w:r>
                    <w:rPr>
                      <w:bCs/>
                      <w:spacing w:val="-17"/>
                      <w:szCs w:val="21"/>
                    </w:rPr>
                    <w:t>0.007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DA002</w:t>
                  </w:r>
                </w:p>
              </w:tc>
              <w:tc>
                <w:tcPr>
                  <w:tcW w:w="31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rFonts w:hint="eastAsia"/>
                      <w:bCs/>
                      <w:spacing w:val="-17"/>
                      <w:szCs w:val="21"/>
                    </w:rPr>
                    <w:t>颗粒物</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2.55</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182</w:t>
                  </w:r>
                </w:p>
              </w:tc>
              <w:tc>
                <w:tcPr>
                  <w:tcW w:w="5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0.73</w:t>
                  </w:r>
                </w:p>
              </w:tc>
              <w:tc>
                <w:tcPr>
                  <w:tcW w:w="38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rFonts w:hint="eastAsia"/>
                      <w:bCs/>
                      <w:spacing w:val="-17"/>
                      <w:szCs w:val="21"/>
                    </w:rPr>
                    <w:t>布袋除尘器（</w:t>
                  </w:r>
                  <w:r>
                    <w:rPr>
                      <w:bCs/>
                      <w:spacing w:val="-17"/>
                      <w:szCs w:val="21"/>
                    </w:rPr>
                    <w:t>TA002</w:t>
                  </w:r>
                  <w:r>
                    <w:rPr>
                      <w:rFonts w:hint="eastAsia"/>
                      <w:bCs/>
                      <w:spacing w:val="-17"/>
                      <w:szCs w:val="21"/>
                    </w:rPr>
                    <w:t>）</w:t>
                  </w:r>
                  <w:r>
                    <w:rPr>
                      <w:bCs/>
                      <w:spacing w:val="-17"/>
                      <w:szCs w:val="21"/>
                    </w:rPr>
                    <w:t>+15m</w:t>
                  </w:r>
                  <w:r>
                    <w:rPr>
                      <w:rFonts w:hint="eastAsia"/>
                      <w:bCs/>
                      <w:spacing w:val="-17"/>
                      <w:szCs w:val="21"/>
                    </w:rPr>
                    <w:t>排气筒（</w:t>
                  </w:r>
                  <w:r>
                    <w:rPr>
                      <w:bCs/>
                      <w:spacing w:val="-17"/>
                      <w:szCs w:val="21"/>
                    </w:rPr>
                    <w:t>DA002</w:t>
                  </w:r>
                  <w:r>
                    <w:rPr>
                      <w:rFonts w:hint="eastAsia"/>
                      <w:bCs/>
                      <w:spacing w:val="-17"/>
                      <w:szCs w:val="21"/>
                    </w:rPr>
                    <w:t>）</w:t>
                  </w:r>
                </w:p>
              </w:tc>
              <w:tc>
                <w:tcPr>
                  <w:tcW w:w="4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pacing w:val="-17"/>
                    </w:rPr>
                  </w:pPr>
                  <w:r>
                    <w:rPr>
                      <w:spacing w:val="-17"/>
                    </w:rPr>
                    <w:t>0.026</w:t>
                  </w:r>
                </w:p>
              </w:tc>
              <w:tc>
                <w:tcPr>
                  <w:tcW w:w="62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1.82</w:t>
                  </w:r>
                </w:p>
              </w:tc>
              <w:tc>
                <w:tcPr>
                  <w:tcW w:w="532"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bCs/>
                      <w:spacing w:val="-17"/>
                      <w:szCs w:val="21"/>
                    </w:rPr>
                  </w:pPr>
                  <w:r>
                    <w:rPr>
                      <w:bCs/>
                      <w:spacing w:val="-17"/>
                      <w:szCs w:val="21"/>
                    </w:rPr>
                    <w:t>0.0073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2"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pacing w:val="-17"/>
                      <w:szCs w:val="21"/>
                    </w:rPr>
                  </w:pPr>
                  <w:r>
                    <w:rPr>
                      <w:rFonts w:hint="eastAsia"/>
                      <w:bCs/>
                      <w:spacing w:val="-17"/>
                      <w:szCs w:val="21"/>
                    </w:rPr>
                    <w:t>生产车间</w:t>
                  </w:r>
                </w:p>
              </w:tc>
              <w:tc>
                <w:tcPr>
                  <w:tcW w:w="316"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rFonts w:hint="eastAsia"/>
                      <w:bCs/>
                      <w:spacing w:val="-17"/>
                      <w:szCs w:val="21"/>
                    </w:rPr>
                    <w:t>非甲烷总烃</w:t>
                  </w:r>
                </w:p>
              </w:tc>
              <w:tc>
                <w:tcPr>
                  <w:tcW w:w="443"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bCs/>
                      <w:spacing w:val="-17"/>
                      <w:szCs w:val="21"/>
                    </w:rPr>
                    <w:t>0.21</w:t>
                  </w:r>
                </w:p>
              </w:tc>
              <w:tc>
                <w:tcPr>
                  <w:tcW w:w="628"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bCs/>
                      <w:spacing w:val="-17"/>
                      <w:szCs w:val="21"/>
                    </w:rPr>
                    <w:t>/</w:t>
                  </w:r>
                </w:p>
              </w:tc>
              <w:tc>
                <w:tcPr>
                  <w:tcW w:w="531"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bCs/>
                      <w:spacing w:val="-17"/>
                      <w:szCs w:val="21"/>
                    </w:rPr>
                    <w:t>0.06</w:t>
                  </w:r>
                </w:p>
              </w:tc>
              <w:tc>
                <w:tcPr>
                  <w:tcW w:w="385" w:type="pct"/>
                  <w:vMerge w:val="continue"/>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p>
              </w:tc>
              <w:tc>
                <w:tcPr>
                  <w:tcW w:w="648"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bCs/>
                      <w:spacing w:val="-17"/>
                      <w:szCs w:val="21"/>
                    </w:rPr>
                    <w:t>/</w:t>
                  </w:r>
                </w:p>
              </w:tc>
              <w:tc>
                <w:tcPr>
                  <w:tcW w:w="443"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bCs/>
                      <w:spacing w:val="-17"/>
                      <w:szCs w:val="21"/>
                    </w:rPr>
                    <w:t>0.21</w:t>
                  </w:r>
                </w:p>
              </w:tc>
              <w:tc>
                <w:tcPr>
                  <w:tcW w:w="628"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7"/>
                      <w:szCs w:val="21"/>
                    </w:rPr>
                  </w:pPr>
                  <w:r>
                    <w:rPr>
                      <w:bCs/>
                      <w:spacing w:val="-17"/>
                      <w:szCs w:val="21"/>
                    </w:rPr>
                    <w:t>/</w:t>
                  </w:r>
                </w:p>
              </w:tc>
              <w:tc>
                <w:tcPr>
                  <w:tcW w:w="532" w:type="pct"/>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bCs/>
                      <w:spacing w:val="-17"/>
                      <w:szCs w:val="21"/>
                    </w:rPr>
                  </w:pPr>
                  <w:r>
                    <w:rPr>
                      <w:bCs/>
                      <w:spacing w:val="-17"/>
                      <w:szCs w:val="21"/>
                    </w:rPr>
                    <w:t>0.06</w:t>
                  </w:r>
                </w:p>
              </w:tc>
            </w:tr>
          </w:tbl>
          <w:p>
            <w:pPr>
              <w:adjustRightInd w:val="0"/>
              <w:snapToGrid w:val="0"/>
              <w:spacing w:line="360" w:lineRule="auto"/>
              <w:ind w:firstLine="480" w:firstLineChars="200"/>
              <w:jc w:val="left"/>
              <w:rPr>
                <w:bCs/>
                <w:sz w:val="24"/>
              </w:rPr>
            </w:pPr>
            <w:r>
              <w:rPr>
                <w:rFonts w:hint="eastAsia"/>
                <w:bCs/>
                <w:sz w:val="24"/>
              </w:rPr>
              <w:t>污染物具体核算依据如下：</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1 \* GB3 \* MERGEFORMAT </w:instrText>
            </w:r>
            <w:r>
              <w:rPr>
                <w:bCs/>
                <w:sz w:val="24"/>
              </w:rPr>
              <w:fldChar w:fldCharType="separate"/>
            </w:r>
            <w:r>
              <w:rPr>
                <w:rFonts w:hint="eastAsia" w:ascii="宋体" w:hAnsi="宋体" w:cs="宋体"/>
              </w:rPr>
              <w:t>①</w:t>
            </w:r>
            <w:r>
              <w:rPr>
                <w:bCs/>
                <w:sz w:val="24"/>
              </w:rPr>
              <w:fldChar w:fldCharType="end"/>
            </w:r>
            <w:r>
              <w:rPr>
                <w:rFonts w:hint="eastAsia"/>
                <w:bCs/>
                <w:sz w:val="24"/>
              </w:rPr>
              <w:t>吸音棉生产线热熔有机废气</w:t>
            </w:r>
          </w:p>
          <w:p>
            <w:pPr>
              <w:widowControl/>
              <w:adjustRightInd w:val="0"/>
              <w:snapToGrid w:val="0"/>
              <w:spacing w:line="360" w:lineRule="auto"/>
              <w:ind w:firstLine="480" w:firstLineChars="200"/>
              <w:jc w:val="left"/>
              <w:rPr>
                <w:kern w:val="0"/>
                <w:sz w:val="24"/>
              </w:rPr>
            </w:pPr>
            <w:r>
              <w:rPr>
                <w:rFonts w:hint="eastAsia"/>
                <w:kern w:val="0"/>
                <w:sz w:val="24"/>
              </w:rPr>
              <w:t>本项目吸音棉生产线使用的中空涤纶短纤维（主要成分</w:t>
            </w:r>
            <w:r>
              <w:rPr>
                <w:kern w:val="0"/>
                <w:sz w:val="24"/>
              </w:rPr>
              <w:t>PET</w:t>
            </w:r>
            <w:r>
              <w:rPr>
                <w:rFonts w:hint="eastAsia"/>
                <w:kern w:val="0"/>
                <w:sz w:val="24"/>
              </w:rPr>
              <w:t>）为外购新料，热熔烘箱温度为</w:t>
            </w:r>
            <w:r>
              <w:rPr>
                <w:kern w:val="0"/>
                <w:sz w:val="24"/>
              </w:rPr>
              <w:t>165</w:t>
            </w:r>
            <w:r>
              <w:rPr>
                <w:rFonts w:hint="eastAsia" w:ascii="宋体" w:hAnsi="宋体" w:cs="宋体"/>
                <w:kern w:val="0"/>
                <w:sz w:val="24"/>
              </w:rPr>
              <w:t>℃</w:t>
            </w:r>
            <w:r>
              <w:rPr>
                <w:rFonts w:hint="eastAsia"/>
                <w:kern w:val="0"/>
                <w:sz w:val="24"/>
              </w:rPr>
              <w:t>。根据物料理化性质，工作温度低于</w:t>
            </w:r>
            <w:r>
              <w:rPr>
                <w:kern w:val="0"/>
                <w:sz w:val="24"/>
              </w:rPr>
              <w:t>PET</w:t>
            </w:r>
            <w:r>
              <w:rPr>
                <w:rFonts w:hint="eastAsia"/>
                <w:kern w:val="0"/>
                <w:sz w:val="24"/>
              </w:rPr>
              <w:t>分解温度，在此温度下原料不发生分解，但由于高温使少量有机废气逸散出来，以非甲烷总烃计。</w:t>
            </w:r>
          </w:p>
          <w:p>
            <w:pPr>
              <w:widowControl/>
              <w:adjustRightInd w:val="0"/>
              <w:snapToGrid w:val="0"/>
              <w:spacing w:line="360" w:lineRule="auto"/>
              <w:ind w:firstLine="480" w:firstLineChars="200"/>
              <w:jc w:val="left"/>
              <w:rPr>
                <w:kern w:val="0"/>
                <w:sz w:val="24"/>
              </w:rPr>
            </w:pPr>
            <w:r>
              <w:rPr>
                <w:rFonts w:hint="eastAsia"/>
                <w:kern w:val="0"/>
                <w:sz w:val="24"/>
              </w:rPr>
              <w:t>对照《排污许可证申请与核发技术规范</w:t>
            </w:r>
            <w:r>
              <w:rPr>
                <w:kern w:val="0"/>
                <w:sz w:val="24"/>
              </w:rPr>
              <w:t xml:space="preserve"> </w:t>
            </w:r>
            <w:r>
              <w:rPr>
                <w:rFonts w:hint="eastAsia"/>
                <w:kern w:val="0"/>
                <w:sz w:val="24"/>
              </w:rPr>
              <w:t>汽车制造业》（</w:t>
            </w:r>
            <w:r>
              <w:rPr>
                <w:kern w:val="0"/>
                <w:sz w:val="24"/>
              </w:rPr>
              <w:t>HJ971-2018</w:t>
            </w:r>
            <w:r>
              <w:rPr>
                <w:rFonts w:hint="eastAsia"/>
                <w:kern w:val="0"/>
                <w:sz w:val="24"/>
              </w:rPr>
              <w:t>）树脂纤维加工产污环节、废气污染物及对应排放口类型一览表，污染物种类以非甲烷总烃作为挥发性有机物的综合控制标准。根据生态环境部《工业源产排污核算方法和系数手册》（</w:t>
            </w:r>
            <w:r>
              <w:rPr>
                <w:kern w:val="0"/>
                <w:sz w:val="24"/>
              </w:rPr>
              <w:t>2021</w:t>
            </w:r>
            <w:r>
              <w:rPr>
                <w:rFonts w:hint="eastAsia"/>
                <w:kern w:val="0"/>
                <w:sz w:val="24"/>
              </w:rPr>
              <w:t>年</w:t>
            </w:r>
            <w:r>
              <w:rPr>
                <w:kern w:val="0"/>
                <w:sz w:val="24"/>
              </w:rPr>
              <w:t>6</w:t>
            </w:r>
            <w:r>
              <w:rPr>
                <w:rFonts w:hint="eastAsia"/>
                <w:kern w:val="0"/>
                <w:sz w:val="24"/>
              </w:rPr>
              <w:t>月发布）</w:t>
            </w:r>
            <w:r>
              <w:rPr>
                <w:kern w:val="0"/>
                <w:sz w:val="24"/>
              </w:rPr>
              <w:t>218-</w:t>
            </w:r>
            <w:r>
              <w:rPr>
                <w:rFonts w:hint="eastAsia"/>
                <w:kern w:val="0"/>
                <w:sz w:val="24"/>
              </w:rPr>
              <w:t>机械行业系数手册</w:t>
            </w:r>
            <w:r>
              <w:rPr>
                <w:kern w:val="0"/>
                <w:sz w:val="24"/>
              </w:rPr>
              <w:t>-36-</w:t>
            </w:r>
            <w:r>
              <w:rPr>
                <w:rFonts w:hint="eastAsia"/>
                <w:kern w:val="0"/>
                <w:sz w:val="24"/>
              </w:rPr>
              <w:t>汽车制造业</w:t>
            </w:r>
            <w:r>
              <w:rPr>
                <w:kern w:val="0"/>
                <w:sz w:val="24"/>
              </w:rPr>
              <w:t>-08</w:t>
            </w:r>
            <w:r>
              <w:rPr>
                <w:rFonts w:hint="eastAsia"/>
                <w:kern w:val="0"/>
                <w:sz w:val="24"/>
              </w:rPr>
              <w:t>树脂纤维加工工段</w:t>
            </w:r>
            <w:r>
              <w:rPr>
                <w:kern w:val="0"/>
                <w:sz w:val="24"/>
              </w:rPr>
              <w:t>—</w:t>
            </w:r>
            <w:r>
              <w:rPr>
                <w:rFonts w:hint="eastAsia"/>
                <w:kern w:val="0"/>
                <w:sz w:val="24"/>
              </w:rPr>
              <w:t>注塑成型、吹塑成型、搪塑成型</w:t>
            </w:r>
            <w:r>
              <w:rPr>
                <w:kern w:val="0"/>
                <w:sz w:val="24"/>
              </w:rPr>
              <w:t>-</w:t>
            </w:r>
            <w:r>
              <w:rPr>
                <w:rFonts w:hint="eastAsia"/>
                <w:kern w:val="0"/>
                <w:sz w:val="24"/>
              </w:rPr>
              <w:t>挥发性有机物产污系数按</w:t>
            </w:r>
            <w:r>
              <w:rPr>
                <w:kern w:val="0"/>
                <w:sz w:val="24"/>
              </w:rPr>
              <w:t>1.2</w:t>
            </w:r>
            <w:r>
              <w:rPr>
                <w:rFonts w:hint="eastAsia"/>
                <w:kern w:val="0"/>
                <w:sz w:val="24"/>
              </w:rPr>
              <w:t>千克</w:t>
            </w:r>
            <w:r>
              <w:rPr>
                <w:kern w:val="0"/>
                <w:sz w:val="24"/>
              </w:rPr>
              <w:t>/</w:t>
            </w:r>
            <w:r>
              <w:rPr>
                <w:rFonts w:hint="eastAsia"/>
                <w:kern w:val="0"/>
                <w:sz w:val="24"/>
              </w:rPr>
              <w:t>吨</w:t>
            </w:r>
            <w:r>
              <w:rPr>
                <w:kern w:val="0"/>
                <w:sz w:val="24"/>
              </w:rPr>
              <w:t>-</w:t>
            </w:r>
            <w:r>
              <w:rPr>
                <w:rFonts w:hint="eastAsia"/>
                <w:kern w:val="0"/>
                <w:sz w:val="24"/>
              </w:rPr>
              <w:t>产原料计算，吸音棉生产线中空涤纶短纤维（</w:t>
            </w:r>
            <w:r>
              <w:rPr>
                <w:kern w:val="0"/>
                <w:sz w:val="24"/>
              </w:rPr>
              <w:t>PET</w:t>
            </w:r>
            <w:r>
              <w:rPr>
                <w:rFonts w:hint="eastAsia"/>
                <w:kern w:val="0"/>
                <w:sz w:val="24"/>
              </w:rPr>
              <w:t>）年使用量为</w:t>
            </w:r>
            <w:r>
              <w:rPr>
                <w:kern w:val="0"/>
                <w:sz w:val="24"/>
              </w:rPr>
              <w:t>430t</w:t>
            </w:r>
            <w:r>
              <w:rPr>
                <w:rFonts w:hint="eastAsia"/>
                <w:kern w:val="0"/>
                <w:sz w:val="24"/>
              </w:rPr>
              <w:t>，经计算，挥发性有机物（以非甲烷总烃计）产生量为</w:t>
            </w:r>
            <w:r>
              <w:rPr>
                <w:kern w:val="0"/>
                <w:sz w:val="24"/>
              </w:rPr>
              <w:t>0.516t/a</w:t>
            </w:r>
            <w:r>
              <w:rPr>
                <w:rFonts w:hint="eastAsia"/>
                <w:kern w:val="0"/>
                <w:sz w:val="24"/>
              </w:rPr>
              <w:t>。烘箱上方设置排气管道（集气效率按</w:t>
            </w:r>
            <w:r>
              <w:rPr>
                <w:kern w:val="0"/>
                <w:sz w:val="24"/>
              </w:rPr>
              <w:t>90%</w:t>
            </w:r>
            <w:r>
              <w:rPr>
                <w:rFonts w:hint="eastAsia"/>
                <w:kern w:val="0"/>
                <w:sz w:val="24"/>
              </w:rPr>
              <w:t>），热熔有机废气和天然气燃烧废气统一经烘箱上方设置排气管道收集后经</w:t>
            </w:r>
            <w:r>
              <w:rPr>
                <w:kern w:val="0"/>
                <w:sz w:val="24"/>
              </w:rPr>
              <w:t>1</w:t>
            </w:r>
            <w:r>
              <w:rPr>
                <w:rFonts w:hint="eastAsia"/>
                <w:kern w:val="0"/>
                <w:sz w:val="24"/>
              </w:rPr>
              <w:t>套二级活性炭吸附装置（</w:t>
            </w:r>
            <w:r>
              <w:rPr>
                <w:kern w:val="0"/>
                <w:sz w:val="24"/>
              </w:rPr>
              <w:t>TA001</w:t>
            </w:r>
            <w:r>
              <w:rPr>
                <w:rFonts w:hint="eastAsia"/>
                <w:kern w:val="0"/>
                <w:sz w:val="24"/>
              </w:rPr>
              <w:t>，处理效率</w:t>
            </w:r>
            <w:r>
              <w:rPr>
                <w:kern w:val="0"/>
                <w:sz w:val="24"/>
              </w:rPr>
              <w:t>70%</w:t>
            </w:r>
            <w:r>
              <w:rPr>
                <w:rFonts w:hint="eastAsia"/>
                <w:kern w:val="0"/>
                <w:sz w:val="24"/>
              </w:rPr>
              <w:t>）处理后通过</w:t>
            </w:r>
            <w:r>
              <w:rPr>
                <w:kern w:val="0"/>
                <w:sz w:val="24"/>
              </w:rPr>
              <w:t>1</w:t>
            </w:r>
            <w:r>
              <w:rPr>
                <w:rFonts w:hint="eastAsia"/>
                <w:kern w:val="0"/>
                <w:sz w:val="24"/>
              </w:rPr>
              <w:t>根</w:t>
            </w:r>
            <w:r>
              <w:rPr>
                <w:kern w:val="0"/>
                <w:sz w:val="24"/>
              </w:rPr>
              <w:t>15m</w:t>
            </w:r>
            <w:r>
              <w:rPr>
                <w:rFonts w:hint="eastAsia"/>
                <w:kern w:val="0"/>
                <w:sz w:val="24"/>
              </w:rPr>
              <w:t>高排气筒（</w:t>
            </w:r>
            <w:r>
              <w:rPr>
                <w:kern w:val="0"/>
                <w:sz w:val="24"/>
              </w:rPr>
              <w:t>DA001</w:t>
            </w:r>
            <w:r>
              <w:rPr>
                <w:rFonts w:hint="eastAsia"/>
                <w:kern w:val="0"/>
                <w:sz w:val="24"/>
              </w:rPr>
              <w:t>）排放。根据企业提供资料，吸音棉生产线年有效工作时间约</w:t>
            </w:r>
            <w:r>
              <w:rPr>
                <w:kern w:val="0"/>
                <w:sz w:val="24"/>
              </w:rPr>
              <w:t>3500h</w:t>
            </w:r>
            <w:r>
              <w:rPr>
                <w:rFonts w:hint="eastAsia"/>
                <w:kern w:val="0"/>
                <w:sz w:val="24"/>
              </w:rPr>
              <w:t>，风机风量为</w:t>
            </w:r>
            <w:r>
              <w:rPr>
                <w:kern w:val="0"/>
                <w:sz w:val="24"/>
              </w:rPr>
              <w:t>20000m</w:t>
            </w:r>
            <w:r>
              <w:rPr>
                <w:kern w:val="0"/>
                <w:sz w:val="24"/>
                <w:vertAlign w:val="superscript"/>
              </w:rPr>
              <w:t>3</w:t>
            </w:r>
            <w:r>
              <w:rPr>
                <w:kern w:val="0"/>
                <w:sz w:val="24"/>
              </w:rPr>
              <w:t>/h</w:t>
            </w:r>
            <w:r>
              <w:rPr>
                <w:rFonts w:hint="eastAsia"/>
                <w:kern w:val="0"/>
                <w:sz w:val="24"/>
              </w:rPr>
              <w:t>。</w:t>
            </w:r>
          </w:p>
          <w:p>
            <w:pPr>
              <w:widowControl/>
              <w:adjustRightInd w:val="0"/>
              <w:snapToGrid w:val="0"/>
              <w:spacing w:line="360" w:lineRule="auto"/>
              <w:ind w:firstLine="480" w:firstLineChars="200"/>
              <w:jc w:val="left"/>
              <w:rPr>
                <w:bCs/>
                <w:sz w:val="24"/>
              </w:rPr>
            </w:pPr>
            <w:r>
              <w:rPr>
                <w:bCs/>
                <w:sz w:val="24"/>
              </w:rPr>
              <w:fldChar w:fldCharType="begin"/>
            </w:r>
            <w:r>
              <w:rPr>
                <w:bCs/>
                <w:sz w:val="24"/>
              </w:rPr>
              <w:instrText xml:space="preserve"> = 2 \* GB3 \* MERGEFORMAT </w:instrText>
            </w:r>
            <w:r>
              <w:rPr>
                <w:bCs/>
                <w:sz w:val="24"/>
              </w:rPr>
              <w:fldChar w:fldCharType="separate"/>
            </w:r>
            <w:r>
              <w:rPr>
                <w:rFonts w:hint="eastAsia" w:ascii="宋体" w:hAnsi="宋体" w:cs="宋体"/>
              </w:rPr>
              <w:t>②</w:t>
            </w:r>
            <w:r>
              <w:rPr>
                <w:bCs/>
                <w:sz w:val="24"/>
              </w:rPr>
              <w:fldChar w:fldCharType="end"/>
            </w:r>
            <w:r>
              <w:rPr>
                <w:rFonts w:hint="eastAsia"/>
                <w:bCs/>
                <w:sz w:val="24"/>
              </w:rPr>
              <w:t>吸音棉生产线天然气燃烧废气</w:t>
            </w:r>
          </w:p>
          <w:p>
            <w:pPr>
              <w:pStyle w:val="35"/>
              <w:spacing w:line="360" w:lineRule="auto"/>
              <w:ind w:firstLine="480" w:firstLineChars="200"/>
              <w:rPr>
                <w:rFonts w:ascii="Times New Roman" w:eastAsia="宋体" w:cs="Times New Roman"/>
                <w:color w:val="auto"/>
              </w:rPr>
            </w:pPr>
            <w:r>
              <w:rPr>
                <w:rFonts w:hint="eastAsia" w:ascii="Times New Roman" w:cs="Times New Roman"/>
                <w:color w:val="auto"/>
              </w:rPr>
              <w:t>吸音棉热熔工序烘箱采用天然气燃烧直接加热，属于天然气热风炉的类型。配置</w:t>
            </w:r>
            <w:r>
              <w:rPr>
                <w:rFonts w:ascii="Times New Roman" w:cs="Times New Roman"/>
                <w:color w:val="auto"/>
              </w:rPr>
              <w:t>2</w:t>
            </w:r>
            <w:r>
              <w:rPr>
                <w:rFonts w:hint="eastAsia" w:ascii="Times New Roman" w:cs="Times New Roman"/>
                <w:color w:val="auto"/>
              </w:rPr>
              <w:t>个燃烧器，单个燃烧器天然气使用量为</w:t>
            </w:r>
            <w:r>
              <w:rPr>
                <w:rFonts w:ascii="Times New Roman" w:cs="Times New Roman"/>
                <w:color w:val="auto"/>
              </w:rPr>
              <w:t>24m</w:t>
            </w:r>
            <w:r>
              <w:rPr>
                <w:rFonts w:ascii="Times New Roman" w:cs="Times New Roman"/>
                <w:color w:val="auto"/>
                <w:vertAlign w:val="superscript"/>
              </w:rPr>
              <w:t>3</w:t>
            </w:r>
            <w:r>
              <w:rPr>
                <w:rFonts w:ascii="Times New Roman" w:cs="Times New Roman"/>
                <w:color w:val="auto"/>
              </w:rPr>
              <w:t>/h</w:t>
            </w:r>
            <w:r>
              <w:rPr>
                <w:rFonts w:hint="eastAsia" w:ascii="Times New Roman" w:cs="Times New Roman"/>
                <w:color w:val="auto"/>
              </w:rPr>
              <w:t>，则项目天然气用量</w:t>
            </w:r>
            <w:r>
              <w:rPr>
                <w:rFonts w:ascii="Times New Roman" w:cs="Times New Roman"/>
                <w:color w:val="auto"/>
              </w:rPr>
              <w:t>16.8</w:t>
            </w:r>
            <w:r>
              <w:rPr>
                <w:rFonts w:hint="eastAsia" w:ascii="Times New Roman" w:cs="Times New Roman"/>
                <w:color w:val="auto"/>
              </w:rPr>
              <w:t>万</w:t>
            </w:r>
            <w:r>
              <w:rPr>
                <w:rFonts w:ascii="Times New Roman" w:cs="Times New Roman"/>
                <w:color w:val="auto"/>
              </w:rPr>
              <w:t>Nm</w:t>
            </w:r>
            <w:r>
              <w:rPr>
                <w:rFonts w:ascii="Times New Roman" w:cs="Times New Roman"/>
                <w:color w:val="auto"/>
                <w:vertAlign w:val="superscript"/>
              </w:rPr>
              <w:t>3</w:t>
            </w:r>
            <w:r>
              <w:rPr>
                <w:rFonts w:ascii="Times New Roman" w:cs="Times New Roman"/>
                <w:color w:val="auto"/>
              </w:rPr>
              <w:t>/a</w:t>
            </w:r>
            <w:r>
              <w:rPr>
                <w:rFonts w:hint="eastAsia" w:ascii="Times New Roman" w:cs="Times New Roman"/>
                <w:color w:val="auto"/>
              </w:rPr>
              <w:t>。根据《排污许可证申请与核发技术规范</w:t>
            </w:r>
            <w:r>
              <w:rPr>
                <w:rFonts w:ascii="Times New Roman" w:cs="Times New Roman"/>
                <w:color w:val="auto"/>
              </w:rPr>
              <w:t xml:space="preserve"> </w:t>
            </w:r>
            <w:r>
              <w:rPr>
                <w:rFonts w:hint="eastAsia" w:ascii="Times New Roman" w:cs="Times New Roman"/>
                <w:color w:val="auto"/>
              </w:rPr>
              <w:t>工业炉窑》（</w:t>
            </w:r>
            <w:r>
              <w:rPr>
                <w:rFonts w:ascii="Times New Roman" w:cs="Times New Roman"/>
                <w:color w:val="auto"/>
              </w:rPr>
              <w:t>HJ121-2020</w:t>
            </w:r>
            <w:r>
              <w:rPr>
                <w:rFonts w:hint="eastAsia" w:ascii="Times New Roman" w:cs="Times New Roman"/>
                <w:color w:val="auto"/>
              </w:rPr>
              <w:t>）中干燥炉（热风炉）的产污系数，本项目使用的天然气低位热值为</w:t>
            </w:r>
            <w:r>
              <w:rPr>
                <w:rFonts w:ascii="Times New Roman" w:cs="Times New Roman"/>
                <w:color w:val="auto"/>
              </w:rPr>
              <w:t>32.28MJ/m</w:t>
            </w:r>
            <w:r>
              <w:rPr>
                <w:rFonts w:ascii="Times New Roman" w:cs="Times New Roman"/>
                <w:color w:val="auto"/>
                <w:vertAlign w:val="superscript"/>
              </w:rPr>
              <w:t>3</w:t>
            </w:r>
            <w:r>
              <w:rPr>
                <w:rFonts w:hint="eastAsia" w:ascii="Times New Roman" w:cs="Times New Roman"/>
                <w:color w:val="auto"/>
              </w:rPr>
              <w:t>（天然气监测报告详见附件</w:t>
            </w:r>
            <w:r>
              <w:rPr>
                <w:rFonts w:ascii="Times New Roman" w:cs="Times New Roman"/>
                <w:color w:val="auto"/>
              </w:rPr>
              <w:t>10</w:t>
            </w:r>
            <w:r>
              <w:rPr>
                <w:rFonts w:hint="eastAsia" w:ascii="Times New Roman" w:cs="Times New Roman"/>
                <w:color w:val="auto"/>
              </w:rPr>
              <w:t>），</w:t>
            </w:r>
            <w:r>
              <w:rPr>
                <w:rFonts w:hint="eastAsia"/>
                <w:color w:val="auto"/>
              </w:rPr>
              <w:t>烘箱</w:t>
            </w:r>
            <w:r>
              <w:rPr>
                <w:rFonts w:hint="eastAsia" w:ascii="Times New Roman" w:cs="Times New Roman"/>
                <w:color w:val="auto"/>
              </w:rPr>
              <w:t>天然气燃烧废气产生系数为：颗粒物</w:t>
            </w:r>
            <w:r>
              <w:rPr>
                <w:rFonts w:ascii="Times New Roman" w:cs="Times New Roman"/>
                <w:color w:val="auto"/>
              </w:rPr>
              <w:t>0.155g/m</w:t>
            </w:r>
            <w:r>
              <w:rPr>
                <w:rFonts w:ascii="Times New Roman" w:cs="Times New Roman"/>
                <w:color w:val="auto"/>
                <w:vertAlign w:val="superscript"/>
              </w:rPr>
              <w:t>3</w:t>
            </w:r>
            <w:r>
              <w:rPr>
                <w:rFonts w:hint="eastAsia" w:ascii="Times New Roman" w:cs="Times New Roman"/>
                <w:color w:val="auto"/>
              </w:rPr>
              <w:t>燃料、</w:t>
            </w:r>
            <w:r>
              <w:rPr>
                <w:rFonts w:ascii="Times New Roman" w:cs="Times New Roman"/>
                <w:color w:val="auto"/>
              </w:rPr>
              <w:t>SO</w:t>
            </w:r>
            <w:r>
              <w:rPr>
                <w:rFonts w:ascii="Times New Roman" w:cs="Times New Roman"/>
                <w:color w:val="auto"/>
                <w:vertAlign w:val="subscript"/>
              </w:rPr>
              <w:t>2</w:t>
            </w:r>
            <w:r>
              <w:rPr>
                <w:rFonts w:ascii="Times New Roman" w:cs="Times New Roman"/>
                <w:color w:val="auto"/>
              </w:rPr>
              <w:t>0.155g/m</w:t>
            </w:r>
            <w:r>
              <w:rPr>
                <w:rFonts w:ascii="Times New Roman" w:cs="Times New Roman"/>
                <w:color w:val="auto"/>
                <w:vertAlign w:val="superscript"/>
              </w:rPr>
              <w:t>3</w:t>
            </w:r>
            <w:r>
              <w:rPr>
                <w:rFonts w:hint="eastAsia" w:ascii="Times New Roman" w:cs="Times New Roman"/>
                <w:color w:val="auto"/>
              </w:rPr>
              <w:t>燃料、</w:t>
            </w:r>
            <w:r>
              <w:rPr>
                <w:rFonts w:ascii="Times New Roman" w:cs="Times New Roman"/>
                <w:color w:val="auto"/>
              </w:rPr>
              <w:t>NO</w:t>
            </w:r>
            <w:r>
              <w:rPr>
                <w:rFonts w:ascii="Times New Roman" w:cs="Times New Roman"/>
                <w:color w:val="auto"/>
                <w:vertAlign w:val="subscript"/>
              </w:rPr>
              <w:t>x</w:t>
            </w:r>
            <w:r>
              <w:rPr>
                <w:rFonts w:ascii="Times New Roman" w:cs="Times New Roman"/>
                <w:color w:val="auto"/>
              </w:rPr>
              <w:t>2.328g/m</w:t>
            </w:r>
            <w:r>
              <w:rPr>
                <w:rFonts w:ascii="Times New Roman" w:cs="Times New Roman"/>
                <w:color w:val="auto"/>
                <w:vertAlign w:val="superscript"/>
              </w:rPr>
              <w:t>3</w:t>
            </w:r>
            <w:r>
              <w:rPr>
                <w:rFonts w:hint="eastAsia" w:ascii="Times New Roman" w:cs="Times New Roman"/>
                <w:color w:val="auto"/>
              </w:rPr>
              <w:t>燃料，烘箱风机风量为</w:t>
            </w:r>
            <w:r>
              <w:rPr>
                <w:rFonts w:ascii="Times New Roman" w:cs="Times New Roman"/>
                <w:color w:val="auto"/>
              </w:rPr>
              <w:t>20000m</w:t>
            </w:r>
            <w:r>
              <w:rPr>
                <w:rFonts w:ascii="Times New Roman" w:cs="Times New Roman"/>
                <w:color w:val="auto"/>
                <w:vertAlign w:val="superscript"/>
              </w:rPr>
              <w:t>3</w:t>
            </w:r>
            <w:r>
              <w:rPr>
                <w:rFonts w:ascii="Times New Roman" w:cs="Times New Roman"/>
                <w:color w:val="auto"/>
              </w:rPr>
              <w:t>/h</w:t>
            </w:r>
            <w:r>
              <w:rPr>
                <w:rFonts w:hint="eastAsia" w:ascii="Times New Roman" w:cs="Times New Roman"/>
                <w:color w:val="auto"/>
              </w:rPr>
              <w:t>，产生的天然气燃烧废气与热熔定型工序有机废气统一经过二级活性炭吸附装置（</w:t>
            </w:r>
            <w:r>
              <w:rPr>
                <w:rFonts w:ascii="Times New Roman" w:cs="Times New Roman"/>
                <w:color w:val="auto"/>
              </w:rPr>
              <w:t>TA001</w:t>
            </w:r>
            <w:r>
              <w:rPr>
                <w:rFonts w:hint="eastAsia" w:ascii="Times New Roman" w:cs="Times New Roman"/>
                <w:color w:val="auto"/>
              </w:rPr>
              <w:t>）处理后经</w:t>
            </w:r>
            <w:r>
              <w:rPr>
                <w:rFonts w:ascii="Times New Roman" w:cs="Times New Roman"/>
                <w:color w:val="auto"/>
              </w:rPr>
              <w:t>15m</w:t>
            </w:r>
            <w:r>
              <w:rPr>
                <w:rFonts w:hint="eastAsia" w:ascii="Times New Roman" w:cs="Times New Roman"/>
                <w:color w:val="auto"/>
              </w:rPr>
              <w:t>排气筒（</w:t>
            </w:r>
            <w:r>
              <w:rPr>
                <w:rFonts w:ascii="Times New Roman" w:cs="Times New Roman"/>
                <w:color w:val="auto"/>
              </w:rPr>
              <w:t>DA001</w:t>
            </w:r>
            <w:r>
              <w:rPr>
                <w:rFonts w:hint="eastAsia" w:ascii="Times New Roman" w:cs="Times New Roman"/>
                <w:color w:val="auto"/>
              </w:rPr>
              <w:t>）排放。</w:t>
            </w:r>
          </w:p>
          <w:p>
            <w:pPr>
              <w:jc w:val="center"/>
              <w:rPr>
                <w:b/>
                <w:szCs w:val="21"/>
              </w:rPr>
            </w:pPr>
            <w:r>
              <w:rPr>
                <w:rFonts w:hint="eastAsia"/>
                <w:b/>
                <w:szCs w:val="21"/>
              </w:rPr>
              <w:t>表</w:t>
            </w:r>
            <w:r>
              <w:rPr>
                <w:b/>
                <w:szCs w:val="21"/>
              </w:rPr>
              <w:t xml:space="preserve">4-2   </w:t>
            </w:r>
            <w:r>
              <w:rPr>
                <w:rFonts w:hint="eastAsia"/>
                <w:b/>
                <w:szCs w:val="21"/>
              </w:rPr>
              <w:t>建设项目天然气消耗量及产污量</w:t>
            </w:r>
          </w:p>
          <w:tbl>
            <w:tblPr>
              <w:tblStyle w:val="1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42"/>
              <w:gridCol w:w="1227"/>
              <w:gridCol w:w="1118"/>
              <w:gridCol w:w="1141"/>
              <w:gridCol w:w="1165"/>
              <w:gridCol w:w="1434"/>
              <w:gridCol w:w="143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9" w:type="pct"/>
                  <w:tcBorders>
                    <w:top w:val="single" w:color="000000" w:sz="12" w:space="0"/>
                    <w:left w:val="single" w:color="000000" w:sz="12"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天然气用量</w:t>
                  </w:r>
                </w:p>
                <w:p>
                  <w:pPr>
                    <w:ind w:left="-105" w:leftChars="-50" w:right="-50"/>
                    <w:jc w:val="center"/>
                    <w:rPr>
                      <w:bCs/>
                      <w:snapToGrid w:val="0"/>
                      <w:kern w:val="0"/>
                      <w:szCs w:val="21"/>
                    </w:rPr>
                  </w:pPr>
                  <w:r>
                    <w:rPr>
                      <w:rFonts w:hint="eastAsia"/>
                      <w:bCs/>
                      <w:snapToGrid w:val="0"/>
                      <w:kern w:val="0"/>
                      <w:szCs w:val="21"/>
                    </w:rPr>
                    <w:t>（</w:t>
                  </w:r>
                  <w:r>
                    <w:rPr>
                      <w:bCs/>
                      <w:snapToGrid w:val="0"/>
                      <w:kern w:val="0"/>
                      <w:szCs w:val="21"/>
                    </w:rPr>
                    <w:t>m</w:t>
                  </w:r>
                  <w:r>
                    <w:rPr>
                      <w:bCs/>
                      <w:snapToGrid w:val="0"/>
                      <w:kern w:val="0"/>
                      <w:szCs w:val="21"/>
                      <w:vertAlign w:val="superscript"/>
                    </w:rPr>
                    <w:t>3</w:t>
                  </w:r>
                  <w:r>
                    <w:rPr>
                      <w:bCs/>
                      <w:snapToGrid w:val="0"/>
                      <w:kern w:val="0"/>
                      <w:szCs w:val="21"/>
                    </w:rPr>
                    <w:t>/a</w:t>
                  </w:r>
                  <w:r>
                    <w:rPr>
                      <w:rFonts w:hint="eastAsia"/>
                      <w:bCs/>
                      <w:snapToGrid w:val="0"/>
                      <w:kern w:val="0"/>
                      <w:szCs w:val="21"/>
                    </w:rPr>
                    <w:t>）</w:t>
                  </w:r>
                </w:p>
              </w:tc>
              <w:tc>
                <w:tcPr>
                  <w:tcW w:w="708" w:type="pct"/>
                  <w:tcBorders>
                    <w:top w:val="single" w:color="000000" w:sz="12"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污染物</w:t>
                  </w:r>
                </w:p>
              </w:tc>
              <w:tc>
                <w:tcPr>
                  <w:tcW w:w="645" w:type="pct"/>
                  <w:tcBorders>
                    <w:top w:val="single" w:color="000000" w:sz="12"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产生量</w:t>
                  </w:r>
                </w:p>
              </w:tc>
              <w:tc>
                <w:tcPr>
                  <w:tcW w:w="658" w:type="pct"/>
                  <w:tcBorders>
                    <w:top w:val="single" w:color="000000" w:sz="12"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产生浓度（</w:t>
                  </w:r>
                  <w:r>
                    <w:rPr>
                      <w:bCs/>
                      <w:snapToGrid w:val="0"/>
                      <w:kern w:val="0"/>
                      <w:szCs w:val="21"/>
                    </w:rPr>
                    <w:t>mg/m</w:t>
                  </w:r>
                  <w:r>
                    <w:rPr>
                      <w:bCs/>
                      <w:snapToGrid w:val="0"/>
                      <w:kern w:val="0"/>
                      <w:szCs w:val="21"/>
                      <w:vertAlign w:val="superscript"/>
                    </w:rPr>
                    <w:t>3</w:t>
                  </w:r>
                  <w:r>
                    <w:rPr>
                      <w:rFonts w:hint="eastAsia"/>
                      <w:bCs/>
                      <w:snapToGrid w:val="0"/>
                      <w:kern w:val="0"/>
                      <w:szCs w:val="21"/>
                    </w:rPr>
                    <w:t>）</w:t>
                  </w:r>
                </w:p>
              </w:tc>
              <w:tc>
                <w:tcPr>
                  <w:tcW w:w="672" w:type="pct"/>
                  <w:tcBorders>
                    <w:top w:val="single" w:color="000000" w:sz="12"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排放浓度（</w:t>
                  </w:r>
                  <w:r>
                    <w:rPr>
                      <w:bCs/>
                      <w:snapToGrid w:val="0"/>
                      <w:kern w:val="0"/>
                      <w:szCs w:val="21"/>
                    </w:rPr>
                    <w:t>mg/m</w:t>
                  </w:r>
                  <w:r>
                    <w:rPr>
                      <w:bCs/>
                      <w:snapToGrid w:val="0"/>
                      <w:kern w:val="0"/>
                      <w:szCs w:val="21"/>
                      <w:vertAlign w:val="superscript"/>
                    </w:rPr>
                    <w:t>3</w:t>
                  </w:r>
                  <w:r>
                    <w:rPr>
                      <w:rFonts w:hint="eastAsia"/>
                      <w:bCs/>
                      <w:snapToGrid w:val="0"/>
                      <w:kern w:val="0"/>
                      <w:szCs w:val="21"/>
                    </w:rPr>
                    <w:t>）</w:t>
                  </w:r>
                </w:p>
              </w:tc>
              <w:tc>
                <w:tcPr>
                  <w:tcW w:w="827" w:type="pct"/>
                  <w:tcBorders>
                    <w:top w:val="single" w:color="000000" w:sz="12"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排放标准（</w:t>
                  </w:r>
                  <w:r>
                    <w:rPr>
                      <w:bCs/>
                      <w:snapToGrid w:val="0"/>
                      <w:kern w:val="0"/>
                      <w:szCs w:val="21"/>
                    </w:rPr>
                    <w:t>mg/m</w:t>
                  </w:r>
                  <w:r>
                    <w:rPr>
                      <w:bCs/>
                      <w:snapToGrid w:val="0"/>
                      <w:kern w:val="0"/>
                      <w:szCs w:val="21"/>
                      <w:vertAlign w:val="superscript"/>
                    </w:rPr>
                    <w:t>3</w:t>
                  </w:r>
                  <w:r>
                    <w:rPr>
                      <w:rFonts w:hint="eastAsia"/>
                      <w:bCs/>
                      <w:snapToGrid w:val="0"/>
                      <w:kern w:val="0"/>
                      <w:szCs w:val="21"/>
                    </w:rPr>
                    <w:t>）</w:t>
                  </w:r>
                </w:p>
              </w:tc>
              <w:tc>
                <w:tcPr>
                  <w:tcW w:w="827" w:type="pct"/>
                  <w:tcBorders>
                    <w:top w:val="single" w:color="000000" w:sz="12" w:space="0"/>
                    <w:left w:val="single" w:color="000000" w:sz="4" w:space="0"/>
                    <w:bottom w:val="single" w:color="000000" w:sz="4" w:space="0"/>
                    <w:right w:val="single" w:color="000000" w:sz="12" w:space="0"/>
                  </w:tcBorders>
                  <w:vAlign w:val="center"/>
                </w:tcPr>
                <w:p>
                  <w:pPr>
                    <w:ind w:left="-105" w:leftChars="-50" w:right="-50"/>
                    <w:jc w:val="center"/>
                    <w:rPr>
                      <w:szCs w:val="21"/>
                    </w:rPr>
                  </w:pPr>
                  <w:r>
                    <w:rPr>
                      <w:rFonts w:hint="eastAsia"/>
                      <w:szCs w:val="21"/>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9" w:type="pct"/>
                  <w:vMerge w:val="restart"/>
                  <w:tcBorders>
                    <w:top w:val="single" w:color="000000" w:sz="4" w:space="0"/>
                    <w:left w:val="single" w:color="000000" w:sz="12"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168000</w:t>
                  </w:r>
                </w:p>
              </w:tc>
              <w:tc>
                <w:tcPr>
                  <w:tcW w:w="708"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工业废气量</w:t>
                  </w:r>
                </w:p>
              </w:tc>
              <w:tc>
                <w:tcPr>
                  <w:tcW w:w="645"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7</w:t>
                  </w:r>
                  <w:r>
                    <w:rPr>
                      <w:rFonts w:hint="eastAsia"/>
                      <w:bCs/>
                      <w:snapToGrid w:val="0"/>
                      <w:kern w:val="0"/>
                      <w:szCs w:val="21"/>
                    </w:rPr>
                    <w:t>×</w:t>
                  </w:r>
                  <w:r>
                    <w:rPr>
                      <w:bCs/>
                      <w:snapToGrid w:val="0"/>
                      <w:kern w:val="0"/>
                      <w:szCs w:val="21"/>
                    </w:rPr>
                    <w:t>10</w:t>
                  </w:r>
                  <w:r>
                    <w:rPr>
                      <w:bCs/>
                      <w:snapToGrid w:val="0"/>
                      <w:kern w:val="0"/>
                      <w:szCs w:val="21"/>
                      <w:vertAlign w:val="superscript"/>
                    </w:rPr>
                    <w:t>7</w:t>
                  </w:r>
                  <w:r>
                    <w:rPr>
                      <w:bCs/>
                      <w:snapToGrid w:val="0"/>
                      <w:kern w:val="0"/>
                      <w:szCs w:val="21"/>
                    </w:rPr>
                    <w:t>m</w:t>
                  </w:r>
                  <w:r>
                    <w:rPr>
                      <w:bCs/>
                      <w:snapToGrid w:val="0"/>
                      <w:kern w:val="0"/>
                      <w:szCs w:val="21"/>
                      <w:vertAlign w:val="superscript"/>
                    </w:rPr>
                    <w:t>3</w:t>
                  </w:r>
                  <w:r>
                    <w:rPr>
                      <w:bCs/>
                      <w:snapToGrid w:val="0"/>
                      <w:kern w:val="0"/>
                      <w:szCs w:val="21"/>
                    </w:rPr>
                    <w:t>/a</w:t>
                  </w:r>
                </w:p>
              </w:tc>
              <w:tc>
                <w:tcPr>
                  <w:tcW w:w="658"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w:t>
                  </w:r>
                </w:p>
              </w:tc>
              <w:tc>
                <w:tcPr>
                  <w:tcW w:w="672"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w:t>
                  </w:r>
                </w:p>
              </w:tc>
              <w:tc>
                <w:tcPr>
                  <w:tcW w:w="827"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w:t>
                  </w:r>
                </w:p>
              </w:tc>
              <w:tc>
                <w:tcPr>
                  <w:tcW w:w="827" w:type="pct"/>
                  <w:vMerge w:val="restart"/>
                  <w:tcBorders>
                    <w:top w:val="single" w:color="000000" w:sz="4" w:space="0"/>
                    <w:left w:val="single" w:color="000000" w:sz="4" w:space="0"/>
                    <w:bottom w:val="single" w:color="000000" w:sz="4" w:space="0"/>
                    <w:right w:val="single" w:color="000000" w:sz="12" w:space="0"/>
                  </w:tcBorders>
                  <w:vAlign w:val="center"/>
                </w:tcPr>
                <w:p>
                  <w:pPr>
                    <w:ind w:left="-105" w:leftChars="-50" w:right="-50"/>
                    <w:jc w:val="center"/>
                    <w:rPr>
                      <w:bCs/>
                      <w:snapToGrid w:val="0"/>
                      <w:kern w:val="0"/>
                      <w:szCs w:val="21"/>
                    </w:rPr>
                  </w:pPr>
                  <w:r>
                    <w:rPr>
                      <w:rFonts w:hint="eastAsia"/>
                      <w:szCs w:val="21"/>
                    </w:rPr>
                    <w:t>《工业炉窑大气污染综合治理方案》（环大气〔</w:t>
                  </w:r>
                  <w:r>
                    <w:rPr>
                      <w:szCs w:val="21"/>
                    </w:rPr>
                    <w:t>2019</w:t>
                  </w:r>
                  <w:r>
                    <w:rPr>
                      <w:rFonts w:hint="eastAsia"/>
                      <w:szCs w:val="21"/>
                    </w:rPr>
                    <w:t>〕</w:t>
                  </w:r>
                  <w:r>
                    <w:rPr>
                      <w:szCs w:val="21"/>
                    </w:rPr>
                    <w:t>56</w:t>
                  </w:r>
                  <w:r>
                    <w:rPr>
                      <w:rFonts w:hint="eastAsia"/>
                      <w:szCs w:val="21"/>
                    </w:rPr>
                    <w:t>号）中重点区域工业炉窑排放标准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9" w:type="pct"/>
                  <w:vMerge w:val="continue"/>
                  <w:tcBorders>
                    <w:top w:val="single" w:color="000000" w:sz="4" w:space="0"/>
                    <w:left w:val="single" w:color="000000" w:sz="12" w:space="0"/>
                    <w:bottom w:val="single" w:color="000000" w:sz="4" w:space="0"/>
                    <w:right w:val="single" w:color="000000" w:sz="4" w:space="0"/>
                  </w:tcBorders>
                  <w:vAlign w:val="center"/>
                </w:tcPr>
                <w:p>
                  <w:pPr>
                    <w:ind w:left="-105" w:leftChars="-50" w:right="-50"/>
                    <w:jc w:val="center"/>
                    <w:rPr>
                      <w:bCs/>
                      <w:snapToGrid w:val="0"/>
                      <w:kern w:val="0"/>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SO</w:t>
                  </w:r>
                  <w:r>
                    <w:rPr>
                      <w:bCs/>
                      <w:snapToGrid w:val="0"/>
                      <w:kern w:val="0"/>
                      <w:szCs w:val="21"/>
                      <w:vertAlign w:val="subscript"/>
                    </w:rPr>
                    <w:t>2</w:t>
                  </w:r>
                </w:p>
              </w:tc>
              <w:tc>
                <w:tcPr>
                  <w:tcW w:w="645"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0.026t/a</w:t>
                  </w:r>
                </w:p>
              </w:tc>
              <w:tc>
                <w:tcPr>
                  <w:tcW w:w="658"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0.37</w:t>
                  </w:r>
                </w:p>
              </w:tc>
              <w:tc>
                <w:tcPr>
                  <w:tcW w:w="672"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0.37</w:t>
                  </w:r>
                </w:p>
              </w:tc>
              <w:tc>
                <w:tcPr>
                  <w:tcW w:w="827"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200</w:t>
                  </w:r>
                </w:p>
              </w:tc>
              <w:tc>
                <w:tcPr>
                  <w:tcW w:w="827" w:type="pct"/>
                  <w:vMerge w:val="continue"/>
                  <w:tcBorders>
                    <w:top w:val="single" w:color="000000" w:sz="4" w:space="0"/>
                    <w:left w:val="single" w:color="000000" w:sz="4" w:space="0"/>
                    <w:bottom w:val="single" w:color="000000" w:sz="4" w:space="0"/>
                    <w:right w:val="single" w:color="000000" w:sz="12" w:space="0"/>
                  </w:tcBorders>
                  <w:vAlign w:val="center"/>
                </w:tcPr>
                <w:p>
                  <w:pPr>
                    <w:ind w:left="-105" w:leftChars="-50" w:right="-50"/>
                    <w:jc w:val="center"/>
                    <w:rPr>
                      <w:bCs/>
                      <w:snapToGrid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9" w:type="pct"/>
                  <w:vMerge w:val="continue"/>
                  <w:tcBorders>
                    <w:top w:val="single" w:color="000000" w:sz="4" w:space="0"/>
                    <w:left w:val="single" w:color="000000" w:sz="12" w:space="0"/>
                    <w:bottom w:val="single" w:color="000000" w:sz="4" w:space="0"/>
                    <w:right w:val="single" w:color="000000" w:sz="4" w:space="0"/>
                  </w:tcBorders>
                  <w:vAlign w:val="center"/>
                </w:tcPr>
                <w:p>
                  <w:pPr>
                    <w:ind w:left="-105" w:leftChars="-50" w:right="-50"/>
                    <w:jc w:val="center"/>
                    <w:rPr>
                      <w:bCs/>
                      <w:snapToGrid w:val="0"/>
                      <w:kern w:val="0"/>
                      <w:szCs w:val="21"/>
                    </w:rPr>
                  </w:pPr>
                </w:p>
              </w:tc>
              <w:tc>
                <w:tcPr>
                  <w:tcW w:w="708"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rFonts w:hint="eastAsia"/>
                      <w:bCs/>
                      <w:snapToGrid w:val="0"/>
                      <w:kern w:val="0"/>
                      <w:szCs w:val="21"/>
                    </w:rPr>
                    <w:t>颗粒物</w:t>
                  </w:r>
                </w:p>
              </w:tc>
              <w:tc>
                <w:tcPr>
                  <w:tcW w:w="645"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0.026t/a</w:t>
                  </w:r>
                </w:p>
              </w:tc>
              <w:tc>
                <w:tcPr>
                  <w:tcW w:w="658"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0.37</w:t>
                  </w:r>
                </w:p>
              </w:tc>
              <w:tc>
                <w:tcPr>
                  <w:tcW w:w="672"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0.37</w:t>
                  </w:r>
                </w:p>
              </w:tc>
              <w:tc>
                <w:tcPr>
                  <w:tcW w:w="827" w:type="pct"/>
                  <w:tcBorders>
                    <w:top w:val="single" w:color="000000" w:sz="4" w:space="0"/>
                    <w:left w:val="single" w:color="000000" w:sz="4" w:space="0"/>
                    <w:bottom w:val="single" w:color="000000" w:sz="4" w:space="0"/>
                    <w:right w:val="single" w:color="000000" w:sz="4" w:space="0"/>
                  </w:tcBorders>
                  <w:vAlign w:val="center"/>
                </w:tcPr>
                <w:p>
                  <w:pPr>
                    <w:ind w:left="-105" w:leftChars="-50" w:right="-50"/>
                    <w:jc w:val="center"/>
                    <w:rPr>
                      <w:bCs/>
                      <w:snapToGrid w:val="0"/>
                      <w:kern w:val="0"/>
                      <w:szCs w:val="21"/>
                    </w:rPr>
                  </w:pPr>
                  <w:r>
                    <w:rPr>
                      <w:bCs/>
                      <w:snapToGrid w:val="0"/>
                      <w:kern w:val="0"/>
                      <w:szCs w:val="21"/>
                    </w:rPr>
                    <w:t>30</w:t>
                  </w:r>
                </w:p>
              </w:tc>
              <w:tc>
                <w:tcPr>
                  <w:tcW w:w="827" w:type="pct"/>
                  <w:vMerge w:val="continue"/>
                  <w:tcBorders>
                    <w:top w:val="single" w:color="000000" w:sz="4" w:space="0"/>
                    <w:left w:val="single" w:color="000000" w:sz="4" w:space="0"/>
                    <w:bottom w:val="single" w:color="000000" w:sz="4" w:space="0"/>
                    <w:right w:val="single" w:color="000000" w:sz="12" w:space="0"/>
                  </w:tcBorders>
                  <w:vAlign w:val="center"/>
                </w:tcPr>
                <w:p>
                  <w:pPr>
                    <w:ind w:left="-105" w:leftChars="-50" w:right="-50"/>
                    <w:jc w:val="center"/>
                    <w:rPr>
                      <w:bCs/>
                      <w:snapToGrid w:val="0"/>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59" w:type="pct"/>
                  <w:vMerge w:val="continue"/>
                  <w:tcBorders>
                    <w:top w:val="single" w:color="000000" w:sz="4" w:space="0"/>
                    <w:left w:val="single" w:color="000000" w:sz="12" w:space="0"/>
                    <w:bottom w:val="single" w:color="000000" w:sz="12" w:space="0"/>
                    <w:right w:val="single" w:color="000000" w:sz="4" w:space="0"/>
                  </w:tcBorders>
                  <w:vAlign w:val="center"/>
                </w:tcPr>
                <w:p>
                  <w:pPr>
                    <w:ind w:left="-105" w:leftChars="-50" w:right="-50"/>
                    <w:jc w:val="center"/>
                    <w:rPr>
                      <w:bCs/>
                      <w:snapToGrid w:val="0"/>
                      <w:kern w:val="0"/>
                      <w:szCs w:val="21"/>
                    </w:rPr>
                  </w:pPr>
                </w:p>
              </w:tc>
              <w:tc>
                <w:tcPr>
                  <w:tcW w:w="708" w:type="pct"/>
                  <w:tcBorders>
                    <w:top w:val="single" w:color="000000" w:sz="4" w:space="0"/>
                    <w:left w:val="single" w:color="000000" w:sz="4" w:space="0"/>
                    <w:bottom w:val="single" w:color="000000" w:sz="12" w:space="0"/>
                    <w:right w:val="single" w:color="000000" w:sz="4" w:space="0"/>
                  </w:tcBorders>
                  <w:vAlign w:val="center"/>
                </w:tcPr>
                <w:p>
                  <w:pPr>
                    <w:ind w:left="-105" w:leftChars="-50" w:right="-50"/>
                    <w:jc w:val="center"/>
                    <w:rPr>
                      <w:bCs/>
                      <w:snapToGrid w:val="0"/>
                      <w:kern w:val="0"/>
                      <w:szCs w:val="21"/>
                    </w:rPr>
                  </w:pPr>
                  <w:r>
                    <w:rPr>
                      <w:bCs/>
                      <w:snapToGrid w:val="0"/>
                      <w:kern w:val="0"/>
                      <w:szCs w:val="21"/>
                    </w:rPr>
                    <w:t>NOx</w:t>
                  </w:r>
                </w:p>
              </w:tc>
              <w:tc>
                <w:tcPr>
                  <w:tcW w:w="645" w:type="pct"/>
                  <w:tcBorders>
                    <w:top w:val="single" w:color="000000" w:sz="4" w:space="0"/>
                    <w:left w:val="single" w:color="000000" w:sz="4" w:space="0"/>
                    <w:bottom w:val="single" w:color="000000" w:sz="12" w:space="0"/>
                    <w:right w:val="single" w:color="000000" w:sz="4" w:space="0"/>
                  </w:tcBorders>
                  <w:vAlign w:val="center"/>
                </w:tcPr>
                <w:p>
                  <w:pPr>
                    <w:ind w:left="-105" w:leftChars="-50" w:right="-50"/>
                    <w:jc w:val="center"/>
                    <w:rPr>
                      <w:bCs/>
                      <w:snapToGrid w:val="0"/>
                      <w:kern w:val="0"/>
                      <w:szCs w:val="21"/>
                    </w:rPr>
                  </w:pPr>
                  <w:r>
                    <w:rPr>
                      <w:bCs/>
                      <w:snapToGrid w:val="0"/>
                      <w:kern w:val="0"/>
                      <w:szCs w:val="21"/>
                    </w:rPr>
                    <w:t>0.391t/a</w:t>
                  </w:r>
                </w:p>
              </w:tc>
              <w:tc>
                <w:tcPr>
                  <w:tcW w:w="658" w:type="pct"/>
                  <w:tcBorders>
                    <w:top w:val="single" w:color="000000" w:sz="4" w:space="0"/>
                    <w:left w:val="single" w:color="000000" w:sz="4" w:space="0"/>
                    <w:bottom w:val="single" w:color="000000" w:sz="12" w:space="0"/>
                    <w:right w:val="single" w:color="000000" w:sz="4" w:space="0"/>
                  </w:tcBorders>
                  <w:vAlign w:val="center"/>
                </w:tcPr>
                <w:p>
                  <w:pPr>
                    <w:ind w:left="-105" w:leftChars="-50" w:right="-50"/>
                    <w:jc w:val="center"/>
                    <w:rPr>
                      <w:bCs/>
                      <w:snapToGrid w:val="0"/>
                      <w:kern w:val="0"/>
                      <w:szCs w:val="21"/>
                    </w:rPr>
                  </w:pPr>
                  <w:r>
                    <w:rPr>
                      <w:bCs/>
                      <w:snapToGrid w:val="0"/>
                      <w:kern w:val="0"/>
                      <w:szCs w:val="21"/>
                    </w:rPr>
                    <w:t>5.58</w:t>
                  </w:r>
                </w:p>
              </w:tc>
              <w:tc>
                <w:tcPr>
                  <w:tcW w:w="672" w:type="pct"/>
                  <w:tcBorders>
                    <w:top w:val="single" w:color="000000" w:sz="4" w:space="0"/>
                    <w:left w:val="single" w:color="000000" w:sz="4" w:space="0"/>
                    <w:bottom w:val="single" w:color="000000" w:sz="12" w:space="0"/>
                    <w:right w:val="single" w:color="000000" w:sz="4" w:space="0"/>
                  </w:tcBorders>
                  <w:vAlign w:val="center"/>
                </w:tcPr>
                <w:p>
                  <w:pPr>
                    <w:ind w:left="-105" w:leftChars="-50" w:right="-50"/>
                    <w:jc w:val="center"/>
                    <w:rPr>
                      <w:bCs/>
                      <w:snapToGrid w:val="0"/>
                      <w:kern w:val="0"/>
                      <w:szCs w:val="21"/>
                    </w:rPr>
                  </w:pPr>
                  <w:r>
                    <w:rPr>
                      <w:bCs/>
                      <w:snapToGrid w:val="0"/>
                      <w:kern w:val="0"/>
                      <w:szCs w:val="21"/>
                    </w:rPr>
                    <w:t>5.58</w:t>
                  </w:r>
                </w:p>
              </w:tc>
              <w:tc>
                <w:tcPr>
                  <w:tcW w:w="827" w:type="pct"/>
                  <w:tcBorders>
                    <w:top w:val="single" w:color="000000" w:sz="4" w:space="0"/>
                    <w:left w:val="single" w:color="000000" w:sz="4" w:space="0"/>
                    <w:bottom w:val="single" w:color="000000" w:sz="12" w:space="0"/>
                    <w:right w:val="single" w:color="000000" w:sz="4" w:space="0"/>
                  </w:tcBorders>
                  <w:vAlign w:val="center"/>
                </w:tcPr>
                <w:p>
                  <w:pPr>
                    <w:ind w:left="-105" w:leftChars="-50" w:right="-50"/>
                    <w:jc w:val="center"/>
                    <w:rPr>
                      <w:bCs/>
                      <w:snapToGrid w:val="0"/>
                      <w:kern w:val="0"/>
                      <w:szCs w:val="21"/>
                    </w:rPr>
                  </w:pPr>
                  <w:r>
                    <w:rPr>
                      <w:bCs/>
                      <w:snapToGrid w:val="0"/>
                      <w:kern w:val="0"/>
                      <w:szCs w:val="21"/>
                    </w:rPr>
                    <w:t>300</w:t>
                  </w:r>
                </w:p>
              </w:tc>
              <w:tc>
                <w:tcPr>
                  <w:tcW w:w="827" w:type="pct"/>
                  <w:vMerge w:val="continue"/>
                  <w:tcBorders>
                    <w:top w:val="single" w:color="000000" w:sz="4" w:space="0"/>
                    <w:left w:val="single" w:color="000000" w:sz="4" w:space="0"/>
                    <w:bottom w:val="single" w:color="000000" w:sz="12" w:space="0"/>
                    <w:right w:val="single" w:color="000000" w:sz="12" w:space="0"/>
                  </w:tcBorders>
                  <w:vAlign w:val="center"/>
                </w:tcPr>
                <w:p>
                  <w:pPr>
                    <w:ind w:left="-105" w:leftChars="-50" w:right="-50"/>
                    <w:jc w:val="center"/>
                    <w:rPr>
                      <w:bCs/>
                      <w:snapToGrid w:val="0"/>
                      <w:kern w:val="0"/>
                      <w:szCs w:val="21"/>
                    </w:rPr>
                  </w:pPr>
                </w:p>
              </w:tc>
            </w:tr>
          </w:tbl>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3 \* GB3 \* MERGEFORMAT </w:instrText>
            </w:r>
            <w:r>
              <w:rPr>
                <w:bCs/>
                <w:sz w:val="24"/>
              </w:rPr>
              <w:fldChar w:fldCharType="separate"/>
            </w:r>
            <w:r>
              <w:rPr>
                <w:rFonts w:hint="eastAsia" w:ascii="宋体" w:hAnsi="宋体" w:cs="宋体"/>
              </w:rPr>
              <w:t>③</w:t>
            </w:r>
            <w:r>
              <w:rPr>
                <w:bCs/>
                <w:sz w:val="24"/>
              </w:rPr>
              <w:fldChar w:fldCharType="end"/>
            </w:r>
            <w:r>
              <w:rPr>
                <w:rFonts w:hint="eastAsia"/>
                <w:bCs/>
                <w:sz w:val="24"/>
              </w:rPr>
              <w:t>发泡熟化、复合热压有机废气</w:t>
            </w:r>
          </w:p>
          <w:p>
            <w:pPr>
              <w:adjustRightInd w:val="0"/>
              <w:snapToGrid w:val="0"/>
              <w:spacing w:line="360" w:lineRule="auto"/>
              <w:ind w:firstLine="480" w:firstLineChars="200"/>
              <w:jc w:val="left"/>
              <w:rPr>
                <w:kern w:val="0"/>
                <w:sz w:val="24"/>
              </w:rPr>
            </w:pPr>
            <w:r>
              <w:rPr>
                <w:rFonts w:hint="eastAsia"/>
                <w:bCs/>
                <w:sz w:val="24"/>
              </w:rPr>
              <w:t>模内发泡及轻质发泡使用的主要原料为组合聚醚（</w:t>
            </w:r>
            <w:r>
              <w:rPr>
                <w:bCs/>
                <w:sz w:val="24"/>
              </w:rPr>
              <w:t>A</w:t>
            </w:r>
            <w:r>
              <w:rPr>
                <w:rFonts w:hint="eastAsia"/>
                <w:bCs/>
                <w:sz w:val="24"/>
              </w:rPr>
              <w:t>料）、改性异氰酸酯（</w:t>
            </w:r>
            <w:r>
              <w:rPr>
                <w:bCs/>
                <w:sz w:val="24"/>
              </w:rPr>
              <w:t>B</w:t>
            </w:r>
            <w:r>
              <w:rPr>
                <w:rFonts w:hint="eastAsia"/>
                <w:bCs/>
                <w:sz w:val="24"/>
              </w:rPr>
              <w:t>料），此外轻质发泡在发泡半成品表面须覆一层无纺布（主要成分</w:t>
            </w:r>
            <w:r>
              <w:rPr>
                <w:bCs/>
                <w:sz w:val="24"/>
              </w:rPr>
              <w:t>PET</w:t>
            </w:r>
            <w:r>
              <w:rPr>
                <w:rFonts w:hint="eastAsia"/>
                <w:bCs/>
                <w:sz w:val="24"/>
              </w:rPr>
              <w:t>），发泡过程不额外使用发泡剂。</w:t>
            </w:r>
            <w:r>
              <w:rPr>
                <w:rFonts w:hint="eastAsia"/>
                <w:kern w:val="0"/>
                <w:sz w:val="24"/>
              </w:rPr>
              <w:t>根据物料理化性质，工作温度均低于各原料分解温度，在此温度下原料不发生分解，但由于高温使少量有机废气逸散出来，以非甲烷总烃计。</w:t>
            </w:r>
          </w:p>
          <w:p>
            <w:pPr>
              <w:adjustRightInd w:val="0"/>
              <w:snapToGrid w:val="0"/>
              <w:spacing w:line="360" w:lineRule="auto"/>
              <w:ind w:firstLine="480" w:firstLineChars="200"/>
              <w:jc w:val="left"/>
              <w:rPr>
                <w:kern w:val="0"/>
                <w:sz w:val="24"/>
              </w:rPr>
            </w:pPr>
            <w:r>
              <w:rPr>
                <w:rFonts w:hint="eastAsia"/>
                <w:kern w:val="0"/>
                <w:sz w:val="24"/>
              </w:rPr>
              <w:t>对照《排污许可证申请与核发技术规范</w:t>
            </w:r>
            <w:r>
              <w:rPr>
                <w:kern w:val="0"/>
                <w:sz w:val="24"/>
              </w:rPr>
              <w:t xml:space="preserve"> </w:t>
            </w:r>
            <w:r>
              <w:rPr>
                <w:rFonts w:hint="eastAsia"/>
                <w:kern w:val="0"/>
                <w:sz w:val="24"/>
              </w:rPr>
              <w:t>汽车制造业》（</w:t>
            </w:r>
            <w:r>
              <w:rPr>
                <w:kern w:val="0"/>
                <w:sz w:val="24"/>
              </w:rPr>
              <w:t>HJ971-2018</w:t>
            </w:r>
            <w:r>
              <w:rPr>
                <w:rFonts w:hint="eastAsia"/>
                <w:kern w:val="0"/>
                <w:sz w:val="24"/>
              </w:rPr>
              <w:t>）树脂纤维加工产污环节、废气污染物及对应排放口类型一览表，污染物种类以非甲烷总烃作为挥发性有机物的综合控制标准。根据生态环境部《工业源产排污核算方法和系数手册》（</w:t>
            </w:r>
            <w:r>
              <w:rPr>
                <w:kern w:val="0"/>
                <w:sz w:val="24"/>
              </w:rPr>
              <w:t>2021</w:t>
            </w:r>
            <w:r>
              <w:rPr>
                <w:rFonts w:hint="eastAsia"/>
                <w:kern w:val="0"/>
                <w:sz w:val="24"/>
              </w:rPr>
              <w:t>年</w:t>
            </w:r>
            <w:r>
              <w:rPr>
                <w:kern w:val="0"/>
                <w:sz w:val="24"/>
              </w:rPr>
              <w:t>6</w:t>
            </w:r>
            <w:r>
              <w:rPr>
                <w:rFonts w:hint="eastAsia"/>
                <w:kern w:val="0"/>
                <w:sz w:val="24"/>
              </w:rPr>
              <w:t>月发布）</w:t>
            </w:r>
            <w:r>
              <w:rPr>
                <w:kern w:val="0"/>
                <w:sz w:val="24"/>
              </w:rPr>
              <w:t>36</w:t>
            </w:r>
            <w:r>
              <w:rPr>
                <w:rFonts w:hint="eastAsia"/>
                <w:kern w:val="0"/>
                <w:sz w:val="24"/>
              </w:rPr>
              <w:t>汽车制造业</w:t>
            </w:r>
            <w:r>
              <w:rPr>
                <w:kern w:val="0"/>
                <w:sz w:val="24"/>
              </w:rPr>
              <w:t>-08</w:t>
            </w:r>
            <w:r>
              <w:rPr>
                <w:rFonts w:hint="eastAsia"/>
                <w:kern w:val="0"/>
                <w:sz w:val="24"/>
              </w:rPr>
              <w:t>树脂纤维加工工段</w:t>
            </w:r>
            <w:r>
              <w:rPr>
                <w:kern w:val="0"/>
                <w:sz w:val="24"/>
              </w:rPr>
              <w:t>—</w:t>
            </w:r>
            <w:r>
              <w:rPr>
                <w:rFonts w:hint="eastAsia"/>
                <w:kern w:val="0"/>
                <w:sz w:val="24"/>
              </w:rPr>
              <w:t>注塑成型、吹塑成型、搪塑成型</w:t>
            </w:r>
            <w:r>
              <w:rPr>
                <w:kern w:val="0"/>
                <w:sz w:val="24"/>
              </w:rPr>
              <w:t>-</w:t>
            </w:r>
            <w:r>
              <w:rPr>
                <w:rFonts w:hint="eastAsia"/>
                <w:kern w:val="0"/>
                <w:sz w:val="24"/>
              </w:rPr>
              <w:t>挥发性有机物产污系数按</w:t>
            </w:r>
            <w:r>
              <w:rPr>
                <w:kern w:val="0"/>
                <w:sz w:val="24"/>
              </w:rPr>
              <w:t>1.2</w:t>
            </w:r>
            <w:r>
              <w:rPr>
                <w:rFonts w:hint="eastAsia"/>
                <w:kern w:val="0"/>
                <w:sz w:val="24"/>
              </w:rPr>
              <w:t>千克</w:t>
            </w:r>
            <w:r>
              <w:rPr>
                <w:kern w:val="0"/>
                <w:sz w:val="24"/>
              </w:rPr>
              <w:t>/</w:t>
            </w:r>
            <w:r>
              <w:rPr>
                <w:rFonts w:hint="eastAsia"/>
                <w:kern w:val="0"/>
                <w:sz w:val="24"/>
              </w:rPr>
              <w:t>吨</w:t>
            </w:r>
            <w:r>
              <w:rPr>
                <w:kern w:val="0"/>
                <w:sz w:val="24"/>
              </w:rPr>
              <w:t>-</w:t>
            </w:r>
            <w:r>
              <w:rPr>
                <w:rFonts w:hint="eastAsia"/>
                <w:kern w:val="0"/>
                <w:sz w:val="24"/>
              </w:rPr>
              <w:t>产原料计算，发泡工序原料年使用量为</w:t>
            </w:r>
            <w:r>
              <w:rPr>
                <w:kern w:val="0"/>
                <w:sz w:val="24"/>
              </w:rPr>
              <w:t>670t</w:t>
            </w:r>
            <w:r>
              <w:rPr>
                <w:rFonts w:hint="eastAsia"/>
                <w:kern w:val="0"/>
                <w:sz w:val="24"/>
              </w:rPr>
              <w:t>，经计算，挥发性有机物（以非甲烷总烃计）产生量为</w:t>
            </w:r>
            <w:r>
              <w:rPr>
                <w:kern w:val="0"/>
                <w:sz w:val="24"/>
              </w:rPr>
              <w:t>0.804t/a</w:t>
            </w:r>
            <w:r>
              <w:rPr>
                <w:rFonts w:hint="eastAsia"/>
                <w:kern w:val="0"/>
                <w:sz w:val="24"/>
              </w:rPr>
              <w:t>。在</w:t>
            </w:r>
            <w:r>
              <w:rPr>
                <w:kern w:val="0"/>
                <w:sz w:val="24"/>
              </w:rPr>
              <w:t>PU</w:t>
            </w:r>
            <w:r>
              <w:rPr>
                <w:rFonts w:hint="eastAsia"/>
                <w:kern w:val="0"/>
                <w:sz w:val="24"/>
              </w:rPr>
              <w:t>发泡机上方、复合机及热压成型机上方设置分别集气罩（采用顶吸式集气罩，集气罩距离设备小于</w:t>
            </w:r>
            <w:r>
              <w:rPr>
                <w:kern w:val="0"/>
                <w:sz w:val="24"/>
              </w:rPr>
              <w:t>0.5m</w:t>
            </w:r>
            <w:r>
              <w:rPr>
                <w:rFonts w:hint="eastAsia"/>
                <w:kern w:val="0"/>
                <w:sz w:val="24"/>
              </w:rPr>
              <w:t>，加装软帘，有机废气收集效率可达</w:t>
            </w:r>
            <w:r>
              <w:rPr>
                <w:kern w:val="0"/>
                <w:sz w:val="24"/>
              </w:rPr>
              <w:t>80%</w:t>
            </w:r>
            <w:r>
              <w:rPr>
                <w:rFonts w:hint="eastAsia"/>
                <w:kern w:val="0"/>
                <w:sz w:val="24"/>
              </w:rPr>
              <w:t>），收集的非甲烷总烃经二级活性炭吸附装置（</w:t>
            </w:r>
            <w:r>
              <w:rPr>
                <w:kern w:val="0"/>
                <w:sz w:val="24"/>
              </w:rPr>
              <w:t>TA001</w:t>
            </w:r>
            <w:r>
              <w:rPr>
                <w:rFonts w:hint="eastAsia"/>
                <w:kern w:val="0"/>
                <w:sz w:val="24"/>
              </w:rPr>
              <w:t>，处理效率</w:t>
            </w:r>
            <w:r>
              <w:rPr>
                <w:kern w:val="0"/>
                <w:sz w:val="24"/>
              </w:rPr>
              <w:t>70%</w:t>
            </w:r>
            <w:r>
              <w:rPr>
                <w:rFonts w:hint="eastAsia"/>
                <w:kern w:val="0"/>
                <w:sz w:val="24"/>
              </w:rPr>
              <w:t>）处理后通过</w:t>
            </w:r>
            <w:r>
              <w:rPr>
                <w:kern w:val="0"/>
                <w:sz w:val="24"/>
              </w:rPr>
              <w:t>1</w:t>
            </w:r>
            <w:r>
              <w:rPr>
                <w:rFonts w:hint="eastAsia"/>
                <w:kern w:val="0"/>
                <w:sz w:val="24"/>
              </w:rPr>
              <w:t>根</w:t>
            </w:r>
            <w:r>
              <w:rPr>
                <w:kern w:val="0"/>
                <w:sz w:val="24"/>
              </w:rPr>
              <w:t>15m</w:t>
            </w:r>
            <w:r>
              <w:rPr>
                <w:rFonts w:hint="eastAsia"/>
                <w:kern w:val="0"/>
                <w:sz w:val="24"/>
              </w:rPr>
              <w:t>高排气筒（</w:t>
            </w:r>
            <w:r>
              <w:rPr>
                <w:kern w:val="0"/>
                <w:sz w:val="24"/>
              </w:rPr>
              <w:t>DA001</w:t>
            </w:r>
            <w:r>
              <w:rPr>
                <w:rFonts w:hint="eastAsia"/>
                <w:kern w:val="0"/>
                <w:sz w:val="24"/>
              </w:rPr>
              <w:t>）排放。根据企业提供资料，模内发泡和轻质发泡生产线年有效工作时间约</w:t>
            </w:r>
            <w:r>
              <w:rPr>
                <w:kern w:val="0"/>
                <w:sz w:val="24"/>
              </w:rPr>
              <w:t>3500h</w:t>
            </w:r>
            <w:r>
              <w:rPr>
                <w:rFonts w:hint="eastAsia"/>
                <w:kern w:val="0"/>
                <w:sz w:val="24"/>
              </w:rPr>
              <w:t>，风机风量为</w:t>
            </w:r>
            <w:r>
              <w:rPr>
                <w:kern w:val="0"/>
                <w:sz w:val="24"/>
              </w:rPr>
              <w:t>20000m</w:t>
            </w:r>
            <w:r>
              <w:rPr>
                <w:kern w:val="0"/>
                <w:sz w:val="24"/>
                <w:vertAlign w:val="superscript"/>
              </w:rPr>
              <w:t>3</w:t>
            </w:r>
            <w:r>
              <w:rPr>
                <w:kern w:val="0"/>
                <w:sz w:val="24"/>
              </w:rPr>
              <w:t>/h</w:t>
            </w:r>
            <w:r>
              <w:rPr>
                <w:rFonts w:hint="eastAsia"/>
                <w:kern w:val="0"/>
                <w:sz w:val="24"/>
              </w:rPr>
              <w:t>。</w:t>
            </w:r>
          </w:p>
          <w:p>
            <w:pPr>
              <w:adjustRightInd w:val="0"/>
              <w:snapToGrid w:val="0"/>
              <w:spacing w:line="360" w:lineRule="auto"/>
              <w:ind w:firstLine="480" w:firstLineChars="200"/>
              <w:jc w:val="left"/>
              <w:rPr>
                <w:kern w:val="0"/>
                <w:sz w:val="24"/>
              </w:rPr>
            </w:pPr>
            <w:r>
              <w:rPr>
                <w:kern w:val="0"/>
                <w:sz w:val="24"/>
              </w:rPr>
              <w:fldChar w:fldCharType="begin"/>
            </w:r>
            <w:r>
              <w:rPr>
                <w:kern w:val="0"/>
                <w:sz w:val="24"/>
              </w:rPr>
              <w:instrText xml:space="preserve"> = 3 \* GB3 \* MERGEFORMAT </w:instrText>
            </w:r>
            <w:r>
              <w:rPr>
                <w:kern w:val="0"/>
                <w:sz w:val="24"/>
              </w:rPr>
              <w:fldChar w:fldCharType="separate"/>
            </w:r>
            <w:r>
              <w:rPr>
                <w:rFonts w:hint="eastAsia" w:ascii="宋体" w:hAnsi="宋体" w:cs="宋体"/>
              </w:rPr>
              <w:t>③</w:t>
            </w:r>
            <w:r>
              <w:rPr>
                <w:kern w:val="0"/>
                <w:sz w:val="24"/>
              </w:rPr>
              <w:fldChar w:fldCharType="end"/>
            </w:r>
            <w:r>
              <w:rPr>
                <w:rFonts w:hint="eastAsia"/>
                <w:kern w:val="0"/>
                <w:sz w:val="24"/>
              </w:rPr>
              <w:t>吸音棉开松梳理粉尘</w:t>
            </w:r>
          </w:p>
          <w:p>
            <w:pPr>
              <w:adjustRightInd w:val="0"/>
              <w:snapToGrid w:val="0"/>
              <w:spacing w:line="360" w:lineRule="auto"/>
              <w:ind w:firstLine="480" w:firstLineChars="200"/>
              <w:rPr>
                <w:kern w:val="0"/>
                <w:sz w:val="24"/>
              </w:rPr>
            </w:pPr>
            <w:r>
              <w:rPr>
                <w:rFonts w:hint="eastAsia"/>
                <w:kern w:val="0"/>
                <w:sz w:val="24"/>
              </w:rPr>
              <w:t>建设项目开松、梳理过程均在密闭或者半密闭状态下进行。生产工序中产生的短纤维粉尘，主要为颗粒物，由设备自带收集箱收集，经布袋除尘器处理（</w:t>
            </w:r>
            <w:r>
              <w:rPr>
                <w:kern w:val="0"/>
                <w:sz w:val="24"/>
              </w:rPr>
              <w:t>TA002</w:t>
            </w:r>
            <w:r>
              <w:rPr>
                <w:rFonts w:hint="eastAsia"/>
                <w:kern w:val="0"/>
                <w:sz w:val="24"/>
              </w:rPr>
              <w:t>），并及时清理回用于生产，布袋除尘器风机风量为</w:t>
            </w:r>
            <w:r>
              <w:rPr>
                <w:kern w:val="0"/>
                <w:sz w:val="24"/>
              </w:rPr>
              <w:t>4000m</w:t>
            </w:r>
            <w:r>
              <w:rPr>
                <w:kern w:val="0"/>
                <w:sz w:val="24"/>
                <w:vertAlign w:val="superscript"/>
              </w:rPr>
              <w:t>3</w:t>
            </w:r>
            <w:r>
              <w:rPr>
                <w:kern w:val="0"/>
                <w:sz w:val="24"/>
              </w:rPr>
              <w:t>/h</w:t>
            </w:r>
            <w:r>
              <w:rPr>
                <w:rFonts w:hint="eastAsia"/>
                <w:kern w:val="0"/>
                <w:sz w:val="24"/>
              </w:rPr>
              <w:t>，处理后的废气通过</w:t>
            </w:r>
            <w:r>
              <w:rPr>
                <w:kern w:val="0"/>
                <w:sz w:val="24"/>
              </w:rPr>
              <w:t>15m</w:t>
            </w:r>
            <w:r>
              <w:rPr>
                <w:rFonts w:hint="eastAsia"/>
                <w:kern w:val="0"/>
                <w:sz w:val="24"/>
              </w:rPr>
              <w:t>排气筒排放（</w:t>
            </w:r>
            <w:r>
              <w:rPr>
                <w:kern w:val="0"/>
                <w:sz w:val="24"/>
              </w:rPr>
              <w:t>DA002</w:t>
            </w:r>
            <w:r>
              <w:rPr>
                <w:rFonts w:hint="eastAsia"/>
                <w:kern w:val="0"/>
                <w:sz w:val="24"/>
              </w:rPr>
              <w:t>）。产生的粉尘参照生态环境部《工业源产排污核算方法和系数手册》（</w:t>
            </w:r>
            <w:r>
              <w:rPr>
                <w:kern w:val="0"/>
                <w:sz w:val="24"/>
              </w:rPr>
              <w:t>2021</w:t>
            </w:r>
            <w:r>
              <w:rPr>
                <w:rFonts w:hint="eastAsia"/>
                <w:kern w:val="0"/>
                <w:sz w:val="24"/>
              </w:rPr>
              <w:t>年</w:t>
            </w:r>
            <w:r>
              <w:rPr>
                <w:kern w:val="0"/>
                <w:sz w:val="24"/>
              </w:rPr>
              <w:t>6</w:t>
            </w:r>
            <w:r>
              <w:rPr>
                <w:rFonts w:hint="eastAsia"/>
                <w:kern w:val="0"/>
                <w:sz w:val="24"/>
              </w:rPr>
              <w:t>月发布）</w:t>
            </w:r>
            <w:r>
              <w:rPr>
                <w:kern w:val="0"/>
                <w:sz w:val="24"/>
              </w:rPr>
              <w:t>-292</w:t>
            </w:r>
            <w:r>
              <w:rPr>
                <w:rFonts w:hint="eastAsia"/>
                <w:kern w:val="0"/>
                <w:sz w:val="24"/>
              </w:rPr>
              <w:t>塑料制品行业系数手册</w:t>
            </w:r>
            <w:r>
              <w:rPr>
                <w:kern w:val="0"/>
                <w:sz w:val="24"/>
              </w:rPr>
              <w:t>-2922</w:t>
            </w:r>
            <w:r>
              <w:rPr>
                <w:rFonts w:hint="eastAsia"/>
                <w:kern w:val="0"/>
                <w:sz w:val="24"/>
              </w:rPr>
              <w:t>塑料板、管、型材制造行业系数表，短纤维粉尘产生量为</w:t>
            </w:r>
            <w:r>
              <w:rPr>
                <w:kern w:val="0"/>
                <w:sz w:val="24"/>
              </w:rPr>
              <w:t>6.00kg/</w:t>
            </w:r>
            <w:r>
              <w:rPr>
                <w:rFonts w:hint="eastAsia"/>
                <w:kern w:val="0"/>
                <w:sz w:val="24"/>
              </w:rPr>
              <w:t>吨产品，项目吸音棉产量为</w:t>
            </w:r>
            <w:r>
              <w:rPr>
                <w:kern w:val="0"/>
                <w:sz w:val="24"/>
              </w:rPr>
              <w:t>425.7t/a</w:t>
            </w:r>
            <w:r>
              <w:rPr>
                <w:rFonts w:hint="eastAsia"/>
                <w:kern w:val="0"/>
                <w:sz w:val="24"/>
              </w:rPr>
              <w:t>，则粉尘产生量约</w:t>
            </w:r>
            <w:r>
              <w:rPr>
                <w:kern w:val="0"/>
                <w:sz w:val="24"/>
              </w:rPr>
              <w:t>2.55t/a</w:t>
            </w:r>
            <w:r>
              <w:rPr>
                <w:rFonts w:hint="eastAsia"/>
                <w:kern w:val="0"/>
                <w:sz w:val="24"/>
              </w:rPr>
              <w:t>，处理效率</w:t>
            </w:r>
            <w:r>
              <w:rPr>
                <w:kern w:val="0"/>
                <w:sz w:val="24"/>
              </w:rPr>
              <w:t>99%</w:t>
            </w:r>
            <w:r>
              <w:rPr>
                <w:rFonts w:hint="eastAsia"/>
                <w:kern w:val="0"/>
                <w:sz w:val="24"/>
              </w:rPr>
              <w:t>（全部回用于生产），处理后废气排放量为</w:t>
            </w:r>
            <w:r>
              <w:rPr>
                <w:kern w:val="0"/>
                <w:sz w:val="24"/>
              </w:rPr>
              <w:t>0.026t/a</w:t>
            </w:r>
            <w:r>
              <w:rPr>
                <w:rFonts w:hint="eastAsia"/>
                <w:kern w:val="0"/>
                <w:sz w:val="24"/>
              </w:rPr>
              <w:t>，排放浓度为</w:t>
            </w:r>
            <w:r>
              <w:rPr>
                <w:kern w:val="0"/>
                <w:sz w:val="24"/>
              </w:rPr>
              <w:t>1.82</w:t>
            </w:r>
            <w:r>
              <w:rPr>
                <w:bCs/>
                <w:sz w:val="24"/>
              </w:rPr>
              <w:t>mg/m</w:t>
            </w:r>
            <w:r>
              <w:rPr>
                <w:bCs/>
                <w:sz w:val="24"/>
                <w:vertAlign w:val="superscript"/>
              </w:rPr>
              <w:t>3</w:t>
            </w:r>
            <w:r>
              <w:rPr>
                <w:rFonts w:hint="eastAsia"/>
                <w:kern w:val="0"/>
                <w:sz w:val="24"/>
              </w:rPr>
              <w:t>。</w:t>
            </w:r>
          </w:p>
          <w:p>
            <w:pPr>
              <w:pStyle w:val="40"/>
              <w:widowControl/>
              <w:adjustRightInd/>
              <w:spacing w:line="240" w:lineRule="auto"/>
              <w:ind w:firstLine="0" w:firstLineChars="0"/>
              <w:jc w:val="center"/>
              <w:rPr>
                <w:b/>
                <w:sz w:val="21"/>
                <w:szCs w:val="21"/>
              </w:rPr>
            </w:pPr>
            <w:r>
              <w:rPr>
                <w:rFonts w:hint="eastAsia"/>
                <w:b/>
                <w:sz w:val="21"/>
                <w:szCs w:val="21"/>
              </w:rPr>
              <w:t>表</w:t>
            </w:r>
            <w:r>
              <w:rPr>
                <w:b/>
                <w:sz w:val="21"/>
                <w:szCs w:val="21"/>
              </w:rPr>
              <w:t xml:space="preserve">4-3   </w:t>
            </w:r>
            <w:r>
              <w:rPr>
                <w:rFonts w:hint="eastAsia"/>
                <w:b/>
                <w:sz w:val="21"/>
                <w:szCs w:val="21"/>
              </w:rPr>
              <w:t>排放口基本情况及排放标准一览表</w:t>
            </w:r>
          </w:p>
          <w:tbl>
            <w:tblPr>
              <w:tblStyle w:val="18"/>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3"/>
              <w:gridCol w:w="798"/>
              <w:gridCol w:w="1224"/>
              <w:gridCol w:w="568"/>
              <w:gridCol w:w="617"/>
              <w:gridCol w:w="688"/>
              <w:gridCol w:w="605"/>
              <w:gridCol w:w="1806"/>
              <w:gridCol w:w="1514"/>
              <w:gridCol w:w="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85" w:type="pct"/>
                  <w:gridSpan w:val="6"/>
                  <w:tcBorders>
                    <w:top w:val="single" w:color="auto" w:sz="12" w:space="0"/>
                    <w:left w:val="single" w:color="auto" w:sz="12" w:space="0"/>
                    <w:bottom w:val="single" w:color="auto" w:sz="4" w:space="0"/>
                    <w:right w:val="single" w:color="auto" w:sz="4" w:space="0"/>
                  </w:tcBorders>
                  <w:vAlign w:val="center"/>
                </w:tcPr>
                <w:p>
                  <w:pPr>
                    <w:jc w:val="center"/>
                    <w:rPr>
                      <w:b/>
                      <w:spacing w:val="-11"/>
                      <w:szCs w:val="21"/>
                    </w:rPr>
                  </w:pPr>
                  <w:r>
                    <w:rPr>
                      <w:rFonts w:hint="eastAsia"/>
                      <w:b/>
                      <w:spacing w:val="-11"/>
                      <w:szCs w:val="21"/>
                    </w:rPr>
                    <w:t>排放口基本情况</w:t>
                  </w:r>
                </w:p>
              </w:tc>
              <w:tc>
                <w:tcPr>
                  <w:tcW w:w="2514" w:type="pct"/>
                  <w:gridSpan w:val="4"/>
                  <w:tcBorders>
                    <w:top w:val="single" w:color="auto" w:sz="12" w:space="0"/>
                    <w:left w:val="single" w:color="auto" w:sz="4" w:space="0"/>
                    <w:bottom w:val="single" w:color="auto" w:sz="4" w:space="0"/>
                    <w:right w:val="single" w:color="auto" w:sz="12" w:space="0"/>
                  </w:tcBorders>
                  <w:vAlign w:val="center"/>
                </w:tcPr>
                <w:p>
                  <w:pPr>
                    <w:jc w:val="center"/>
                    <w:rPr>
                      <w:b/>
                      <w:spacing w:val="-11"/>
                      <w:szCs w:val="21"/>
                    </w:rPr>
                  </w:pPr>
                  <w:r>
                    <w:rPr>
                      <w:rFonts w:hint="eastAsia"/>
                      <w:b/>
                      <w:spacing w:val="-11"/>
                      <w:szCs w:val="21"/>
                    </w:rPr>
                    <w:t>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类型</w:t>
                  </w:r>
                </w:p>
              </w:tc>
              <w:tc>
                <w:tcPr>
                  <w:tcW w:w="4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编号及名称</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坐标</w:t>
                  </w:r>
                  <w:r>
                    <w:rPr>
                      <w:b/>
                      <w:spacing w:val="-11"/>
                      <w:szCs w:val="21"/>
                    </w:rPr>
                    <w:t>X/Y</w:t>
                  </w:r>
                </w:p>
              </w:tc>
              <w:tc>
                <w:tcPr>
                  <w:tcW w:w="328"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高度</w:t>
                  </w:r>
                </w:p>
              </w:tc>
              <w:tc>
                <w:tcPr>
                  <w:tcW w:w="356"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内径</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温度</w:t>
                  </w:r>
                </w:p>
              </w:tc>
              <w:tc>
                <w:tcPr>
                  <w:tcW w:w="349"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污染物</w:t>
                  </w:r>
                </w:p>
              </w:tc>
              <w:tc>
                <w:tcPr>
                  <w:tcW w:w="1042"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标准名称</w:t>
                  </w:r>
                </w:p>
              </w:tc>
              <w:tc>
                <w:tcPr>
                  <w:tcW w:w="874"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浓度（</w:t>
                  </w:r>
                  <w:r>
                    <w:rPr>
                      <w:b/>
                      <w:spacing w:val="-11"/>
                      <w:szCs w:val="21"/>
                    </w:rPr>
                    <w:t>mg/m</w:t>
                  </w:r>
                  <w:r>
                    <w:rPr>
                      <w:b/>
                      <w:spacing w:val="-11"/>
                      <w:szCs w:val="21"/>
                      <w:vertAlign w:val="superscript"/>
                    </w:rPr>
                    <w:t>3</w:t>
                  </w:r>
                  <w:r>
                    <w:rPr>
                      <w:rFonts w:hint="eastAsia"/>
                      <w:b/>
                      <w:spacing w:val="-11"/>
                      <w:szCs w:val="21"/>
                    </w:rPr>
                    <w:t>）</w:t>
                  </w:r>
                </w:p>
              </w:tc>
              <w:tc>
                <w:tcPr>
                  <w:tcW w:w="248" w:type="pct"/>
                  <w:tcBorders>
                    <w:top w:val="single" w:color="auto" w:sz="4" w:space="0"/>
                    <w:left w:val="single" w:color="auto" w:sz="4" w:space="0"/>
                    <w:bottom w:val="single" w:color="auto" w:sz="4" w:space="0"/>
                    <w:right w:val="single" w:color="auto" w:sz="12" w:space="0"/>
                  </w:tcBorders>
                  <w:vAlign w:val="center"/>
                </w:tcPr>
                <w:p>
                  <w:pPr>
                    <w:jc w:val="center"/>
                    <w:rPr>
                      <w:b/>
                      <w:spacing w:val="-11"/>
                      <w:szCs w:val="21"/>
                    </w:rPr>
                  </w:pPr>
                  <w:r>
                    <w:rPr>
                      <w:rFonts w:hint="eastAsia"/>
                      <w:b/>
                      <w:spacing w:val="-11"/>
                      <w:szCs w:val="21"/>
                    </w:rPr>
                    <w:t>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1"/>
                      <w:szCs w:val="21"/>
                    </w:rPr>
                  </w:pPr>
                  <w:r>
                    <w:rPr>
                      <w:rFonts w:hint="eastAsia"/>
                      <w:bCs/>
                      <w:spacing w:val="-11"/>
                      <w:szCs w:val="21"/>
                    </w:rPr>
                    <w:t>一般排放口</w:t>
                  </w:r>
                </w:p>
              </w:tc>
              <w:tc>
                <w:tcPr>
                  <w:tcW w:w="460" w:type="pct"/>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1"/>
                      <w:szCs w:val="21"/>
                    </w:rPr>
                  </w:pPr>
                  <w:r>
                    <w:rPr>
                      <w:bCs/>
                      <w:spacing w:val="-11"/>
                      <w:szCs w:val="21"/>
                    </w:rPr>
                    <w:t>DA001</w:t>
                  </w:r>
                </w:p>
              </w:tc>
              <w:tc>
                <w:tcPr>
                  <w:tcW w:w="706" w:type="pct"/>
                  <w:vMerge w:val="restar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283102.09</w:t>
                  </w:r>
                </w:p>
              </w:tc>
              <w:tc>
                <w:tcPr>
                  <w:tcW w:w="328" w:type="pct"/>
                  <w:vMerge w:val="restar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15m</w:t>
                  </w:r>
                </w:p>
              </w:tc>
              <w:tc>
                <w:tcPr>
                  <w:tcW w:w="356" w:type="pct"/>
                  <w:vMerge w:val="restar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0.4m</w:t>
                  </w:r>
                </w:p>
              </w:tc>
              <w:tc>
                <w:tcPr>
                  <w:tcW w:w="395" w:type="pct"/>
                  <w:vMerge w:val="restar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60</w:t>
                  </w:r>
                  <w:r>
                    <w:rPr>
                      <w:rFonts w:hint="eastAsia" w:ascii="宋体" w:hAnsi="宋体" w:cs="宋体"/>
                      <w:bCs/>
                      <w:spacing w:val="-11"/>
                      <w:szCs w:val="21"/>
                    </w:rPr>
                    <w:t>℃</w:t>
                  </w:r>
                </w:p>
              </w:tc>
              <w:tc>
                <w:tcPr>
                  <w:tcW w:w="349" w:type="pct"/>
                  <w:tcBorders>
                    <w:top w:val="single" w:color="auto" w:sz="4" w:space="0"/>
                    <w:left w:val="single" w:color="auto" w:sz="4" w:space="0"/>
                    <w:bottom w:val="single" w:color="auto" w:sz="4" w:space="0"/>
                    <w:right w:val="single" w:color="auto" w:sz="4" w:space="0"/>
                  </w:tcBorders>
                  <w:vAlign w:val="center"/>
                </w:tcPr>
                <w:p>
                  <w:pPr>
                    <w:tabs>
                      <w:tab w:val="left" w:pos="351"/>
                    </w:tabs>
                    <w:jc w:val="center"/>
                    <w:rPr>
                      <w:bCs/>
                      <w:spacing w:val="-11"/>
                      <w:szCs w:val="21"/>
                    </w:rPr>
                  </w:pPr>
                  <w:r>
                    <w:rPr>
                      <w:rFonts w:hint="eastAsia"/>
                      <w:bCs/>
                      <w:spacing w:val="-11"/>
                      <w:szCs w:val="21"/>
                    </w:rPr>
                    <w:t>非甲烷总烃</w:t>
                  </w:r>
                </w:p>
              </w:tc>
              <w:tc>
                <w:tcPr>
                  <w:tcW w:w="1042"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rFonts w:hint="eastAsia"/>
                      <w:bCs/>
                      <w:spacing w:val="-11"/>
                      <w:szCs w:val="21"/>
                    </w:rPr>
                    <w:t>合成树脂工业污染物排放标准》（</w:t>
                  </w:r>
                  <w:r>
                    <w:rPr>
                      <w:bCs/>
                      <w:spacing w:val="-11"/>
                      <w:szCs w:val="21"/>
                    </w:rPr>
                    <w:t>GB31572-2015</w:t>
                  </w:r>
                  <w:r>
                    <w:rPr>
                      <w:rFonts w:hint="eastAsia"/>
                      <w:bCs/>
                      <w:spacing w:val="-11"/>
                      <w:szCs w:val="21"/>
                    </w:rPr>
                    <w:t>）</w:t>
                  </w:r>
                </w:p>
              </w:tc>
              <w:tc>
                <w:tcPr>
                  <w:tcW w:w="874"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60</w:t>
                  </w:r>
                </w:p>
              </w:tc>
              <w:tc>
                <w:tcPr>
                  <w:tcW w:w="248" w:type="pct"/>
                  <w:vMerge w:val="restart"/>
                  <w:tcBorders>
                    <w:top w:val="single" w:color="auto" w:sz="4" w:space="0"/>
                    <w:left w:val="single" w:color="auto" w:sz="4" w:space="0"/>
                    <w:bottom w:val="single" w:color="auto" w:sz="4" w:space="0"/>
                    <w:right w:val="single" w:color="auto" w:sz="12" w:space="0"/>
                  </w:tcBorders>
                  <w:vAlign w:val="center"/>
                </w:tcPr>
                <w:p>
                  <w:pPr>
                    <w:jc w:val="center"/>
                    <w:rPr>
                      <w:bCs/>
                      <w:spacing w:val="-11"/>
                      <w:szCs w:val="21"/>
                    </w:rPr>
                  </w:pPr>
                  <w:r>
                    <w:rPr>
                      <w:rFonts w:hint="eastAsia"/>
                      <w:bCs/>
                      <w:spacing w:val="-11"/>
                      <w:szCs w:val="21"/>
                    </w:rPr>
                    <w:t>有组织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1"/>
                      <w:szCs w:val="21"/>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1"/>
                      <w:szCs w:val="21"/>
                    </w:rPr>
                  </w:pPr>
                </w:p>
              </w:tc>
              <w:tc>
                <w:tcPr>
                  <w:tcW w:w="706"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28"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49"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vertAlign w:val="subscript"/>
                    </w:rPr>
                  </w:pPr>
                  <w:r>
                    <w:rPr>
                      <w:bCs/>
                      <w:spacing w:val="-11"/>
                      <w:szCs w:val="21"/>
                    </w:rPr>
                    <w:t>SO</w:t>
                  </w:r>
                  <w:r>
                    <w:rPr>
                      <w:bCs/>
                      <w:spacing w:val="-11"/>
                      <w:szCs w:val="21"/>
                      <w:vertAlign w:val="subscript"/>
                    </w:rPr>
                    <w:t>2</w:t>
                  </w:r>
                </w:p>
              </w:tc>
              <w:tc>
                <w:tcPr>
                  <w:tcW w:w="1042" w:type="pct"/>
                  <w:vMerge w:val="restar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rFonts w:hint="eastAsia"/>
                      <w:spacing w:val="-11"/>
                      <w:szCs w:val="21"/>
                    </w:rPr>
                    <w:t>《工业炉窑大气污染综合治理方案》（环大气〔</w:t>
                  </w:r>
                  <w:r>
                    <w:rPr>
                      <w:spacing w:val="-11"/>
                      <w:szCs w:val="21"/>
                    </w:rPr>
                    <w:t>2019</w:t>
                  </w:r>
                  <w:r>
                    <w:rPr>
                      <w:rFonts w:hint="eastAsia"/>
                      <w:spacing w:val="-11"/>
                      <w:szCs w:val="21"/>
                    </w:rPr>
                    <w:t>〕</w:t>
                  </w:r>
                  <w:r>
                    <w:rPr>
                      <w:spacing w:val="-11"/>
                      <w:szCs w:val="21"/>
                    </w:rPr>
                    <w:t>56</w:t>
                  </w:r>
                  <w:r>
                    <w:rPr>
                      <w:rFonts w:hint="eastAsia"/>
                      <w:spacing w:val="-11"/>
                      <w:szCs w:val="21"/>
                    </w:rPr>
                    <w:t>号）中重点区域工业炉窑排放标准</w:t>
                  </w:r>
                </w:p>
              </w:tc>
              <w:tc>
                <w:tcPr>
                  <w:tcW w:w="874"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200</w:t>
                  </w:r>
                </w:p>
              </w:tc>
              <w:tc>
                <w:tcPr>
                  <w:tcW w:w="248"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pacing w:val="-1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1"/>
                      <w:szCs w:val="21"/>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1"/>
                      <w:szCs w:val="21"/>
                    </w:rPr>
                  </w:pPr>
                </w:p>
              </w:tc>
              <w:tc>
                <w:tcPr>
                  <w:tcW w:w="706" w:type="pct"/>
                  <w:vMerge w:val="restar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3777652.06</w:t>
                  </w:r>
                </w:p>
              </w:tc>
              <w:tc>
                <w:tcPr>
                  <w:tcW w:w="328"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49"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NOx</w:t>
                  </w:r>
                </w:p>
              </w:tc>
              <w:tc>
                <w:tcPr>
                  <w:tcW w:w="1042"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874"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300</w:t>
                  </w:r>
                </w:p>
              </w:tc>
              <w:tc>
                <w:tcPr>
                  <w:tcW w:w="248"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pacing w:val="-1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pacing w:val="-11"/>
                      <w:szCs w:val="21"/>
                    </w:rPr>
                  </w:pPr>
                </w:p>
              </w:tc>
              <w:tc>
                <w:tcPr>
                  <w:tcW w:w="46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1"/>
                      <w:szCs w:val="21"/>
                    </w:rPr>
                  </w:pPr>
                </w:p>
              </w:tc>
              <w:tc>
                <w:tcPr>
                  <w:tcW w:w="706"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28"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56"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95"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49"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rFonts w:hint="eastAsia"/>
                      <w:bCs/>
                      <w:spacing w:val="-11"/>
                      <w:szCs w:val="21"/>
                    </w:rPr>
                    <w:t>颗粒物</w:t>
                  </w:r>
                </w:p>
              </w:tc>
              <w:tc>
                <w:tcPr>
                  <w:tcW w:w="1042"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874" w:type="pct"/>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r>
                    <w:rPr>
                      <w:bCs/>
                      <w:spacing w:val="-11"/>
                      <w:szCs w:val="21"/>
                    </w:rPr>
                    <w:t>30</w:t>
                  </w:r>
                </w:p>
              </w:tc>
              <w:tc>
                <w:tcPr>
                  <w:tcW w:w="248"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pacing w:val="-1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8" w:type="pct"/>
                  <w:vMerge w:val="continue"/>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pacing w:val="-11"/>
                      <w:szCs w:val="21"/>
                    </w:rPr>
                  </w:pPr>
                </w:p>
              </w:tc>
              <w:tc>
                <w:tcPr>
                  <w:tcW w:w="460"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bCs/>
                      <w:spacing w:val="-11"/>
                      <w:szCs w:val="21"/>
                    </w:rPr>
                  </w:pPr>
                  <w:r>
                    <w:rPr>
                      <w:bCs/>
                      <w:spacing w:val="-11"/>
                      <w:szCs w:val="21"/>
                    </w:rPr>
                    <w:t>DA002</w:t>
                  </w:r>
                </w:p>
              </w:tc>
              <w:tc>
                <w:tcPr>
                  <w:tcW w:w="706"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bCs/>
                      <w:spacing w:val="-11"/>
                      <w:szCs w:val="21"/>
                    </w:rPr>
                    <w:t>283213.25</w:t>
                  </w:r>
                  <w:r>
                    <w:rPr>
                      <w:rFonts w:hint="eastAsia"/>
                      <w:bCs/>
                      <w:spacing w:val="-11"/>
                      <w:szCs w:val="21"/>
                    </w:rPr>
                    <w:t>，</w:t>
                  </w:r>
                  <w:r>
                    <w:rPr>
                      <w:bCs/>
                      <w:spacing w:val="-11"/>
                      <w:szCs w:val="21"/>
                    </w:rPr>
                    <w:t>3777467.81</w:t>
                  </w:r>
                </w:p>
              </w:tc>
              <w:tc>
                <w:tcPr>
                  <w:tcW w:w="328"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bCs/>
                      <w:spacing w:val="-11"/>
                      <w:szCs w:val="21"/>
                    </w:rPr>
                    <w:t>15m</w:t>
                  </w:r>
                </w:p>
              </w:tc>
              <w:tc>
                <w:tcPr>
                  <w:tcW w:w="356"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bCs/>
                      <w:spacing w:val="-11"/>
                      <w:szCs w:val="21"/>
                    </w:rPr>
                    <w:t>0.4m</w:t>
                  </w:r>
                </w:p>
              </w:tc>
              <w:tc>
                <w:tcPr>
                  <w:tcW w:w="395"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bCs/>
                      <w:spacing w:val="-11"/>
                      <w:szCs w:val="21"/>
                    </w:rPr>
                    <w:t>20</w:t>
                  </w:r>
                  <w:r>
                    <w:rPr>
                      <w:rFonts w:hint="eastAsia" w:ascii="宋体" w:hAnsi="宋体" w:cs="宋体"/>
                      <w:bCs/>
                      <w:spacing w:val="-11"/>
                      <w:szCs w:val="21"/>
                    </w:rPr>
                    <w:t>℃</w:t>
                  </w:r>
                </w:p>
              </w:tc>
              <w:tc>
                <w:tcPr>
                  <w:tcW w:w="349"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rFonts w:hint="eastAsia"/>
                      <w:bCs/>
                      <w:spacing w:val="-11"/>
                      <w:szCs w:val="21"/>
                    </w:rPr>
                    <w:t>颗粒物</w:t>
                  </w:r>
                </w:p>
              </w:tc>
              <w:tc>
                <w:tcPr>
                  <w:tcW w:w="1042"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rFonts w:hint="eastAsia"/>
                      <w:bCs/>
                      <w:spacing w:val="-11"/>
                      <w:szCs w:val="21"/>
                    </w:rPr>
                    <w:t>《合成树脂工业污染物排放标准》（</w:t>
                  </w:r>
                  <w:r>
                    <w:rPr>
                      <w:bCs/>
                      <w:spacing w:val="-11"/>
                      <w:szCs w:val="21"/>
                    </w:rPr>
                    <w:t>GB31572-2015</w:t>
                  </w:r>
                  <w:r>
                    <w:rPr>
                      <w:rFonts w:hint="eastAsia"/>
                      <w:bCs/>
                      <w:spacing w:val="-11"/>
                      <w:szCs w:val="21"/>
                    </w:rPr>
                    <w:t>）</w:t>
                  </w:r>
                </w:p>
              </w:tc>
              <w:tc>
                <w:tcPr>
                  <w:tcW w:w="874" w:type="pct"/>
                  <w:tcBorders>
                    <w:top w:val="single" w:color="auto" w:sz="4" w:space="0"/>
                    <w:left w:val="single" w:color="auto" w:sz="4" w:space="0"/>
                    <w:bottom w:val="single" w:color="auto" w:sz="12" w:space="0"/>
                    <w:right w:val="single" w:color="auto" w:sz="4" w:space="0"/>
                  </w:tcBorders>
                  <w:vAlign w:val="center"/>
                </w:tcPr>
                <w:p>
                  <w:pPr>
                    <w:jc w:val="center"/>
                    <w:rPr>
                      <w:bCs/>
                      <w:spacing w:val="-11"/>
                      <w:szCs w:val="21"/>
                    </w:rPr>
                  </w:pPr>
                  <w:r>
                    <w:rPr>
                      <w:bCs/>
                      <w:spacing w:val="-11"/>
                      <w:szCs w:val="21"/>
                    </w:rPr>
                    <w:t>20</w:t>
                  </w:r>
                </w:p>
              </w:tc>
              <w:tc>
                <w:tcPr>
                  <w:tcW w:w="248" w:type="pct"/>
                  <w:tcBorders>
                    <w:top w:val="single" w:color="auto" w:sz="4" w:space="0"/>
                    <w:left w:val="single" w:color="auto" w:sz="4" w:space="0"/>
                    <w:bottom w:val="single" w:color="auto" w:sz="12" w:space="0"/>
                    <w:right w:val="single" w:color="auto" w:sz="12" w:space="0"/>
                  </w:tcBorders>
                  <w:vAlign w:val="center"/>
                </w:tcPr>
                <w:p>
                  <w:pPr>
                    <w:jc w:val="center"/>
                    <w:rPr>
                      <w:bCs/>
                      <w:spacing w:val="-11"/>
                      <w:szCs w:val="21"/>
                    </w:rPr>
                  </w:pPr>
                  <w:r>
                    <w:rPr>
                      <w:rFonts w:hint="eastAsia"/>
                      <w:bCs/>
                      <w:spacing w:val="-11"/>
                      <w:szCs w:val="21"/>
                    </w:rPr>
                    <w:t>有组织</w:t>
                  </w:r>
                </w:p>
              </w:tc>
            </w:tr>
          </w:tbl>
          <w:p>
            <w:pPr>
              <w:adjustRightInd w:val="0"/>
              <w:snapToGrid w:val="0"/>
              <w:spacing w:line="360" w:lineRule="auto"/>
              <w:ind w:firstLine="480" w:firstLineChars="200"/>
              <w:jc w:val="left"/>
              <w:rPr>
                <w:bCs/>
                <w:sz w:val="24"/>
              </w:rPr>
            </w:pPr>
            <w:r>
              <w:rPr>
                <w:rFonts w:hint="eastAsia"/>
                <w:bCs/>
                <w:sz w:val="24"/>
              </w:rPr>
              <w:t>（</w:t>
            </w:r>
            <w:r>
              <w:rPr>
                <w:bCs/>
                <w:sz w:val="24"/>
              </w:rPr>
              <w:t>2</w:t>
            </w:r>
            <w:r>
              <w:rPr>
                <w:rFonts w:hint="eastAsia"/>
                <w:bCs/>
                <w:sz w:val="24"/>
              </w:rPr>
              <w:t>）废气防治措施可行性及达标分析</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1 \* GB3 \* MERGEFORMAT </w:instrText>
            </w:r>
            <w:r>
              <w:rPr>
                <w:bCs/>
                <w:sz w:val="24"/>
              </w:rPr>
              <w:fldChar w:fldCharType="separate"/>
            </w:r>
            <w:r>
              <w:rPr>
                <w:rFonts w:hint="eastAsia" w:ascii="宋体" w:hAnsi="宋体" w:cs="宋体"/>
              </w:rPr>
              <w:t>①</w:t>
            </w:r>
            <w:r>
              <w:rPr>
                <w:bCs/>
                <w:sz w:val="24"/>
              </w:rPr>
              <w:fldChar w:fldCharType="end"/>
            </w:r>
            <w:r>
              <w:rPr>
                <w:rFonts w:hint="eastAsia"/>
                <w:bCs/>
                <w:sz w:val="24"/>
              </w:rPr>
              <w:t>有机废气</w:t>
            </w:r>
          </w:p>
          <w:p>
            <w:pPr>
              <w:adjustRightInd w:val="0"/>
              <w:snapToGrid w:val="0"/>
              <w:spacing w:line="360" w:lineRule="auto"/>
              <w:ind w:firstLine="480" w:firstLineChars="200"/>
              <w:jc w:val="left"/>
              <w:rPr>
                <w:bCs/>
                <w:sz w:val="24"/>
              </w:rPr>
            </w:pPr>
            <w:r>
              <w:rPr>
                <w:rFonts w:hint="eastAsia"/>
                <w:bCs/>
                <w:sz w:val="24"/>
              </w:rPr>
              <w:t>本项目运营期有机废气主要为</w:t>
            </w:r>
            <w:r>
              <w:rPr>
                <w:rFonts w:hint="eastAsia"/>
                <w:sz w:val="24"/>
              </w:rPr>
              <w:t>吸音棉生产线热熔定型、模内发泡生产线发泡熟化、轻质发泡生产线发泡熟化、复合及热压过程产生的有机废气，主要污染物为非甲烷总烃。吸音棉热熔定型工序有机废气采用集气管道收集，发泡熟化、复合热压工序有机废气采用集气罩收集，统一经二级活性炭吸附装置（</w:t>
            </w:r>
            <w:r>
              <w:rPr>
                <w:sz w:val="24"/>
              </w:rPr>
              <w:t>TA001</w:t>
            </w:r>
            <w:r>
              <w:rPr>
                <w:rFonts w:hint="eastAsia"/>
                <w:sz w:val="24"/>
              </w:rPr>
              <w:t>）处理后通过</w:t>
            </w:r>
            <w:r>
              <w:rPr>
                <w:sz w:val="24"/>
              </w:rPr>
              <w:t>15m</w:t>
            </w:r>
            <w:r>
              <w:rPr>
                <w:rFonts w:hint="eastAsia"/>
                <w:sz w:val="24"/>
              </w:rPr>
              <w:t>高排气筒（</w:t>
            </w:r>
            <w:r>
              <w:rPr>
                <w:sz w:val="24"/>
              </w:rPr>
              <w:t>DA001</w:t>
            </w:r>
            <w:r>
              <w:rPr>
                <w:rFonts w:hint="eastAsia"/>
                <w:sz w:val="24"/>
              </w:rPr>
              <w:t>）排放。经计算分析可知，项目排放的非甲烷总烃满足合成树脂工业污染物排放标准》（</w:t>
            </w:r>
            <w:r>
              <w:rPr>
                <w:sz w:val="24"/>
              </w:rPr>
              <w:t>GB31572-2015</w:t>
            </w:r>
            <w:r>
              <w:rPr>
                <w:rFonts w:hint="eastAsia"/>
                <w:sz w:val="24"/>
              </w:rPr>
              <w:t>）表</w:t>
            </w:r>
            <w:r>
              <w:rPr>
                <w:sz w:val="24"/>
              </w:rPr>
              <w:t>5</w:t>
            </w:r>
            <w:r>
              <w:rPr>
                <w:rFonts w:hint="eastAsia"/>
                <w:sz w:val="24"/>
              </w:rPr>
              <w:t>中</w:t>
            </w:r>
            <w:r>
              <w:rPr>
                <w:sz w:val="24"/>
              </w:rPr>
              <w:t>60mg/m</w:t>
            </w:r>
            <w:r>
              <w:rPr>
                <w:sz w:val="24"/>
                <w:vertAlign w:val="superscript"/>
              </w:rPr>
              <w:t>3</w:t>
            </w:r>
            <w:r>
              <w:rPr>
                <w:rFonts w:hint="eastAsia"/>
                <w:sz w:val="24"/>
              </w:rPr>
              <w:t>的限值要求，对照</w:t>
            </w:r>
            <w:r>
              <w:rPr>
                <w:rFonts w:hint="eastAsia"/>
                <w:kern w:val="0"/>
                <w:sz w:val="24"/>
              </w:rPr>
              <w:t>《排污许可证申请与核发技术规范</w:t>
            </w:r>
            <w:r>
              <w:rPr>
                <w:kern w:val="0"/>
                <w:sz w:val="24"/>
              </w:rPr>
              <w:t xml:space="preserve"> </w:t>
            </w:r>
            <w:r>
              <w:rPr>
                <w:rFonts w:hint="eastAsia"/>
                <w:kern w:val="0"/>
                <w:sz w:val="24"/>
              </w:rPr>
              <w:t>汽车制造业》（</w:t>
            </w:r>
            <w:r>
              <w:rPr>
                <w:kern w:val="0"/>
                <w:sz w:val="24"/>
              </w:rPr>
              <w:t>HJ971-2018</w:t>
            </w:r>
            <w:r>
              <w:rPr>
                <w:rFonts w:hint="eastAsia"/>
                <w:kern w:val="0"/>
                <w:sz w:val="24"/>
              </w:rPr>
              <w:t>）树脂纤维加工工序废气污染防治可行技术参考表，本项目废气处理技术可行。天然气燃烧废气排放满足</w:t>
            </w:r>
            <w:r>
              <w:rPr>
                <w:rFonts w:hint="eastAsia"/>
                <w:sz w:val="24"/>
              </w:rPr>
              <w:t>《工业炉窑大气污染综合治理方案》（环大气〔</w:t>
            </w:r>
            <w:r>
              <w:rPr>
                <w:sz w:val="24"/>
              </w:rPr>
              <w:t>2019</w:t>
            </w:r>
            <w:r>
              <w:rPr>
                <w:rFonts w:hint="eastAsia"/>
                <w:sz w:val="24"/>
              </w:rPr>
              <w:t>〕</w:t>
            </w:r>
            <w:r>
              <w:rPr>
                <w:sz w:val="24"/>
              </w:rPr>
              <w:t>56</w:t>
            </w:r>
            <w:r>
              <w:rPr>
                <w:rFonts w:hint="eastAsia"/>
                <w:sz w:val="24"/>
              </w:rPr>
              <w:t>号）中重点区域工业炉窑排放标准。</w:t>
            </w:r>
          </w:p>
          <w:p>
            <w:pPr>
              <w:adjustRightInd w:val="0"/>
              <w:snapToGrid w:val="0"/>
              <w:spacing w:line="360" w:lineRule="auto"/>
              <w:ind w:firstLine="480" w:firstLineChars="200"/>
              <w:jc w:val="left"/>
              <w:rPr>
                <w:bCs/>
                <w:sz w:val="24"/>
              </w:rPr>
            </w:pPr>
            <w:r>
              <w:rPr>
                <w:rFonts w:hint="eastAsia"/>
                <w:bCs/>
                <w:sz w:val="24"/>
              </w:rPr>
              <w:t>活性炭吸附法是利用活性炭作为物理吸附剂，把生产过程中产生的有害物质成分，在固相表面进行浓缩，从而使废气得到净化治理。吸附过程在固相</w:t>
            </w:r>
            <w:r>
              <w:rPr>
                <w:bCs/>
                <w:sz w:val="24"/>
              </w:rPr>
              <w:t>-</w:t>
            </w:r>
            <w:r>
              <w:rPr>
                <w:rFonts w:hint="eastAsia"/>
                <w:bCs/>
                <w:sz w:val="24"/>
              </w:rPr>
              <w:t>气相间界面发生物理过程。活性炭的吸附原理：进入吸附装置的有机废气在流经活性炭层时被表面积很大的活性炭截留，在其颗粒物表面形成一层平衡的表面浓度，并将有机物等吸附到活性炭的细孔，使用初期的吸附效果很高。根据国内对活性炭吸附有机废气的研究，其处理效率约</w:t>
            </w:r>
            <w:r>
              <w:rPr>
                <w:bCs/>
                <w:sz w:val="24"/>
              </w:rPr>
              <w:t>80%~95%</w:t>
            </w:r>
            <w:r>
              <w:rPr>
                <w:rFonts w:hint="eastAsia"/>
                <w:bCs/>
                <w:sz w:val="24"/>
              </w:rPr>
              <w:t>，能有效减轻对周边大气环境的影响。采用活性炭吸附装置进行处理，运行过程不会产生二次污染，设备投资少，运行费用低，性能稳定，可同时处理多种混合气体。因此，采用二级活性炭吸附装置技术可行，经济合理。活性炭对本项目有机废气的吸附量为</w:t>
            </w:r>
            <w:r>
              <w:rPr>
                <w:bCs/>
                <w:sz w:val="24"/>
              </w:rPr>
              <w:t>0.777t/a</w:t>
            </w:r>
            <w:r>
              <w:rPr>
                <w:rFonts w:hint="eastAsia"/>
                <w:bCs/>
                <w:sz w:val="24"/>
              </w:rPr>
              <w:t>，平均每吨活性炭可吸附</w:t>
            </w:r>
            <w:r>
              <w:rPr>
                <w:bCs/>
                <w:sz w:val="24"/>
              </w:rPr>
              <w:t>0.25t</w:t>
            </w:r>
            <w:r>
              <w:rPr>
                <w:rFonts w:hint="eastAsia"/>
                <w:bCs/>
                <w:sz w:val="24"/>
              </w:rPr>
              <w:t>有机废气，则项目活性炭使用量约</w:t>
            </w:r>
            <w:r>
              <w:rPr>
                <w:bCs/>
                <w:sz w:val="24"/>
              </w:rPr>
              <w:t>3.11t/a</w:t>
            </w:r>
            <w:r>
              <w:rPr>
                <w:rFonts w:hint="eastAsia"/>
                <w:bCs/>
                <w:sz w:val="24"/>
              </w:rPr>
              <w:t>。为保证处理效率，选择碘值不低于</w:t>
            </w:r>
            <w:r>
              <w:rPr>
                <w:bCs/>
                <w:sz w:val="24"/>
              </w:rPr>
              <w:t>600</w:t>
            </w:r>
            <w:r>
              <w:rPr>
                <w:rFonts w:hint="eastAsia"/>
                <w:bCs/>
                <w:sz w:val="24"/>
              </w:rPr>
              <w:t>毫克</w:t>
            </w:r>
            <w:r>
              <w:rPr>
                <w:bCs/>
                <w:sz w:val="24"/>
              </w:rPr>
              <w:t>/</w:t>
            </w:r>
            <w:r>
              <w:rPr>
                <w:rFonts w:hint="eastAsia"/>
                <w:bCs/>
                <w:sz w:val="24"/>
              </w:rPr>
              <w:t>克的蜂窝活性炭，企业应每</w:t>
            </w:r>
            <w:r>
              <w:rPr>
                <w:bCs/>
                <w:sz w:val="24"/>
              </w:rPr>
              <w:t>500</w:t>
            </w:r>
            <w:r>
              <w:rPr>
                <w:rFonts w:hint="eastAsia"/>
                <w:bCs/>
                <w:sz w:val="24"/>
              </w:rPr>
              <w:t>小时更换一次活性炭，初始填充量应不少于</w:t>
            </w:r>
            <w:r>
              <w:rPr>
                <w:bCs/>
                <w:sz w:val="24"/>
              </w:rPr>
              <w:t>0.5t</w:t>
            </w:r>
            <w:r>
              <w:rPr>
                <w:rFonts w:hint="eastAsia"/>
                <w:bCs/>
                <w:sz w:val="24"/>
              </w:rPr>
              <w:t>，单层填充厚度不低于</w:t>
            </w:r>
            <w:r>
              <w:rPr>
                <w:bCs/>
                <w:sz w:val="24"/>
              </w:rPr>
              <w:t>500mm</w:t>
            </w:r>
            <w:r>
              <w:rPr>
                <w:rFonts w:hint="eastAsia"/>
                <w:bCs/>
                <w:sz w:val="24"/>
              </w:rPr>
              <w:t>。设专用容器收集，暂存于危废暂存间，交由有资质单位处置。</w:t>
            </w:r>
          </w:p>
          <w:p>
            <w:pPr>
              <w:adjustRightInd w:val="0"/>
              <w:snapToGrid w:val="0"/>
              <w:spacing w:line="360" w:lineRule="auto"/>
              <w:ind w:firstLine="480" w:firstLineChars="200"/>
              <w:jc w:val="left"/>
              <w:rPr>
                <w:bCs/>
                <w:sz w:val="24"/>
              </w:rPr>
            </w:pPr>
            <w:r>
              <w:rPr>
                <w:rFonts w:hint="eastAsia"/>
                <w:bCs/>
                <w:sz w:val="24"/>
              </w:rPr>
              <w:t>为了进一步减轻有机废气对周围环境的影响，环评要求：注意废气处理设施的维护保养，确保废气处理系统正常运行；环保设备出现故障时，在没有备用废气处理设备的情况下，生产应同步停止使用，待废气处理设备恢复正常后方可同步投入使用。可选择碘值不低于</w:t>
            </w:r>
            <w:r>
              <w:rPr>
                <w:bCs/>
                <w:sz w:val="24"/>
              </w:rPr>
              <w:t>600</w:t>
            </w:r>
            <w:r>
              <w:rPr>
                <w:rFonts w:hint="eastAsia"/>
                <w:bCs/>
                <w:sz w:val="24"/>
              </w:rPr>
              <w:t>毫克</w:t>
            </w:r>
            <w:r>
              <w:rPr>
                <w:bCs/>
                <w:sz w:val="24"/>
              </w:rPr>
              <w:t>/</w:t>
            </w:r>
            <w:r>
              <w:rPr>
                <w:rFonts w:hint="eastAsia"/>
                <w:bCs/>
                <w:sz w:val="24"/>
              </w:rPr>
              <w:t>克的蜂窝活性炭为吸附材料，并按设计要求足量添加；应定期、及时更换活性炭，保证设备净化能力和净化容量。此外，项目生产过程中要加强无组织废气排放的控制监管，加强生产设备、废气收集装置等的维护，保证设备完好率，防止泄露，提高废气收集效率，减少废气无组织排放。</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2 \* GB3 \* MERGEFORMAT </w:instrText>
            </w:r>
            <w:r>
              <w:rPr>
                <w:bCs/>
                <w:sz w:val="24"/>
              </w:rPr>
              <w:fldChar w:fldCharType="separate"/>
            </w:r>
            <w:r>
              <w:rPr>
                <w:rFonts w:hint="eastAsia" w:ascii="宋体" w:hAnsi="宋体" w:cs="宋体"/>
              </w:rPr>
              <w:t>②</w:t>
            </w:r>
            <w:r>
              <w:rPr>
                <w:bCs/>
                <w:sz w:val="24"/>
              </w:rPr>
              <w:fldChar w:fldCharType="end"/>
            </w:r>
            <w:r>
              <w:rPr>
                <w:rFonts w:hint="eastAsia"/>
                <w:bCs/>
                <w:sz w:val="24"/>
              </w:rPr>
              <w:t>粉尘</w:t>
            </w:r>
          </w:p>
          <w:p>
            <w:pPr>
              <w:adjustRightInd w:val="0"/>
              <w:snapToGrid w:val="0"/>
              <w:spacing w:line="360" w:lineRule="auto"/>
              <w:ind w:firstLine="480" w:firstLineChars="200"/>
              <w:jc w:val="left"/>
              <w:rPr>
                <w:bCs/>
                <w:sz w:val="24"/>
              </w:rPr>
            </w:pPr>
            <w:r>
              <w:rPr>
                <w:rFonts w:hint="eastAsia"/>
                <w:sz w:val="24"/>
              </w:rPr>
              <w:t>项目吸音棉开松梳理过程产生的粉尘由设备自带的集尘设施收集，经布袋除尘器（</w:t>
            </w:r>
            <w:r>
              <w:rPr>
                <w:sz w:val="24"/>
              </w:rPr>
              <w:t>TA002</w:t>
            </w:r>
            <w:r>
              <w:rPr>
                <w:rFonts w:hint="eastAsia"/>
                <w:sz w:val="24"/>
              </w:rPr>
              <w:t>）处理后由</w:t>
            </w:r>
            <w:r>
              <w:rPr>
                <w:sz w:val="24"/>
              </w:rPr>
              <w:t>15m</w:t>
            </w:r>
            <w:r>
              <w:rPr>
                <w:rFonts w:hint="eastAsia"/>
                <w:sz w:val="24"/>
              </w:rPr>
              <w:t>高排气筒（</w:t>
            </w:r>
            <w:r>
              <w:rPr>
                <w:sz w:val="24"/>
              </w:rPr>
              <w:t>DA002</w:t>
            </w:r>
            <w:r>
              <w:rPr>
                <w:rFonts w:hint="eastAsia"/>
                <w:sz w:val="24"/>
              </w:rPr>
              <w:t>）排放。根据工程分析，开松梳理粉尘排放满足</w:t>
            </w:r>
            <w:r>
              <w:rPr>
                <w:rFonts w:hint="eastAsia"/>
                <w:bCs/>
                <w:sz w:val="24"/>
              </w:rPr>
              <w:t>《合成树脂工业污染物排放标准》（</w:t>
            </w:r>
            <w:r>
              <w:rPr>
                <w:bCs/>
                <w:sz w:val="24"/>
              </w:rPr>
              <w:t>GB31572-2015</w:t>
            </w:r>
            <w:r>
              <w:rPr>
                <w:rFonts w:hint="eastAsia"/>
                <w:bCs/>
                <w:sz w:val="24"/>
              </w:rPr>
              <w:t>）表</w:t>
            </w:r>
            <w:r>
              <w:rPr>
                <w:bCs/>
                <w:sz w:val="24"/>
              </w:rPr>
              <w:t>5</w:t>
            </w:r>
            <w:r>
              <w:rPr>
                <w:rFonts w:hint="eastAsia"/>
                <w:bCs/>
                <w:sz w:val="24"/>
              </w:rPr>
              <w:t>中的有关标准限值。</w:t>
            </w:r>
            <w:r>
              <w:rPr>
                <w:rFonts w:hint="eastAsia"/>
                <w:sz w:val="24"/>
              </w:rPr>
              <w:t>布袋除尘器是一种高效的除尘器，适应性强，除尘效率不受入口气体含尘浓度的影响。它适用于捕集细小、干燥非纤维性粉尘。滤袋采用纺织的滤布或非纺织的毡制成，利用纤维织物的过滤作用对含尘气体进行沉降下来，落入灰斗，含有较细小粉尘的气体在通过滤料时，粉尘被阻留，使气体得到净化。滤料使用一段时间后，由于筛滤、碰撞、滞留、扩散、静电等效应，滤袋表面积聚了一层粉尘，这层粉尘称为除尘，在此以后的运动过程中，初层成了滤料的主要过滤层，依靠初层的作用，网孔较大的滤料也能获得较高的过滤效率。袋式除尘器结构主要由上部箱体、中部箱体、下部箱体（灰斗）、清灰系统和排灰机等部分组成，布袋除尘器是目前我国生产量最大、使用最广的一种袋式除尘器，过滤风速可达</w:t>
            </w:r>
            <w:r>
              <w:rPr>
                <w:sz w:val="24"/>
              </w:rPr>
              <w:t>1~4m/s</w:t>
            </w:r>
            <w:r>
              <w:rPr>
                <w:rFonts w:hint="eastAsia"/>
                <w:sz w:val="24"/>
              </w:rPr>
              <w:t>，可以在不停风状态下进行清灰，在相同处理风量情况下，滤袋面积比机械振动的小，其除尘效率可达</w:t>
            </w:r>
            <w:r>
              <w:rPr>
                <w:sz w:val="24"/>
              </w:rPr>
              <w:t>99.9%</w:t>
            </w:r>
            <w:r>
              <w:rPr>
                <w:rFonts w:hint="eastAsia"/>
                <w:sz w:val="24"/>
              </w:rPr>
              <w:t>以上，本次环评以</w:t>
            </w:r>
            <w:r>
              <w:rPr>
                <w:sz w:val="24"/>
              </w:rPr>
              <w:t>99%</w:t>
            </w:r>
            <w:r>
              <w:rPr>
                <w:rFonts w:hint="eastAsia"/>
                <w:sz w:val="24"/>
              </w:rPr>
              <w:t>计。根据计算结果可知，颗粒物经布袋除尘器处理后可达标排放，对周围环境影响较小。</w:t>
            </w:r>
          </w:p>
          <w:p>
            <w:pPr>
              <w:adjustRightInd w:val="0"/>
              <w:snapToGrid w:val="0"/>
              <w:spacing w:line="360" w:lineRule="auto"/>
              <w:jc w:val="center"/>
              <w:rPr>
                <w:bCs/>
                <w:sz w:val="24"/>
              </w:rPr>
            </w:pPr>
            <w:r>
              <w:rPr>
                <w:bCs/>
                <w:sz w:val="24"/>
              </w:rPr>
              <w:object>
                <v:shape id="_x0000_i1030" o:spt="75" type="#_x0000_t75" style="height:233.25pt;width:435pt;" o:ole="t" filled="f" o:preferrelative="t" stroked="f" coordsize="21600,21600">
                  <v:path/>
                  <v:fill on="f" focussize="0,0"/>
                  <v:stroke on="f" joinstyle="miter"/>
                  <v:imagedata r:id="rId18" o:title=""/>
                  <o:lock v:ext="edit" aspectratio="f"/>
                  <w10:wrap type="none"/>
                  <w10:anchorlock/>
                </v:shape>
                <o:OLEObject Type="Embed" ProgID="Visio.Drawing.11" ShapeID="_x0000_i1030" DrawAspect="Content" ObjectID="_1468075729" r:id="rId17">
                  <o:LockedField>false</o:LockedField>
                </o:OLEObject>
              </w:object>
            </w:r>
            <w:r>
              <w:rPr>
                <w:rFonts w:hint="eastAsia"/>
                <w:b/>
                <w:szCs w:val="21"/>
              </w:rPr>
              <w:t>图</w:t>
            </w:r>
            <w:r>
              <w:rPr>
                <w:b/>
                <w:szCs w:val="21"/>
              </w:rPr>
              <w:t xml:space="preserve">4-1   </w:t>
            </w:r>
            <w:r>
              <w:rPr>
                <w:rFonts w:hint="eastAsia"/>
                <w:b/>
                <w:szCs w:val="21"/>
              </w:rPr>
              <w:t>运营期废气收集及处置流程示意图</w:t>
            </w:r>
          </w:p>
          <w:p>
            <w:pPr>
              <w:adjustRightInd w:val="0"/>
              <w:snapToGrid w:val="0"/>
              <w:spacing w:line="360" w:lineRule="auto"/>
              <w:ind w:firstLine="480" w:firstLineChars="200"/>
              <w:jc w:val="left"/>
              <w:rPr>
                <w:bCs/>
                <w:sz w:val="24"/>
              </w:rPr>
            </w:pPr>
            <w:r>
              <w:rPr>
                <w:rFonts w:hint="eastAsia"/>
                <w:bCs/>
                <w:sz w:val="24"/>
              </w:rPr>
              <w:t>（</w:t>
            </w:r>
            <w:r>
              <w:rPr>
                <w:bCs/>
                <w:sz w:val="24"/>
              </w:rPr>
              <w:t>3</w:t>
            </w:r>
            <w:r>
              <w:rPr>
                <w:rFonts w:hint="eastAsia"/>
                <w:bCs/>
                <w:sz w:val="24"/>
              </w:rPr>
              <w:t>）废气监测计划</w:t>
            </w:r>
          </w:p>
          <w:p>
            <w:pPr>
              <w:adjustRightInd w:val="0"/>
              <w:snapToGrid w:val="0"/>
              <w:spacing w:line="360" w:lineRule="auto"/>
              <w:ind w:firstLine="480" w:firstLineChars="200"/>
              <w:jc w:val="left"/>
              <w:rPr>
                <w:bCs/>
                <w:sz w:val="24"/>
              </w:rPr>
            </w:pPr>
            <w:r>
              <w:rPr>
                <w:rFonts w:hint="eastAsia"/>
                <w:bCs/>
                <w:sz w:val="24"/>
              </w:rPr>
              <w:t>根据</w:t>
            </w:r>
            <w:r>
              <w:rPr>
                <w:rFonts w:hint="eastAsia"/>
                <w:kern w:val="0"/>
                <w:sz w:val="24"/>
              </w:rPr>
              <w:t>《排污许可证申请与核发技术规范</w:t>
            </w:r>
            <w:r>
              <w:rPr>
                <w:kern w:val="0"/>
                <w:sz w:val="24"/>
              </w:rPr>
              <w:t xml:space="preserve"> </w:t>
            </w:r>
            <w:r>
              <w:rPr>
                <w:rFonts w:hint="eastAsia"/>
                <w:kern w:val="0"/>
                <w:sz w:val="24"/>
              </w:rPr>
              <w:t>汽车制造业》（</w:t>
            </w:r>
            <w:r>
              <w:rPr>
                <w:kern w:val="0"/>
                <w:sz w:val="24"/>
              </w:rPr>
              <w:t>HJ971-2018</w:t>
            </w:r>
            <w:r>
              <w:rPr>
                <w:rFonts w:hint="eastAsia"/>
                <w:kern w:val="0"/>
                <w:sz w:val="24"/>
              </w:rPr>
              <w:t>）和《排污单位自行监测技术指南总则》（</w:t>
            </w:r>
            <w:r>
              <w:rPr>
                <w:kern w:val="0"/>
                <w:sz w:val="24"/>
              </w:rPr>
              <w:t>HJ 819-2017</w:t>
            </w:r>
            <w:r>
              <w:rPr>
                <w:rFonts w:hint="eastAsia"/>
                <w:kern w:val="0"/>
                <w:sz w:val="24"/>
              </w:rPr>
              <w:t>），项目运营期废气环境监测计划交表</w:t>
            </w:r>
            <w:r>
              <w:rPr>
                <w:kern w:val="0"/>
                <w:sz w:val="24"/>
              </w:rPr>
              <w:t>4-4</w:t>
            </w:r>
            <w:r>
              <w:rPr>
                <w:rFonts w:hint="eastAsia"/>
                <w:kern w:val="0"/>
                <w:sz w:val="24"/>
              </w:rPr>
              <w:t>。</w:t>
            </w:r>
          </w:p>
          <w:p>
            <w:pPr>
              <w:pStyle w:val="40"/>
              <w:widowControl/>
              <w:adjustRightInd/>
              <w:spacing w:line="240" w:lineRule="auto"/>
              <w:ind w:firstLine="0" w:firstLineChars="0"/>
              <w:jc w:val="center"/>
              <w:rPr>
                <w:b/>
                <w:sz w:val="21"/>
                <w:szCs w:val="21"/>
              </w:rPr>
            </w:pPr>
            <w:r>
              <w:rPr>
                <w:rFonts w:hint="eastAsia"/>
                <w:b/>
                <w:sz w:val="21"/>
                <w:szCs w:val="21"/>
              </w:rPr>
              <w:t>表</w:t>
            </w:r>
            <w:r>
              <w:rPr>
                <w:b/>
                <w:sz w:val="21"/>
                <w:szCs w:val="21"/>
              </w:rPr>
              <w:t xml:space="preserve">4-4   </w:t>
            </w:r>
            <w:r>
              <w:rPr>
                <w:rFonts w:hint="eastAsia"/>
                <w:b/>
                <w:sz w:val="21"/>
                <w:szCs w:val="21"/>
              </w:rPr>
              <w:t>废气监测计划一览表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2688"/>
              <w:gridCol w:w="20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1"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
                      <w:szCs w:val="21"/>
                    </w:rPr>
                  </w:pPr>
                  <w:r>
                    <w:rPr>
                      <w:rFonts w:hint="eastAsia"/>
                      <w:b/>
                      <w:szCs w:val="21"/>
                    </w:rPr>
                    <w:t>监测点位</w:t>
                  </w:r>
                </w:p>
              </w:tc>
              <w:tc>
                <w:tcPr>
                  <w:tcW w:w="1551"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监测因子</w:t>
                  </w:r>
                </w:p>
              </w:tc>
              <w:tc>
                <w:tcPr>
                  <w:tcW w:w="1197" w:type="pct"/>
                  <w:tcBorders>
                    <w:top w:val="single" w:color="auto" w:sz="12" w:space="0"/>
                    <w:left w:val="single" w:color="auto" w:sz="4" w:space="0"/>
                    <w:bottom w:val="single" w:color="auto" w:sz="4" w:space="0"/>
                    <w:right w:val="single" w:color="auto" w:sz="12" w:space="0"/>
                  </w:tcBorders>
                  <w:vAlign w:val="center"/>
                </w:tcPr>
                <w:p>
                  <w:pPr>
                    <w:jc w:val="center"/>
                    <w:rPr>
                      <w:b/>
                      <w:szCs w:val="21"/>
                    </w:rPr>
                  </w:pPr>
                  <w:r>
                    <w:rPr>
                      <w:rFonts w:hint="eastAsia"/>
                      <w:b/>
                      <w:szCs w:val="21"/>
                    </w:rPr>
                    <w:t>监测频次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1"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Cs w:val="21"/>
                    </w:rPr>
                  </w:pPr>
                  <w:r>
                    <w:rPr>
                      <w:bCs/>
                      <w:szCs w:val="21"/>
                    </w:rPr>
                    <w:t>DA001</w:t>
                  </w:r>
                  <w:r>
                    <w:rPr>
                      <w:rFonts w:hint="eastAsia"/>
                      <w:bCs/>
                      <w:szCs w:val="21"/>
                    </w:rPr>
                    <w:t>排气筒</w:t>
                  </w:r>
                </w:p>
              </w:tc>
              <w:tc>
                <w:tcPr>
                  <w:tcW w:w="1551"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非甲烷总烃、</w:t>
                  </w:r>
                  <w:r>
                    <w:rPr>
                      <w:bCs/>
                      <w:szCs w:val="21"/>
                    </w:rPr>
                    <w:t>SO</w:t>
                  </w:r>
                  <w:r>
                    <w:rPr>
                      <w:bCs/>
                      <w:szCs w:val="21"/>
                      <w:vertAlign w:val="subscript"/>
                    </w:rPr>
                    <w:t>2</w:t>
                  </w:r>
                  <w:r>
                    <w:rPr>
                      <w:rFonts w:hint="eastAsia"/>
                      <w:bCs/>
                      <w:szCs w:val="21"/>
                    </w:rPr>
                    <w:t>、</w:t>
                  </w:r>
                  <w:r>
                    <w:rPr>
                      <w:bCs/>
                      <w:szCs w:val="21"/>
                    </w:rPr>
                    <w:t>NO</w:t>
                  </w:r>
                  <w:r>
                    <w:rPr>
                      <w:bCs/>
                      <w:szCs w:val="21"/>
                      <w:vertAlign w:val="subscript"/>
                    </w:rPr>
                    <w:t>X</w:t>
                  </w:r>
                  <w:r>
                    <w:rPr>
                      <w:rFonts w:hint="eastAsia"/>
                      <w:bCs/>
                      <w:szCs w:val="21"/>
                    </w:rPr>
                    <w:t>、颗粒物</w:t>
                  </w:r>
                </w:p>
              </w:tc>
              <w:tc>
                <w:tcPr>
                  <w:tcW w:w="1197" w:type="pct"/>
                  <w:tcBorders>
                    <w:top w:val="single" w:color="auto" w:sz="4" w:space="0"/>
                    <w:left w:val="single" w:color="auto" w:sz="4" w:space="0"/>
                    <w:bottom w:val="single" w:color="auto" w:sz="4" w:space="0"/>
                    <w:right w:val="single" w:color="auto" w:sz="12" w:space="0"/>
                  </w:tcBorders>
                  <w:vAlign w:val="center"/>
                </w:tcPr>
                <w:p>
                  <w:pPr>
                    <w:jc w:val="center"/>
                    <w:rPr>
                      <w:bCs/>
                      <w:szCs w:val="21"/>
                    </w:rPr>
                  </w:pPr>
                  <w:r>
                    <w:rPr>
                      <w:rFonts w:hint="eastAsia"/>
                      <w:bCs/>
                      <w:szCs w:val="21"/>
                    </w:rPr>
                    <w:t>每年一次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1"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Cs w:val="21"/>
                    </w:rPr>
                  </w:pPr>
                  <w:r>
                    <w:rPr>
                      <w:bCs/>
                      <w:szCs w:val="21"/>
                    </w:rPr>
                    <w:t>DA002</w:t>
                  </w:r>
                  <w:r>
                    <w:rPr>
                      <w:rFonts w:hint="eastAsia"/>
                      <w:bCs/>
                      <w:szCs w:val="21"/>
                    </w:rPr>
                    <w:t>排气筒</w:t>
                  </w:r>
                </w:p>
              </w:tc>
              <w:tc>
                <w:tcPr>
                  <w:tcW w:w="1551"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颗粒物</w:t>
                  </w:r>
                </w:p>
              </w:tc>
              <w:tc>
                <w:tcPr>
                  <w:tcW w:w="1197" w:type="pct"/>
                  <w:tcBorders>
                    <w:top w:val="single" w:color="auto" w:sz="4" w:space="0"/>
                    <w:left w:val="single" w:color="auto" w:sz="4" w:space="0"/>
                    <w:bottom w:val="single" w:color="auto" w:sz="4" w:space="0"/>
                    <w:right w:val="single" w:color="auto" w:sz="12" w:space="0"/>
                  </w:tcBorders>
                  <w:vAlign w:val="center"/>
                </w:tcPr>
                <w:p>
                  <w:pPr>
                    <w:jc w:val="center"/>
                    <w:rPr>
                      <w:bCs/>
                      <w:szCs w:val="21"/>
                    </w:rPr>
                  </w:pPr>
                  <w:r>
                    <w:rPr>
                      <w:rFonts w:hint="eastAsia"/>
                      <w:bCs/>
                      <w:szCs w:val="21"/>
                    </w:rPr>
                    <w:t>每年一次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1"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Cs w:val="21"/>
                    </w:rPr>
                  </w:pPr>
                  <w:r>
                    <w:rPr>
                      <w:rFonts w:hint="eastAsia"/>
                      <w:bCs/>
                      <w:szCs w:val="21"/>
                    </w:rPr>
                    <w:t>厂界外</w:t>
                  </w:r>
                  <w:r>
                    <w:rPr>
                      <w:bCs/>
                      <w:szCs w:val="21"/>
                    </w:rPr>
                    <w:t>10m</w:t>
                  </w:r>
                  <w:r>
                    <w:rPr>
                      <w:rFonts w:hint="eastAsia"/>
                      <w:bCs/>
                      <w:szCs w:val="21"/>
                    </w:rPr>
                    <w:t>范围内上风向</w:t>
                  </w:r>
                  <w:r>
                    <w:rPr>
                      <w:bCs/>
                      <w:szCs w:val="21"/>
                    </w:rPr>
                    <w:t>1</w:t>
                  </w:r>
                  <w:r>
                    <w:rPr>
                      <w:rFonts w:hint="eastAsia"/>
                      <w:bCs/>
                      <w:szCs w:val="21"/>
                    </w:rPr>
                    <w:t>个参照点，下风向</w:t>
                  </w:r>
                  <w:r>
                    <w:rPr>
                      <w:bCs/>
                      <w:szCs w:val="21"/>
                    </w:rPr>
                    <w:t>3</w:t>
                  </w:r>
                  <w:r>
                    <w:rPr>
                      <w:rFonts w:hint="eastAsia"/>
                      <w:bCs/>
                      <w:szCs w:val="21"/>
                    </w:rPr>
                    <w:t>个浓度监控点</w:t>
                  </w:r>
                </w:p>
              </w:tc>
              <w:tc>
                <w:tcPr>
                  <w:tcW w:w="1551"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非甲烷总烃</w:t>
                  </w:r>
                </w:p>
              </w:tc>
              <w:tc>
                <w:tcPr>
                  <w:tcW w:w="1197" w:type="pct"/>
                  <w:tcBorders>
                    <w:top w:val="single" w:color="auto" w:sz="4" w:space="0"/>
                    <w:left w:val="single" w:color="auto" w:sz="4" w:space="0"/>
                    <w:bottom w:val="single" w:color="auto" w:sz="4" w:space="0"/>
                    <w:right w:val="single" w:color="auto" w:sz="12" w:space="0"/>
                  </w:tcBorders>
                  <w:vAlign w:val="center"/>
                </w:tcPr>
                <w:p>
                  <w:pPr>
                    <w:jc w:val="center"/>
                    <w:rPr>
                      <w:bCs/>
                      <w:szCs w:val="21"/>
                    </w:rPr>
                  </w:pPr>
                  <w:r>
                    <w:rPr>
                      <w:rFonts w:hint="eastAsia"/>
                      <w:bCs/>
                      <w:szCs w:val="21"/>
                    </w:rPr>
                    <w:t>每年一次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51"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zCs w:val="21"/>
                    </w:rPr>
                  </w:pPr>
                  <w:r>
                    <w:rPr>
                      <w:rFonts w:hint="eastAsia"/>
                      <w:bCs/>
                      <w:szCs w:val="21"/>
                    </w:rPr>
                    <w:t>厂房门窗或通风口等排放口外</w:t>
                  </w:r>
                  <w:r>
                    <w:rPr>
                      <w:bCs/>
                      <w:szCs w:val="21"/>
                    </w:rPr>
                    <w:t>1m</w:t>
                  </w:r>
                  <w:r>
                    <w:rPr>
                      <w:rFonts w:hint="eastAsia"/>
                      <w:bCs/>
                      <w:szCs w:val="21"/>
                    </w:rPr>
                    <w:t>，距地面</w:t>
                  </w:r>
                  <w:r>
                    <w:rPr>
                      <w:bCs/>
                      <w:szCs w:val="21"/>
                    </w:rPr>
                    <w:t>1.5m</w:t>
                  </w:r>
                  <w:r>
                    <w:rPr>
                      <w:rFonts w:hint="eastAsia"/>
                      <w:bCs/>
                      <w:szCs w:val="21"/>
                    </w:rPr>
                    <w:t>以上位置进行监测</w:t>
                  </w:r>
                </w:p>
              </w:tc>
              <w:tc>
                <w:tcPr>
                  <w:tcW w:w="1551"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rFonts w:hint="eastAsia"/>
                      <w:bCs/>
                      <w:szCs w:val="21"/>
                    </w:rPr>
                    <w:t>非甲烷总烃</w:t>
                  </w:r>
                </w:p>
              </w:tc>
              <w:tc>
                <w:tcPr>
                  <w:tcW w:w="1197" w:type="pct"/>
                  <w:tcBorders>
                    <w:top w:val="single" w:color="auto" w:sz="4" w:space="0"/>
                    <w:left w:val="single" w:color="auto" w:sz="4" w:space="0"/>
                    <w:bottom w:val="single" w:color="auto" w:sz="12" w:space="0"/>
                    <w:right w:val="single" w:color="auto" w:sz="12" w:space="0"/>
                  </w:tcBorders>
                  <w:vAlign w:val="center"/>
                </w:tcPr>
                <w:p>
                  <w:pPr>
                    <w:jc w:val="center"/>
                    <w:rPr>
                      <w:bCs/>
                      <w:szCs w:val="21"/>
                    </w:rPr>
                  </w:pPr>
                  <w:r>
                    <w:rPr>
                      <w:rFonts w:hint="eastAsia"/>
                      <w:bCs/>
                      <w:szCs w:val="21"/>
                    </w:rPr>
                    <w:t>每年一次</w:t>
                  </w:r>
                </w:p>
              </w:tc>
            </w:tr>
          </w:tbl>
          <w:p>
            <w:pPr>
              <w:adjustRightInd w:val="0"/>
              <w:snapToGrid w:val="0"/>
              <w:spacing w:line="360" w:lineRule="auto"/>
              <w:ind w:firstLine="480" w:firstLineChars="200"/>
              <w:jc w:val="left"/>
              <w:rPr>
                <w:bCs/>
                <w:sz w:val="24"/>
              </w:rPr>
            </w:pPr>
            <w:r>
              <w:rPr>
                <w:rFonts w:hint="eastAsia"/>
                <w:bCs/>
                <w:sz w:val="24"/>
              </w:rPr>
              <w:t>（</w:t>
            </w:r>
            <w:r>
              <w:rPr>
                <w:bCs/>
                <w:sz w:val="24"/>
              </w:rPr>
              <w:t>4</w:t>
            </w:r>
            <w:r>
              <w:rPr>
                <w:rFonts w:hint="eastAsia"/>
                <w:bCs/>
                <w:sz w:val="24"/>
              </w:rPr>
              <w:t>）非正常排放情况</w:t>
            </w:r>
          </w:p>
          <w:p>
            <w:pPr>
              <w:adjustRightInd w:val="0"/>
              <w:snapToGrid w:val="0"/>
              <w:spacing w:line="360" w:lineRule="auto"/>
              <w:ind w:firstLine="480" w:firstLineChars="200"/>
              <w:jc w:val="left"/>
              <w:rPr>
                <w:bCs/>
                <w:sz w:val="24"/>
              </w:rPr>
            </w:pPr>
            <w:r>
              <w:rPr>
                <w:rFonts w:hint="eastAsia"/>
                <w:bCs/>
                <w:sz w:val="24"/>
              </w:rPr>
              <w:t>本项目的非正常工况主要是污染物排放处理设施达不到应有的处理效率及环保设施发生故障，造成废气污染物未经净化直接排放。该情况下的非正常排放源强按未经过处理的污染物产生量计算，详见下表</w:t>
            </w:r>
            <w:r>
              <w:rPr>
                <w:bCs/>
                <w:sz w:val="24"/>
              </w:rPr>
              <w:t>4-5</w:t>
            </w:r>
            <w:r>
              <w:rPr>
                <w:rFonts w:hint="eastAsia"/>
                <w:bCs/>
                <w:sz w:val="24"/>
              </w:rPr>
              <w:t>。</w:t>
            </w:r>
          </w:p>
          <w:p>
            <w:pPr>
              <w:pStyle w:val="40"/>
              <w:widowControl/>
              <w:adjustRightInd/>
              <w:spacing w:line="240" w:lineRule="auto"/>
              <w:ind w:firstLine="0" w:firstLineChars="0"/>
              <w:jc w:val="center"/>
              <w:rPr>
                <w:b/>
                <w:sz w:val="21"/>
                <w:szCs w:val="21"/>
              </w:rPr>
            </w:pPr>
            <w:r>
              <w:rPr>
                <w:rFonts w:hint="eastAsia"/>
                <w:b/>
                <w:sz w:val="21"/>
                <w:szCs w:val="21"/>
              </w:rPr>
              <w:t>表</w:t>
            </w:r>
            <w:r>
              <w:rPr>
                <w:b/>
                <w:sz w:val="21"/>
                <w:szCs w:val="21"/>
              </w:rPr>
              <w:t xml:space="preserve">4-5   </w:t>
            </w:r>
            <w:r>
              <w:rPr>
                <w:rFonts w:hint="eastAsia"/>
                <w:b/>
                <w:sz w:val="21"/>
                <w:szCs w:val="21"/>
              </w:rPr>
              <w:t>非正常情况排放量核算表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1395"/>
              <w:gridCol w:w="1383"/>
              <w:gridCol w:w="1216"/>
              <w:gridCol w:w="1265"/>
              <w:gridCol w:w="22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
                      <w:szCs w:val="21"/>
                    </w:rPr>
                  </w:pPr>
                  <w:r>
                    <w:rPr>
                      <w:rFonts w:hint="eastAsia"/>
                      <w:b/>
                      <w:szCs w:val="21"/>
                    </w:rPr>
                    <w:t>污染源</w:t>
                  </w:r>
                </w:p>
              </w:tc>
              <w:tc>
                <w:tcPr>
                  <w:tcW w:w="805"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污染物</w:t>
                  </w:r>
                </w:p>
              </w:tc>
              <w:tc>
                <w:tcPr>
                  <w:tcW w:w="798"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排放浓度</w:t>
                  </w:r>
                </w:p>
              </w:tc>
              <w:tc>
                <w:tcPr>
                  <w:tcW w:w="702"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排放速率</w:t>
                  </w:r>
                </w:p>
              </w:tc>
              <w:tc>
                <w:tcPr>
                  <w:tcW w:w="730"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持续时间</w:t>
                  </w:r>
                </w:p>
              </w:tc>
              <w:tc>
                <w:tcPr>
                  <w:tcW w:w="1289" w:type="pct"/>
                  <w:tcBorders>
                    <w:top w:val="single" w:color="auto" w:sz="12" w:space="0"/>
                    <w:left w:val="single" w:color="auto" w:sz="4" w:space="0"/>
                    <w:bottom w:val="single" w:color="auto" w:sz="4" w:space="0"/>
                    <w:right w:val="single" w:color="auto" w:sz="12" w:space="0"/>
                  </w:tcBorders>
                  <w:vAlign w:val="center"/>
                </w:tcPr>
                <w:p>
                  <w:pPr>
                    <w:jc w:val="center"/>
                    <w:rPr>
                      <w:b/>
                      <w:szCs w:val="21"/>
                    </w:rPr>
                  </w:pPr>
                  <w:r>
                    <w:rPr>
                      <w:rFonts w:hint="eastAsia"/>
                      <w:b/>
                      <w:szCs w:val="21"/>
                    </w:rPr>
                    <w:t>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bCs/>
                      <w:szCs w:val="21"/>
                    </w:rPr>
                  </w:pPr>
                  <w:r>
                    <w:rPr>
                      <w:bCs/>
                      <w:szCs w:val="21"/>
                    </w:rPr>
                    <w:t>DA001</w:t>
                  </w:r>
                </w:p>
                <w:p>
                  <w:pPr>
                    <w:adjustRightInd w:val="0"/>
                    <w:snapToGrid w:val="0"/>
                    <w:jc w:val="center"/>
                    <w:rPr>
                      <w:bCs/>
                      <w:szCs w:val="21"/>
                    </w:rPr>
                  </w:pPr>
                  <w:r>
                    <w:rPr>
                      <w:rFonts w:hint="eastAsia"/>
                      <w:bCs/>
                      <w:szCs w:val="21"/>
                    </w:rPr>
                    <w:t>排气筒</w:t>
                  </w: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非甲烷总烃</w:t>
                  </w:r>
                </w:p>
              </w:tc>
              <w:tc>
                <w:tcPr>
                  <w:tcW w:w="798"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15.86mg/m</w:t>
                  </w:r>
                  <w:r>
                    <w:rPr>
                      <w:bCs/>
                      <w:szCs w:val="21"/>
                      <w:vertAlign w:val="superscript"/>
                    </w:rPr>
                    <w:t>3</w:t>
                  </w:r>
                </w:p>
              </w:tc>
              <w:tc>
                <w:tcPr>
                  <w:tcW w:w="702"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0.317kg/h</w:t>
                  </w:r>
                </w:p>
              </w:tc>
              <w:tc>
                <w:tcPr>
                  <w:tcW w:w="730" w:type="pct"/>
                  <w:vMerge w:val="restar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1h</w:t>
                  </w:r>
                </w:p>
              </w:tc>
              <w:tc>
                <w:tcPr>
                  <w:tcW w:w="1289" w:type="pct"/>
                  <w:vMerge w:val="restart"/>
                  <w:tcBorders>
                    <w:top w:val="single" w:color="auto" w:sz="4" w:space="0"/>
                    <w:left w:val="single" w:color="auto" w:sz="4" w:space="0"/>
                    <w:bottom w:val="single" w:color="auto" w:sz="4" w:space="0"/>
                    <w:right w:val="single" w:color="auto" w:sz="12" w:space="0"/>
                  </w:tcBorders>
                  <w:vAlign w:val="center"/>
                </w:tcPr>
                <w:p>
                  <w:pPr>
                    <w:jc w:val="center"/>
                    <w:rPr>
                      <w:bCs/>
                      <w:szCs w:val="21"/>
                    </w:rPr>
                  </w:pPr>
                  <w:r>
                    <w:rPr>
                      <w:rFonts w:hint="eastAsia"/>
                      <w:bCs/>
                      <w:szCs w:val="21"/>
                    </w:rPr>
                    <w:t>停产检修，待恢复正常且污染物监测达标后方可继续生产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pct"/>
                  <w:vMerge w:val="continue"/>
                  <w:tcBorders>
                    <w:top w:val="single" w:color="auto" w:sz="4" w:space="0"/>
                    <w:left w:val="single" w:color="auto" w:sz="12" w:space="0"/>
                    <w:bottom w:val="single" w:color="auto" w:sz="4" w:space="0"/>
                    <w:right w:val="single" w:color="auto" w:sz="4" w:space="0"/>
                  </w:tcBorders>
                  <w:vAlign w:val="center"/>
                </w:tcPr>
                <w:p>
                  <w:pPr>
                    <w:jc w:val="cente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SO</w:t>
                  </w:r>
                  <w:r>
                    <w:rPr>
                      <w:bCs/>
                      <w:szCs w:val="21"/>
                      <w:vertAlign w:val="subscript"/>
                    </w:rPr>
                    <w:t>2</w:t>
                  </w:r>
                </w:p>
              </w:tc>
              <w:tc>
                <w:tcPr>
                  <w:tcW w:w="7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0.37</w:t>
                  </w:r>
                  <w:r>
                    <w:rPr>
                      <w:bCs/>
                      <w:szCs w:val="21"/>
                    </w:rPr>
                    <w:t>mg/m</w:t>
                  </w:r>
                  <w:r>
                    <w:rPr>
                      <w:bCs/>
                      <w:szCs w:val="21"/>
                      <w:vertAlign w:val="superscript"/>
                    </w:rPr>
                    <w:t>3</w:t>
                  </w: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0.007</w:t>
                  </w:r>
                  <w:r>
                    <w:rPr>
                      <w:bCs/>
                      <w:szCs w:val="21"/>
                    </w:rPr>
                    <w:t>kg/h</w:t>
                  </w:r>
                </w:p>
              </w:tc>
              <w:tc>
                <w:tcPr>
                  <w:tcW w:w="730"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89"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zCs w:val="21"/>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NO</w:t>
                  </w:r>
                  <w:r>
                    <w:rPr>
                      <w:bCs/>
                      <w:szCs w:val="21"/>
                      <w:vertAlign w:val="subscript"/>
                    </w:rPr>
                    <w:t>X</w:t>
                  </w:r>
                </w:p>
              </w:tc>
              <w:tc>
                <w:tcPr>
                  <w:tcW w:w="7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5.58</w:t>
                  </w:r>
                  <w:r>
                    <w:rPr>
                      <w:bCs/>
                      <w:szCs w:val="21"/>
                    </w:rPr>
                    <w:t>mg/m</w:t>
                  </w:r>
                  <w:r>
                    <w:rPr>
                      <w:bCs/>
                      <w:szCs w:val="21"/>
                      <w:vertAlign w:val="superscript"/>
                    </w:rPr>
                    <w:t>3</w:t>
                  </w: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0.112</w:t>
                  </w:r>
                  <w:r>
                    <w:rPr>
                      <w:bCs/>
                      <w:szCs w:val="21"/>
                    </w:rPr>
                    <w:t>kg/h</w:t>
                  </w:r>
                </w:p>
              </w:tc>
              <w:tc>
                <w:tcPr>
                  <w:tcW w:w="730"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89"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zCs w:val="21"/>
                    </w:rPr>
                  </w:pPr>
                </w:p>
              </w:tc>
              <w:tc>
                <w:tcPr>
                  <w:tcW w:w="805" w:type="pct"/>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颗粒物</w:t>
                  </w:r>
                </w:p>
              </w:tc>
              <w:tc>
                <w:tcPr>
                  <w:tcW w:w="79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0.37</w:t>
                  </w:r>
                  <w:r>
                    <w:rPr>
                      <w:bCs/>
                      <w:szCs w:val="21"/>
                    </w:rPr>
                    <w:t>mg/m</w:t>
                  </w:r>
                  <w:r>
                    <w:rPr>
                      <w:bCs/>
                      <w:szCs w:val="21"/>
                      <w:vertAlign w:val="superscript"/>
                    </w:rPr>
                    <w:t>3</w:t>
                  </w:r>
                </w:p>
              </w:tc>
              <w:tc>
                <w:tcPr>
                  <w:tcW w:w="7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Cs/>
                      <w:spacing w:val="-17"/>
                      <w:szCs w:val="21"/>
                    </w:rPr>
                  </w:pPr>
                  <w:r>
                    <w:rPr>
                      <w:bCs/>
                      <w:spacing w:val="-17"/>
                      <w:szCs w:val="21"/>
                    </w:rPr>
                    <w:t>0.007</w:t>
                  </w:r>
                  <w:r>
                    <w:rPr>
                      <w:bCs/>
                      <w:szCs w:val="21"/>
                    </w:rPr>
                    <w:t>kg/h</w:t>
                  </w:r>
                </w:p>
              </w:tc>
              <w:tc>
                <w:tcPr>
                  <w:tcW w:w="730" w:type="pct"/>
                  <w:vMerge w:val="continue"/>
                  <w:tcBorders>
                    <w:top w:val="single" w:color="auto" w:sz="4" w:space="0"/>
                    <w:left w:val="single" w:color="auto" w:sz="4" w:space="0"/>
                    <w:bottom w:val="single" w:color="auto" w:sz="4" w:space="0"/>
                    <w:right w:val="single" w:color="auto" w:sz="4" w:space="0"/>
                  </w:tcBorders>
                  <w:vAlign w:val="center"/>
                </w:tcPr>
                <w:p>
                  <w:pPr>
                    <w:jc w:val="center"/>
                    <w:rPr>
                      <w:bCs/>
                      <w:szCs w:val="21"/>
                    </w:rPr>
                  </w:pPr>
                </w:p>
              </w:tc>
              <w:tc>
                <w:tcPr>
                  <w:tcW w:w="1289"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4"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bCs/>
                      <w:szCs w:val="21"/>
                    </w:rPr>
                  </w:pPr>
                  <w:r>
                    <w:rPr>
                      <w:bCs/>
                      <w:szCs w:val="21"/>
                    </w:rPr>
                    <w:t>DA002</w:t>
                  </w:r>
                </w:p>
                <w:p>
                  <w:pPr>
                    <w:adjustRightInd w:val="0"/>
                    <w:snapToGrid w:val="0"/>
                    <w:jc w:val="center"/>
                    <w:rPr>
                      <w:bCs/>
                      <w:szCs w:val="21"/>
                    </w:rPr>
                  </w:pPr>
                  <w:r>
                    <w:rPr>
                      <w:rFonts w:hint="eastAsia"/>
                      <w:bCs/>
                      <w:szCs w:val="21"/>
                    </w:rPr>
                    <w:t>排气筒</w:t>
                  </w:r>
                </w:p>
              </w:tc>
              <w:tc>
                <w:tcPr>
                  <w:tcW w:w="805"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rFonts w:hint="eastAsia"/>
                      <w:bCs/>
                      <w:szCs w:val="21"/>
                    </w:rPr>
                    <w:t>颗粒物</w:t>
                  </w:r>
                </w:p>
              </w:tc>
              <w:tc>
                <w:tcPr>
                  <w:tcW w:w="798"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bCs/>
                      <w:szCs w:val="21"/>
                    </w:rPr>
                    <w:t>182mg/m</w:t>
                  </w:r>
                  <w:r>
                    <w:rPr>
                      <w:bCs/>
                      <w:szCs w:val="21"/>
                      <w:vertAlign w:val="superscript"/>
                    </w:rPr>
                    <w:t>3</w:t>
                  </w:r>
                </w:p>
              </w:tc>
              <w:tc>
                <w:tcPr>
                  <w:tcW w:w="702"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bCs/>
                      <w:szCs w:val="21"/>
                    </w:rPr>
                    <w:t>0.73kg/h</w:t>
                  </w:r>
                </w:p>
              </w:tc>
              <w:tc>
                <w:tcPr>
                  <w:tcW w:w="730"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bCs/>
                      <w:szCs w:val="21"/>
                    </w:rPr>
                    <w:t>1h</w:t>
                  </w:r>
                </w:p>
              </w:tc>
              <w:tc>
                <w:tcPr>
                  <w:tcW w:w="1289" w:type="pct"/>
                  <w:vMerge w:val="continue"/>
                  <w:tcBorders>
                    <w:top w:val="single" w:color="auto" w:sz="4" w:space="0"/>
                    <w:left w:val="single" w:color="auto" w:sz="4" w:space="0"/>
                    <w:bottom w:val="single" w:color="auto" w:sz="12" w:space="0"/>
                    <w:right w:val="single" w:color="auto" w:sz="12" w:space="0"/>
                  </w:tcBorders>
                  <w:vAlign w:val="center"/>
                </w:tcPr>
                <w:p>
                  <w:pPr>
                    <w:jc w:val="center"/>
                    <w:rPr>
                      <w:bCs/>
                      <w:szCs w:val="21"/>
                    </w:rPr>
                  </w:pPr>
                </w:p>
              </w:tc>
            </w:tr>
          </w:tbl>
          <w:p>
            <w:pPr>
              <w:adjustRightInd w:val="0"/>
              <w:snapToGrid w:val="0"/>
              <w:spacing w:line="360" w:lineRule="auto"/>
              <w:ind w:firstLine="480" w:firstLineChars="200"/>
              <w:jc w:val="left"/>
              <w:rPr>
                <w:bCs/>
                <w:sz w:val="24"/>
              </w:rPr>
            </w:pPr>
            <w:r>
              <w:rPr>
                <w:rFonts w:hint="eastAsia"/>
                <w:bCs/>
                <w:sz w:val="24"/>
              </w:rPr>
              <w:t>在非正常工况下，废气未经过净化直接向空气中排放，对空气影响较大，为减少废气产生量，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降低废气对环境产生的影响</w:t>
            </w:r>
            <w:r>
              <w:rPr>
                <w:bCs/>
                <w:sz w:val="24"/>
              </w:rPr>
              <w:t>:"</w:t>
            </w:r>
          </w:p>
          <w:p>
            <w:pPr>
              <w:adjustRightInd w:val="0"/>
              <w:snapToGrid w:val="0"/>
              <w:spacing w:line="360" w:lineRule="auto"/>
              <w:ind w:firstLine="480" w:firstLineChars="200"/>
              <w:jc w:val="left"/>
              <w:rPr>
                <w:bCs/>
                <w:sz w:val="24"/>
              </w:rPr>
            </w:pPr>
            <w:r>
              <w:rPr>
                <w:rFonts w:hint="eastAsia" w:ascii="宋体" w:hAnsi="宋体" w:cs="宋体"/>
                <w:bCs/>
                <w:sz w:val="24"/>
              </w:rPr>
              <w:t>①</w:t>
            </w:r>
            <w:r>
              <w:rPr>
                <w:rFonts w:hint="eastAsia"/>
                <w:bCs/>
                <w:sz w:val="24"/>
              </w:rPr>
              <w:t>安排专人负责环保设备的日常维护和管理，每个月固定时间检查、汇报情况，及时发现废气治理设施的隐患，确保废气处理系统正常运行。</w:t>
            </w:r>
          </w:p>
          <w:p>
            <w:pPr>
              <w:adjustRightInd w:val="0"/>
              <w:snapToGrid w:val="0"/>
              <w:spacing w:line="360" w:lineRule="auto"/>
              <w:ind w:firstLine="480" w:firstLineChars="200"/>
              <w:jc w:val="left"/>
              <w:rPr>
                <w:bCs/>
                <w:sz w:val="24"/>
              </w:rPr>
            </w:pPr>
            <w:r>
              <w:rPr>
                <w:rFonts w:hint="eastAsia" w:ascii="宋体" w:hAnsi="宋体" w:cs="宋体"/>
                <w:bCs/>
                <w:sz w:val="24"/>
              </w:rPr>
              <w:t>②</w:t>
            </w:r>
            <w:r>
              <w:rPr>
                <w:rFonts w:hint="eastAsia"/>
                <w:bCs/>
                <w:sz w:val="24"/>
              </w:rPr>
              <w:t>应定期维护、检查废气净化装置，以保持废气处理装置的净化能力和净化容量。</w:t>
            </w:r>
          </w:p>
          <w:p>
            <w:pPr>
              <w:adjustRightInd w:val="0"/>
              <w:snapToGrid w:val="0"/>
              <w:spacing w:line="360" w:lineRule="auto"/>
              <w:ind w:firstLine="480" w:firstLineChars="200"/>
              <w:jc w:val="left"/>
              <w:rPr>
                <w:bCs/>
                <w:sz w:val="24"/>
              </w:rPr>
            </w:pPr>
            <w:r>
              <w:rPr>
                <w:rFonts w:hint="eastAsia" w:ascii="宋体" w:hAnsi="宋体" w:cs="宋体"/>
                <w:bCs/>
                <w:sz w:val="24"/>
              </w:rPr>
              <w:t>③</w:t>
            </w:r>
            <w:r>
              <w:rPr>
                <w:rFonts w:hint="eastAsia"/>
                <w:bCs/>
                <w:sz w:val="24"/>
              </w:rPr>
              <w:t>建立健全的环保管理制度，对环保管理人员和技术人员进行岗位培训，委托具有专业资质的环境监测单位对项目排放的污染物进行定期监测。</w:t>
            </w:r>
          </w:p>
          <w:p>
            <w:pPr>
              <w:adjustRightInd w:val="0"/>
              <w:snapToGrid w:val="0"/>
              <w:spacing w:line="360" w:lineRule="auto"/>
              <w:ind w:firstLine="480" w:firstLineChars="200"/>
              <w:jc w:val="left"/>
              <w:rPr>
                <w:bCs/>
                <w:sz w:val="24"/>
              </w:rPr>
            </w:pPr>
            <w:r>
              <w:rPr>
                <w:rFonts w:hint="eastAsia" w:ascii="宋体" w:hAnsi="宋体" w:cs="宋体"/>
                <w:bCs/>
                <w:sz w:val="24"/>
              </w:rPr>
              <w:t>④</w:t>
            </w:r>
            <w:r>
              <w:rPr>
                <w:rFonts w:hint="eastAsia"/>
                <w:bCs/>
                <w:sz w:val="24"/>
              </w:rPr>
              <w:t>生产车间生产设施运行时，废气处理设施开启，关闭生产设施过一段时间后再关闭废气处理设施，保证废气得到有效处理。</w:t>
            </w:r>
          </w:p>
          <w:p>
            <w:pPr>
              <w:adjustRightInd w:val="0"/>
              <w:snapToGrid w:val="0"/>
              <w:spacing w:line="360" w:lineRule="auto"/>
              <w:ind w:firstLine="482" w:firstLineChars="200"/>
              <w:jc w:val="left"/>
              <w:rPr>
                <w:b/>
                <w:sz w:val="24"/>
              </w:rPr>
            </w:pPr>
            <w:r>
              <w:rPr>
                <w:b/>
                <w:sz w:val="24"/>
              </w:rPr>
              <w:t>2</w:t>
            </w:r>
            <w:r>
              <w:rPr>
                <w:rFonts w:hint="eastAsia"/>
                <w:b/>
                <w:sz w:val="24"/>
              </w:rPr>
              <w:t>、废水</w:t>
            </w:r>
          </w:p>
          <w:p>
            <w:pPr>
              <w:adjustRightInd w:val="0"/>
              <w:snapToGrid w:val="0"/>
              <w:spacing w:line="360" w:lineRule="auto"/>
              <w:ind w:firstLine="480" w:firstLineChars="200"/>
              <w:jc w:val="left"/>
              <w:rPr>
                <w:bCs/>
                <w:sz w:val="24"/>
              </w:rPr>
            </w:pPr>
            <w:r>
              <w:rPr>
                <w:rFonts w:hint="eastAsia"/>
                <w:bCs/>
                <w:sz w:val="24"/>
              </w:rPr>
              <w:t>（</w:t>
            </w:r>
            <w:r>
              <w:rPr>
                <w:bCs/>
                <w:sz w:val="24"/>
              </w:rPr>
              <w:t>1</w:t>
            </w:r>
            <w:r>
              <w:rPr>
                <w:rFonts w:hint="eastAsia"/>
                <w:bCs/>
                <w:sz w:val="24"/>
              </w:rPr>
              <w:t>）废水产排情况</w:t>
            </w:r>
          </w:p>
          <w:p>
            <w:pPr>
              <w:adjustRightInd w:val="0"/>
              <w:snapToGrid w:val="0"/>
              <w:spacing w:line="360" w:lineRule="auto"/>
              <w:ind w:firstLine="480" w:firstLineChars="200"/>
              <w:jc w:val="left"/>
              <w:rPr>
                <w:bCs/>
                <w:sz w:val="24"/>
              </w:rPr>
            </w:pPr>
            <w:r>
              <w:rPr>
                <w:rFonts w:hint="eastAsia"/>
                <w:bCs/>
                <w:sz w:val="24"/>
              </w:rPr>
              <w:t>吸音棉生产线热熔设备、模内发泡生产线发泡机、轻质发泡生产线复合机及热压成型机冷却用水。采用间接冷却方式，冷却水经循环水池（</w:t>
            </w:r>
            <w:r>
              <w:rPr>
                <w:bCs/>
                <w:sz w:val="24"/>
              </w:rPr>
              <w:t>15m</w:t>
            </w:r>
            <w:r>
              <w:rPr>
                <w:bCs/>
                <w:sz w:val="24"/>
                <w:vertAlign w:val="superscript"/>
              </w:rPr>
              <w:t>3</w:t>
            </w:r>
            <w:r>
              <w:rPr>
                <w:rFonts w:hint="eastAsia"/>
                <w:bCs/>
                <w:sz w:val="24"/>
              </w:rPr>
              <w:t>）降温后循环使用不外排。外排的废水主要为生活污水，生活污水产生量为</w:t>
            </w:r>
            <w:r>
              <w:rPr>
                <w:bCs/>
                <w:sz w:val="24"/>
              </w:rPr>
              <w:t>2.0m</w:t>
            </w:r>
            <w:r>
              <w:rPr>
                <w:bCs/>
                <w:sz w:val="24"/>
                <w:vertAlign w:val="superscript"/>
              </w:rPr>
              <w:t>3</w:t>
            </w:r>
            <w:r>
              <w:rPr>
                <w:bCs/>
                <w:sz w:val="24"/>
              </w:rPr>
              <w:t>/d</w:t>
            </w:r>
            <w:r>
              <w:rPr>
                <w:rFonts w:hint="eastAsia"/>
                <w:bCs/>
                <w:sz w:val="24"/>
              </w:rPr>
              <w:t>（</w:t>
            </w:r>
            <w:r>
              <w:rPr>
                <w:bCs/>
                <w:sz w:val="24"/>
              </w:rPr>
              <w:t>500m</w:t>
            </w:r>
            <w:r>
              <w:rPr>
                <w:bCs/>
                <w:sz w:val="24"/>
                <w:vertAlign w:val="superscript"/>
              </w:rPr>
              <w:t>3</w:t>
            </w:r>
            <w:r>
              <w:rPr>
                <w:bCs/>
                <w:sz w:val="24"/>
              </w:rPr>
              <w:t>/a</w:t>
            </w:r>
            <w:r>
              <w:rPr>
                <w:rFonts w:hint="eastAsia"/>
                <w:bCs/>
                <w:sz w:val="24"/>
              </w:rPr>
              <w:t>），主要污染因子为</w:t>
            </w:r>
            <w:r>
              <w:rPr>
                <w:bCs/>
                <w:sz w:val="24"/>
              </w:rPr>
              <w:t>COS</w:t>
            </w:r>
            <w:r>
              <w:rPr>
                <w:rFonts w:hint="eastAsia"/>
                <w:bCs/>
                <w:sz w:val="24"/>
              </w:rPr>
              <w:t>、</w:t>
            </w:r>
            <w:r>
              <w:rPr>
                <w:bCs/>
                <w:sz w:val="24"/>
              </w:rPr>
              <w:t>BOD</w:t>
            </w:r>
            <w:r>
              <w:rPr>
                <w:bCs/>
                <w:sz w:val="24"/>
                <w:vertAlign w:val="subscript"/>
              </w:rPr>
              <w:t>5</w:t>
            </w:r>
            <w:r>
              <w:rPr>
                <w:rFonts w:hint="eastAsia"/>
                <w:bCs/>
                <w:sz w:val="24"/>
              </w:rPr>
              <w:t>、</w:t>
            </w:r>
            <w:r>
              <w:rPr>
                <w:bCs/>
                <w:sz w:val="24"/>
              </w:rPr>
              <w:t>SS</w:t>
            </w:r>
            <w:r>
              <w:rPr>
                <w:rFonts w:hint="eastAsia"/>
                <w:bCs/>
                <w:sz w:val="24"/>
              </w:rPr>
              <w:t>、氨氮等，依托园区现有化粪池处理后经市政污水管网排至鄠邑区第二污水处理厂。</w:t>
            </w:r>
          </w:p>
          <w:p>
            <w:pPr>
              <w:pStyle w:val="40"/>
              <w:widowControl/>
              <w:adjustRightInd/>
              <w:spacing w:line="240" w:lineRule="auto"/>
              <w:ind w:firstLine="0" w:firstLineChars="0"/>
              <w:jc w:val="center"/>
              <w:rPr>
                <w:b/>
                <w:sz w:val="21"/>
                <w:szCs w:val="21"/>
              </w:rPr>
            </w:pPr>
            <w:r>
              <w:rPr>
                <w:rFonts w:hint="eastAsia"/>
                <w:b/>
                <w:sz w:val="21"/>
                <w:szCs w:val="21"/>
              </w:rPr>
              <w:t>表</w:t>
            </w:r>
            <w:r>
              <w:rPr>
                <w:b/>
                <w:sz w:val="21"/>
                <w:szCs w:val="21"/>
              </w:rPr>
              <w:t xml:space="preserve">4-6   </w:t>
            </w:r>
            <w:r>
              <w:rPr>
                <w:rFonts w:hint="eastAsia"/>
                <w:b/>
                <w:sz w:val="21"/>
                <w:szCs w:val="21"/>
              </w:rPr>
              <w:t>项目废水产排情况一览表</w:t>
            </w:r>
          </w:p>
          <w:tbl>
            <w:tblPr>
              <w:tblStyle w:val="1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896"/>
              <w:gridCol w:w="958"/>
              <w:gridCol w:w="895"/>
              <w:gridCol w:w="869"/>
              <w:gridCol w:w="883"/>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913" w:type="pct"/>
                  <w:tcBorders>
                    <w:top w:val="single" w:color="auto" w:sz="12" w:space="0"/>
                    <w:left w:val="single" w:color="auto" w:sz="12" w:space="0"/>
                    <w:bottom w:val="single" w:color="auto" w:sz="4" w:space="0"/>
                    <w:right w:val="single" w:color="auto" w:sz="4" w:space="0"/>
                  </w:tcBorders>
                  <w:vAlign w:val="center"/>
                </w:tcPr>
                <w:p>
                  <w:pPr>
                    <w:snapToGrid w:val="0"/>
                    <w:jc w:val="center"/>
                    <w:rPr>
                      <w:b/>
                      <w:szCs w:val="21"/>
                    </w:rPr>
                  </w:pPr>
                  <w:r>
                    <w:rPr>
                      <w:rFonts w:hint="eastAsia"/>
                      <w:b/>
                      <w:szCs w:val="21"/>
                    </w:rPr>
                    <w:t>项目</w:t>
                  </w:r>
                </w:p>
                <w:p>
                  <w:pPr>
                    <w:jc w:val="center"/>
                    <w:rPr>
                      <w:b/>
                      <w:szCs w:val="21"/>
                    </w:rPr>
                  </w:pPr>
                  <w:r>
                    <w:rPr>
                      <w:rFonts w:hint="eastAsia"/>
                      <w:b/>
                      <w:szCs w:val="21"/>
                    </w:rPr>
                    <w:t>污染物</w:t>
                  </w:r>
                </w:p>
              </w:tc>
              <w:tc>
                <w:tcPr>
                  <w:tcW w:w="517"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b/>
                      <w:szCs w:val="21"/>
                    </w:rPr>
                    <w:t>COD</w:t>
                  </w:r>
                </w:p>
              </w:tc>
              <w:tc>
                <w:tcPr>
                  <w:tcW w:w="553"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b/>
                      <w:szCs w:val="21"/>
                    </w:rPr>
                    <w:t>BOD</w:t>
                  </w:r>
                  <w:r>
                    <w:rPr>
                      <w:b/>
                      <w:szCs w:val="21"/>
                      <w:vertAlign w:val="subscript"/>
                    </w:rPr>
                    <w:t>5</w:t>
                  </w:r>
                </w:p>
              </w:tc>
              <w:tc>
                <w:tcPr>
                  <w:tcW w:w="517"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b/>
                      <w:szCs w:val="21"/>
                    </w:rPr>
                    <w:t>SS</w:t>
                  </w:r>
                </w:p>
              </w:tc>
              <w:tc>
                <w:tcPr>
                  <w:tcW w:w="502"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氨氮</w:t>
                  </w:r>
                </w:p>
              </w:tc>
              <w:tc>
                <w:tcPr>
                  <w:tcW w:w="510" w:type="pct"/>
                  <w:tcBorders>
                    <w:top w:val="single" w:color="auto" w:sz="12" w:space="0"/>
                    <w:left w:val="single" w:color="auto" w:sz="4" w:space="0"/>
                    <w:bottom w:val="single" w:color="auto" w:sz="4" w:space="0"/>
                    <w:right w:val="single" w:color="auto" w:sz="4" w:space="0"/>
                  </w:tcBorders>
                  <w:vAlign w:val="center"/>
                </w:tcPr>
                <w:p>
                  <w:pPr>
                    <w:jc w:val="center"/>
                    <w:rPr>
                      <w:b/>
                      <w:szCs w:val="21"/>
                    </w:rPr>
                  </w:pPr>
                  <w:r>
                    <w:rPr>
                      <w:rFonts w:hint="eastAsia"/>
                      <w:b/>
                      <w:szCs w:val="21"/>
                    </w:rPr>
                    <w:t>总磷</w:t>
                  </w:r>
                </w:p>
              </w:tc>
              <w:tc>
                <w:tcPr>
                  <w:tcW w:w="486" w:type="pct"/>
                  <w:tcBorders>
                    <w:top w:val="single" w:color="auto" w:sz="12" w:space="0"/>
                    <w:left w:val="single" w:color="auto" w:sz="4" w:space="0"/>
                    <w:bottom w:val="single" w:color="auto" w:sz="4" w:space="0"/>
                    <w:right w:val="single" w:color="auto" w:sz="12" w:space="0"/>
                  </w:tcBorders>
                  <w:vAlign w:val="center"/>
                </w:tcPr>
                <w:p>
                  <w:pPr>
                    <w:jc w:val="center"/>
                    <w:rPr>
                      <w:b/>
                      <w:szCs w:val="21"/>
                    </w:rPr>
                  </w:pPr>
                  <w:r>
                    <w:rPr>
                      <w:rFonts w:hint="eastAsia"/>
                      <w:b/>
                      <w:szCs w:val="21"/>
                    </w:rPr>
                    <w:t>总氮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bCs/>
                      <w:szCs w:val="21"/>
                    </w:rPr>
                    <w:t>产生浓度（</w:t>
                  </w:r>
                  <w:r>
                    <w:rPr>
                      <w:bCs/>
                      <w:szCs w:val="21"/>
                    </w:rPr>
                    <w:t>mg/L</w:t>
                  </w:r>
                  <w:r>
                    <w:rPr>
                      <w:rFonts w:hint="eastAsia"/>
                      <w:bCs/>
                      <w:szCs w:val="21"/>
                    </w:rPr>
                    <w:t>）</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350</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200</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220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45</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5</w:t>
                  </w:r>
                </w:p>
              </w:tc>
              <w:tc>
                <w:tcPr>
                  <w:tcW w:w="770" w:type="dxa"/>
                  <w:tcBorders>
                    <w:top w:val="single" w:color="auto" w:sz="4" w:space="0"/>
                    <w:left w:val="single" w:color="auto" w:sz="4" w:space="0"/>
                    <w:bottom w:val="single" w:color="auto" w:sz="4" w:space="0"/>
                    <w:right w:val="single" w:color="auto" w:sz="12" w:space="0"/>
                  </w:tcBorders>
                  <w:vAlign w:val="center"/>
                </w:tcPr>
                <w:p>
                  <w:pPr>
                    <w:widowControl/>
                    <w:jc w:val="center"/>
                    <w:textAlignment w:val="center"/>
                    <w:rPr>
                      <w:bCs/>
                      <w:szCs w:val="21"/>
                    </w:rPr>
                  </w:pPr>
                  <w:r>
                    <w:rPr>
                      <w:kern w:val="0"/>
                      <w:szCs w:val="21"/>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bCs/>
                      <w:szCs w:val="21"/>
                    </w:rPr>
                    <w:t>产生量（</w:t>
                  </w:r>
                  <w:r>
                    <w:rPr>
                      <w:bCs/>
                      <w:szCs w:val="21"/>
                    </w:rPr>
                    <w:t>t/a</w:t>
                  </w:r>
                  <w:r>
                    <w:rPr>
                      <w:rFonts w:hint="eastAsia"/>
                      <w:bCs/>
                      <w:szCs w:val="21"/>
                    </w:rPr>
                    <w:t>）</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0.175</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0.100</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0.110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0.023</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0.003</w:t>
                  </w:r>
                </w:p>
              </w:tc>
              <w:tc>
                <w:tcPr>
                  <w:tcW w:w="770" w:type="dxa"/>
                  <w:tcBorders>
                    <w:top w:val="single" w:color="auto" w:sz="4" w:space="0"/>
                    <w:left w:val="single" w:color="auto" w:sz="4" w:space="0"/>
                    <w:bottom w:val="single" w:color="auto" w:sz="4" w:space="0"/>
                    <w:right w:val="single" w:color="auto" w:sz="12" w:space="0"/>
                  </w:tcBorders>
                  <w:vAlign w:val="center"/>
                </w:tcPr>
                <w:p>
                  <w:pPr>
                    <w:widowControl/>
                    <w:jc w:val="center"/>
                    <w:textAlignment w:val="center"/>
                    <w:rPr>
                      <w:bCs/>
                      <w:szCs w:val="21"/>
                    </w:rPr>
                  </w:pPr>
                  <w:r>
                    <w:rPr>
                      <w:kern w:val="0"/>
                      <w:szCs w:val="21"/>
                    </w:rPr>
                    <w:t>0.024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bCs/>
                      <w:szCs w:val="21"/>
                    </w:rPr>
                    <w:t>化粪池处理效率</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15%</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10%</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40%</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w:t>
                  </w:r>
                </w:p>
              </w:tc>
              <w:tc>
                <w:tcPr>
                  <w:tcW w:w="770" w:type="dxa"/>
                  <w:tcBorders>
                    <w:top w:val="single" w:color="auto" w:sz="4" w:space="0"/>
                    <w:left w:val="single" w:color="auto" w:sz="4" w:space="0"/>
                    <w:bottom w:val="single" w:color="auto" w:sz="4" w:space="0"/>
                    <w:right w:val="single" w:color="auto" w:sz="12" w:space="0"/>
                  </w:tcBorders>
                  <w:vAlign w:val="center"/>
                </w:tcPr>
                <w:p>
                  <w:pPr>
                    <w:widowControl/>
                    <w:jc w:val="center"/>
                    <w:textAlignment w:val="center"/>
                    <w:rPr>
                      <w:bCs/>
                      <w:szCs w:val="21"/>
                    </w:rPr>
                  </w:pPr>
                  <w:r>
                    <w:rPr>
                      <w:kern w:val="0"/>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bCs/>
                      <w:szCs w:val="21"/>
                    </w:rPr>
                    <w:t>经处理后浓度（</w:t>
                  </w:r>
                  <w:r>
                    <w:rPr>
                      <w:bCs/>
                      <w:szCs w:val="21"/>
                    </w:rPr>
                    <w:t>mg/L</w:t>
                  </w:r>
                  <w:r>
                    <w:rPr>
                      <w:rFonts w:hint="eastAsia"/>
                      <w:bCs/>
                      <w:szCs w:val="21"/>
                    </w:rPr>
                    <w:t>）</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297.5</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180</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132</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45</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5</w:t>
                  </w:r>
                </w:p>
              </w:tc>
              <w:tc>
                <w:tcPr>
                  <w:tcW w:w="770" w:type="dxa"/>
                  <w:tcBorders>
                    <w:top w:val="single" w:color="auto" w:sz="4" w:space="0"/>
                    <w:left w:val="single" w:color="auto" w:sz="4" w:space="0"/>
                    <w:bottom w:val="single" w:color="auto" w:sz="4" w:space="0"/>
                    <w:right w:val="single" w:color="auto" w:sz="12" w:space="0"/>
                  </w:tcBorders>
                  <w:vAlign w:val="center"/>
                </w:tcPr>
                <w:p>
                  <w:pPr>
                    <w:widowControl/>
                    <w:jc w:val="center"/>
                    <w:textAlignment w:val="center"/>
                    <w:rPr>
                      <w:bCs/>
                      <w:szCs w:val="21"/>
                    </w:rPr>
                  </w:pPr>
                  <w:r>
                    <w:rPr>
                      <w:kern w:val="0"/>
                      <w:szCs w:val="21"/>
                    </w:rPr>
                    <w:t>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4" w:space="0"/>
                    <w:right w:val="single" w:color="auto" w:sz="4" w:space="0"/>
                  </w:tcBorders>
                  <w:vAlign w:val="center"/>
                </w:tcPr>
                <w:p>
                  <w:pPr>
                    <w:jc w:val="center"/>
                    <w:rPr>
                      <w:bCs/>
                      <w:szCs w:val="21"/>
                    </w:rPr>
                  </w:pPr>
                  <w:r>
                    <w:rPr>
                      <w:rFonts w:hint="eastAsia"/>
                      <w:bCs/>
                      <w:szCs w:val="21"/>
                    </w:rPr>
                    <w:t>经处理后排放量（</w:t>
                  </w:r>
                  <w:r>
                    <w:rPr>
                      <w:bCs/>
                      <w:szCs w:val="21"/>
                    </w:rPr>
                    <w:t>t/a</w:t>
                  </w:r>
                  <w:r>
                    <w:rPr>
                      <w:rFonts w:hint="eastAsia"/>
                      <w:bCs/>
                      <w:szCs w:val="21"/>
                    </w:rPr>
                    <w:t>）</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0.149</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0.090</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0.066</w:t>
                  </w:r>
                </w:p>
              </w:tc>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0.023</w:t>
                  </w:r>
                </w:p>
              </w:tc>
              <w:tc>
                <w:tcPr>
                  <w:tcW w:w="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bCs/>
                      <w:szCs w:val="21"/>
                    </w:rPr>
                  </w:pPr>
                  <w:r>
                    <w:rPr>
                      <w:kern w:val="0"/>
                      <w:szCs w:val="21"/>
                    </w:rPr>
                    <w:t>0.003</w:t>
                  </w:r>
                </w:p>
              </w:tc>
              <w:tc>
                <w:tcPr>
                  <w:tcW w:w="770" w:type="dxa"/>
                  <w:tcBorders>
                    <w:top w:val="single" w:color="auto" w:sz="4" w:space="0"/>
                    <w:left w:val="single" w:color="auto" w:sz="4" w:space="0"/>
                    <w:bottom w:val="single" w:color="auto" w:sz="4" w:space="0"/>
                    <w:right w:val="single" w:color="auto" w:sz="12" w:space="0"/>
                  </w:tcBorders>
                  <w:vAlign w:val="center"/>
                </w:tcPr>
                <w:p>
                  <w:pPr>
                    <w:widowControl/>
                    <w:jc w:val="center"/>
                    <w:textAlignment w:val="center"/>
                    <w:rPr>
                      <w:bCs/>
                      <w:szCs w:val="21"/>
                    </w:rPr>
                  </w:pPr>
                  <w:r>
                    <w:rPr>
                      <w:kern w:val="0"/>
                      <w:szCs w:val="21"/>
                    </w:rPr>
                    <w:t>0.024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4" w:space="0"/>
                    <w:right w:val="single" w:color="auto" w:sz="4" w:space="0"/>
                  </w:tcBorders>
                  <w:vAlign w:val="center"/>
                </w:tcPr>
                <w:p>
                  <w:pPr>
                    <w:snapToGrid w:val="0"/>
                    <w:jc w:val="center"/>
                    <w:rPr>
                      <w:bCs/>
                      <w:szCs w:val="21"/>
                    </w:rPr>
                  </w:pPr>
                  <w:r>
                    <w:rPr>
                      <w:rFonts w:hint="eastAsia"/>
                      <w:szCs w:val="21"/>
                    </w:rPr>
                    <w:t>《污水综合排放标准》（</w:t>
                  </w:r>
                  <w:r>
                    <w:rPr>
                      <w:szCs w:val="21"/>
                    </w:rPr>
                    <w:t>GB8978-1996</w:t>
                  </w:r>
                  <w:r>
                    <w:rPr>
                      <w:rFonts w:hint="eastAsia"/>
                      <w:szCs w:val="21"/>
                    </w:rPr>
                    <w:t>）三级标准</w:t>
                  </w:r>
                </w:p>
              </w:tc>
              <w:tc>
                <w:tcPr>
                  <w:tcW w:w="51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Cs w:val="21"/>
                    </w:rPr>
                  </w:pPr>
                  <w:r>
                    <w:rPr>
                      <w:szCs w:val="21"/>
                    </w:rPr>
                    <w:t>500</w:t>
                  </w:r>
                </w:p>
              </w:tc>
              <w:tc>
                <w:tcPr>
                  <w:tcW w:w="553"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Cs w:val="21"/>
                    </w:rPr>
                  </w:pPr>
                  <w:r>
                    <w:rPr>
                      <w:szCs w:val="21"/>
                    </w:rPr>
                    <w:t>300</w:t>
                  </w:r>
                </w:p>
              </w:tc>
              <w:tc>
                <w:tcPr>
                  <w:tcW w:w="51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Cs w:val="21"/>
                    </w:rPr>
                  </w:pPr>
                  <w:r>
                    <w:rPr>
                      <w:szCs w:val="21"/>
                    </w:rPr>
                    <w:t>400</w:t>
                  </w:r>
                </w:p>
              </w:tc>
              <w:tc>
                <w:tcPr>
                  <w:tcW w:w="502"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Cs w:val="21"/>
                    </w:rPr>
                  </w:pPr>
                  <w:r>
                    <w:rPr>
                      <w:szCs w:val="21"/>
                    </w:rPr>
                    <w:t>-</w:t>
                  </w:r>
                </w:p>
              </w:tc>
              <w:tc>
                <w:tcPr>
                  <w:tcW w:w="5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textAlignment w:val="center"/>
                    <w:rPr>
                      <w:bCs/>
                      <w:szCs w:val="21"/>
                    </w:rPr>
                  </w:pPr>
                  <w:r>
                    <w:rPr>
                      <w:szCs w:val="21"/>
                    </w:rPr>
                    <w:t>-</w:t>
                  </w:r>
                </w:p>
              </w:tc>
              <w:tc>
                <w:tcPr>
                  <w:tcW w:w="486" w:type="pct"/>
                  <w:tcBorders>
                    <w:top w:val="single" w:color="auto" w:sz="4" w:space="0"/>
                    <w:left w:val="single" w:color="auto" w:sz="4" w:space="0"/>
                    <w:bottom w:val="single" w:color="auto" w:sz="4" w:space="0"/>
                    <w:right w:val="single" w:color="auto" w:sz="12" w:space="0"/>
                  </w:tcBorders>
                  <w:vAlign w:val="center"/>
                </w:tcPr>
                <w:p>
                  <w:pPr>
                    <w:widowControl/>
                    <w:adjustRightInd w:val="0"/>
                    <w:snapToGrid w:val="0"/>
                    <w:jc w:val="center"/>
                    <w:textAlignment w:val="center"/>
                    <w:rPr>
                      <w:bCs/>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13" w:type="pct"/>
                  <w:tcBorders>
                    <w:top w:val="single" w:color="auto" w:sz="4" w:space="0"/>
                    <w:left w:val="single" w:color="auto" w:sz="12" w:space="0"/>
                    <w:bottom w:val="single" w:color="auto" w:sz="12" w:space="0"/>
                    <w:right w:val="single" w:color="auto" w:sz="4" w:space="0"/>
                  </w:tcBorders>
                  <w:vAlign w:val="center"/>
                </w:tcPr>
                <w:p>
                  <w:pPr>
                    <w:snapToGrid w:val="0"/>
                    <w:jc w:val="center"/>
                    <w:rPr>
                      <w:bCs/>
                      <w:szCs w:val="21"/>
                    </w:rPr>
                  </w:pPr>
                  <w:r>
                    <w:rPr>
                      <w:rFonts w:hint="eastAsia"/>
                      <w:szCs w:val="21"/>
                    </w:rPr>
                    <w:t>《污水排入城镇下水道水质标准》（</w:t>
                  </w:r>
                  <w:r>
                    <w:rPr>
                      <w:szCs w:val="21"/>
                    </w:rPr>
                    <w:t>GB31962-2015</w:t>
                  </w:r>
                  <w:r>
                    <w:rPr>
                      <w:rFonts w:hint="eastAsia"/>
                      <w:szCs w:val="21"/>
                    </w:rPr>
                    <w:t>）</w:t>
                  </w:r>
                  <w:r>
                    <w:rPr>
                      <w:szCs w:val="21"/>
                    </w:rPr>
                    <w:t>B</w:t>
                  </w:r>
                  <w:r>
                    <w:rPr>
                      <w:rFonts w:hint="eastAsia"/>
                      <w:szCs w:val="21"/>
                    </w:rPr>
                    <w:t>级标准</w:t>
                  </w:r>
                </w:p>
              </w:tc>
              <w:tc>
                <w:tcPr>
                  <w:tcW w:w="517"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zCs w:val="21"/>
                    </w:rPr>
                  </w:pPr>
                  <w:r>
                    <w:rPr>
                      <w:szCs w:val="21"/>
                    </w:rPr>
                    <w:t>-</w:t>
                  </w:r>
                </w:p>
              </w:tc>
              <w:tc>
                <w:tcPr>
                  <w:tcW w:w="553"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zCs w:val="21"/>
                    </w:rPr>
                  </w:pPr>
                  <w:r>
                    <w:rPr>
                      <w:szCs w:val="21"/>
                    </w:rPr>
                    <w:t>-</w:t>
                  </w:r>
                </w:p>
              </w:tc>
              <w:tc>
                <w:tcPr>
                  <w:tcW w:w="517"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zCs w:val="21"/>
                    </w:rPr>
                  </w:pPr>
                  <w:r>
                    <w:rPr>
                      <w:szCs w:val="21"/>
                    </w:rPr>
                    <w:t>-</w:t>
                  </w:r>
                </w:p>
              </w:tc>
              <w:tc>
                <w:tcPr>
                  <w:tcW w:w="502"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zCs w:val="21"/>
                    </w:rPr>
                  </w:pPr>
                  <w:r>
                    <w:rPr>
                      <w:szCs w:val="21"/>
                    </w:rPr>
                    <w:t>45</w:t>
                  </w:r>
                </w:p>
              </w:tc>
              <w:tc>
                <w:tcPr>
                  <w:tcW w:w="510" w:type="pct"/>
                  <w:tcBorders>
                    <w:top w:val="single" w:color="auto" w:sz="4" w:space="0"/>
                    <w:left w:val="single" w:color="auto" w:sz="4" w:space="0"/>
                    <w:bottom w:val="single" w:color="auto" w:sz="12" w:space="0"/>
                    <w:right w:val="single" w:color="auto" w:sz="4" w:space="0"/>
                  </w:tcBorders>
                  <w:vAlign w:val="center"/>
                </w:tcPr>
                <w:p>
                  <w:pPr>
                    <w:jc w:val="center"/>
                    <w:rPr>
                      <w:bCs/>
                      <w:szCs w:val="21"/>
                    </w:rPr>
                  </w:pPr>
                  <w:r>
                    <w:rPr>
                      <w:szCs w:val="21"/>
                    </w:rPr>
                    <w:t>8</w:t>
                  </w:r>
                </w:p>
              </w:tc>
              <w:tc>
                <w:tcPr>
                  <w:tcW w:w="486" w:type="pct"/>
                  <w:tcBorders>
                    <w:top w:val="single" w:color="auto" w:sz="4" w:space="0"/>
                    <w:left w:val="single" w:color="auto" w:sz="4" w:space="0"/>
                    <w:bottom w:val="single" w:color="auto" w:sz="12" w:space="0"/>
                    <w:right w:val="single" w:color="auto" w:sz="12" w:space="0"/>
                  </w:tcBorders>
                  <w:vAlign w:val="center"/>
                </w:tcPr>
                <w:p>
                  <w:pPr>
                    <w:jc w:val="center"/>
                    <w:rPr>
                      <w:bCs/>
                      <w:szCs w:val="21"/>
                    </w:rPr>
                  </w:pPr>
                  <w:r>
                    <w:rPr>
                      <w:szCs w:val="21"/>
                    </w:rPr>
                    <w:t>70</w:t>
                  </w:r>
                </w:p>
              </w:tc>
            </w:tr>
          </w:tbl>
          <w:p>
            <w:pPr>
              <w:adjustRightInd w:val="0"/>
              <w:snapToGrid w:val="0"/>
              <w:spacing w:line="360" w:lineRule="auto"/>
              <w:ind w:firstLine="480" w:firstLineChars="200"/>
              <w:rPr>
                <w:bCs/>
                <w:sz w:val="24"/>
              </w:rPr>
            </w:pPr>
            <w:r>
              <w:rPr>
                <w:rFonts w:hint="eastAsia"/>
                <w:bCs/>
                <w:sz w:val="24"/>
              </w:rPr>
              <w:t>由上表可知，本项目生活污水排放浓度可满足</w:t>
            </w:r>
            <w:r>
              <w:rPr>
                <w:rFonts w:hint="eastAsia"/>
                <w:sz w:val="24"/>
              </w:rPr>
              <w:t>《污水综合排放标准》（</w:t>
            </w:r>
            <w:r>
              <w:rPr>
                <w:sz w:val="24"/>
              </w:rPr>
              <w:t>GB8978-1996</w:t>
            </w:r>
            <w:r>
              <w:rPr>
                <w:rFonts w:hint="eastAsia"/>
                <w:sz w:val="24"/>
              </w:rPr>
              <w:t>）三级标准及《污水排入城镇下水道水质标准》（</w:t>
            </w:r>
            <w:r>
              <w:rPr>
                <w:sz w:val="24"/>
              </w:rPr>
              <w:t>GB31962-2015</w:t>
            </w:r>
            <w:r>
              <w:rPr>
                <w:rFonts w:hint="eastAsia"/>
                <w:sz w:val="24"/>
              </w:rPr>
              <w:t>）</w:t>
            </w:r>
            <w:r>
              <w:rPr>
                <w:sz w:val="24"/>
              </w:rPr>
              <w:t>B</w:t>
            </w:r>
            <w:r>
              <w:rPr>
                <w:rFonts w:hint="eastAsia"/>
                <w:sz w:val="24"/>
              </w:rPr>
              <w:t>级标准。生活污水经化粪池预处理后通过市政污水管网排入鄠邑区第二污水处理厂，对周边水环境影响较小。</w:t>
            </w:r>
          </w:p>
          <w:p>
            <w:pPr>
              <w:adjustRightInd w:val="0"/>
              <w:snapToGrid w:val="0"/>
              <w:spacing w:line="360" w:lineRule="auto"/>
              <w:ind w:firstLine="480" w:firstLineChars="200"/>
              <w:jc w:val="left"/>
              <w:rPr>
                <w:bCs/>
                <w:sz w:val="24"/>
                <w:lang w:val="zh-CN"/>
              </w:rPr>
            </w:pPr>
            <w:r>
              <w:rPr>
                <w:rFonts w:hint="eastAsia"/>
                <w:bCs/>
                <w:sz w:val="24"/>
              </w:rPr>
              <w:t>（</w:t>
            </w:r>
            <w:r>
              <w:rPr>
                <w:bCs/>
                <w:sz w:val="24"/>
              </w:rPr>
              <w:t>2</w:t>
            </w:r>
            <w:r>
              <w:rPr>
                <w:rFonts w:hint="eastAsia"/>
                <w:bCs/>
                <w:sz w:val="24"/>
              </w:rPr>
              <w:t>）建设项目污染物排放信息</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1 \* GB3 \* MERGEFORMAT </w:instrText>
            </w:r>
            <w:r>
              <w:rPr>
                <w:bCs/>
                <w:sz w:val="24"/>
              </w:rPr>
              <w:fldChar w:fldCharType="separate"/>
            </w:r>
            <w:r>
              <w:rPr>
                <w:rFonts w:hint="eastAsia" w:ascii="宋体" w:hAnsi="宋体" w:cs="宋体"/>
                <w:bCs/>
                <w:sz w:val="24"/>
              </w:rPr>
              <w:t>①</w:t>
            </w:r>
            <w:r>
              <w:rPr>
                <w:bCs/>
                <w:sz w:val="24"/>
              </w:rPr>
              <w:fldChar w:fldCharType="end"/>
            </w:r>
            <w:r>
              <w:rPr>
                <w:rFonts w:hint="eastAsia"/>
                <w:bCs/>
                <w:sz w:val="24"/>
              </w:rPr>
              <w:t>废水类别、污染物及污染治理设施信息</w:t>
            </w:r>
          </w:p>
          <w:p>
            <w:pPr>
              <w:jc w:val="center"/>
              <w:rPr>
                <w:b/>
                <w:szCs w:val="21"/>
              </w:rPr>
            </w:pPr>
            <w:r>
              <w:rPr>
                <w:rFonts w:hint="eastAsia"/>
                <w:b/>
                <w:szCs w:val="21"/>
              </w:rPr>
              <w:t>表</w:t>
            </w:r>
            <w:r>
              <w:rPr>
                <w:b/>
                <w:szCs w:val="21"/>
              </w:rPr>
              <w:t xml:space="preserve">4-7    </w:t>
            </w:r>
            <w:r>
              <w:rPr>
                <w:rFonts w:hint="eastAsia"/>
                <w:b/>
                <w:szCs w:val="21"/>
              </w:rPr>
              <w:t>废水类别、污染物及治理污染设施信息表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587"/>
              <w:gridCol w:w="1088"/>
              <w:gridCol w:w="657"/>
              <w:gridCol w:w="638"/>
              <w:gridCol w:w="820"/>
              <w:gridCol w:w="700"/>
              <w:gridCol w:w="757"/>
              <w:gridCol w:w="844"/>
              <w:gridCol w:w="575"/>
              <w:gridCol w:w="15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3" w:type="pct"/>
                  <w:vMerge w:val="restart"/>
                  <w:tcBorders>
                    <w:top w:val="single" w:color="auto" w:sz="12" w:space="0"/>
                    <w:left w:val="single" w:color="auto" w:sz="12" w:space="0"/>
                    <w:bottom w:val="single" w:color="auto" w:sz="4" w:space="0"/>
                    <w:right w:val="single" w:color="auto" w:sz="4" w:space="0"/>
                  </w:tcBorders>
                  <w:vAlign w:val="center"/>
                </w:tcPr>
                <w:p>
                  <w:pPr>
                    <w:jc w:val="center"/>
                    <w:rPr>
                      <w:b/>
                      <w:spacing w:val="-11"/>
                      <w:szCs w:val="21"/>
                    </w:rPr>
                  </w:pPr>
                  <w:r>
                    <w:rPr>
                      <w:rFonts w:hint="eastAsia"/>
                      <w:b/>
                      <w:spacing w:val="-11"/>
                      <w:szCs w:val="21"/>
                    </w:rPr>
                    <w:t>序号</w:t>
                  </w:r>
                </w:p>
              </w:tc>
              <w:tc>
                <w:tcPr>
                  <w:tcW w:w="338"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废水类别</w:t>
                  </w:r>
                </w:p>
              </w:tc>
              <w:tc>
                <w:tcPr>
                  <w:tcW w:w="627"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污染物种类</w:t>
                  </w:r>
                </w:p>
              </w:tc>
              <w:tc>
                <w:tcPr>
                  <w:tcW w:w="379"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排放去向</w:t>
                  </w:r>
                </w:p>
              </w:tc>
              <w:tc>
                <w:tcPr>
                  <w:tcW w:w="368"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排放规律</w:t>
                  </w:r>
                </w:p>
              </w:tc>
              <w:tc>
                <w:tcPr>
                  <w:tcW w:w="1314" w:type="pct"/>
                  <w:gridSpan w:val="3"/>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污染治理设施</w:t>
                  </w:r>
                </w:p>
              </w:tc>
              <w:tc>
                <w:tcPr>
                  <w:tcW w:w="487"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排放口编号</w:t>
                  </w:r>
                </w:p>
              </w:tc>
              <w:tc>
                <w:tcPr>
                  <w:tcW w:w="332" w:type="pct"/>
                  <w:vMerge w:val="restar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spacing w:val="-11"/>
                      <w:szCs w:val="21"/>
                    </w:rPr>
                  </w:pPr>
                  <w:r>
                    <w:rPr>
                      <w:rFonts w:hint="eastAsia"/>
                      <w:b/>
                      <w:spacing w:val="-11"/>
                      <w:szCs w:val="21"/>
                    </w:rPr>
                    <w:t>排放口设置</w:t>
                  </w:r>
                </w:p>
              </w:tc>
              <w:tc>
                <w:tcPr>
                  <w:tcW w:w="898" w:type="pct"/>
                  <w:vMerge w:val="restar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
                      <w:spacing w:val="-11"/>
                      <w:szCs w:val="21"/>
                    </w:rPr>
                  </w:pPr>
                  <w:r>
                    <w:rPr>
                      <w:rFonts w:hint="eastAsia"/>
                      <w:b/>
                      <w:spacing w:val="-11"/>
                      <w:szCs w:val="21"/>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3" w:type="pct"/>
                  <w:vMerge w:val="continue"/>
                  <w:tcBorders>
                    <w:top w:val="single" w:color="auto" w:sz="4" w:space="0"/>
                    <w:left w:val="single" w:color="auto" w:sz="12" w:space="0"/>
                    <w:bottom w:val="single" w:color="auto" w:sz="4" w:space="0"/>
                    <w:right w:val="single" w:color="auto" w:sz="4" w:space="0"/>
                  </w:tcBorders>
                  <w:vAlign w:val="center"/>
                </w:tcPr>
                <w:p>
                  <w:pPr>
                    <w:jc w:val="center"/>
                    <w:rPr>
                      <w:bCs/>
                      <w:spacing w:val="-11"/>
                      <w:szCs w:val="21"/>
                    </w:rPr>
                  </w:pPr>
                </w:p>
              </w:tc>
              <w:tc>
                <w:tcPr>
                  <w:tcW w:w="338"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627"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79"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68"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473"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污染治理设施编号</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污染治理设施名称</w:t>
                  </w:r>
                </w:p>
              </w:tc>
              <w:tc>
                <w:tcPr>
                  <w:tcW w:w="437" w:type="pct"/>
                  <w:tcBorders>
                    <w:top w:val="single" w:color="auto" w:sz="4" w:space="0"/>
                    <w:left w:val="single" w:color="auto" w:sz="4" w:space="0"/>
                    <w:bottom w:val="single" w:color="auto" w:sz="4" w:space="0"/>
                    <w:right w:val="single" w:color="auto" w:sz="4" w:space="0"/>
                  </w:tcBorders>
                  <w:vAlign w:val="center"/>
                </w:tcPr>
                <w:p>
                  <w:pPr>
                    <w:jc w:val="center"/>
                    <w:rPr>
                      <w:b/>
                      <w:spacing w:val="-11"/>
                      <w:szCs w:val="21"/>
                    </w:rPr>
                  </w:pPr>
                  <w:r>
                    <w:rPr>
                      <w:rFonts w:hint="eastAsia"/>
                      <w:b/>
                      <w:spacing w:val="-11"/>
                      <w:szCs w:val="21"/>
                    </w:rPr>
                    <w:t>污染治理设施工艺</w:t>
                  </w:r>
                </w:p>
              </w:tc>
              <w:tc>
                <w:tcPr>
                  <w:tcW w:w="487"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jc w:val="center"/>
                    <w:rPr>
                      <w:bCs/>
                      <w:spacing w:val="-11"/>
                      <w:szCs w:val="21"/>
                    </w:rPr>
                  </w:pPr>
                </w:p>
              </w:tc>
              <w:tc>
                <w:tcPr>
                  <w:tcW w:w="898" w:type="pct"/>
                  <w:vMerge w:val="continue"/>
                  <w:tcBorders>
                    <w:top w:val="single" w:color="auto" w:sz="4" w:space="0"/>
                    <w:left w:val="single" w:color="auto" w:sz="4" w:space="0"/>
                    <w:bottom w:val="single" w:color="auto" w:sz="4" w:space="0"/>
                    <w:right w:val="single" w:color="auto" w:sz="12" w:space="0"/>
                  </w:tcBorders>
                  <w:vAlign w:val="center"/>
                </w:tcPr>
                <w:p>
                  <w:pPr>
                    <w:jc w:val="center"/>
                    <w:rPr>
                      <w:bCs/>
                      <w:spacing w:val="-1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3" w:type="pct"/>
                  <w:tcBorders>
                    <w:top w:val="single" w:color="auto" w:sz="4" w:space="0"/>
                    <w:left w:val="single" w:color="auto" w:sz="12" w:space="0"/>
                    <w:bottom w:val="single" w:color="auto" w:sz="12" w:space="0"/>
                    <w:right w:val="single" w:color="auto" w:sz="4" w:space="0"/>
                  </w:tcBorders>
                  <w:vAlign w:val="center"/>
                </w:tcPr>
                <w:p>
                  <w:pPr>
                    <w:jc w:val="center"/>
                    <w:rPr>
                      <w:bCs/>
                      <w:spacing w:val="-11"/>
                      <w:szCs w:val="21"/>
                    </w:rPr>
                  </w:pPr>
                  <w:r>
                    <w:rPr>
                      <w:bCs/>
                      <w:spacing w:val="-11"/>
                      <w:szCs w:val="21"/>
                    </w:rPr>
                    <w:t>1</w:t>
                  </w:r>
                </w:p>
              </w:tc>
              <w:tc>
                <w:tcPr>
                  <w:tcW w:w="338"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rFonts w:hint="eastAsia"/>
                      <w:bCs/>
                      <w:spacing w:val="-11"/>
                      <w:szCs w:val="21"/>
                    </w:rPr>
                    <w:t>生活污水</w:t>
                  </w:r>
                </w:p>
              </w:tc>
              <w:tc>
                <w:tcPr>
                  <w:tcW w:w="627"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spacing w:val="-11"/>
                      <w:szCs w:val="16"/>
                    </w:rPr>
                    <w:t>COD</w:t>
                  </w:r>
                  <w:r>
                    <w:rPr>
                      <w:rFonts w:hint="eastAsia"/>
                      <w:spacing w:val="-11"/>
                      <w:szCs w:val="16"/>
                    </w:rPr>
                    <w:t>、</w:t>
                  </w:r>
                  <w:r>
                    <w:rPr>
                      <w:spacing w:val="-11"/>
                      <w:szCs w:val="16"/>
                    </w:rPr>
                    <w:t>BOD</w:t>
                  </w:r>
                  <w:r>
                    <w:rPr>
                      <w:spacing w:val="-11"/>
                      <w:szCs w:val="16"/>
                      <w:vertAlign w:val="subscript"/>
                    </w:rPr>
                    <w:t>5</w:t>
                  </w:r>
                  <w:r>
                    <w:rPr>
                      <w:rFonts w:hint="eastAsia"/>
                      <w:spacing w:val="-11"/>
                      <w:szCs w:val="16"/>
                    </w:rPr>
                    <w:t>、</w:t>
                  </w:r>
                  <w:r>
                    <w:rPr>
                      <w:spacing w:val="-11"/>
                      <w:szCs w:val="16"/>
                    </w:rPr>
                    <w:t>NH</w:t>
                  </w:r>
                  <w:r>
                    <w:rPr>
                      <w:spacing w:val="-11"/>
                      <w:szCs w:val="16"/>
                      <w:vertAlign w:val="subscript"/>
                    </w:rPr>
                    <w:t>3</w:t>
                  </w:r>
                  <w:r>
                    <w:rPr>
                      <w:spacing w:val="-11"/>
                      <w:szCs w:val="16"/>
                    </w:rPr>
                    <w:t>-N</w:t>
                  </w:r>
                  <w:r>
                    <w:rPr>
                      <w:rFonts w:hint="eastAsia"/>
                      <w:spacing w:val="-11"/>
                      <w:szCs w:val="16"/>
                    </w:rPr>
                    <w:t>、</w:t>
                  </w:r>
                  <w:r>
                    <w:rPr>
                      <w:spacing w:val="-11"/>
                      <w:szCs w:val="16"/>
                    </w:rPr>
                    <w:t>SS</w:t>
                  </w:r>
                  <w:r>
                    <w:rPr>
                      <w:rFonts w:hint="eastAsia"/>
                      <w:spacing w:val="-11"/>
                      <w:szCs w:val="16"/>
                    </w:rPr>
                    <w:t>、总磷、总氮</w:t>
                  </w:r>
                </w:p>
              </w:tc>
              <w:tc>
                <w:tcPr>
                  <w:tcW w:w="379"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rFonts w:hint="eastAsia"/>
                      <w:bCs/>
                      <w:spacing w:val="-11"/>
                      <w:szCs w:val="21"/>
                    </w:rPr>
                    <w:t>鄠邑区第二污水处理厂</w:t>
                  </w:r>
                </w:p>
              </w:tc>
              <w:tc>
                <w:tcPr>
                  <w:tcW w:w="368"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rFonts w:hint="eastAsia"/>
                      <w:bCs/>
                      <w:spacing w:val="-11"/>
                      <w:szCs w:val="21"/>
                    </w:rPr>
                    <w:t>间接排放</w:t>
                  </w:r>
                </w:p>
              </w:tc>
              <w:tc>
                <w:tcPr>
                  <w:tcW w:w="473"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bCs/>
                      <w:spacing w:val="-11"/>
                      <w:szCs w:val="21"/>
                    </w:rPr>
                    <w:t>TW001</w:t>
                  </w:r>
                </w:p>
              </w:tc>
              <w:tc>
                <w:tcPr>
                  <w:tcW w:w="404"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rFonts w:hint="eastAsia"/>
                      <w:bCs/>
                      <w:spacing w:val="-11"/>
                      <w:szCs w:val="21"/>
                    </w:rPr>
                    <w:t>化粪池（依托）</w:t>
                  </w:r>
                </w:p>
              </w:tc>
              <w:tc>
                <w:tcPr>
                  <w:tcW w:w="437"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bCs/>
                      <w:spacing w:val="-11"/>
                      <w:szCs w:val="21"/>
                    </w:rPr>
                    <w:t>/</w:t>
                  </w:r>
                </w:p>
              </w:tc>
              <w:tc>
                <w:tcPr>
                  <w:tcW w:w="487"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bCs/>
                      <w:spacing w:val="-11"/>
                      <w:szCs w:val="21"/>
                    </w:rPr>
                    <w:t>DW001</w:t>
                  </w:r>
                </w:p>
              </w:tc>
              <w:tc>
                <w:tcPr>
                  <w:tcW w:w="332" w:type="pct"/>
                  <w:tcBorders>
                    <w:top w:val="single" w:color="auto" w:sz="4" w:space="0"/>
                    <w:left w:val="single" w:color="auto" w:sz="4" w:space="0"/>
                    <w:bottom w:val="single" w:color="auto" w:sz="12" w:space="0"/>
                    <w:right w:val="single" w:color="auto" w:sz="4" w:space="0"/>
                  </w:tcBorders>
                  <w:vAlign w:val="center"/>
                </w:tcPr>
                <w:p>
                  <w:pPr>
                    <w:widowControl/>
                    <w:adjustRightInd w:val="0"/>
                    <w:snapToGrid w:val="0"/>
                    <w:jc w:val="center"/>
                    <w:textAlignment w:val="center"/>
                    <w:rPr>
                      <w:bCs/>
                      <w:spacing w:val="-11"/>
                      <w:szCs w:val="21"/>
                    </w:rPr>
                  </w:pPr>
                  <w:r>
                    <w:rPr>
                      <w:rFonts w:hint="eastAsia"/>
                      <w:bCs/>
                      <w:spacing w:val="-11"/>
                      <w:szCs w:val="21"/>
                    </w:rPr>
                    <w:t>符合</w:t>
                  </w:r>
                </w:p>
              </w:tc>
              <w:tc>
                <w:tcPr>
                  <w:tcW w:w="898" w:type="pct"/>
                  <w:tcBorders>
                    <w:top w:val="single" w:color="auto" w:sz="4" w:space="0"/>
                    <w:left w:val="single" w:color="auto" w:sz="4" w:space="0"/>
                    <w:bottom w:val="single" w:color="auto" w:sz="12" w:space="0"/>
                    <w:right w:val="single" w:color="auto" w:sz="12" w:space="0"/>
                  </w:tcBorders>
                  <w:vAlign w:val="center"/>
                </w:tcPr>
                <w:p>
                  <w:pPr>
                    <w:pStyle w:val="16"/>
                    <w:widowControl w:val="0"/>
                    <w:spacing w:beforeAutospacing="0" w:afterAutospacing="0"/>
                    <w:jc w:val="both"/>
                    <w:rPr>
                      <w:rFonts w:ascii="Times New Roman" w:hAnsi="Times New Roman"/>
                      <w:spacing w:val="-11"/>
                      <w:sz w:val="21"/>
                      <w:szCs w:val="21"/>
                    </w:rPr>
                  </w:pPr>
                  <w:r>
                    <w:rPr>
                      <w:rFonts w:ascii="Times New Roman" w:hAnsi="Times New Roman"/>
                      <w:spacing w:val="-11"/>
                      <w:kern w:val="2"/>
                      <w:sz w:val="21"/>
                    </w:rPr>
                    <w:sym w:font="Wingdings" w:char="F0FE"/>
                  </w:r>
                  <w:r>
                    <w:rPr>
                      <w:rFonts w:hint="eastAsia" w:ascii="Times New Roman" w:hAnsi="Times New Roman"/>
                      <w:spacing w:val="-11"/>
                      <w:kern w:val="2"/>
                      <w:sz w:val="21"/>
                      <w:szCs w:val="21"/>
                    </w:rPr>
                    <w:t>企业总排</w:t>
                  </w:r>
                </w:p>
                <w:p>
                  <w:pPr>
                    <w:pStyle w:val="16"/>
                    <w:widowControl w:val="0"/>
                    <w:spacing w:beforeAutospacing="0" w:afterAutospacing="0"/>
                    <w:jc w:val="both"/>
                    <w:rPr>
                      <w:rFonts w:ascii="Times New Roman" w:hAnsi="Times New Roman"/>
                      <w:spacing w:val="-11"/>
                      <w:sz w:val="21"/>
                      <w:szCs w:val="21"/>
                    </w:rPr>
                  </w:pPr>
                  <w:r>
                    <w:rPr>
                      <w:rFonts w:ascii="Times New Roman" w:hAnsi="Times New Roman"/>
                      <w:spacing w:val="-11"/>
                      <w:kern w:val="2"/>
                      <w:sz w:val="21"/>
                    </w:rPr>
                    <w:sym w:font="Wingdings" w:char="F0A8"/>
                  </w:r>
                  <w:r>
                    <w:rPr>
                      <w:rFonts w:hint="eastAsia" w:ascii="Times New Roman" w:hAnsi="Times New Roman"/>
                      <w:spacing w:val="-11"/>
                      <w:kern w:val="2"/>
                      <w:sz w:val="21"/>
                      <w:szCs w:val="21"/>
                    </w:rPr>
                    <w:t>雨水排放</w:t>
                  </w:r>
                </w:p>
                <w:p>
                  <w:pPr>
                    <w:pStyle w:val="16"/>
                    <w:widowControl w:val="0"/>
                    <w:spacing w:beforeAutospacing="0" w:afterAutospacing="0"/>
                    <w:jc w:val="both"/>
                    <w:rPr>
                      <w:rFonts w:ascii="Times New Roman" w:hAnsi="Times New Roman"/>
                      <w:spacing w:val="-11"/>
                      <w:sz w:val="21"/>
                      <w:szCs w:val="21"/>
                    </w:rPr>
                  </w:pPr>
                  <w:r>
                    <w:rPr>
                      <w:rFonts w:ascii="Times New Roman" w:hAnsi="Times New Roman"/>
                      <w:spacing w:val="-11"/>
                      <w:kern w:val="2"/>
                      <w:sz w:val="21"/>
                    </w:rPr>
                    <w:sym w:font="Wingdings" w:char="F0A8"/>
                  </w:r>
                  <w:r>
                    <w:rPr>
                      <w:rFonts w:hint="eastAsia" w:ascii="Times New Roman" w:hAnsi="Times New Roman"/>
                      <w:spacing w:val="-11"/>
                      <w:kern w:val="2"/>
                      <w:sz w:val="21"/>
                      <w:szCs w:val="21"/>
                    </w:rPr>
                    <w:t>清净下水排放</w:t>
                  </w:r>
                </w:p>
                <w:p>
                  <w:pPr>
                    <w:pStyle w:val="16"/>
                    <w:widowControl w:val="0"/>
                    <w:spacing w:beforeAutospacing="0" w:afterAutospacing="0"/>
                    <w:jc w:val="both"/>
                    <w:rPr>
                      <w:rFonts w:ascii="Times New Roman" w:hAnsi="Times New Roman"/>
                      <w:spacing w:val="-11"/>
                      <w:sz w:val="21"/>
                      <w:szCs w:val="21"/>
                    </w:rPr>
                  </w:pPr>
                  <w:r>
                    <w:rPr>
                      <w:rFonts w:ascii="Times New Roman" w:hAnsi="Times New Roman"/>
                      <w:spacing w:val="-11"/>
                      <w:kern w:val="2"/>
                      <w:sz w:val="21"/>
                    </w:rPr>
                    <w:sym w:font="Wingdings" w:char="F0A8"/>
                  </w:r>
                  <w:r>
                    <w:rPr>
                      <w:rFonts w:hint="eastAsia" w:ascii="Times New Roman" w:hAnsi="Times New Roman"/>
                      <w:spacing w:val="-11"/>
                      <w:kern w:val="2"/>
                      <w:sz w:val="21"/>
                      <w:szCs w:val="21"/>
                    </w:rPr>
                    <w:t>温排水排放</w:t>
                  </w:r>
                </w:p>
                <w:p>
                  <w:pPr>
                    <w:widowControl/>
                    <w:adjustRightInd w:val="0"/>
                    <w:snapToGrid w:val="0"/>
                    <w:jc w:val="center"/>
                    <w:textAlignment w:val="center"/>
                    <w:rPr>
                      <w:bCs/>
                      <w:spacing w:val="-11"/>
                      <w:szCs w:val="21"/>
                    </w:rPr>
                  </w:pPr>
                  <w:r>
                    <w:rPr>
                      <w:spacing w:val="-11"/>
                      <w:szCs w:val="20"/>
                    </w:rPr>
                    <w:sym w:font="Wingdings" w:char="F0A8"/>
                  </w:r>
                  <w:r>
                    <w:rPr>
                      <w:rFonts w:hint="eastAsia"/>
                      <w:spacing w:val="-11"/>
                      <w:szCs w:val="21"/>
                    </w:rPr>
                    <w:t>车间或车间处理设施排放</w:t>
                  </w:r>
                </w:p>
              </w:tc>
            </w:tr>
          </w:tbl>
          <w:p>
            <w:pPr>
              <w:pStyle w:val="48"/>
              <w:rPr>
                <w:rFonts w:eastAsia="宋体"/>
                <w:b/>
                <w:sz w:val="21"/>
                <w:szCs w:val="21"/>
              </w:rPr>
            </w:pPr>
            <w:r>
              <w:rPr>
                <w:rFonts w:hint="eastAsia" w:eastAsia="宋体"/>
                <w:b/>
                <w:sz w:val="21"/>
                <w:szCs w:val="21"/>
              </w:rPr>
              <w:t>表</w:t>
            </w:r>
            <w:r>
              <w:rPr>
                <w:rFonts w:eastAsia="宋体"/>
                <w:b/>
                <w:sz w:val="21"/>
                <w:szCs w:val="21"/>
              </w:rPr>
              <w:t xml:space="preserve">4-8  </w:t>
            </w:r>
            <w:r>
              <w:rPr>
                <w:rFonts w:hint="eastAsia" w:eastAsia="宋体"/>
                <w:b/>
                <w:sz w:val="21"/>
                <w:szCs w:val="21"/>
              </w:rPr>
              <w:t>废水间接排放口基本情况表</w:t>
            </w:r>
          </w:p>
          <w:tbl>
            <w:tblPr>
              <w:tblStyle w:val="1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82"/>
              <w:gridCol w:w="721"/>
              <w:gridCol w:w="1264"/>
              <w:gridCol w:w="1264"/>
              <w:gridCol w:w="739"/>
              <w:gridCol w:w="506"/>
              <w:gridCol w:w="869"/>
              <w:gridCol w:w="465"/>
              <w:gridCol w:w="465"/>
              <w:gridCol w:w="651"/>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blHeader/>
                <w:jc w:val="center"/>
              </w:trPr>
              <w:tc>
                <w:tcPr>
                  <w:tcW w:w="227" w:type="pct"/>
                  <w:vMerge w:val="restar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pPr>
                  <w:r>
                    <w:rPr>
                      <w:rFonts w:hint="eastAsia"/>
                    </w:rPr>
                    <w:t>序号</w:t>
                  </w:r>
                </w:p>
              </w:tc>
              <w:tc>
                <w:tcPr>
                  <w:tcW w:w="326"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排放口编号</w:t>
                  </w:r>
                </w:p>
              </w:tc>
              <w:tc>
                <w:tcPr>
                  <w:tcW w:w="1120" w:type="pct"/>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排放口地理坐标</w:t>
                  </w:r>
                </w:p>
              </w:tc>
              <w:tc>
                <w:tcPr>
                  <w:tcW w:w="406"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废水排放量</w:t>
                  </w:r>
                  <w:r>
                    <w:t>/</w:t>
                  </w:r>
                  <w:r>
                    <w:rPr>
                      <w:rFonts w:hint="eastAsia"/>
                    </w:rPr>
                    <w:t>（万</w:t>
                  </w:r>
                  <w:r>
                    <w:t>t/a</w:t>
                  </w:r>
                  <w:r>
                    <w:rPr>
                      <w:rFonts w:hint="eastAsia"/>
                    </w:rPr>
                    <w:t>）</w:t>
                  </w:r>
                </w:p>
              </w:tc>
              <w:tc>
                <w:tcPr>
                  <w:tcW w:w="356"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排放去向</w:t>
                  </w:r>
                </w:p>
              </w:tc>
              <w:tc>
                <w:tcPr>
                  <w:tcW w:w="565"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排放规律</w:t>
                  </w:r>
                </w:p>
              </w:tc>
              <w:tc>
                <w:tcPr>
                  <w:tcW w:w="332" w:type="pct"/>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pPr>
                  <w:r>
                    <w:rPr>
                      <w:rFonts w:hint="eastAsia"/>
                    </w:rPr>
                    <w:t>间歇排放时段</w:t>
                  </w:r>
                </w:p>
              </w:tc>
              <w:tc>
                <w:tcPr>
                  <w:tcW w:w="1664" w:type="pct"/>
                  <w:gridSpan w:val="3"/>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pPr>
                  <w:r>
                    <w:rPr>
                      <w:rFonts w:hint="eastAsia"/>
                    </w:rPr>
                    <w:t>受纳污水处理厂信息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blHeader/>
                <w:jc w:val="center"/>
              </w:trPr>
              <w:tc>
                <w:tcPr>
                  <w:tcW w:w="227" w:type="pct"/>
                  <w:vMerge w:val="continue"/>
                  <w:tcBorders>
                    <w:top w:val="single" w:color="auto" w:sz="6" w:space="0"/>
                    <w:left w:val="single" w:color="auto" w:sz="12" w:space="0"/>
                    <w:bottom w:val="single" w:color="auto" w:sz="6" w:space="0"/>
                    <w:right w:val="single" w:color="auto" w:sz="6" w:space="0"/>
                  </w:tcBorders>
                  <w:vAlign w:val="center"/>
                </w:tcPr>
                <w:p>
                  <w:pPr>
                    <w:widowControl/>
                    <w:jc w:val="center"/>
                  </w:pPr>
                </w:p>
              </w:tc>
              <w:tc>
                <w:tcPr>
                  <w:tcW w:w="32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经度</w:t>
                  </w:r>
                </w:p>
              </w:tc>
              <w:tc>
                <w:tcPr>
                  <w:tcW w:w="560"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纬度</w:t>
                  </w:r>
                </w:p>
              </w:tc>
              <w:tc>
                <w:tcPr>
                  <w:tcW w:w="40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5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名称</w:t>
                  </w:r>
                </w:p>
              </w:tc>
              <w:tc>
                <w:tcPr>
                  <w:tcW w:w="42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污染物种类</w:t>
                  </w:r>
                </w:p>
              </w:tc>
              <w:tc>
                <w:tcPr>
                  <w:tcW w:w="905"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rPr>
                      <w:rFonts w:hint="eastAsia"/>
                    </w:rPr>
                    <w:t>国家或地方污染物排放标准浓度限值</w:t>
                  </w:r>
                  <w:r>
                    <w:t>/(mg/L)</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227" w:type="pct"/>
                  <w:vMerge w:val="restart"/>
                  <w:tcBorders>
                    <w:top w:val="single" w:color="auto" w:sz="6" w:space="0"/>
                    <w:left w:val="single" w:color="auto" w:sz="12" w:space="0"/>
                    <w:bottom w:val="single" w:color="auto" w:sz="6" w:space="0"/>
                    <w:right w:val="single" w:color="auto" w:sz="6" w:space="0"/>
                  </w:tcBorders>
                  <w:vAlign w:val="center"/>
                </w:tcPr>
                <w:p>
                  <w:pPr>
                    <w:adjustRightInd w:val="0"/>
                    <w:snapToGrid w:val="0"/>
                    <w:jc w:val="center"/>
                  </w:pPr>
                  <w:r>
                    <w:t>1</w:t>
                  </w:r>
                </w:p>
              </w:tc>
              <w:tc>
                <w:tcPr>
                  <w:tcW w:w="32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DW001</w:t>
                  </w:r>
                </w:p>
              </w:tc>
              <w:tc>
                <w:tcPr>
                  <w:tcW w:w="560" w:type="pct"/>
                  <w:vMerge w:val="restart"/>
                  <w:tcBorders>
                    <w:top w:val="single" w:color="auto" w:sz="6" w:space="0"/>
                    <w:left w:val="single" w:color="auto" w:sz="6" w:space="0"/>
                    <w:bottom w:val="single" w:color="auto" w:sz="6" w:space="0"/>
                    <w:right w:val="single" w:color="auto" w:sz="6" w:space="0"/>
                  </w:tcBorders>
                  <w:vAlign w:val="center"/>
                </w:tcPr>
                <w:p>
                  <w:pPr>
                    <w:pStyle w:val="50"/>
                  </w:pPr>
                  <w:r>
                    <w:t>108.81661024</w:t>
                  </w:r>
                </w:p>
              </w:tc>
              <w:tc>
                <w:tcPr>
                  <w:tcW w:w="560" w:type="pct"/>
                  <w:vMerge w:val="restart"/>
                  <w:tcBorders>
                    <w:top w:val="single" w:color="auto" w:sz="6" w:space="0"/>
                    <w:left w:val="single" w:color="auto" w:sz="6" w:space="0"/>
                    <w:bottom w:val="single" w:color="auto" w:sz="6" w:space="0"/>
                    <w:right w:val="single" w:color="auto" w:sz="6" w:space="0"/>
                  </w:tcBorders>
                  <w:vAlign w:val="center"/>
                </w:tcPr>
                <w:p>
                  <w:pPr>
                    <w:pStyle w:val="50"/>
                  </w:pPr>
                  <w:r>
                    <w:t>34.088536961</w:t>
                  </w:r>
                </w:p>
              </w:tc>
              <w:tc>
                <w:tcPr>
                  <w:tcW w:w="40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0.00125</w:t>
                  </w:r>
                </w:p>
              </w:tc>
              <w:tc>
                <w:tcPr>
                  <w:tcW w:w="356"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鄠邑区</w:t>
                  </w:r>
                </w:p>
                <w:p>
                  <w:pPr>
                    <w:adjustRightInd w:val="0"/>
                    <w:snapToGrid w:val="0"/>
                    <w:jc w:val="center"/>
                  </w:pPr>
                  <w:r>
                    <w:rPr>
                      <w:rFonts w:hint="eastAsia"/>
                    </w:rPr>
                    <w:t>第二污水处理厂</w:t>
                  </w:r>
                </w:p>
              </w:tc>
              <w:tc>
                <w:tcPr>
                  <w:tcW w:w="565"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间断排放，排放期间流量不稳定且无规律，但不属于冲击性排放</w:t>
                  </w:r>
                </w:p>
              </w:tc>
              <w:tc>
                <w:tcPr>
                  <w:tcW w:w="33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w:t>
                  </w:r>
                </w:p>
              </w:tc>
              <w:tc>
                <w:tcPr>
                  <w:tcW w:w="332" w:type="pct"/>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rPr>
                      <w:rFonts w:hint="eastAsia"/>
                    </w:rPr>
                    <w:t>鄠邑区</w:t>
                  </w:r>
                </w:p>
                <w:p>
                  <w:pPr>
                    <w:adjustRightInd w:val="0"/>
                    <w:snapToGrid w:val="0"/>
                    <w:jc w:val="center"/>
                  </w:pPr>
                  <w:r>
                    <w:rPr>
                      <w:rFonts w:hint="eastAsia"/>
                    </w:rPr>
                    <w:t>第二污水处理厂</w:t>
                  </w:r>
                </w:p>
              </w:tc>
              <w:tc>
                <w:tcPr>
                  <w:tcW w:w="42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COD</w:t>
                  </w:r>
                </w:p>
              </w:tc>
              <w:tc>
                <w:tcPr>
                  <w:tcW w:w="905"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227" w:type="pct"/>
                  <w:vMerge w:val="continue"/>
                  <w:tcBorders>
                    <w:top w:val="single" w:color="auto" w:sz="6" w:space="0"/>
                    <w:left w:val="single" w:color="auto" w:sz="12" w:space="0"/>
                    <w:bottom w:val="single" w:color="auto" w:sz="6" w:space="0"/>
                    <w:right w:val="single" w:color="auto" w:sz="6" w:space="0"/>
                  </w:tcBorders>
                  <w:vAlign w:val="center"/>
                </w:tcPr>
                <w:p>
                  <w:pPr>
                    <w:widowControl/>
                    <w:jc w:val="center"/>
                  </w:pPr>
                </w:p>
              </w:tc>
              <w:tc>
                <w:tcPr>
                  <w:tcW w:w="32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0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5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2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BOD</w:t>
                  </w:r>
                  <w:r>
                    <w:rPr>
                      <w:vertAlign w:val="subscript"/>
                    </w:rPr>
                    <w:t>5</w:t>
                  </w:r>
                </w:p>
              </w:tc>
              <w:tc>
                <w:tcPr>
                  <w:tcW w:w="905"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227" w:type="pct"/>
                  <w:vMerge w:val="continue"/>
                  <w:tcBorders>
                    <w:top w:val="single" w:color="auto" w:sz="6" w:space="0"/>
                    <w:left w:val="single" w:color="auto" w:sz="12" w:space="0"/>
                    <w:bottom w:val="single" w:color="auto" w:sz="6" w:space="0"/>
                    <w:right w:val="single" w:color="auto" w:sz="6" w:space="0"/>
                  </w:tcBorders>
                  <w:vAlign w:val="center"/>
                </w:tcPr>
                <w:p>
                  <w:pPr>
                    <w:widowControl/>
                    <w:jc w:val="center"/>
                  </w:pPr>
                </w:p>
              </w:tc>
              <w:tc>
                <w:tcPr>
                  <w:tcW w:w="32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0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5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2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SS</w:t>
                  </w:r>
                </w:p>
              </w:tc>
              <w:tc>
                <w:tcPr>
                  <w:tcW w:w="905"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227" w:type="pct"/>
                  <w:vMerge w:val="continue"/>
                  <w:tcBorders>
                    <w:top w:val="single" w:color="auto" w:sz="6" w:space="0"/>
                    <w:left w:val="single" w:color="auto" w:sz="12" w:space="0"/>
                    <w:bottom w:val="single" w:color="auto" w:sz="6" w:space="0"/>
                    <w:right w:val="single" w:color="auto" w:sz="6" w:space="0"/>
                  </w:tcBorders>
                  <w:vAlign w:val="center"/>
                </w:tcPr>
                <w:p>
                  <w:pPr>
                    <w:widowControl/>
                    <w:jc w:val="center"/>
                  </w:pPr>
                </w:p>
              </w:tc>
              <w:tc>
                <w:tcPr>
                  <w:tcW w:w="32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0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5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2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NH</w:t>
                  </w:r>
                  <w:r>
                    <w:rPr>
                      <w:vertAlign w:val="subscript"/>
                    </w:rPr>
                    <w:t>3</w:t>
                  </w:r>
                  <w:r>
                    <w:t>-N</w:t>
                  </w:r>
                </w:p>
              </w:tc>
              <w:tc>
                <w:tcPr>
                  <w:tcW w:w="905"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t>1.5</w:t>
                  </w:r>
                  <w:r>
                    <w:rPr>
                      <w:rFonts w:hint="eastAsia"/>
                    </w:rPr>
                    <w:t>（</w:t>
                  </w:r>
                  <w:r>
                    <w:t>3</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227" w:type="pct"/>
                  <w:vMerge w:val="continue"/>
                  <w:tcBorders>
                    <w:top w:val="single" w:color="auto" w:sz="6" w:space="0"/>
                    <w:left w:val="single" w:color="auto" w:sz="12" w:space="0"/>
                    <w:bottom w:val="single" w:color="auto" w:sz="6" w:space="0"/>
                    <w:right w:val="single" w:color="auto" w:sz="6" w:space="0"/>
                  </w:tcBorders>
                  <w:vAlign w:val="center"/>
                </w:tcPr>
                <w:p>
                  <w:pPr>
                    <w:widowControl/>
                    <w:jc w:val="center"/>
                  </w:pPr>
                </w:p>
              </w:tc>
              <w:tc>
                <w:tcPr>
                  <w:tcW w:w="32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0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56"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565"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6" w:space="0"/>
                    <w:right w:val="single" w:color="auto" w:sz="6" w:space="0"/>
                  </w:tcBorders>
                  <w:vAlign w:val="center"/>
                </w:tcPr>
                <w:p>
                  <w:pPr>
                    <w:widowControl/>
                    <w:jc w:val="center"/>
                  </w:pPr>
                </w:p>
              </w:tc>
              <w:tc>
                <w:tcPr>
                  <w:tcW w:w="425" w:type="pct"/>
                  <w:tcBorders>
                    <w:top w:val="single" w:color="auto" w:sz="6" w:space="0"/>
                    <w:left w:val="single" w:color="auto" w:sz="6" w:space="0"/>
                    <w:bottom w:val="single" w:color="auto" w:sz="6" w:space="0"/>
                    <w:right w:val="single" w:color="auto" w:sz="6" w:space="0"/>
                  </w:tcBorders>
                  <w:vAlign w:val="center"/>
                </w:tcPr>
                <w:p>
                  <w:pPr>
                    <w:adjustRightInd w:val="0"/>
                    <w:snapToGrid w:val="0"/>
                    <w:jc w:val="center"/>
                  </w:pPr>
                  <w:r>
                    <w:t>TP</w:t>
                  </w:r>
                </w:p>
              </w:tc>
              <w:tc>
                <w:tcPr>
                  <w:tcW w:w="905" w:type="pct"/>
                  <w:tcBorders>
                    <w:top w:val="single" w:color="auto" w:sz="6" w:space="0"/>
                    <w:left w:val="single" w:color="auto" w:sz="6" w:space="0"/>
                    <w:bottom w:val="single" w:color="auto" w:sz="6" w:space="0"/>
                    <w:right w:val="single" w:color="auto" w:sz="12" w:space="0"/>
                  </w:tcBorders>
                  <w:vAlign w:val="center"/>
                </w:tcPr>
                <w:p>
                  <w:pPr>
                    <w:adjustRightInd w:val="0"/>
                    <w:snapToGrid w:val="0"/>
                    <w:jc w:val="center"/>
                  </w:pPr>
                  <w:r>
                    <w:t>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227" w:type="pct"/>
                  <w:vMerge w:val="continue"/>
                  <w:tcBorders>
                    <w:top w:val="single" w:color="auto" w:sz="6" w:space="0"/>
                    <w:left w:val="single" w:color="auto" w:sz="12" w:space="0"/>
                    <w:bottom w:val="single" w:color="auto" w:sz="12" w:space="0"/>
                    <w:right w:val="single" w:color="auto" w:sz="6" w:space="0"/>
                  </w:tcBorders>
                  <w:vAlign w:val="center"/>
                </w:tcPr>
                <w:p>
                  <w:pPr>
                    <w:widowControl/>
                    <w:jc w:val="center"/>
                  </w:pPr>
                </w:p>
              </w:tc>
              <w:tc>
                <w:tcPr>
                  <w:tcW w:w="326"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560"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406"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356"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565"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332" w:type="pct"/>
                  <w:vMerge w:val="continue"/>
                  <w:tcBorders>
                    <w:top w:val="single" w:color="auto" w:sz="6" w:space="0"/>
                    <w:left w:val="single" w:color="auto" w:sz="6" w:space="0"/>
                    <w:bottom w:val="single" w:color="auto" w:sz="12" w:space="0"/>
                    <w:right w:val="single" w:color="auto" w:sz="6" w:space="0"/>
                  </w:tcBorders>
                  <w:vAlign w:val="center"/>
                </w:tcPr>
                <w:p>
                  <w:pPr>
                    <w:widowControl/>
                    <w:jc w:val="center"/>
                  </w:pPr>
                </w:p>
              </w:tc>
              <w:tc>
                <w:tcPr>
                  <w:tcW w:w="425" w:type="pct"/>
                  <w:tcBorders>
                    <w:top w:val="single" w:color="auto" w:sz="6" w:space="0"/>
                    <w:left w:val="single" w:color="auto" w:sz="6" w:space="0"/>
                    <w:bottom w:val="single" w:color="auto" w:sz="12" w:space="0"/>
                    <w:right w:val="single" w:color="auto" w:sz="6" w:space="0"/>
                  </w:tcBorders>
                  <w:vAlign w:val="center"/>
                </w:tcPr>
                <w:p>
                  <w:pPr>
                    <w:adjustRightInd w:val="0"/>
                    <w:snapToGrid w:val="0"/>
                    <w:jc w:val="center"/>
                  </w:pPr>
                  <w:r>
                    <w:t>TN</w:t>
                  </w:r>
                </w:p>
              </w:tc>
              <w:tc>
                <w:tcPr>
                  <w:tcW w:w="905" w:type="pct"/>
                  <w:tcBorders>
                    <w:top w:val="single" w:color="auto" w:sz="6" w:space="0"/>
                    <w:left w:val="single" w:color="auto" w:sz="6" w:space="0"/>
                    <w:bottom w:val="single" w:color="auto" w:sz="12" w:space="0"/>
                    <w:right w:val="single" w:color="auto" w:sz="12" w:space="0"/>
                  </w:tcBorders>
                  <w:vAlign w:val="center"/>
                </w:tcPr>
                <w:p>
                  <w:pPr>
                    <w:adjustRightInd w:val="0"/>
                    <w:snapToGrid w:val="0"/>
                    <w:jc w:val="center"/>
                  </w:pPr>
                  <w:r>
                    <w:t>15</w:t>
                  </w:r>
                </w:p>
              </w:tc>
            </w:tr>
          </w:tbl>
          <w:p>
            <w:pPr>
              <w:adjustRightInd w:val="0"/>
              <w:snapToGrid w:val="0"/>
              <w:spacing w:line="360" w:lineRule="auto"/>
              <w:ind w:firstLine="480" w:firstLineChars="200"/>
              <w:jc w:val="left"/>
              <w:rPr>
                <w:bCs/>
                <w:sz w:val="24"/>
              </w:rPr>
            </w:pPr>
            <w:r>
              <w:rPr>
                <w:rFonts w:hint="eastAsia"/>
                <w:bCs/>
                <w:sz w:val="24"/>
              </w:rPr>
              <w:t>（</w:t>
            </w:r>
            <w:r>
              <w:rPr>
                <w:bCs/>
                <w:sz w:val="24"/>
              </w:rPr>
              <w:t>3</w:t>
            </w:r>
            <w:r>
              <w:rPr>
                <w:rFonts w:hint="eastAsia"/>
                <w:bCs/>
                <w:sz w:val="24"/>
              </w:rPr>
              <w:t>）污水处理依托可行性分析</w:t>
            </w:r>
          </w:p>
          <w:p>
            <w:pPr>
              <w:pStyle w:val="52"/>
              <w:adjustRightInd w:val="0"/>
              <w:snapToGrid w:val="0"/>
              <w:ind w:firstLine="480"/>
            </w:pPr>
            <w:r>
              <w:rPr>
                <w:rFonts w:hint="eastAsia"/>
              </w:rPr>
              <w:t>本项目化粪池依托园区已建化粪池，化粪池位于场区东南侧，容积</w:t>
            </w:r>
            <w:r>
              <w:t>20m</w:t>
            </w:r>
            <w:r>
              <w:rPr>
                <w:vertAlign w:val="superscript"/>
              </w:rPr>
              <w:t>3</w:t>
            </w:r>
            <w:r>
              <w:rPr>
                <w:rFonts w:hint="eastAsia"/>
              </w:rPr>
              <w:t>，现用约</w:t>
            </w:r>
            <w:r>
              <w:t>5m</w:t>
            </w:r>
            <w:r>
              <w:rPr>
                <w:vertAlign w:val="superscript"/>
              </w:rPr>
              <w:t>3</w:t>
            </w:r>
            <w:r>
              <w:rPr>
                <w:rFonts w:hint="eastAsia"/>
              </w:rPr>
              <w:t>，剩余约</w:t>
            </w:r>
            <w:r>
              <w:t>15m</w:t>
            </w:r>
            <w:r>
              <w:rPr>
                <w:vertAlign w:val="superscript"/>
              </w:rPr>
              <w:t>3</w:t>
            </w:r>
            <w:r>
              <w:rPr>
                <w:rFonts w:hint="eastAsia"/>
              </w:rPr>
              <w:t>余量，本项目废水排放量为</w:t>
            </w:r>
            <w:r>
              <w:t>2.0m</w:t>
            </w:r>
            <w:r>
              <w:rPr>
                <w:vertAlign w:val="superscript"/>
              </w:rPr>
              <w:t>3</w:t>
            </w:r>
            <w:r>
              <w:t>/d</w:t>
            </w:r>
            <w:r>
              <w:rPr>
                <w:rFonts w:hint="eastAsia"/>
              </w:rPr>
              <w:t>，现有化粪池容积能够容纳本项目所产生的废水量。项目运营期废水经化粪池处理后通过市政污水管网排入鄠邑区第二污水处理厂处理。</w:t>
            </w:r>
          </w:p>
          <w:p>
            <w:pPr>
              <w:pStyle w:val="52"/>
              <w:adjustRightInd w:val="0"/>
              <w:snapToGrid w:val="0"/>
              <w:ind w:firstLine="480"/>
            </w:pPr>
            <w:r>
              <w:rPr>
                <w:rFonts w:hint="eastAsia"/>
              </w:rPr>
              <w:t>鄠邑区第二污水处理厂位于潭峪河和黄柏河交汇处的三角洲地带，规划服务面积约</w:t>
            </w:r>
            <w:r>
              <w:t>41km</w:t>
            </w:r>
            <w:r>
              <w:rPr>
                <w:vertAlign w:val="superscript"/>
              </w:rPr>
              <w:t>2</w:t>
            </w:r>
            <w:r>
              <w:rPr>
                <w:rFonts w:hint="eastAsia"/>
              </w:rPr>
              <w:t>，占地面积</w:t>
            </w:r>
            <w:r>
              <w:t>69133m</w:t>
            </w:r>
            <w:r>
              <w:rPr>
                <w:vertAlign w:val="superscript"/>
              </w:rPr>
              <w:t>2</w:t>
            </w:r>
            <w:r>
              <w:rPr>
                <w:rFonts w:hint="eastAsia"/>
              </w:rPr>
              <w:t>，分两期建设，一期日处理</w:t>
            </w:r>
            <w:r>
              <w:t>4</w:t>
            </w:r>
            <w:r>
              <w:rPr>
                <w:rFonts w:hint="eastAsia"/>
              </w:rPr>
              <w:t>万吨污水，其主要承担鄠邑区沣京工业园、石油大学户县校区及现成铁路以东生活污水处理。该污水处理厂与</w:t>
            </w:r>
            <w:r>
              <w:t>2011</w:t>
            </w:r>
            <w:r>
              <w:rPr>
                <w:rFonts w:hint="eastAsia"/>
              </w:rPr>
              <w:t>年开工建设，</w:t>
            </w:r>
            <w:r>
              <w:t>2014</w:t>
            </w:r>
            <w:r>
              <w:rPr>
                <w:rFonts w:hint="eastAsia"/>
              </w:rPr>
              <w:t>年</w:t>
            </w:r>
            <w:r>
              <w:t>11</w:t>
            </w:r>
            <w:r>
              <w:rPr>
                <w:rFonts w:hint="eastAsia"/>
              </w:rPr>
              <w:t>月竣工并通水运行。鄠邑区第二污水处理厂污水处理工艺</w:t>
            </w:r>
            <w:r>
              <w:t>CASS</w:t>
            </w:r>
            <w:r>
              <w:rPr>
                <w:rFonts w:hint="eastAsia"/>
              </w:rPr>
              <w:t>工艺</w:t>
            </w:r>
            <w:r>
              <w:t>+</w:t>
            </w:r>
            <w:r>
              <w:rPr>
                <w:rFonts w:hint="eastAsia"/>
              </w:rPr>
              <w:t>斜板沉淀池</w:t>
            </w:r>
            <w:r>
              <w:t>+</w:t>
            </w:r>
            <w:r>
              <w:rPr>
                <w:rFonts w:hint="eastAsia"/>
              </w:rPr>
              <w:t>纤维转盘工艺，出水执行《城镇污水处理厂污染物排放标准》（</w:t>
            </w:r>
            <w:r>
              <w:t>GB18198-2002</w:t>
            </w:r>
            <w:r>
              <w:rPr>
                <w:rFonts w:hint="eastAsia"/>
              </w:rPr>
              <w:t>）一级</w:t>
            </w:r>
            <w:r>
              <w:t>A</w:t>
            </w:r>
            <w:r>
              <w:rPr>
                <w:rFonts w:hint="eastAsia"/>
              </w:rPr>
              <w:t>标准，排水去向为新河。</w:t>
            </w:r>
          </w:p>
          <w:p>
            <w:pPr>
              <w:adjustRightInd w:val="0"/>
              <w:snapToGrid w:val="0"/>
              <w:spacing w:line="360" w:lineRule="auto"/>
              <w:ind w:firstLine="480" w:firstLineChars="200"/>
              <w:rPr>
                <w:bCs/>
                <w:kern w:val="0"/>
                <w:sz w:val="24"/>
              </w:rPr>
            </w:pPr>
            <w:r>
              <w:rPr>
                <w:rFonts w:hint="eastAsia"/>
                <w:sz w:val="24"/>
              </w:rPr>
              <w:t>本</w:t>
            </w:r>
            <w:r>
              <w:rPr>
                <w:rFonts w:hint="eastAsia"/>
                <w:bCs/>
                <w:kern w:val="0"/>
                <w:sz w:val="24"/>
                <w:lang w:val="zh-CN"/>
              </w:rPr>
              <w:t>项目位于鄠邑区沣京工业园内，目前项目周边市政管网已铺设到位，项目污水可接入该污水处理厂处理。项目每天排放废水量为</w:t>
            </w:r>
            <w:r>
              <w:rPr>
                <w:bCs/>
                <w:kern w:val="0"/>
                <w:sz w:val="24"/>
              </w:rPr>
              <w:t>2.0</w:t>
            </w:r>
            <w:r>
              <w:rPr>
                <w:bCs/>
                <w:kern w:val="0"/>
                <w:sz w:val="24"/>
                <w:lang w:val="zh-CN"/>
              </w:rPr>
              <w:t>m</w:t>
            </w:r>
            <w:r>
              <w:rPr>
                <w:bCs/>
                <w:kern w:val="0"/>
                <w:sz w:val="24"/>
                <w:vertAlign w:val="superscript"/>
                <w:lang w:val="zh-CN"/>
              </w:rPr>
              <w:t>3</w:t>
            </w:r>
            <w:r>
              <w:rPr>
                <w:rFonts w:hint="eastAsia"/>
                <w:bCs/>
                <w:kern w:val="0"/>
                <w:sz w:val="24"/>
                <w:lang w:val="zh-CN"/>
              </w:rPr>
              <w:t>，该污水厂目前处理规模约</w:t>
            </w:r>
            <w:r>
              <w:rPr>
                <w:bCs/>
                <w:kern w:val="0"/>
                <w:sz w:val="24"/>
                <w:lang w:val="zh-CN"/>
              </w:rPr>
              <w:t>2.5</w:t>
            </w:r>
            <w:r>
              <w:rPr>
                <w:rFonts w:hint="eastAsia"/>
                <w:bCs/>
                <w:kern w:val="0"/>
                <w:sz w:val="24"/>
                <w:lang w:val="zh-CN"/>
              </w:rPr>
              <w:t>万</w:t>
            </w:r>
            <w:r>
              <w:rPr>
                <w:bCs/>
                <w:kern w:val="0"/>
                <w:sz w:val="24"/>
                <w:lang w:val="zh-CN"/>
              </w:rPr>
              <w:t>m</w:t>
            </w:r>
            <w:r>
              <w:rPr>
                <w:bCs/>
                <w:kern w:val="0"/>
                <w:sz w:val="24"/>
                <w:vertAlign w:val="superscript"/>
                <w:lang w:val="zh-CN"/>
              </w:rPr>
              <w:t>3</w:t>
            </w:r>
            <w:r>
              <w:rPr>
                <w:bCs/>
                <w:kern w:val="0"/>
                <w:sz w:val="24"/>
                <w:lang w:val="zh-CN"/>
              </w:rPr>
              <w:t>/d</w:t>
            </w:r>
            <w:r>
              <w:rPr>
                <w:rFonts w:hint="eastAsia"/>
                <w:bCs/>
                <w:kern w:val="0"/>
                <w:sz w:val="24"/>
                <w:lang w:val="zh-CN"/>
              </w:rPr>
              <w:t>，尚未满负荷运行，可接纳本项目的废水。</w:t>
            </w:r>
            <w:r>
              <w:rPr>
                <w:rFonts w:hint="eastAsia"/>
                <w:bCs/>
                <w:kern w:val="0"/>
                <w:sz w:val="24"/>
              </w:rPr>
              <w:t>本项目废水</w:t>
            </w:r>
            <w:r>
              <w:rPr>
                <w:rFonts w:hint="eastAsia"/>
                <w:bCs/>
                <w:kern w:val="0"/>
                <w:sz w:val="24"/>
                <w:lang w:val="zh-CN"/>
              </w:rPr>
              <w:t>污染负荷较低，</w:t>
            </w:r>
            <w:r>
              <w:rPr>
                <w:rFonts w:hint="eastAsia"/>
                <w:bCs/>
                <w:kern w:val="0"/>
                <w:sz w:val="24"/>
              </w:rPr>
              <w:t>经化粪池</w:t>
            </w:r>
            <w:r>
              <w:rPr>
                <w:rFonts w:hint="eastAsia"/>
                <w:bCs/>
                <w:kern w:val="0"/>
                <w:sz w:val="24"/>
                <w:lang w:val="zh-CN"/>
              </w:rPr>
              <w:t>处理</w:t>
            </w:r>
            <w:r>
              <w:rPr>
                <w:rFonts w:hint="eastAsia"/>
                <w:bCs/>
                <w:kern w:val="0"/>
                <w:sz w:val="24"/>
              </w:rPr>
              <w:t>后</w:t>
            </w:r>
            <w:r>
              <w:rPr>
                <w:rFonts w:hint="eastAsia"/>
                <w:bCs/>
                <w:kern w:val="0"/>
                <w:sz w:val="24"/>
                <w:lang w:val="zh-CN"/>
              </w:rPr>
              <w:t>达到《污水综合排放标准》（</w:t>
            </w:r>
            <w:r>
              <w:rPr>
                <w:bCs/>
                <w:kern w:val="0"/>
                <w:sz w:val="24"/>
                <w:lang w:val="zh-CN"/>
              </w:rPr>
              <w:t>GB8978-1996</w:t>
            </w:r>
            <w:r>
              <w:rPr>
                <w:rFonts w:hint="eastAsia"/>
                <w:bCs/>
                <w:kern w:val="0"/>
                <w:sz w:val="24"/>
                <w:lang w:val="zh-CN"/>
              </w:rPr>
              <w:t>）表</w:t>
            </w:r>
            <w:r>
              <w:rPr>
                <w:bCs/>
                <w:kern w:val="0"/>
                <w:sz w:val="24"/>
                <w:lang w:val="zh-CN"/>
              </w:rPr>
              <w:t>4</w:t>
            </w:r>
            <w:r>
              <w:rPr>
                <w:rFonts w:hint="eastAsia"/>
                <w:bCs/>
                <w:kern w:val="0"/>
                <w:sz w:val="24"/>
                <w:lang w:val="zh-CN"/>
              </w:rPr>
              <w:t>三级标准和《污水排入城镇下水道水质标准》（</w:t>
            </w:r>
            <w:r>
              <w:rPr>
                <w:bCs/>
                <w:kern w:val="0"/>
                <w:sz w:val="24"/>
                <w:lang w:val="zh-CN"/>
              </w:rPr>
              <w:t>GB/T31962-2015</w:t>
            </w:r>
            <w:r>
              <w:rPr>
                <w:rFonts w:hint="eastAsia"/>
                <w:bCs/>
                <w:kern w:val="0"/>
                <w:sz w:val="24"/>
                <w:lang w:val="zh-CN"/>
              </w:rPr>
              <w:t>）</w:t>
            </w:r>
            <w:r>
              <w:rPr>
                <w:bCs/>
                <w:kern w:val="0"/>
                <w:sz w:val="24"/>
                <w:lang w:val="zh-CN"/>
              </w:rPr>
              <w:t>A</w:t>
            </w:r>
            <w:r>
              <w:rPr>
                <w:rFonts w:hint="eastAsia"/>
                <w:bCs/>
                <w:kern w:val="0"/>
                <w:sz w:val="24"/>
                <w:lang w:val="zh-CN"/>
              </w:rPr>
              <w:t>级标准，排放水质符合污水处理厂进水水质标准，因此项目污水排入</w:t>
            </w:r>
            <w:r>
              <w:rPr>
                <w:rFonts w:hint="eastAsia"/>
                <w:bCs/>
                <w:kern w:val="0"/>
                <w:sz w:val="24"/>
              </w:rPr>
              <w:t>鄠邑区</w:t>
            </w:r>
            <w:r>
              <w:rPr>
                <w:rFonts w:hint="eastAsia"/>
                <w:bCs/>
                <w:kern w:val="0"/>
                <w:sz w:val="24"/>
                <w:lang w:val="zh-CN"/>
              </w:rPr>
              <w:t>污水处理厂集中处理合理可行。</w:t>
            </w:r>
            <w:r>
              <w:rPr>
                <w:rFonts w:hint="eastAsia"/>
                <w:bCs/>
                <w:kern w:val="0"/>
                <w:sz w:val="24"/>
              </w:rPr>
              <w:t>项目仅排放生活污水，且为间接排放，因此项目运营期可不设废水监测计划。</w:t>
            </w:r>
          </w:p>
          <w:p>
            <w:pPr>
              <w:adjustRightInd w:val="0"/>
              <w:snapToGrid w:val="0"/>
              <w:spacing w:line="360" w:lineRule="auto"/>
              <w:ind w:firstLine="480" w:firstLineChars="200"/>
              <w:jc w:val="left"/>
            </w:pPr>
            <w:r>
              <w:rPr>
                <w:rFonts w:hint="eastAsia"/>
                <w:bCs/>
                <w:kern w:val="0"/>
                <w:sz w:val="24"/>
                <w:lang w:val="zh-CN"/>
              </w:rPr>
              <w:t>在上述前提下，本项目废水不会对附近</w:t>
            </w:r>
            <w:r>
              <w:rPr>
                <w:rFonts w:hint="eastAsia"/>
                <w:sz w:val="24"/>
              </w:rPr>
              <w:t>的地表水水质造成严重污染影响。</w:t>
            </w:r>
          </w:p>
          <w:p>
            <w:pPr>
              <w:adjustRightInd w:val="0"/>
              <w:snapToGrid w:val="0"/>
              <w:spacing w:line="360" w:lineRule="auto"/>
              <w:ind w:firstLine="422" w:firstLineChars="200"/>
              <w:jc w:val="left"/>
              <w:rPr>
                <w:b/>
                <w:szCs w:val="21"/>
              </w:rPr>
            </w:pPr>
            <w:r>
              <w:rPr>
                <w:b/>
                <w:szCs w:val="21"/>
              </w:rPr>
              <w:t>3</w:t>
            </w:r>
            <w:r>
              <w:rPr>
                <w:rFonts w:hint="eastAsia"/>
                <w:b/>
                <w:szCs w:val="21"/>
              </w:rPr>
              <w:t>、噪声</w:t>
            </w:r>
          </w:p>
          <w:p>
            <w:pPr>
              <w:adjustRightInd w:val="0"/>
              <w:snapToGrid w:val="0"/>
              <w:spacing w:line="360" w:lineRule="auto"/>
              <w:ind w:firstLine="482" w:firstLineChars="200"/>
              <w:jc w:val="left"/>
              <w:rPr>
                <w:b/>
                <w:sz w:val="24"/>
              </w:rPr>
            </w:pPr>
            <w:r>
              <w:rPr>
                <w:rFonts w:hint="eastAsia"/>
                <w:b/>
                <w:sz w:val="24"/>
              </w:rPr>
              <w:t>（</w:t>
            </w:r>
            <w:r>
              <w:rPr>
                <w:b/>
                <w:sz w:val="24"/>
              </w:rPr>
              <w:t>1</w:t>
            </w:r>
            <w:r>
              <w:rPr>
                <w:rFonts w:hint="eastAsia"/>
                <w:b/>
                <w:sz w:val="24"/>
              </w:rPr>
              <w:t>）设备运行噪声源强分析</w:t>
            </w:r>
          </w:p>
          <w:p>
            <w:pPr>
              <w:pStyle w:val="40"/>
              <w:widowControl/>
              <w:adjustRightInd/>
              <w:spacing w:line="240" w:lineRule="auto"/>
              <w:ind w:firstLine="0" w:firstLineChars="0"/>
              <w:jc w:val="center"/>
              <w:rPr>
                <w:b/>
                <w:sz w:val="21"/>
                <w:szCs w:val="21"/>
              </w:rPr>
            </w:pPr>
            <w:r>
              <w:rPr>
                <w:rFonts w:hint="eastAsia"/>
                <w:b/>
                <w:sz w:val="21"/>
                <w:szCs w:val="21"/>
              </w:rPr>
              <w:t>表</w:t>
            </w:r>
            <w:r>
              <w:rPr>
                <w:b/>
                <w:sz w:val="21"/>
                <w:szCs w:val="21"/>
              </w:rPr>
              <w:t xml:space="preserve">4-10   </w:t>
            </w:r>
            <w:r>
              <w:rPr>
                <w:rFonts w:hint="eastAsia"/>
                <w:b/>
                <w:sz w:val="21"/>
                <w:szCs w:val="21"/>
              </w:rPr>
              <w:t>企业噪声源调查清单</w:t>
            </w:r>
            <w:r>
              <w:rPr>
                <w:b/>
                <w:sz w:val="21"/>
                <w:szCs w:val="21"/>
              </w:rPr>
              <w:t xml:space="preserve">    </w:t>
            </w:r>
            <w:r>
              <w:rPr>
                <w:rFonts w:hint="eastAsia"/>
                <w:b/>
                <w:sz w:val="21"/>
                <w:szCs w:val="21"/>
              </w:rPr>
              <w:t>单位：</w:t>
            </w:r>
            <w:r>
              <w:rPr>
                <w:b/>
                <w:sz w:val="21"/>
                <w:szCs w:val="21"/>
              </w:rPr>
              <w:t>dB</w:t>
            </w:r>
            <w:r>
              <w:rPr>
                <w:rFonts w:hint="eastAsia"/>
                <w:b/>
                <w:sz w:val="21"/>
                <w:szCs w:val="21"/>
              </w:rPr>
              <w:t>（</w:t>
            </w:r>
            <w:r>
              <w:rPr>
                <w:b/>
                <w:sz w:val="21"/>
                <w:szCs w:val="21"/>
              </w:rPr>
              <w:t>A</w:t>
            </w:r>
            <w:r>
              <w:rPr>
                <w:rFonts w:hint="eastAsia"/>
                <w:b/>
                <w:sz w:val="21"/>
                <w:szCs w:val="21"/>
              </w:rPr>
              <w:t>）</w:t>
            </w:r>
          </w:p>
          <w:tbl>
            <w:tblPr>
              <w:tblStyle w:val="18"/>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45"/>
              <w:gridCol w:w="1356"/>
              <w:gridCol w:w="1219"/>
              <w:gridCol w:w="689"/>
              <w:gridCol w:w="404"/>
              <w:gridCol w:w="390"/>
              <w:gridCol w:w="386"/>
              <w:gridCol w:w="571"/>
              <w:gridCol w:w="634"/>
              <w:gridCol w:w="424"/>
              <w:gridCol w:w="610"/>
              <w:gridCol w:w="653"/>
              <w:gridCol w:w="7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restart"/>
                  <w:tcBorders>
                    <w:top w:val="single" w:color="000000" w:sz="12" w:space="0"/>
                    <w:left w:val="single" w:color="000000" w:sz="12"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建筑物名称</w:t>
                  </w:r>
                </w:p>
              </w:tc>
              <w:tc>
                <w:tcPr>
                  <w:tcW w:w="783" w:type="pct"/>
                  <w:vMerge w:val="restart"/>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sz w:val="21"/>
                      <w:szCs w:val="21"/>
                    </w:rPr>
                  </w:pPr>
                  <w:r>
                    <w:rPr>
                      <w:rFonts w:hint="eastAsia" w:ascii="Times New Roman" w:hAnsi="Times New Roman"/>
                      <w:bCs/>
                      <w:sz w:val="21"/>
                      <w:szCs w:val="21"/>
                    </w:rPr>
                    <w:t>声源名称</w:t>
                  </w:r>
                </w:p>
              </w:tc>
              <w:tc>
                <w:tcPr>
                  <w:tcW w:w="704" w:type="pct"/>
                  <w:vMerge w:val="restart"/>
                  <w:tcBorders>
                    <w:top w:val="single" w:color="000000" w:sz="12" w:space="0"/>
                    <w:left w:val="single" w:color="000000" w:sz="4" w:space="0"/>
                    <w:bottom w:val="single" w:color="000000" w:sz="4" w:space="0"/>
                    <w:right w:val="single" w:color="000000" w:sz="4" w:space="0"/>
                  </w:tcBorders>
                  <w:vAlign w:val="center"/>
                </w:tcPr>
                <w:p>
                  <w:pPr>
                    <w:pStyle w:val="35"/>
                    <w:jc w:val="center"/>
                    <w:rPr>
                      <w:rFonts w:ascii="Times New Roman" w:cs="Times New Roman"/>
                      <w:color w:val="auto"/>
                      <w:sz w:val="21"/>
                      <w:szCs w:val="21"/>
                    </w:rPr>
                  </w:pPr>
                  <w:r>
                    <w:rPr>
                      <w:rFonts w:hint="eastAsia" w:ascii="Times New Roman" w:cs="Times New Roman"/>
                      <w:color w:val="auto"/>
                      <w:sz w:val="21"/>
                      <w:szCs w:val="21"/>
                    </w:rPr>
                    <w:t>（声压级</w:t>
                  </w:r>
                  <w:r>
                    <w:rPr>
                      <w:rFonts w:ascii="Times New Roman" w:cs="Times New Roman"/>
                      <w:color w:val="auto"/>
                      <w:sz w:val="21"/>
                      <w:szCs w:val="21"/>
                    </w:rPr>
                    <w:t>/</w:t>
                  </w:r>
                  <w:r>
                    <w:rPr>
                      <w:rFonts w:hint="eastAsia" w:ascii="Times New Roman" w:cs="Times New Roman"/>
                      <w:color w:val="auto"/>
                      <w:sz w:val="21"/>
                      <w:szCs w:val="21"/>
                    </w:rPr>
                    <w:t>距声源距离）</w:t>
                  </w:r>
                  <w:r>
                    <w:rPr>
                      <w:rFonts w:ascii="Times New Roman" w:cs="Times New Roman"/>
                      <w:color w:val="auto"/>
                      <w:sz w:val="21"/>
                      <w:szCs w:val="21"/>
                    </w:rPr>
                    <w:t>/</w:t>
                  </w:r>
                  <w:r>
                    <w:rPr>
                      <w:rFonts w:hint="eastAsia" w:ascii="Times New Roman" w:cs="Times New Roman"/>
                      <w:color w:val="auto"/>
                      <w:sz w:val="21"/>
                      <w:szCs w:val="21"/>
                    </w:rPr>
                    <w:t>（</w:t>
                  </w:r>
                  <w:r>
                    <w:rPr>
                      <w:rFonts w:ascii="Times New Roman" w:cs="Times New Roman"/>
                      <w:color w:val="auto"/>
                      <w:sz w:val="21"/>
                      <w:szCs w:val="21"/>
                    </w:rPr>
                    <w:t>dB(A)/m</w:t>
                  </w:r>
                  <w:r>
                    <w:rPr>
                      <w:rFonts w:hint="eastAsia" w:ascii="Times New Roman" w:cs="Times New Roman"/>
                      <w:color w:val="auto"/>
                      <w:sz w:val="21"/>
                      <w:szCs w:val="21"/>
                    </w:rPr>
                    <w:t>）</w:t>
                  </w:r>
                </w:p>
              </w:tc>
              <w:tc>
                <w:tcPr>
                  <w:tcW w:w="398" w:type="pct"/>
                  <w:vMerge w:val="restart"/>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声源控制措施</w:t>
                  </w:r>
                </w:p>
              </w:tc>
              <w:tc>
                <w:tcPr>
                  <w:tcW w:w="681" w:type="pct"/>
                  <w:gridSpan w:val="3"/>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空间相对位置</w:t>
                  </w:r>
                  <w:r>
                    <w:rPr>
                      <w:rFonts w:ascii="Times New Roman" w:hAnsi="Times New Roman"/>
                      <w:bCs/>
                      <w:sz w:val="21"/>
                      <w:szCs w:val="21"/>
                    </w:rPr>
                    <w:t>/m</w:t>
                  </w:r>
                </w:p>
              </w:tc>
              <w:tc>
                <w:tcPr>
                  <w:tcW w:w="330" w:type="pct"/>
                  <w:vMerge w:val="restart"/>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距室内边界距离</w:t>
                  </w:r>
                  <w:r>
                    <w:rPr>
                      <w:rFonts w:ascii="Times New Roman" w:hAnsi="Times New Roman"/>
                      <w:bCs/>
                      <w:sz w:val="21"/>
                      <w:szCs w:val="21"/>
                    </w:rPr>
                    <w:t>/m</w:t>
                  </w:r>
                </w:p>
              </w:tc>
              <w:tc>
                <w:tcPr>
                  <w:tcW w:w="366" w:type="pct"/>
                  <w:vMerge w:val="restart"/>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室内边界声压级</w:t>
                  </w:r>
                  <w:r>
                    <w:rPr>
                      <w:rFonts w:ascii="Times New Roman" w:hAnsi="Times New Roman"/>
                      <w:bCs/>
                      <w:sz w:val="21"/>
                      <w:szCs w:val="21"/>
                    </w:rPr>
                    <w:t>/dB(A)</w:t>
                  </w:r>
                </w:p>
              </w:tc>
              <w:tc>
                <w:tcPr>
                  <w:tcW w:w="245" w:type="pct"/>
                  <w:vMerge w:val="restart"/>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运行时段</w:t>
                  </w:r>
                </w:p>
              </w:tc>
              <w:tc>
                <w:tcPr>
                  <w:tcW w:w="352" w:type="pct"/>
                  <w:vMerge w:val="restart"/>
                  <w:tcBorders>
                    <w:top w:val="single" w:color="000000" w:sz="12" w:space="0"/>
                    <w:left w:val="single" w:color="000000" w:sz="4" w:space="0"/>
                    <w:bottom w:val="single" w:color="000000" w:sz="4" w:space="0"/>
                    <w:right w:val="single" w:color="000000" w:sz="4"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建筑物插入损失</w:t>
                  </w:r>
                  <w:r>
                    <w:rPr>
                      <w:rFonts w:ascii="Times New Roman" w:hAnsi="Times New Roman"/>
                      <w:bCs/>
                      <w:sz w:val="21"/>
                      <w:szCs w:val="21"/>
                    </w:rPr>
                    <w:t xml:space="preserve"> / dB(A)</w:t>
                  </w:r>
                </w:p>
              </w:tc>
              <w:tc>
                <w:tcPr>
                  <w:tcW w:w="822" w:type="pct"/>
                  <w:gridSpan w:val="2"/>
                  <w:tcBorders>
                    <w:top w:val="single" w:color="000000" w:sz="12" w:space="0"/>
                    <w:left w:val="single" w:color="000000" w:sz="4" w:space="0"/>
                    <w:bottom w:val="single" w:color="000000" w:sz="4" w:space="0"/>
                    <w:right w:val="single" w:color="000000" w:sz="12" w:space="0"/>
                  </w:tcBorders>
                  <w:vAlign w:val="center"/>
                </w:tcPr>
                <w:p>
                  <w:pPr>
                    <w:pStyle w:val="16"/>
                    <w:adjustRightInd/>
                    <w:snapToGrid/>
                    <w:spacing w:beforeAutospacing="0" w:afterAutospacing="0"/>
                    <w:jc w:val="center"/>
                    <w:rPr>
                      <w:rFonts w:ascii="Times New Roman" w:hAnsi="Times New Roman"/>
                      <w:bCs/>
                      <w:sz w:val="21"/>
                      <w:szCs w:val="21"/>
                    </w:rPr>
                  </w:pPr>
                  <w:r>
                    <w:rPr>
                      <w:rFonts w:hint="eastAsia" w:ascii="Times New Roman" w:hAnsi="Times New Roman"/>
                      <w:bCs/>
                      <w:sz w:val="21"/>
                      <w:szCs w:val="21"/>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jc w:val="center"/>
                    <w:rPr>
                      <w:bCs/>
                      <w:szCs w:val="21"/>
                    </w:rPr>
                  </w:pPr>
                </w:p>
              </w:tc>
              <w:tc>
                <w:tcPr>
                  <w:tcW w:w="783"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704"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pStyle w:val="16"/>
                    <w:spacing w:beforeAutospacing="0" w:afterAutospacing="0"/>
                    <w:jc w:val="center"/>
                    <w:rPr>
                      <w:rFonts w:ascii="Times New Roman" w:hAnsi="Times New Roman"/>
                      <w:bCs/>
                      <w:sz w:val="21"/>
                      <w:szCs w:val="21"/>
                    </w:rPr>
                  </w:pPr>
                  <w:r>
                    <w:rPr>
                      <w:rFonts w:ascii="Times New Roman" w:hAnsi="Times New Roman"/>
                      <w:bCs/>
                      <w:sz w:val="21"/>
                      <w:szCs w:val="21"/>
                    </w:rPr>
                    <w:t>X</w:t>
                  </w:r>
                </w:p>
              </w:tc>
              <w:tc>
                <w:tcPr>
                  <w:tcW w:w="225" w:type="pct"/>
                  <w:tcBorders>
                    <w:top w:val="single" w:color="000000" w:sz="4" w:space="0"/>
                    <w:left w:val="single" w:color="000000" w:sz="4" w:space="0"/>
                    <w:bottom w:val="single" w:color="000000" w:sz="4" w:space="0"/>
                    <w:right w:val="single" w:color="000000" w:sz="4" w:space="0"/>
                  </w:tcBorders>
                  <w:vAlign w:val="center"/>
                </w:tcPr>
                <w:p>
                  <w:pPr>
                    <w:pStyle w:val="16"/>
                    <w:spacing w:beforeAutospacing="0" w:afterAutospacing="0"/>
                    <w:jc w:val="center"/>
                    <w:rPr>
                      <w:rFonts w:ascii="Times New Roman" w:hAnsi="Times New Roman"/>
                      <w:bCs/>
                      <w:sz w:val="21"/>
                      <w:szCs w:val="21"/>
                    </w:rPr>
                  </w:pPr>
                  <w:r>
                    <w:rPr>
                      <w:rFonts w:ascii="Times New Roman" w:hAnsi="Times New Roman"/>
                      <w:bCs/>
                      <w:sz w:val="21"/>
                      <w:szCs w:val="21"/>
                    </w:rPr>
                    <w:t>Y</w:t>
                  </w:r>
                </w:p>
              </w:tc>
              <w:tc>
                <w:tcPr>
                  <w:tcW w:w="221" w:type="pct"/>
                  <w:tcBorders>
                    <w:top w:val="single" w:color="000000" w:sz="4" w:space="0"/>
                    <w:left w:val="single" w:color="000000" w:sz="4" w:space="0"/>
                    <w:bottom w:val="single" w:color="000000" w:sz="4" w:space="0"/>
                    <w:right w:val="single" w:color="000000" w:sz="4" w:space="0"/>
                  </w:tcBorders>
                  <w:vAlign w:val="center"/>
                </w:tcPr>
                <w:p>
                  <w:pPr>
                    <w:pStyle w:val="16"/>
                    <w:spacing w:beforeAutospacing="0" w:afterAutospacing="0"/>
                    <w:jc w:val="center"/>
                    <w:rPr>
                      <w:rFonts w:ascii="Times New Roman" w:hAnsi="Times New Roman"/>
                      <w:bCs/>
                      <w:sz w:val="21"/>
                      <w:szCs w:val="21"/>
                    </w:rPr>
                  </w:pPr>
                  <w:r>
                    <w:rPr>
                      <w:rFonts w:ascii="Times New Roman" w:hAnsi="Times New Roman"/>
                      <w:bCs/>
                      <w:sz w:val="21"/>
                      <w:szCs w:val="21"/>
                    </w:rPr>
                    <w:t>Z</w:t>
                  </w:r>
                </w:p>
              </w:tc>
              <w:tc>
                <w:tcPr>
                  <w:tcW w:w="330"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366"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245"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352"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bCs/>
                      <w:szCs w:val="21"/>
                    </w:rPr>
                  </w:pPr>
                </w:p>
              </w:tc>
              <w:tc>
                <w:tcPr>
                  <w:tcW w:w="377" w:type="pct"/>
                  <w:tcBorders>
                    <w:top w:val="single" w:color="000000" w:sz="4" w:space="0"/>
                    <w:left w:val="single" w:color="000000" w:sz="4" w:space="0"/>
                    <w:bottom w:val="single" w:color="000000" w:sz="4" w:space="0"/>
                    <w:right w:val="single" w:color="000000" w:sz="4" w:space="0"/>
                  </w:tcBorders>
                  <w:vAlign w:val="center"/>
                </w:tcPr>
                <w:p>
                  <w:pPr>
                    <w:pStyle w:val="16"/>
                    <w:spacing w:beforeAutospacing="0" w:afterAutospacing="0"/>
                    <w:jc w:val="center"/>
                    <w:rPr>
                      <w:rFonts w:ascii="Times New Roman" w:hAnsi="Times New Roman"/>
                      <w:bCs/>
                      <w:sz w:val="21"/>
                      <w:szCs w:val="21"/>
                    </w:rPr>
                  </w:pPr>
                  <w:r>
                    <w:rPr>
                      <w:rFonts w:hint="eastAsia" w:ascii="Times New Roman" w:hAnsi="Times New Roman"/>
                      <w:bCs/>
                      <w:sz w:val="21"/>
                      <w:szCs w:val="21"/>
                    </w:rPr>
                    <w:t>声压级</w:t>
                  </w:r>
                </w:p>
                <w:p>
                  <w:pPr>
                    <w:pStyle w:val="16"/>
                    <w:spacing w:beforeAutospacing="0" w:afterAutospacing="0"/>
                    <w:jc w:val="center"/>
                    <w:rPr>
                      <w:rFonts w:ascii="Times New Roman" w:hAnsi="Times New Roman"/>
                      <w:bCs/>
                      <w:sz w:val="21"/>
                      <w:szCs w:val="21"/>
                    </w:rPr>
                  </w:pPr>
                  <w:r>
                    <w:rPr>
                      <w:rFonts w:ascii="Times New Roman" w:hAnsi="Times New Roman"/>
                      <w:bCs/>
                      <w:sz w:val="21"/>
                      <w:szCs w:val="21"/>
                    </w:rPr>
                    <w:t>/dB(A)</w:t>
                  </w:r>
                </w:p>
              </w:tc>
              <w:tc>
                <w:tcPr>
                  <w:tcW w:w="444" w:type="pct"/>
                  <w:tcBorders>
                    <w:top w:val="single" w:color="000000" w:sz="4" w:space="0"/>
                    <w:left w:val="single" w:color="000000" w:sz="4" w:space="0"/>
                    <w:bottom w:val="single" w:color="000000" w:sz="4" w:space="0"/>
                    <w:right w:val="single" w:color="000000" w:sz="12" w:space="0"/>
                  </w:tcBorders>
                  <w:vAlign w:val="center"/>
                </w:tcPr>
                <w:p>
                  <w:pPr>
                    <w:pStyle w:val="16"/>
                    <w:spacing w:beforeAutospacing="0" w:afterAutospacing="0"/>
                    <w:jc w:val="center"/>
                    <w:rPr>
                      <w:rFonts w:ascii="Times New Roman" w:hAnsi="Times New Roman"/>
                      <w:bCs/>
                      <w:sz w:val="21"/>
                      <w:szCs w:val="21"/>
                    </w:rPr>
                  </w:pPr>
                  <w:r>
                    <w:rPr>
                      <w:rFonts w:hint="eastAsia" w:ascii="Times New Roman" w:hAnsi="Times New Roman"/>
                      <w:bCs/>
                      <w:sz w:val="21"/>
                      <w:szCs w:val="21"/>
                    </w:rPr>
                    <w:t>建筑物外距离</w:t>
                  </w:r>
                  <w:r>
                    <w:rPr>
                      <w:rFonts w:ascii="Times New Roman" w:hAnsi="Times New Roman"/>
                      <w:bCs/>
                      <w:sz w:val="21"/>
                      <w:szCs w:val="21"/>
                    </w:rPr>
                    <w:t>/m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restart"/>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生产车间</w:t>
                  </w: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单组份制棉机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75/1</w:t>
                  </w:r>
                </w:p>
              </w:tc>
              <w:tc>
                <w:tcPr>
                  <w:tcW w:w="398"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rFonts w:hint="eastAsia"/>
                      <w:szCs w:val="21"/>
                    </w:rPr>
                    <w:t>设备合理布局、主体采用减振基础，墙体隔声</w:t>
                  </w: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15</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55</w:t>
                  </w:r>
                </w:p>
              </w:tc>
              <w:tc>
                <w:tcPr>
                  <w:tcW w:w="2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45</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自动模切机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80/1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33</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60</w:t>
                  </w:r>
                </w:p>
              </w:tc>
              <w:tc>
                <w:tcPr>
                  <w:tcW w:w="2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50</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rFonts w:hint="eastAsia"/>
                      <w:szCs w:val="21"/>
                    </w:rPr>
                    <w:t>烘箱</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85/1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szCs w:val="21"/>
                    </w:rPr>
                    <w:t>26</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szCs w:val="21"/>
                    </w:rPr>
                    <w:t>15</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szCs w:val="21"/>
                    </w:rPr>
                    <w:t>15</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61</w:t>
                  </w:r>
                </w:p>
              </w:tc>
              <w:tc>
                <w:tcPr>
                  <w:tcW w:w="2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51</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轻质发泡机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36</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20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20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44</w:t>
                  </w:r>
                </w:p>
              </w:tc>
              <w:tc>
                <w:tcPr>
                  <w:tcW w:w="2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34</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热压成型机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75/1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51</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55</w:t>
                  </w:r>
                </w:p>
              </w:tc>
              <w:tc>
                <w:tcPr>
                  <w:tcW w:w="2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45</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复合机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75/1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33</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18</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18</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50</w:t>
                  </w:r>
                </w:p>
              </w:tc>
              <w:tc>
                <w:tcPr>
                  <w:tcW w:w="2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40</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接触式烘箱</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80/1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Cs/>
                      <w:kern w:val="0"/>
                      <w:szCs w:val="21"/>
                    </w:rPr>
                  </w:pPr>
                  <w:r>
                    <w:rPr>
                      <w:bCs/>
                      <w:szCs w:val="21"/>
                    </w:rPr>
                    <w:t>10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60</w:t>
                  </w:r>
                </w:p>
              </w:tc>
              <w:tc>
                <w:tcPr>
                  <w:tcW w:w="245"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50</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szCs w:val="21"/>
                    </w:rPr>
                    <w:t>PU</w:t>
                  </w:r>
                  <w:r>
                    <w:rPr>
                      <w:rFonts w:hint="eastAsia"/>
                      <w:szCs w:val="21"/>
                    </w:rPr>
                    <w:t>发泡机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60</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20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20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44</w:t>
                  </w:r>
                </w:p>
              </w:tc>
              <w:tc>
                <w:tcPr>
                  <w:tcW w:w="245"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34</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autoSpaceDE w:val="0"/>
                    <w:adjustRightInd w:val="0"/>
                    <w:snapToGrid w:val="0"/>
                    <w:jc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autoSpaceDE w:val="0"/>
                    <w:adjustRightInd w:val="0"/>
                    <w:snapToGrid w:val="0"/>
                    <w:jc w:val="center"/>
                    <w:rPr>
                      <w:szCs w:val="21"/>
                    </w:rPr>
                  </w:pPr>
                  <w:r>
                    <w:rPr>
                      <w:rFonts w:hint="eastAsia"/>
                      <w:szCs w:val="21"/>
                    </w:rPr>
                    <w:t>螺杆式空压机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6</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5</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5</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56</w:t>
                  </w:r>
                </w:p>
              </w:tc>
              <w:tc>
                <w:tcPr>
                  <w:tcW w:w="245" w:type="pct"/>
                  <w:tcBorders>
                    <w:top w:val="single" w:color="000000" w:sz="4" w:space="0"/>
                    <w:left w:val="single" w:color="000000" w:sz="4" w:space="0"/>
                    <w:bottom w:val="single" w:color="000000" w:sz="4" w:space="0"/>
                    <w:right w:val="single" w:color="000000" w:sz="4" w:space="0"/>
                  </w:tcBorders>
                  <w:vAlign w:val="center"/>
                </w:tcPr>
                <w:p>
                  <w:pPr>
                    <w:jc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46</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kern w:val="0"/>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rFonts w:hint="eastAsia"/>
                      <w:kern w:val="0"/>
                      <w:szCs w:val="21"/>
                    </w:rPr>
                    <w:t>油温机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70/1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46</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12</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12</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48</w:t>
                  </w:r>
                </w:p>
              </w:tc>
              <w:tc>
                <w:tcPr>
                  <w:tcW w:w="245"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38</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rFonts w:hint="eastAsia"/>
                      <w:szCs w:val="21"/>
                    </w:rPr>
                    <w:t>模温机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85/1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51</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20</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20</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59</w:t>
                  </w:r>
                </w:p>
              </w:tc>
              <w:tc>
                <w:tcPr>
                  <w:tcW w:w="245" w:type="pct"/>
                  <w:tcBorders>
                    <w:top w:val="single" w:color="000000" w:sz="4" w:space="0"/>
                    <w:left w:val="single" w:color="000000" w:sz="4" w:space="0"/>
                    <w:bottom w:val="single" w:color="000000" w:sz="4" w:space="0"/>
                    <w:right w:val="single" w:color="000000" w:sz="4" w:space="0"/>
                  </w:tcBorders>
                  <w:vAlign w:val="center"/>
                </w:tcPr>
                <w:p>
                  <w:pPr>
                    <w:jc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49</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15" w:type="pct"/>
                  <w:vMerge w:val="continue"/>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szCs w:val="21"/>
                    </w:rPr>
                  </w:pPr>
                </w:p>
              </w:tc>
              <w:tc>
                <w:tcPr>
                  <w:tcW w:w="78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rFonts w:hint="eastAsia"/>
                      <w:szCs w:val="21"/>
                    </w:rPr>
                    <w:t>风机</w:t>
                  </w:r>
                </w:p>
              </w:tc>
              <w:tc>
                <w:tcPr>
                  <w:tcW w:w="704" w:type="pct"/>
                  <w:tcBorders>
                    <w:top w:val="single" w:color="000000" w:sz="4" w:space="0"/>
                    <w:left w:val="single" w:color="000000" w:sz="4" w:space="0"/>
                    <w:bottom w:val="single" w:color="000000" w:sz="4" w:space="0"/>
                    <w:right w:val="single" w:color="000000" w:sz="4" w:space="0"/>
                  </w:tcBorders>
                  <w:vAlign w:val="center"/>
                </w:tcPr>
                <w:p>
                  <w:pPr>
                    <w:jc w:val="center"/>
                    <w:rPr>
                      <w:bCs/>
                      <w:szCs w:val="21"/>
                    </w:rPr>
                  </w:pPr>
                  <w:r>
                    <w:rPr>
                      <w:bCs/>
                      <w:szCs w:val="21"/>
                    </w:rPr>
                    <w:t>80/1</w:t>
                  </w:r>
                </w:p>
              </w:tc>
              <w:tc>
                <w:tcPr>
                  <w:tcW w:w="398" w:type="pct"/>
                  <w:vMerge w:val="continue"/>
                  <w:tcBorders>
                    <w:top w:val="single" w:color="000000" w:sz="4" w:space="0"/>
                    <w:left w:val="single" w:color="000000" w:sz="4" w:space="0"/>
                    <w:bottom w:val="single" w:color="000000" w:sz="4" w:space="0"/>
                    <w:right w:val="single" w:color="000000" w:sz="4" w:space="0"/>
                  </w:tcBorders>
                  <w:vAlign w:val="center"/>
                </w:tcPr>
                <w:p>
                  <w:pPr>
                    <w:jc w:val="center"/>
                    <w:rPr>
                      <w:szCs w:val="21"/>
                    </w:rPr>
                  </w:pPr>
                </w:p>
              </w:tc>
              <w:tc>
                <w:tcPr>
                  <w:tcW w:w="2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52</w:t>
                  </w:r>
                </w:p>
              </w:tc>
              <w:tc>
                <w:tcPr>
                  <w:tcW w:w="2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15</w:t>
                  </w:r>
                </w:p>
              </w:tc>
              <w:tc>
                <w:tcPr>
                  <w:tcW w:w="2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Cs w:val="21"/>
                    </w:rPr>
                    <w:t>1</w:t>
                  </w:r>
                </w:p>
              </w:tc>
              <w:tc>
                <w:tcPr>
                  <w:tcW w:w="3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bCs/>
                      <w:szCs w:val="21"/>
                    </w:rPr>
                    <w:t>15</w:t>
                  </w:r>
                </w:p>
              </w:tc>
              <w:tc>
                <w:tcPr>
                  <w:tcW w:w="36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kern w:val="0"/>
                      <w:szCs w:val="21"/>
                    </w:rPr>
                  </w:pPr>
                  <w:r>
                    <w:rPr>
                      <w:kern w:val="0"/>
                      <w:sz w:val="22"/>
                      <w:szCs w:val="22"/>
                    </w:rPr>
                    <w:t>56</w:t>
                  </w:r>
                </w:p>
              </w:tc>
              <w:tc>
                <w:tcPr>
                  <w:tcW w:w="245" w:type="pct"/>
                  <w:tcBorders>
                    <w:top w:val="single" w:color="000000" w:sz="4" w:space="0"/>
                    <w:left w:val="single" w:color="000000" w:sz="4" w:space="0"/>
                    <w:bottom w:val="single" w:color="000000" w:sz="4" w:space="0"/>
                    <w:right w:val="single" w:color="000000" w:sz="4" w:space="0"/>
                  </w:tcBorders>
                  <w:vAlign w:val="center"/>
                </w:tcPr>
                <w:p>
                  <w:pPr>
                    <w:jc w:val="center"/>
                    <w:rPr>
                      <w:szCs w:val="21"/>
                      <w:lang w:val="zh-CN"/>
                    </w:rPr>
                  </w:pPr>
                  <w:r>
                    <w:rPr>
                      <w:rFonts w:hint="eastAsia"/>
                      <w:szCs w:val="21"/>
                      <w:lang w:val="zh-CN"/>
                    </w:rPr>
                    <w:t>昼间</w:t>
                  </w:r>
                </w:p>
              </w:tc>
              <w:tc>
                <w:tcPr>
                  <w:tcW w:w="352" w:type="pct"/>
                  <w:tcBorders>
                    <w:top w:val="single" w:color="000000" w:sz="4" w:space="0"/>
                    <w:left w:val="single" w:color="000000" w:sz="4" w:space="0"/>
                    <w:bottom w:val="single" w:color="000000" w:sz="4" w:space="0"/>
                    <w:right w:val="single" w:color="000000" w:sz="4" w:space="0"/>
                  </w:tcBorders>
                  <w:vAlign w:val="center"/>
                </w:tcPr>
                <w:p>
                  <w:pPr>
                    <w:jc w:val="center"/>
                    <w:rPr>
                      <w:szCs w:val="21"/>
                    </w:rPr>
                  </w:pPr>
                  <w:r>
                    <w:rPr>
                      <w:szCs w:val="21"/>
                    </w:rPr>
                    <w:t>10</w:t>
                  </w:r>
                </w:p>
              </w:tc>
              <w:tc>
                <w:tcPr>
                  <w:tcW w:w="37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szCs w:val="21"/>
                    </w:rPr>
                  </w:pPr>
                  <w:r>
                    <w:rPr>
                      <w:kern w:val="0"/>
                      <w:sz w:val="22"/>
                      <w:szCs w:val="22"/>
                    </w:rPr>
                    <w:t>46</w:t>
                  </w:r>
                </w:p>
              </w:tc>
              <w:tc>
                <w:tcPr>
                  <w:tcW w:w="444" w:type="pct"/>
                  <w:tcBorders>
                    <w:top w:val="single" w:color="000000" w:sz="4" w:space="0"/>
                    <w:left w:val="single" w:color="000000" w:sz="4" w:space="0"/>
                    <w:bottom w:val="single" w:color="000000" w:sz="4" w:space="0"/>
                    <w:right w:val="single" w:color="000000" w:sz="12" w:space="0"/>
                  </w:tcBorders>
                  <w:vAlign w:val="center"/>
                </w:tcPr>
                <w:p>
                  <w:pPr>
                    <w:jc w:val="center"/>
                    <w:rPr>
                      <w:kern w:val="0"/>
                      <w:szCs w:val="21"/>
                    </w:rPr>
                  </w:pPr>
                  <w:r>
                    <w:rPr>
                      <w:kern w:val="0"/>
                      <w:szCs w:val="21"/>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000" w:type="pct"/>
                  <w:gridSpan w:val="13"/>
                  <w:tcBorders>
                    <w:top w:val="single" w:color="000000" w:sz="4" w:space="0"/>
                    <w:left w:val="single" w:color="000000" w:sz="12" w:space="0"/>
                    <w:bottom w:val="single" w:color="000000" w:sz="12" w:space="0"/>
                    <w:right w:val="single" w:color="000000" w:sz="12" w:space="0"/>
                  </w:tcBorders>
                  <w:vAlign w:val="center"/>
                </w:tcPr>
                <w:p>
                  <w:pPr>
                    <w:spacing w:beforeLines="50"/>
                    <w:jc w:val="center"/>
                    <w:rPr>
                      <w:kern w:val="0"/>
                      <w:szCs w:val="21"/>
                    </w:rPr>
                  </w:pPr>
                  <w:r>
                    <w:rPr>
                      <w:rFonts w:hint="eastAsia"/>
                      <w:b/>
                      <w:kern w:val="0"/>
                      <w:szCs w:val="21"/>
                    </w:rPr>
                    <w:t>备注：以项目所在地厂区西南侧坐标为（</w:t>
                  </w:r>
                  <w:r>
                    <w:rPr>
                      <w:b/>
                      <w:kern w:val="0"/>
                      <w:szCs w:val="21"/>
                    </w:rPr>
                    <w:t>0,0,0</w:t>
                  </w:r>
                  <w:r>
                    <w:rPr>
                      <w:rFonts w:hint="eastAsia"/>
                      <w:b/>
                      <w:kern w:val="0"/>
                      <w:szCs w:val="21"/>
                    </w:rPr>
                    <w:t>），距室内边界距离按最近距离计。</w:t>
                  </w:r>
                </w:p>
              </w:tc>
            </w:tr>
          </w:tbl>
          <w:p>
            <w:pPr>
              <w:spacing w:line="480" w:lineRule="exact"/>
              <w:ind w:firstLine="482" w:firstLineChars="200"/>
              <w:rPr>
                <w:b/>
                <w:bCs/>
                <w:sz w:val="24"/>
              </w:rPr>
            </w:pPr>
            <w:r>
              <w:rPr>
                <w:rFonts w:hint="eastAsia"/>
                <w:b/>
                <w:bCs/>
                <w:sz w:val="24"/>
              </w:rPr>
              <w:t>（</w:t>
            </w:r>
            <w:r>
              <w:rPr>
                <w:b/>
                <w:bCs/>
                <w:sz w:val="24"/>
              </w:rPr>
              <w:t>2</w:t>
            </w:r>
            <w:r>
              <w:rPr>
                <w:rFonts w:hint="eastAsia"/>
                <w:b/>
                <w:bCs/>
                <w:sz w:val="24"/>
              </w:rPr>
              <w:t>）噪声预测方案</w:t>
            </w:r>
          </w:p>
          <w:p>
            <w:pPr>
              <w:adjustRightInd w:val="0"/>
              <w:snapToGrid w:val="0"/>
              <w:spacing w:beforeLines="50" w:line="360" w:lineRule="auto"/>
              <w:ind w:firstLine="480" w:firstLineChars="200"/>
              <w:rPr>
                <w:sz w:val="24"/>
              </w:rPr>
            </w:pPr>
            <w:r>
              <w:rPr>
                <w:rFonts w:hint="eastAsia"/>
                <w:sz w:val="24"/>
              </w:rPr>
              <w:t>本次评价采用《环境影响评价技术导则</w:t>
            </w:r>
            <w:r>
              <w:rPr>
                <w:sz w:val="24"/>
              </w:rPr>
              <w:t xml:space="preserve"> </w:t>
            </w:r>
            <w:r>
              <w:rPr>
                <w:rFonts w:hint="eastAsia"/>
                <w:sz w:val="24"/>
              </w:rPr>
              <w:t>声环境》（</w:t>
            </w:r>
            <w:r>
              <w:rPr>
                <w:sz w:val="24"/>
              </w:rPr>
              <w:t>HJ2.4-2021</w:t>
            </w:r>
            <w:r>
              <w:rPr>
                <w:rFonts w:hint="eastAsia"/>
                <w:sz w:val="24"/>
              </w:rPr>
              <w:t>）中推荐模式进行预测，具体模式如下：</w:t>
            </w:r>
          </w:p>
          <w:p>
            <w:pPr>
              <w:adjustRightInd w:val="0"/>
              <w:snapToGrid w:val="0"/>
              <w:spacing w:line="360" w:lineRule="auto"/>
              <w:ind w:firstLine="482" w:firstLineChars="200"/>
              <w:rPr>
                <w:b/>
                <w:bCs/>
                <w:sz w:val="24"/>
              </w:rPr>
            </w:pPr>
            <w:r>
              <w:rPr>
                <w:rFonts w:hint="eastAsia" w:ascii="宋体" w:hAnsi="宋体" w:cs="宋体"/>
                <w:b/>
                <w:bCs/>
                <w:sz w:val="24"/>
              </w:rPr>
              <w:t>①</w:t>
            </w:r>
            <w:r>
              <w:rPr>
                <w:rFonts w:hint="eastAsia"/>
                <w:b/>
                <w:bCs/>
                <w:sz w:val="24"/>
              </w:rPr>
              <w:t>预测条件假设</w:t>
            </w:r>
            <w:r>
              <w:rPr>
                <w:b/>
                <w:bCs/>
                <w:sz w:val="24"/>
              </w:rPr>
              <w:t xml:space="preserve">       </w:t>
            </w:r>
          </w:p>
          <w:p>
            <w:pPr>
              <w:adjustRightInd w:val="0"/>
              <w:snapToGrid w:val="0"/>
              <w:spacing w:line="360" w:lineRule="auto"/>
              <w:ind w:firstLine="480" w:firstLineChars="200"/>
              <w:rPr>
                <w:sz w:val="24"/>
                <w:szCs w:val="22"/>
              </w:rPr>
            </w:pPr>
            <w:r>
              <w:rPr>
                <w:sz w:val="24"/>
                <w:szCs w:val="22"/>
              </w:rPr>
              <w:t>A</w:t>
            </w:r>
            <w:r>
              <w:rPr>
                <w:rFonts w:hint="eastAsia"/>
                <w:sz w:val="24"/>
                <w:szCs w:val="22"/>
              </w:rPr>
              <w:t>、考虑声源至受声点的距离衰减；考虑墙体对噪声的阻挡；</w:t>
            </w:r>
          </w:p>
          <w:p>
            <w:pPr>
              <w:adjustRightInd w:val="0"/>
              <w:snapToGrid w:val="0"/>
              <w:spacing w:line="360" w:lineRule="auto"/>
              <w:ind w:firstLine="480" w:firstLineChars="200"/>
              <w:rPr>
                <w:sz w:val="24"/>
                <w:szCs w:val="22"/>
              </w:rPr>
            </w:pPr>
            <w:r>
              <w:rPr>
                <w:sz w:val="24"/>
                <w:szCs w:val="22"/>
              </w:rPr>
              <w:t>B</w:t>
            </w:r>
            <w:r>
              <w:rPr>
                <w:rFonts w:hint="eastAsia"/>
                <w:sz w:val="24"/>
                <w:szCs w:val="22"/>
              </w:rPr>
              <w:t>、在辐射过程中，空气吸收、雨、雪、雾和温度等影响忽略不计</w:t>
            </w:r>
          </w:p>
          <w:p>
            <w:pPr>
              <w:adjustRightInd w:val="0"/>
              <w:snapToGrid w:val="0"/>
              <w:spacing w:line="360" w:lineRule="auto"/>
              <w:ind w:firstLine="482" w:firstLineChars="200"/>
              <w:rPr>
                <w:b/>
                <w:bCs/>
                <w:sz w:val="24"/>
              </w:rPr>
            </w:pPr>
            <w:r>
              <w:rPr>
                <w:rFonts w:hint="eastAsia" w:ascii="宋体" w:hAnsi="宋体" w:cs="宋体"/>
                <w:b/>
                <w:bCs/>
                <w:sz w:val="24"/>
              </w:rPr>
              <w:t>②</w:t>
            </w:r>
            <w:r>
              <w:rPr>
                <w:rFonts w:hint="eastAsia"/>
                <w:b/>
                <w:bCs/>
                <w:sz w:val="24"/>
              </w:rPr>
              <w:t>预测模式</w:t>
            </w:r>
          </w:p>
          <w:p>
            <w:pPr>
              <w:adjustRightInd w:val="0"/>
              <w:snapToGrid w:val="0"/>
              <w:spacing w:line="360" w:lineRule="auto"/>
              <w:ind w:firstLine="480" w:firstLineChars="200"/>
              <w:rPr>
                <w:sz w:val="24"/>
              </w:rPr>
            </w:pPr>
            <w:r>
              <w:rPr>
                <w:rFonts w:hint="eastAsia"/>
                <w:sz w:val="24"/>
              </w:rPr>
              <w:t>本项目无室外声源，故预测只考虑室内声源，预测模式如下所述：</w:t>
            </w:r>
          </w:p>
          <w:p>
            <w:pPr>
              <w:adjustRightInd w:val="0"/>
              <w:snapToGrid w:val="0"/>
              <w:spacing w:line="360" w:lineRule="auto"/>
              <w:ind w:firstLine="482" w:firstLineChars="200"/>
              <w:rPr>
                <w:b/>
                <w:bCs/>
                <w:sz w:val="24"/>
              </w:rPr>
            </w:pPr>
            <w:r>
              <w:rPr>
                <w:b/>
                <w:bCs/>
                <w:sz w:val="24"/>
              </w:rPr>
              <w:t>a.</w:t>
            </w:r>
            <w:r>
              <w:rPr>
                <w:rFonts w:hint="eastAsia"/>
                <w:b/>
                <w:bCs/>
                <w:sz w:val="24"/>
              </w:rPr>
              <w:t>计算车间室内声源靠近围护结构处产生的声压级</w:t>
            </w:r>
          </w:p>
          <w:p>
            <w:pPr>
              <w:adjustRightInd w:val="0"/>
              <w:snapToGrid w:val="0"/>
              <w:spacing w:line="360" w:lineRule="auto"/>
              <w:jc w:val="center"/>
            </w:pPr>
            <w:r>
              <w:object>
                <v:shape id="_x0000_i1031" o:spt="75" alt="7B2EEF0CE3E4440fBD59588D13275A42# #嵌入式对象2" type="#_x0000_t75" style="height:41.25pt;width:223.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0" r:id="rId19">
                  <o:LockedField>false</o:LockedField>
                </o:OLEObject>
              </w:object>
            </w:r>
          </w:p>
          <w:p>
            <w:pPr>
              <w:adjustRightInd w:val="0"/>
              <w:snapToGrid w:val="0"/>
              <w:spacing w:line="360" w:lineRule="auto"/>
              <w:ind w:firstLine="480" w:firstLineChars="200"/>
              <w:rPr>
                <w:sz w:val="24"/>
              </w:rPr>
            </w:pPr>
            <w:r>
              <w:rPr>
                <w:rFonts w:hint="eastAsia"/>
                <w:sz w:val="24"/>
              </w:rPr>
              <w:t>式中：</w:t>
            </w:r>
            <w:r>
              <w:rPr>
                <w:i/>
                <w:sz w:val="24"/>
              </w:rPr>
              <w:t>Q</w:t>
            </w:r>
            <w:r>
              <w:rPr>
                <w:sz w:val="24"/>
              </w:rPr>
              <w:t>—</w:t>
            </w:r>
            <w:r>
              <w:rPr>
                <w:rFonts w:hint="eastAsia"/>
                <w:sz w:val="24"/>
              </w:rPr>
              <w:t>指向性因子；</w:t>
            </w:r>
          </w:p>
          <w:p>
            <w:pPr>
              <w:adjustRightInd w:val="0"/>
              <w:snapToGrid w:val="0"/>
              <w:spacing w:line="360" w:lineRule="auto"/>
              <w:ind w:firstLine="1200" w:firstLineChars="500"/>
              <w:rPr>
                <w:sz w:val="24"/>
              </w:rPr>
            </w:pPr>
            <w:r>
              <w:rPr>
                <w:i/>
                <w:sz w:val="24"/>
              </w:rPr>
              <w:t>L</w:t>
            </w:r>
            <w:r>
              <w:rPr>
                <w:i/>
                <w:sz w:val="24"/>
                <w:vertAlign w:val="subscript"/>
              </w:rPr>
              <w:t>W</w:t>
            </w:r>
            <w:r>
              <w:rPr>
                <w:sz w:val="24"/>
              </w:rPr>
              <w:t>—</w:t>
            </w:r>
            <w:r>
              <w:rPr>
                <w:rFonts w:hint="eastAsia"/>
                <w:sz w:val="24"/>
              </w:rPr>
              <w:t>室内声源声功率级，</w:t>
            </w:r>
            <w:r>
              <w:rPr>
                <w:sz w:val="24"/>
              </w:rPr>
              <w:t>dB(A)</w:t>
            </w:r>
            <w:r>
              <w:rPr>
                <w:rFonts w:hint="eastAsia"/>
                <w:sz w:val="24"/>
              </w:rPr>
              <w:t>；</w:t>
            </w:r>
          </w:p>
          <w:p>
            <w:pPr>
              <w:adjustRightInd w:val="0"/>
              <w:snapToGrid w:val="0"/>
              <w:spacing w:line="360" w:lineRule="auto"/>
              <w:ind w:firstLine="1200" w:firstLineChars="500"/>
              <w:rPr>
                <w:sz w:val="24"/>
              </w:rPr>
            </w:pPr>
            <w:r>
              <w:rPr>
                <w:i/>
                <w:sz w:val="24"/>
              </w:rPr>
              <w:t>R</w:t>
            </w:r>
            <w:r>
              <w:rPr>
                <w:sz w:val="24"/>
              </w:rPr>
              <w:t>—</w:t>
            </w:r>
            <w:r>
              <w:rPr>
                <w:rFonts w:hint="eastAsia"/>
                <w:sz w:val="24"/>
              </w:rPr>
              <w:t>房间常数；</w:t>
            </w:r>
          </w:p>
          <w:p>
            <w:pPr>
              <w:adjustRightInd w:val="0"/>
              <w:snapToGrid w:val="0"/>
              <w:spacing w:line="360" w:lineRule="auto"/>
              <w:ind w:firstLine="1200" w:firstLineChars="500"/>
              <w:rPr>
                <w:sz w:val="24"/>
              </w:rPr>
            </w:pPr>
            <w:r>
              <w:rPr>
                <w:i/>
                <w:sz w:val="24"/>
              </w:rPr>
              <w:object>
                <v:shape id="_x0000_i1032" o:spt="75" alt="D968155B1C8A4b78849284F7379C4C0E# #嵌入式对象5" type="#_x0000_t75" style="height:18.75pt;width:9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1" r:id="rId21">
                  <o:LockedField>false</o:LockedField>
                </o:OLEObject>
              </w:object>
            </w:r>
            <w:r>
              <w:rPr>
                <w:sz w:val="24"/>
              </w:rPr>
              <w:t>—</w:t>
            </w:r>
            <w:r>
              <w:rPr>
                <w:rFonts w:hint="eastAsia"/>
                <w:sz w:val="24"/>
              </w:rPr>
              <w:t>声源到靠近围护结构某点处的距离，</w:t>
            </w:r>
            <w:r>
              <w:rPr>
                <w:sz w:val="24"/>
              </w:rPr>
              <w:t>m</w:t>
            </w:r>
            <w:r>
              <w:rPr>
                <w:rFonts w:hint="eastAsia"/>
                <w:sz w:val="24"/>
              </w:rPr>
              <w:t>。</w:t>
            </w:r>
          </w:p>
          <w:p>
            <w:pPr>
              <w:pStyle w:val="35"/>
              <w:jc w:val="center"/>
              <w:rPr>
                <w:rFonts w:ascii="Times New Roman" w:cs="Times New Roman"/>
                <w:color w:val="auto"/>
              </w:rPr>
            </w:pPr>
            <w:r>
              <w:rPr>
                <w:rFonts w:ascii="Times New Roman" w:cs="Times New Roman"/>
                <w:color w:val="auto"/>
              </w:rPr>
              <w:object>
                <v:shape id="_x0000_i1033" o:spt="75" type="#_x0000_t75" style="height:39.75pt;width:106.5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2" r:id="rId23">
                  <o:LockedField>false</o:LockedField>
                </o:OLEObject>
              </w:object>
            </w:r>
          </w:p>
          <w:p>
            <w:pPr>
              <w:adjustRightInd w:val="0"/>
              <w:snapToGrid w:val="0"/>
              <w:spacing w:line="360" w:lineRule="auto"/>
              <w:ind w:firstLine="1200" w:firstLineChars="500"/>
              <w:rPr>
                <w:sz w:val="24"/>
              </w:rPr>
            </w:pPr>
            <w:r>
              <w:rPr>
                <w:i/>
                <w:sz w:val="24"/>
              </w:rPr>
              <w:t>S</w:t>
            </w:r>
            <w:r>
              <w:rPr>
                <w:sz w:val="24"/>
              </w:rPr>
              <w:t>—</w:t>
            </w:r>
            <w:r>
              <w:rPr>
                <w:rFonts w:hint="eastAsia"/>
                <w:sz w:val="24"/>
              </w:rPr>
              <w:t>车间面积；</w:t>
            </w:r>
          </w:p>
          <w:p>
            <w:pPr>
              <w:adjustRightInd w:val="0"/>
              <w:snapToGrid w:val="0"/>
              <w:spacing w:line="360" w:lineRule="auto"/>
              <w:ind w:firstLine="1050" w:firstLineChars="500"/>
              <w:rPr>
                <w:sz w:val="24"/>
              </w:rPr>
            </w:pPr>
            <w:r>
              <mc:AlternateContent>
                <mc:Choice Requires="wps">
                  <w:drawing>
                    <wp:anchor distT="0" distB="0" distL="114300" distR="114300" simplePos="0" relativeHeight="251659264" behindDoc="0" locked="0" layoutInCell="1" allowOverlap="1">
                      <wp:simplePos x="0" y="0"/>
                      <wp:positionH relativeFrom="column">
                        <wp:posOffset>760730</wp:posOffset>
                      </wp:positionH>
                      <wp:positionV relativeFrom="paragraph">
                        <wp:posOffset>51435</wp:posOffset>
                      </wp:positionV>
                      <wp:extent cx="85725" cy="0"/>
                      <wp:effectExtent l="0" t="4445" r="0" b="508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9.9pt;margin-top:4.05pt;height:0pt;width:6.75pt;z-index:251659264;mso-width-relative:page;mso-height-relative:page;" filled="f" stroked="t" coordsize="21600,21600" o:gfxdata="UEsDBAoAAAAAAIdO4kAAAAAAAAAAAAAAAAAEAAAAZHJzL1BLAwQUAAAACACHTuJAf5SfSdMAAAAH&#10;AQAADwAAAGRycy9kb3ducmV2LnhtbE2OTU/DMBBE70j8B2uRuFTUTiOhEuL0AOTGhVLEdRsvSUS8&#10;TmP3A349Wy5wfJrRzCtXJz+oA02xD2whmxtQxE1wPbcWNq/1zRJUTMgOh8Bk4YsirKrLixILF478&#10;Qod1apWMcCzQQpfSWGgdm448xnkYiSX7CJPHJDi12k14lHE/6IUxt9pjz/LQ4UgPHTWf6723EOs3&#10;2tXfs2Zm3vM20GL3+PyE1l5fZeYeVKJT+ivDWV/UoRKnbdizi2oQzu5EPVlYZqDOeZ7noLa/rKtS&#10;//evfgBQSwMEFAAAAAgAh07iQGQvDpTsAQAAuwMAAA4AAABkcnMvZTJvRG9jLnhtbK1TvY4TMRDu&#10;kXgHyz3ZTUJOsMrmikRHc0CkOx7A8XqzFrbH8jjZ5CV4ASQ6qCjp7204HoOx8wN3NFewheXxzHwz&#10;3zez08udNWyrAmpwNR8OSs6Uk9Bot675h9urF684wyhcIww4VfO9Qn45e/5s2vtKjaAD06jACMRh&#10;1fuadzH6qihQdsoKHIBXjpwtBCsimWFdNEH0hG5NMSrLi6KH0PgAUiHS6+Lg5EfE8BRAaFst1QLk&#10;xioXD6hBGRGJEnbaI5/lbttWyfi+bVFFZmpOTGM+qQjdV+ksZlNRrYPwnZbHFsRTWnjEyQrtqOgZ&#10;aiGiYJug/4GyWgZAaONAgi0ORLIixGJYPtLmphNeZS4kNfqz6Pj/YOW77TIw3dAmjDlzwtLE7z//&#10;+Pnp66+7L3Tef//GyEMy9R4rip67ZUhE5c7d+GuQH5E5mHfCrVVu93bvCWKYMooHKclAT8VW/Vto&#10;KEZsImTNdm2wCZLUYLs8mv15NGoXmaTH4fDluKShSXJdjCcZXlSnTB8wvlFgWbrU3GiXZBOV2F5j&#10;TJ2I6hSSnh1caWPy6I1jfc1fT0aTnIBgdJOcKQzDejU3gW1FWp78Hes+CAuwcc2hiHEpT+W9O1Y+&#10;0T4IuIJmvwwnbWimubfj/qWl+dvOCv755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Un0nT&#10;AAAABwEAAA8AAAAAAAAAAQAgAAAAIgAAAGRycy9kb3ducmV2LnhtbFBLAQIUABQAAAAIAIdO4kBk&#10;Lw6U7AEAALsDAAAOAAAAAAAAAAEAIAAAACIBAABkcnMvZTJvRG9jLnhtbFBLBQYAAAAABgAGAFkB&#10;AACABQAAAAA=&#10;">
                      <v:fill on="f" focussize="0,0"/>
                      <v:stroke color="#000000" joinstyle="round"/>
                      <v:imagedata o:title=""/>
                      <o:lock v:ext="edit" aspectratio="f"/>
                    </v:line>
                  </w:pict>
                </mc:Fallback>
              </mc:AlternateContent>
            </w:r>
            <w:r>
              <w:rPr>
                <w:i/>
                <w:sz w:val="24"/>
              </w:rPr>
              <w:t>a</w:t>
            </w:r>
            <w:r>
              <w:rPr>
                <w:sz w:val="24"/>
              </w:rPr>
              <w:t>—</w:t>
            </w:r>
            <w:r>
              <w:rPr>
                <w:rFonts w:hint="eastAsia"/>
                <w:sz w:val="24"/>
              </w:rPr>
              <w:t>吸声系数。</w:t>
            </w:r>
          </w:p>
          <w:p>
            <w:pPr>
              <w:adjustRightInd w:val="0"/>
              <w:snapToGrid w:val="0"/>
              <w:spacing w:line="360" w:lineRule="auto"/>
              <w:ind w:firstLine="482" w:firstLineChars="200"/>
              <w:jc w:val="left"/>
              <w:rPr>
                <w:b/>
                <w:bCs/>
              </w:rPr>
            </w:pPr>
            <w:r>
              <w:rPr>
                <w:b/>
                <w:bCs/>
                <w:sz w:val="24"/>
              </w:rPr>
              <w:t>b.</w:t>
            </w:r>
            <w:r>
              <w:rPr>
                <w:rFonts w:hint="eastAsia"/>
                <w:b/>
                <w:bCs/>
                <w:sz w:val="24"/>
              </w:rPr>
              <w:t>计算所有室内声源在围护结构处产生的叠加声压级</w:t>
            </w:r>
          </w:p>
          <w:p>
            <w:pPr>
              <w:adjustRightInd w:val="0"/>
              <w:snapToGrid w:val="0"/>
              <w:spacing w:line="360" w:lineRule="auto"/>
              <w:jc w:val="center"/>
            </w:pPr>
            <w:r>
              <w:object>
                <v:shape id="_x0000_i1034" o:spt="75" alt="FF49818FECFB44809A5BC36E1011B14C# #嵌入式对象6" type="#_x0000_t75" style="height:44.25pt;width:219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3" r:id="rId25">
                  <o:LockedField>false</o:LockedField>
                </o:OLEObject>
              </w:object>
            </w:r>
          </w:p>
          <w:p>
            <w:pPr>
              <w:adjustRightInd w:val="0"/>
              <w:snapToGrid w:val="0"/>
              <w:spacing w:line="360" w:lineRule="auto"/>
              <w:ind w:firstLine="480" w:firstLineChars="200"/>
              <w:jc w:val="left"/>
              <w:rPr>
                <w:sz w:val="24"/>
              </w:rPr>
            </w:pPr>
            <w:r>
              <w:rPr>
                <w:rFonts w:hint="eastAsia"/>
                <w:sz w:val="24"/>
              </w:rPr>
              <w:t>式中：</w:t>
            </w:r>
            <w:r>
              <w:rPr>
                <w:i/>
                <w:sz w:val="24"/>
              </w:rPr>
              <w:t>L</w:t>
            </w:r>
            <w:r>
              <w:rPr>
                <w:i/>
                <w:sz w:val="24"/>
                <w:vertAlign w:val="subscript"/>
              </w:rPr>
              <w:t>p1(T)</w:t>
            </w:r>
            <w:r>
              <w:rPr>
                <w:sz w:val="24"/>
              </w:rPr>
              <w:t>—</w:t>
            </w:r>
            <w:r>
              <w:rPr>
                <w:rFonts w:hint="eastAsia"/>
                <w:sz w:val="24"/>
              </w:rPr>
              <w:t>靠近围护结构处室内</w:t>
            </w:r>
            <w:r>
              <w:rPr>
                <w:sz w:val="24"/>
              </w:rPr>
              <w:t>N</w:t>
            </w:r>
            <w:r>
              <w:rPr>
                <w:rFonts w:hint="eastAsia"/>
                <w:sz w:val="24"/>
              </w:rPr>
              <w:t>个声源的叠加声压级，</w:t>
            </w:r>
            <w:r>
              <w:rPr>
                <w:sz w:val="24"/>
              </w:rPr>
              <w:t>dB(A)</w:t>
            </w:r>
            <w:r>
              <w:rPr>
                <w:rFonts w:hint="eastAsia"/>
                <w:sz w:val="24"/>
              </w:rPr>
              <w:t>；</w:t>
            </w:r>
          </w:p>
          <w:p>
            <w:pPr>
              <w:adjustRightInd w:val="0"/>
              <w:snapToGrid w:val="0"/>
              <w:spacing w:line="360" w:lineRule="auto"/>
              <w:ind w:firstLine="1233" w:firstLineChars="514"/>
              <w:jc w:val="left"/>
              <w:rPr>
                <w:sz w:val="24"/>
              </w:rPr>
            </w:pPr>
            <w:r>
              <w:rPr>
                <w:sz w:val="24"/>
              </w:rPr>
              <w:t>L</w:t>
            </w:r>
            <w:r>
              <w:rPr>
                <w:i/>
                <w:sz w:val="24"/>
                <w:vertAlign w:val="subscript"/>
              </w:rPr>
              <w:t>p1j(T)</w:t>
            </w:r>
            <w:r>
              <w:rPr>
                <w:sz w:val="24"/>
              </w:rPr>
              <w:t>—</w:t>
            </w:r>
            <w:r>
              <w:rPr>
                <w:rFonts w:hint="eastAsia"/>
                <w:sz w:val="24"/>
              </w:rPr>
              <w:t>室内</w:t>
            </w:r>
            <w:r>
              <w:rPr>
                <w:sz w:val="24"/>
              </w:rPr>
              <w:t>j</w:t>
            </w:r>
            <w:r>
              <w:rPr>
                <w:rFonts w:hint="eastAsia"/>
                <w:sz w:val="24"/>
              </w:rPr>
              <w:t>声源声压级，</w:t>
            </w:r>
            <w:r>
              <w:rPr>
                <w:sz w:val="24"/>
              </w:rPr>
              <w:t>dB(A)</w:t>
            </w:r>
            <w:r>
              <w:rPr>
                <w:rFonts w:hint="eastAsia"/>
                <w:sz w:val="24"/>
              </w:rPr>
              <w:t>；</w:t>
            </w:r>
          </w:p>
          <w:p>
            <w:pPr>
              <w:adjustRightInd w:val="0"/>
              <w:snapToGrid w:val="0"/>
              <w:spacing w:line="360" w:lineRule="auto"/>
              <w:ind w:firstLine="482" w:firstLineChars="200"/>
              <w:rPr>
                <w:b/>
                <w:bCs/>
                <w:sz w:val="24"/>
              </w:rPr>
            </w:pPr>
            <w:r>
              <w:rPr>
                <w:b/>
                <w:bCs/>
                <w:sz w:val="24"/>
              </w:rPr>
              <w:t>c.</w:t>
            </w:r>
            <w:r>
              <w:rPr>
                <w:rFonts w:hint="eastAsia"/>
                <w:b/>
                <w:bCs/>
                <w:sz w:val="24"/>
              </w:rPr>
              <w:t>计算靠近室外维护结构处的声压级</w:t>
            </w:r>
          </w:p>
          <w:p>
            <w:pPr>
              <w:adjustRightInd w:val="0"/>
              <w:snapToGrid w:val="0"/>
              <w:spacing w:line="360" w:lineRule="auto"/>
              <w:jc w:val="center"/>
              <w:rPr>
                <w:sz w:val="24"/>
              </w:rPr>
            </w:pPr>
            <w:r>
              <w:rPr>
                <w:sz w:val="24"/>
              </w:rPr>
              <w:object>
                <v:shape id="_x0000_i1035" o:spt="75" alt="FED1CC4632A04d888D5F6A5CEBAAB4B5# #嵌入式对象7" type="#_x0000_t75" style="height:21.75pt;width:153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4" r:id="rId27">
                  <o:LockedField>false</o:LockedField>
                </o:OLEObject>
              </w:object>
            </w:r>
          </w:p>
          <w:p>
            <w:pPr>
              <w:adjustRightInd w:val="0"/>
              <w:snapToGrid w:val="0"/>
              <w:spacing w:line="360" w:lineRule="auto"/>
              <w:ind w:firstLine="480" w:firstLineChars="200"/>
              <w:rPr>
                <w:sz w:val="24"/>
              </w:rPr>
            </w:pPr>
            <w:r>
              <w:rPr>
                <w:rFonts w:hint="eastAsia"/>
                <w:sz w:val="24"/>
              </w:rPr>
              <w:t>式中：</w:t>
            </w:r>
            <w:r>
              <w:rPr>
                <w:i/>
                <w:sz w:val="24"/>
              </w:rPr>
              <w:t>Lp2i(T</w:t>
            </w:r>
            <w:r>
              <w:rPr>
                <w:sz w:val="24"/>
              </w:rPr>
              <w:t>)—</w:t>
            </w:r>
            <w:r>
              <w:rPr>
                <w:rFonts w:hint="eastAsia"/>
                <w:sz w:val="24"/>
              </w:rPr>
              <w:t>靠近围护结构处室内</w:t>
            </w:r>
            <w:r>
              <w:rPr>
                <w:sz w:val="24"/>
              </w:rPr>
              <w:t>N</w:t>
            </w:r>
            <w:r>
              <w:rPr>
                <w:rFonts w:hint="eastAsia"/>
                <w:sz w:val="24"/>
              </w:rPr>
              <w:t>个声源的叠加声压级，</w:t>
            </w:r>
            <w:r>
              <w:rPr>
                <w:sz w:val="24"/>
              </w:rPr>
              <w:t>dB(A)</w:t>
            </w:r>
            <w:r>
              <w:rPr>
                <w:rFonts w:hint="eastAsia"/>
                <w:sz w:val="24"/>
              </w:rPr>
              <w:t>；</w:t>
            </w:r>
          </w:p>
          <w:p>
            <w:pPr>
              <w:adjustRightInd w:val="0"/>
              <w:snapToGrid w:val="0"/>
              <w:spacing w:line="360" w:lineRule="auto"/>
              <w:ind w:firstLine="1200" w:firstLineChars="500"/>
              <w:rPr>
                <w:sz w:val="24"/>
              </w:rPr>
            </w:pPr>
            <w:r>
              <w:rPr>
                <w:sz w:val="24"/>
              </w:rPr>
              <w:t>TL—</w:t>
            </w:r>
            <w:r>
              <w:rPr>
                <w:rFonts w:hint="eastAsia"/>
                <w:sz w:val="24"/>
              </w:rPr>
              <w:t>围护结构窗户的隔声量，</w:t>
            </w:r>
            <w:r>
              <w:rPr>
                <w:sz w:val="24"/>
              </w:rPr>
              <w:t>dB(A)</w:t>
            </w:r>
            <w:r>
              <w:rPr>
                <w:rFonts w:hint="eastAsia"/>
                <w:sz w:val="24"/>
              </w:rPr>
              <w:t>，本次评价取</w:t>
            </w:r>
            <w:r>
              <w:rPr>
                <w:sz w:val="24"/>
              </w:rPr>
              <w:t>10dB(A)</w:t>
            </w:r>
            <w:r>
              <w:rPr>
                <w:rFonts w:hint="eastAsia"/>
                <w:sz w:val="24"/>
              </w:rPr>
              <w:t>；</w:t>
            </w:r>
          </w:p>
          <w:p>
            <w:pPr>
              <w:adjustRightInd w:val="0"/>
              <w:snapToGrid w:val="0"/>
              <w:spacing w:line="360" w:lineRule="auto"/>
              <w:ind w:firstLine="482" w:firstLineChars="200"/>
              <w:jc w:val="left"/>
              <w:rPr>
                <w:sz w:val="24"/>
              </w:rPr>
            </w:pPr>
            <w:r>
              <w:rPr>
                <w:b/>
                <w:sz w:val="24"/>
              </w:rPr>
              <w:t>d.</w:t>
            </w:r>
            <w:r>
              <w:rPr>
                <w:rFonts w:hint="eastAsia" w:hAnsi="宋体"/>
                <w:b/>
                <w:sz w:val="24"/>
              </w:rPr>
              <w:t>将室外声源的声压级和透过面积换算成等效的室外声源，计算中心位置位于透声面积处的等效声源的声功率级：</w:t>
            </w:r>
          </w:p>
          <w:p>
            <w:pPr>
              <w:adjustRightInd w:val="0"/>
              <w:snapToGrid w:val="0"/>
              <w:spacing w:line="360" w:lineRule="auto"/>
              <w:jc w:val="center"/>
              <w:rPr>
                <w:b/>
                <w:bCs/>
                <w:sz w:val="24"/>
              </w:rPr>
            </w:pPr>
            <w:r>
              <w:rPr>
                <w:position w:val="-12"/>
                <w:sz w:val="24"/>
              </w:rPr>
              <w:object>
                <v:shape id="_x0000_i1036" o:spt="75" alt="6236C4B699114a42941C281418632AE1# #嵌入式对象8" type="#_x0000_t75" style="height:20.25pt;width:171.75pt;" o:ole="t" filled="f" o:preferrelative="t" stroked="f" coordsize="21600,21600">
                  <v:path/>
                  <v:fill on="f" focussize="0,0"/>
                  <v:stroke on="f" joinstyle="miter"/>
                  <v:imagedata r:id="rId30" o:title=""/>
                  <o:lock v:ext="edit" aspectratio="t"/>
                  <w10:wrap type="none"/>
                  <w10:anchorlock/>
                </v:shape>
                <o:OLEObject Type="Embed" ProgID="Equation.3" ShapeID="_x0000_i1036" DrawAspect="Content" ObjectID="_1468075735" r:id="rId29">
                  <o:LockedField>false</o:LockedField>
                </o:OLEObject>
              </w:object>
            </w:r>
          </w:p>
          <w:p>
            <w:pPr>
              <w:adjustRightInd w:val="0"/>
              <w:snapToGrid w:val="0"/>
              <w:spacing w:line="360" w:lineRule="auto"/>
              <w:ind w:firstLine="482" w:firstLineChars="200"/>
              <w:jc w:val="left"/>
              <w:rPr>
                <w:b/>
                <w:bCs/>
                <w:sz w:val="24"/>
              </w:rPr>
            </w:pPr>
            <w:r>
              <w:rPr>
                <w:b/>
                <w:bCs/>
                <w:sz w:val="24"/>
              </w:rPr>
              <w:t>e.</w:t>
            </w:r>
            <w:r>
              <w:rPr>
                <w:rFonts w:hint="eastAsia"/>
                <w:b/>
                <w:bCs/>
                <w:sz w:val="24"/>
              </w:rPr>
              <w:t>室外衰减</w:t>
            </w:r>
          </w:p>
          <w:p>
            <w:pPr>
              <w:pStyle w:val="35"/>
              <w:jc w:val="center"/>
              <w:rPr>
                <w:color w:val="auto"/>
              </w:rPr>
            </w:pPr>
            <w:r>
              <w:rPr>
                <w:rFonts w:hAnsi="宋体"/>
                <w:color w:val="auto"/>
                <w:position w:val="-30"/>
                <w:vertAlign w:val="subscript"/>
              </w:rPr>
              <w:object>
                <v:shape id="_x0000_i1037" o:spt="75" type="#_x0000_t75" style="height:36.75pt;width:129.75pt;" o:ole="t" filled="f" o:preferrelative="t" stroked="f" coordsize="21600,21600">
                  <v:path/>
                  <v:fill on="f" focussize="0,0"/>
                  <v:stroke on="f" joinstyle="miter"/>
                  <v:imagedata r:id="rId32" o:title=""/>
                  <o:lock v:ext="edit" aspectratio="t"/>
                  <w10:wrap type="none"/>
                  <w10:anchorlock/>
                </v:shape>
                <o:OLEObject Type="Embed" ProgID="Equation.3" ShapeID="_x0000_i1037" DrawAspect="Content" ObjectID="_1468075736" r:id="rId31">
                  <o:LockedField>false</o:LockedField>
                </o:OLEObject>
              </w:object>
            </w:r>
          </w:p>
          <w:p>
            <w:pPr>
              <w:adjustRightInd w:val="0"/>
              <w:snapToGrid w:val="0"/>
              <w:spacing w:line="360" w:lineRule="auto"/>
              <w:ind w:firstLine="480" w:firstLineChars="200"/>
              <w:jc w:val="left"/>
              <w:rPr>
                <w:sz w:val="24"/>
              </w:rPr>
            </w:pPr>
            <w:r>
              <w:rPr>
                <w:rFonts w:hint="eastAsia" w:hAnsi="宋体"/>
                <w:sz w:val="24"/>
              </w:rPr>
              <w:t>式中：</w:t>
            </w:r>
            <w:r>
              <w:rPr>
                <w:sz w:val="24"/>
              </w:rPr>
              <w:t>L</w:t>
            </w:r>
            <w:r>
              <w:rPr>
                <w:rFonts w:hint="eastAsia"/>
                <w:sz w:val="24"/>
                <w:vertAlign w:val="subscript"/>
              </w:rPr>
              <w:t>（</w:t>
            </w:r>
            <w:r>
              <w:rPr>
                <w:sz w:val="24"/>
                <w:vertAlign w:val="subscript"/>
              </w:rPr>
              <w:t>r</w:t>
            </w:r>
            <w:r>
              <w:rPr>
                <w:rFonts w:hint="eastAsia"/>
                <w:sz w:val="24"/>
                <w:vertAlign w:val="subscript"/>
              </w:rPr>
              <w:t>）</w:t>
            </w:r>
            <w:r>
              <w:rPr>
                <w:sz w:val="24"/>
              </w:rPr>
              <w:t>—</w:t>
            </w:r>
            <w:r>
              <w:rPr>
                <w:rFonts w:hint="eastAsia"/>
                <w:sz w:val="24"/>
              </w:rPr>
              <w:t>距离噪声源</w:t>
            </w:r>
            <w:r>
              <w:rPr>
                <w:sz w:val="24"/>
              </w:rPr>
              <w:t>r</w:t>
            </w:r>
            <w:r>
              <w:rPr>
                <w:rFonts w:hint="eastAsia"/>
                <w:sz w:val="24"/>
              </w:rPr>
              <w:t>处的声压级，</w:t>
            </w:r>
            <w:r>
              <w:rPr>
                <w:sz w:val="24"/>
              </w:rPr>
              <w:t>dB(A)</w:t>
            </w:r>
            <w:r>
              <w:rPr>
                <w:rFonts w:hint="eastAsia"/>
                <w:sz w:val="24"/>
              </w:rPr>
              <w:t>；</w:t>
            </w:r>
          </w:p>
          <w:p>
            <w:pPr>
              <w:adjustRightInd w:val="0"/>
              <w:snapToGrid w:val="0"/>
              <w:spacing w:line="360" w:lineRule="auto"/>
              <w:ind w:firstLine="1200" w:firstLineChars="500"/>
              <w:jc w:val="left"/>
              <w:rPr>
                <w:sz w:val="24"/>
              </w:rPr>
            </w:pPr>
            <w:r>
              <w:rPr>
                <w:sz w:val="24"/>
              </w:rPr>
              <w:t>r —</w:t>
            </w:r>
            <w:r>
              <w:rPr>
                <w:rFonts w:hint="eastAsia"/>
                <w:sz w:val="24"/>
              </w:rPr>
              <w:t>预测点距离噪声源的距离，</w:t>
            </w:r>
            <w:r>
              <w:rPr>
                <w:sz w:val="24"/>
              </w:rPr>
              <w:t>m</w:t>
            </w:r>
            <w:r>
              <w:rPr>
                <w:rFonts w:hint="eastAsia"/>
                <w:sz w:val="24"/>
              </w:rPr>
              <w:t>；</w:t>
            </w:r>
          </w:p>
          <w:p>
            <w:pPr>
              <w:adjustRightInd w:val="0"/>
              <w:snapToGrid w:val="0"/>
              <w:spacing w:line="360" w:lineRule="auto"/>
              <w:ind w:firstLine="1200" w:firstLineChars="500"/>
              <w:jc w:val="left"/>
              <w:rPr>
                <w:sz w:val="24"/>
              </w:rPr>
            </w:pPr>
            <w:r>
              <w:rPr>
                <w:sz w:val="24"/>
              </w:rPr>
              <w:t>r</w:t>
            </w:r>
            <w:r>
              <w:rPr>
                <w:sz w:val="24"/>
                <w:vertAlign w:val="subscript"/>
              </w:rPr>
              <w:t>0</w:t>
            </w:r>
            <w:r>
              <w:rPr>
                <w:sz w:val="24"/>
              </w:rPr>
              <w:t>—</w:t>
            </w:r>
            <w:r>
              <w:rPr>
                <w:rFonts w:hint="eastAsia"/>
                <w:sz w:val="24"/>
              </w:rPr>
              <w:t>参考位置距离噪声源的距离，</w:t>
            </w:r>
            <w:r>
              <w:rPr>
                <w:sz w:val="24"/>
              </w:rPr>
              <w:t>m</w:t>
            </w:r>
            <w:r>
              <w:rPr>
                <w:rFonts w:hint="eastAsia"/>
                <w:sz w:val="24"/>
              </w:rPr>
              <w:t>。</w:t>
            </w:r>
          </w:p>
          <w:p>
            <w:pPr>
              <w:adjustRightInd w:val="0"/>
              <w:snapToGrid w:val="0"/>
              <w:spacing w:line="360" w:lineRule="auto"/>
              <w:ind w:firstLine="482" w:firstLineChars="200"/>
              <w:jc w:val="left"/>
              <w:rPr>
                <w:b/>
                <w:bCs/>
                <w:sz w:val="24"/>
              </w:rPr>
            </w:pPr>
            <w:r>
              <w:rPr>
                <w:b/>
                <w:bCs/>
                <w:sz w:val="24"/>
              </w:rPr>
              <w:t>f.</w:t>
            </w:r>
            <w:r>
              <w:rPr>
                <w:rFonts w:hint="eastAsia"/>
                <w:b/>
                <w:bCs/>
                <w:sz w:val="24"/>
              </w:rPr>
              <w:t>合成声压级</w:t>
            </w:r>
          </w:p>
          <w:p>
            <w:pPr>
              <w:adjustRightInd w:val="0"/>
              <w:snapToGrid w:val="0"/>
              <w:spacing w:line="360" w:lineRule="auto"/>
              <w:ind w:firstLine="480" w:firstLineChars="200"/>
              <w:jc w:val="left"/>
              <w:rPr>
                <w:sz w:val="24"/>
              </w:rPr>
            </w:pPr>
            <w:r>
              <w:rPr>
                <w:rFonts w:hint="eastAsia"/>
                <w:sz w:val="24"/>
              </w:rPr>
              <w:t>在噪声源众多的情况下，某预测点的声压级为各噪声对该受声点的噪声级分贝值叠加之和。计算式如下：</w:t>
            </w:r>
          </w:p>
          <w:p>
            <w:pPr>
              <w:adjustRightInd w:val="0"/>
              <w:snapToGrid w:val="0"/>
              <w:spacing w:line="360" w:lineRule="auto"/>
              <w:jc w:val="center"/>
              <w:rPr>
                <w:sz w:val="24"/>
              </w:rPr>
            </w:pPr>
            <w:r>
              <w:rPr>
                <w:sz w:val="24"/>
              </w:rPr>
              <w:object>
                <v:shape id="_x0000_i1038" o:spt="75" type="#_x0000_t75" style="height:39.75pt;width:152.25pt;" o:ole="t" filled="f" o:preferrelative="t" stroked="f" coordsize="21600,21600">
                  <v:path/>
                  <v:fill on="f" focussize="0,0"/>
                  <v:stroke on="f" joinstyle="miter"/>
                  <v:imagedata r:id="rId34" o:title=""/>
                  <o:lock v:ext="edit" aspectratio="t"/>
                  <w10:wrap type="none"/>
                  <w10:anchorlock/>
                </v:shape>
                <o:OLEObject Type="Embed" ProgID="Equation.3" ShapeID="_x0000_i1038" DrawAspect="Content" ObjectID="_1468075737" r:id="rId33">
                  <o:LockedField>false</o:LockedField>
                </o:OLEObject>
              </w:object>
            </w:r>
          </w:p>
          <w:p>
            <w:pPr>
              <w:adjustRightInd w:val="0"/>
              <w:snapToGrid w:val="0"/>
              <w:spacing w:line="360" w:lineRule="auto"/>
              <w:ind w:firstLine="480" w:firstLineChars="200"/>
              <w:jc w:val="left"/>
              <w:rPr>
                <w:sz w:val="24"/>
              </w:rPr>
            </w:pPr>
            <w:r>
              <w:rPr>
                <w:rFonts w:hint="eastAsia"/>
                <w:sz w:val="24"/>
              </w:rPr>
              <w:t>式中：</w:t>
            </w:r>
            <w:r>
              <w:rPr>
                <w:i/>
                <w:sz w:val="24"/>
              </w:rPr>
              <w:t>L</w:t>
            </w:r>
            <w:r>
              <w:rPr>
                <w:i/>
                <w:sz w:val="24"/>
                <w:vertAlign w:val="subscript"/>
              </w:rPr>
              <w:t>Pr</w:t>
            </w:r>
            <w:r>
              <w:rPr>
                <w:sz w:val="24"/>
              </w:rPr>
              <w:t>—</w:t>
            </w:r>
            <w:r>
              <w:rPr>
                <w:rFonts w:hint="eastAsia"/>
                <w:sz w:val="24"/>
              </w:rPr>
              <w:t>某预测点迭加后的总声压级，</w:t>
            </w:r>
            <w:r>
              <w:rPr>
                <w:sz w:val="24"/>
              </w:rPr>
              <w:t>dB(A)</w:t>
            </w:r>
            <w:r>
              <w:rPr>
                <w:rFonts w:hint="eastAsia"/>
                <w:sz w:val="24"/>
              </w:rPr>
              <w:t>；</w:t>
            </w:r>
          </w:p>
          <w:p>
            <w:pPr>
              <w:adjustRightInd w:val="0"/>
              <w:snapToGrid w:val="0"/>
              <w:spacing w:line="360" w:lineRule="auto"/>
              <w:ind w:firstLine="1200" w:firstLineChars="500"/>
              <w:jc w:val="left"/>
              <w:rPr>
                <w:sz w:val="24"/>
              </w:rPr>
            </w:pPr>
            <w:r>
              <w:rPr>
                <w:i/>
                <w:sz w:val="24"/>
              </w:rPr>
              <w:t>L</w:t>
            </w:r>
            <w:r>
              <w:rPr>
                <w:i/>
                <w:sz w:val="24"/>
                <w:vertAlign w:val="subscript"/>
              </w:rPr>
              <w:t>Pi</w:t>
            </w:r>
            <w:r>
              <w:rPr>
                <w:sz w:val="24"/>
              </w:rPr>
              <w:t>—i</w:t>
            </w:r>
            <w:r>
              <w:rPr>
                <w:rFonts w:hint="eastAsia"/>
                <w:sz w:val="24"/>
              </w:rPr>
              <w:t>声源对某预测点的贡献声压级，</w:t>
            </w:r>
            <w:r>
              <w:rPr>
                <w:sz w:val="24"/>
              </w:rPr>
              <w:t>dB(A)</w:t>
            </w:r>
            <w:r>
              <w:rPr>
                <w:rFonts w:hint="eastAsia"/>
                <w:sz w:val="24"/>
              </w:rPr>
              <w:t>。</w:t>
            </w:r>
          </w:p>
          <w:p>
            <w:pPr>
              <w:spacing w:line="480" w:lineRule="exact"/>
              <w:ind w:firstLine="482" w:firstLineChars="200"/>
              <w:rPr>
                <w:b/>
                <w:bCs/>
                <w:sz w:val="24"/>
              </w:rPr>
            </w:pPr>
            <w:r>
              <w:rPr>
                <w:rFonts w:hint="eastAsia"/>
                <w:b/>
                <w:bCs/>
                <w:sz w:val="24"/>
              </w:rPr>
              <w:t>③预测因子、时段和方案</w:t>
            </w:r>
          </w:p>
          <w:p>
            <w:pPr>
              <w:spacing w:line="480" w:lineRule="exact"/>
              <w:ind w:firstLine="480" w:firstLineChars="200"/>
              <w:rPr>
                <w:sz w:val="24"/>
              </w:rPr>
            </w:pPr>
            <w:r>
              <w:rPr>
                <w:sz w:val="24"/>
              </w:rPr>
              <w:t>a.</w:t>
            </w:r>
            <w:r>
              <w:rPr>
                <w:rFonts w:hint="eastAsia"/>
                <w:sz w:val="24"/>
              </w:rPr>
              <w:t>预测因子：等效连续</w:t>
            </w:r>
            <w:r>
              <w:rPr>
                <w:sz w:val="24"/>
              </w:rPr>
              <w:t>A</w:t>
            </w:r>
            <w:r>
              <w:rPr>
                <w:rFonts w:hint="eastAsia"/>
                <w:sz w:val="24"/>
              </w:rPr>
              <w:t>声级</w:t>
            </w:r>
            <w:r>
              <w:rPr>
                <w:sz w:val="24"/>
              </w:rPr>
              <w:t>Leq</w:t>
            </w:r>
            <w:r>
              <w:rPr>
                <w:rFonts w:hint="eastAsia"/>
                <w:sz w:val="24"/>
              </w:rPr>
              <w:t>（</w:t>
            </w:r>
            <w:r>
              <w:rPr>
                <w:sz w:val="24"/>
              </w:rPr>
              <w:t>A</w:t>
            </w:r>
            <w:r>
              <w:rPr>
                <w:rFonts w:hint="eastAsia"/>
                <w:sz w:val="24"/>
              </w:rPr>
              <w:t>）。</w:t>
            </w:r>
          </w:p>
          <w:p>
            <w:pPr>
              <w:spacing w:line="480" w:lineRule="exact"/>
              <w:ind w:firstLine="480" w:firstLineChars="200"/>
              <w:rPr>
                <w:sz w:val="24"/>
              </w:rPr>
            </w:pPr>
            <w:r>
              <w:rPr>
                <w:sz w:val="24"/>
              </w:rPr>
              <w:t>b.</w:t>
            </w:r>
            <w:r>
              <w:rPr>
                <w:rFonts w:hint="eastAsia"/>
                <w:sz w:val="24"/>
              </w:rPr>
              <w:t>预测时段：固定声源投产运营期。</w:t>
            </w:r>
          </w:p>
          <w:p>
            <w:pPr>
              <w:spacing w:line="480" w:lineRule="exact"/>
              <w:ind w:firstLine="480" w:firstLineChars="200"/>
              <w:rPr>
                <w:sz w:val="24"/>
              </w:rPr>
            </w:pPr>
            <w:r>
              <w:rPr>
                <w:sz w:val="24"/>
              </w:rPr>
              <w:t>c.</w:t>
            </w:r>
            <w:r>
              <w:rPr>
                <w:rFonts w:hint="eastAsia"/>
                <w:sz w:val="24"/>
              </w:rPr>
              <w:t>预测方案：预测本项目投产后，厂界噪声达标情况。</w:t>
            </w:r>
          </w:p>
          <w:p>
            <w:pPr>
              <w:spacing w:line="480" w:lineRule="exact"/>
              <w:ind w:firstLine="482" w:firstLineChars="200"/>
              <w:rPr>
                <w:b/>
                <w:bCs/>
                <w:sz w:val="24"/>
              </w:rPr>
            </w:pPr>
            <w:r>
              <w:rPr>
                <w:rFonts w:hint="eastAsia"/>
                <w:b/>
                <w:bCs/>
                <w:sz w:val="24"/>
              </w:rPr>
              <w:t>建设单位拟采取的环保措施：</w:t>
            </w:r>
          </w:p>
          <w:p>
            <w:pPr>
              <w:spacing w:line="480" w:lineRule="exact"/>
              <w:ind w:firstLine="480" w:firstLineChars="200"/>
              <w:rPr>
                <w:sz w:val="24"/>
              </w:rPr>
            </w:pPr>
            <w:r>
              <w:rPr>
                <w:sz w:val="24"/>
              </w:rPr>
              <w:t>a.</w:t>
            </w:r>
            <w:r>
              <w:rPr>
                <w:rFonts w:hint="eastAsia"/>
                <w:sz w:val="24"/>
              </w:rPr>
              <w:t>企业应尽可能的选用低噪声设备，安装减振基础，采用隔声降噪措施，将主要噪声设备安装在封闭厂房内，以减少噪声影响；</w:t>
            </w:r>
          </w:p>
          <w:p>
            <w:pPr>
              <w:spacing w:line="480" w:lineRule="exact"/>
              <w:ind w:firstLine="480" w:firstLineChars="200"/>
              <w:rPr>
                <w:sz w:val="24"/>
              </w:rPr>
            </w:pPr>
            <w:r>
              <w:rPr>
                <w:sz w:val="24"/>
              </w:rPr>
              <w:t>b.</w:t>
            </w:r>
            <w:r>
              <w:rPr>
                <w:rFonts w:hint="eastAsia"/>
                <w:sz w:val="24"/>
              </w:rPr>
              <w:t>车间合理布局，重视总平面布置，以降低噪声的传播对周围的影响；</w:t>
            </w:r>
          </w:p>
          <w:p>
            <w:pPr>
              <w:spacing w:line="480" w:lineRule="exact"/>
              <w:ind w:firstLine="480" w:firstLineChars="200"/>
              <w:rPr>
                <w:sz w:val="24"/>
              </w:rPr>
            </w:pPr>
            <w:r>
              <w:rPr>
                <w:sz w:val="24"/>
              </w:rPr>
              <w:t>c.</w:t>
            </w:r>
            <w:r>
              <w:rPr>
                <w:rFonts w:hint="eastAsia"/>
                <w:sz w:val="24"/>
              </w:rPr>
              <w:t>夜间禁止生产作业，以减轻噪声对周围环境的影响；</w:t>
            </w:r>
          </w:p>
          <w:p>
            <w:pPr>
              <w:spacing w:line="480" w:lineRule="exact"/>
              <w:ind w:firstLine="480" w:firstLineChars="200"/>
              <w:rPr>
                <w:sz w:val="24"/>
              </w:rPr>
            </w:pPr>
            <w:r>
              <w:rPr>
                <w:sz w:val="24"/>
              </w:rPr>
              <w:t>d.</w:t>
            </w:r>
            <w:r>
              <w:rPr>
                <w:rFonts w:hint="eastAsia"/>
                <w:sz w:val="24"/>
              </w:rPr>
              <w:t>加强设备的维护，确保设备处于良好的运转状态，杜绝因设备不正常运转时产生的高噪声现象；同时，规范生产过程中设备操作，避免操作设备不当产生的高噪声现象。</w:t>
            </w:r>
          </w:p>
          <w:p>
            <w:pPr>
              <w:spacing w:line="480" w:lineRule="exact"/>
              <w:ind w:firstLine="480" w:firstLineChars="200"/>
              <w:rPr>
                <w:sz w:val="24"/>
              </w:rPr>
            </w:pPr>
            <w:r>
              <w:rPr>
                <w:sz w:val="24"/>
              </w:rPr>
              <w:t>e.</w:t>
            </w:r>
            <w:r>
              <w:rPr>
                <w:rFonts w:hint="eastAsia"/>
                <w:sz w:val="24"/>
              </w:rPr>
              <w:t>厂区门窗破碎应及时修补、减少噪声透射，生产作业时尽量避免开窗，以增强隔声效果。</w:t>
            </w:r>
          </w:p>
          <w:p>
            <w:pPr>
              <w:spacing w:line="480" w:lineRule="exact"/>
              <w:ind w:firstLine="482" w:firstLineChars="200"/>
              <w:rPr>
                <w:b/>
                <w:bCs/>
                <w:sz w:val="24"/>
              </w:rPr>
            </w:pPr>
            <w:r>
              <w:rPr>
                <w:rFonts w:hint="eastAsia"/>
                <w:b/>
                <w:bCs/>
                <w:sz w:val="24"/>
              </w:rPr>
              <w:t>（</w:t>
            </w:r>
            <w:r>
              <w:rPr>
                <w:b/>
                <w:bCs/>
                <w:sz w:val="24"/>
              </w:rPr>
              <w:t>3</w:t>
            </w:r>
            <w:r>
              <w:rPr>
                <w:rFonts w:hint="eastAsia"/>
                <w:b/>
                <w:bCs/>
                <w:sz w:val="24"/>
              </w:rPr>
              <w:t>）预测结果</w:t>
            </w:r>
          </w:p>
          <w:p>
            <w:pPr>
              <w:adjustRightInd w:val="0"/>
              <w:spacing w:line="500" w:lineRule="exact"/>
              <w:ind w:firstLine="211" w:firstLineChars="100"/>
              <w:jc w:val="center"/>
              <w:rPr>
                <w:b/>
                <w:bCs/>
                <w:szCs w:val="21"/>
              </w:rPr>
            </w:pPr>
            <w:r>
              <w:rPr>
                <w:rFonts w:hint="eastAsia"/>
                <w:b/>
                <w:bCs/>
                <w:szCs w:val="21"/>
              </w:rPr>
              <w:t>表</w:t>
            </w:r>
            <w:r>
              <w:rPr>
                <w:b/>
                <w:bCs/>
                <w:szCs w:val="21"/>
              </w:rPr>
              <w:t xml:space="preserve">4-11   </w:t>
            </w:r>
            <w:r>
              <w:rPr>
                <w:rFonts w:hint="eastAsia"/>
                <w:b/>
                <w:bCs/>
                <w:szCs w:val="21"/>
              </w:rPr>
              <w:t>本项目厂界噪声预测结果</w:t>
            </w:r>
            <w:r>
              <w:rPr>
                <w:b/>
                <w:bCs/>
                <w:szCs w:val="21"/>
              </w:rPr>
              <w:t xml:space="preserve">    </w:t>
            </w:r>
            <w:r>
              <w:rPr>
                <w:rFonts w:hint="eastAsia"/>
                <w:b/>
                <w:bCs/>
                <w:szCs w:val="21"/>
              </w:rPr>
              <w:t>单位：</w:t>
            </w:r>
            <w:r>
              <w:rPr>
                <w:b/>
                <w:bCs/>
                <w:szCs w:val="21"/>
              </w:rPr>
              <w:t>dB(A)</w:t>
            </w:r>
          </w:p>
          <w:tbl>
            <w:tblPr>
              <w:tblStyle w:val="1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1762"/>
              <w:gridCol w:w="1829"/>
              <w:gridCol w:w="1799"/>
              <w:gridCol w:w="1662"/>
              <w:gridCol w:w="1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40" w:hRule="atLeast"/>
                <w:jc w:val="center"/>
              </w:trPr>
              <w:tc>
                <w:tcPr>
                  <w:tcW w:w="1017" w:type="pct"/>
                  <w:tcBorders>
                    <w:top w:val="single" w:color="auto" w:sz="12" w:space="0"/>
                    <w:left w:val="single" w:color="auto" w:sz="12" w:space="0"/>
                    <w:bottom w:val="single" w:color="auto" w:sz="4" w:space="0"/>
                    <w:right w:val="single" w:color="auto" w:sz="4" w:space="0"/>
                  </w:tcBorders>
                  <w:vAlign w:val="center"/>
                </w:tcPr>
                <w:p>
                  <w:pPr>
                    <w:wordWrap w:val="0"/>
                    <w:jc w:val="center"/>
                    <w:rPr>
                      <w:b/>
                      <w:szCs w:val="21"/>
                    </w:rPr>
                  </w:pPr>
                  <w:r>
                    <w:rPr>
                      <w:rFonts w:hint="eastAsia"/>
                      <w:b/>
                      <w:szCs w:val="21"/>
                    </w:rPr>
                    <w:t>项目</w:t>
                  </w:r>
                </w:p>
              </w:tc>
              <w:tc>
                <w:tcPr>
                  <w:tcW w:w="1056"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东厂界</w:t>
                  </w:r>
                </w:p>
              </w:tc>
              <w:tc>
                <w:tcPr>
                  <w:tcW w:w="1039"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西厂界</w:t>
                  </w:r>
                </w:p>
              </w:tc>
              <w:tc>
                <w:tcPr>
                  <w:tcW w:w="960"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南厂界</w:t>
                  </w:r>
                </w:p>
              </w:tc>
              <w:tc>
                <w:tcPr>
                  <w:tcW w:w="924" w:type="pct"/>
                  <w:tcBorders>
                    <w:top w:val="single" w:color="auto" w:sz="12" w:space="0"/>
                    <w:left w:val="single" w:color="auto" w:sz="4" w:space="0"/>
                    <w:bottom w:val="single" w:color="auto" w:sz="4" w:space="0"/>
                    <w:right w:val="single" w:color="auto" w:sz="12" w:space="0"/>
                  </w:tcBorders>
                  <w:vAlign w:val="center"/>
                </w:tcPr>
                <w:p>
                  <w:pPr>
                    <w:wordWrap w:val="0"/>
                    <w:jc w:val="center"/>
                    <w:rPr>
                      <w:b/>
                      <w:szCs w:val="21"/>
                    </w:rPr>
                  </w:pPr>
                  <w:r>
                    <w:rPr>
                      <w:rFonts w:hint="eastAsia"/>
                      <w:b/>
                      <w:szCs w:val="21"/>
                    </w:rPr>
                    <w:t>北厂界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40" w:hRule="atLeast"/>
                <w:jc w:val="center"/>
              </w:trPr>
              <w:tc>
                <w:tcPr>
                  <w:tcW w:w="1017"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rFonts w:hint="eastAsia"/>
                      <w:szCs w:val="21"/>
                    </w:rPr>
                    <w:t>贡献值（昼间）</w:t>
                  </w:r>
                </w:p>
              </w:tc>
              <w:tc>
                <w:tcPr>
                  <w:tcW w:w="18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1"/>
                    </w:rPr>
                  </w:pPr>
                  <w:r>
                    <w:rPr>
                      <w:szCs w:val="21"/>
                    </w:rPr>
                    <w:t>57.7</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1"/>
                    </w:rPr>
                  </w:pPr>
                  <w:r>
                    <w:rPr>
                      <w:szCs w:val="21"/>
                    </w:rPr>
                    <w:t>59.8</w:t>
                  </w:r>
                </w:p>
              </w:tc>
              <w:tc>
                <w:tcPr>
                  <w:tcW w:w="16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szCs w:val="21"/>
                    </w:rPr>
                  </w:pPr>
                  <w:r>
                    <w:rPr>
                      <w:szCs w:val="21"/>
                    </w:rPr>
                    <w:t>59.5</w:t>
                  </w:r>
                </w:p>
              </w:tc>
              <w:tc>
                <w:tcPr>
                  <w:tcW w:w="1580" w:type="dxa"/>
                  <w:tcBorders>
                    <w:top w:val="single" w:color="auto" w:sz="4" w:space="0"/>
                    <w:left w:val="single" w:color="auto" w:sz="4" w:space="0"/>
                    <w:bottom w:val="single" w:color="auto" w:sz="4" w:space="0"/>
                    <w:right w:val="single" w:color="auto" w:sz="12" w:space="0"/>
                  </w:tcBorders>
                  <w:vAlign w:val="center"/>
                </w:tcPr>
                <w:p>
                  <w:pPr>
                    <w:widowControl/>
                    <w:jc w:val="center"/>
                    <w:textAlignment w:val="center"/>
                    <w:rPr>
                      <w:szCs w:val="21"/>
                    </w:rPr>
                  </w:pPr>
                  <w:r>
                    <w:rPr>
                      <w:szCs w:val="21"/>
                    </w:rPr>
                    <w:t>58.1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40" w:hRule="atLeast"/>
                <w:jc w:val="center"/>
              </w:trPr>
              <w:tc>
                <w:tcPr>
                  <w:tcW w:w="1017" w:type="pct"/>
                  <w:tcBorders>
                    <w:top w:val="single" w:color="auto" w:sz="4" w:space="0"/>
                    <w:left w:val="single" w:color="auto" w:sz="12" w:space="0"/>
                    <w:bottom w:val="single" w:color="auto" w:sz="12" w:space="0"/>
                    <w:right w:val="single" w:color="auto" w:sz="4" w:space="0"/>
                  </w:tcBorders>
                  <w:vAlign w:val="center"/>
                </w:tcPr>
                <w:p>
                  <w:pPr>
                    <w:wordWrap w:val="0"/>
                    <w:jc w:val="center"/>
                    <w:rPr>
                      <w:szCs w:val="21"/>
                    </w:rPr>
                  </w:pPr>
                  <w:r>
                    <w:rPr>
                      <w:rFonts w:hint="eastAsia"/>
                      <w:szCs w:val="21"/>
                    </w:rPr>
                    <w:t>标准值</w:t>
                  </w:r>
                </w:p>
              </w:tc>
              <w:tc>
                <w:tcPr>
                  <w:tcW w:w="3982" w:type="pct"/>
                  <w:gridSpan w:val="4"/>
                  <w:tcBorders>
                    <w:top w:val="single" w:color="auto" w:sz="4" w:space="0"/>
                    <w:left w:val="single" w:color="auto" w:sz="4" w:space="0"/>
                    <w:bottom w:val="single" w:color="auto" w:sz="12" w:space="0"/>
                    <w:right w:val="single" w:color="auto" w:sz="12" w:space="0"/>
                  </w:tcBorders>
                  <w:vAlign w:val="center"/>
                </w:tcPr>
                <w:p>
                  <w:pPr>
                    <w:wordWrap w:val="0"/>
                    <w:jc w:val="center"/>
                    <w:rPr>
                      <w:szCs w:val="21"/>
                    </w:rPr>
                  </w:pPr>
                  <w:r>
                    <w:rPr>
                      <w:rFonts w:hint="eastAsia"/>
                      <w:szCs w:val="21"/>
                    </w:rPr>
                    <w:t>昼间</w:t>
                  </w:r>
                  <w:r>
                    <w:rPr>
                      <w:szCs w:val="21"/>
                    </w:rPr>
                    <w:t xml:space="preserve">65  </w:t>
                  </w:r>
                  <w:r>
                    <w:rPr>
                      <w:rFonts w:hint="eastAsia"/>
                      <w:szCs w:val="21"/>
                    </w:rPr>
                    <w:t>夜间</w:t>
                  </w:r>
                  <w:r>
                    <w:rPr>
                      <w:szCs w:val="21"/>
                    </w:rPr>
                    <w:t>55</w:t>
                  </w:r>
                </w:p>
              </w:tc>
            </w:tr>
          </w:tbl>
          <w:p>
            <w:pPr>
              <w:adjustRightInd w:val="0"/>
              <w:snapToGrid w:val="0"/>
              <w:spacing w:line="360" w:lineRule="auto"/>
              <w:ind w:firstLine="420" w:firstLineChars="200"/>
              <w:jc w:val="left"/>
              <w:rPr>
                <w:bCs/>
                <w:sz w:val="24"/>
              </w:rPr>
            </w:pPr>
            <w:r>
              <w:rPr>
                <w:rFonts w:hint="eastAsia"/>
                <w:bCs/>
                <w:szCs w:val="21"/>
              </w:rPr>
              <w:t>备注：企业生产时间为</w:t>
            </w:r>
            <w:r>
              <w:rPr>
                <w:bCs/>
                <w:szCs w:val="21"/>
              </w:rPr>
              <w:t>7:00~21:00</w:t>
            </w:r>
            <w:r>
              <w:rPr>
                <w:rFonts w:hint="eastAsia"/>
                <w:bCs/>
                <w:szCs w:val="21"/>
              </w:rPr>
              <w:t>，夜间不生产。</w:t>
            </w:r>
          </w:p>
          <w:p>
            <w:pPr>
              <w:adjustRightInd w:val="0"/>
              <w:snapToGrid w:val="0"/>
              <w:spacing w:line="360" w:lineRule="auto"/>
              <w:ind w:firstLine="480" w:firstLineChars="200"/>
              <w:jc w:val="left"/>
              <w:rPr>
                <w:bCs/>
                <w:sz w:val="24"/>
              </w:rPr>
            </w:pPr>
            <w:r>
              <w:rPr>
                <w:rFonts w:hint="eastAsia"/>
                <w:bCs/>
                <w:sz w:val="24"/>
              </w:rPr>
              <w:t>根据表</w:t>
            </w:r>
            <w:r>
              <w:rPr>
                <w:bCs/>
                <w:sz w:val="24"/>
              </w:rPr>
              <w:t>4-11</w:t>
            </w:r>
            <w:r>
              <w:rPr>
                <w:rFonts w:hint="eastAsia"/>
                <w:bCs/>
                <w:sz w:val="24"/>
              </w:rPr>
              <w:t>可知，经预测项目东、南、西、北厂界噪声贡献值满足《工业企业厂界环境噪声排放标准》（</w:t>
            </w:r>
            <w:r>
              <w:rPr>
                <w:bCs/>
                <w:sz w:val="24"/>
              </w:rPr>
              <w:t>GB12348-2008</w:t>
            </w:r>
            <w:r>
              <w:rPr>
                <w:rFonts w:hint="eastAsia"/>
                <w:bCs/>
                <w:sz w:val="24"/>
              </w:rPr>
              <w:t>）中</w:t>
            </w:r>
            <w:r>
              <w:rPr>
                <w:bCs/>
                <w:sz w:val="24"/>
              </w:rPr>
              <w:t>3</w:t>
            </w:r>
            <w:r>
              <w:rPr>
                <w:rFonts w:hint="eastAsia"/>
                <w:bCs/>
                <w:sz w:val="24"/>
              </w:rPr>
              <w:t>类标准，因此噪声对周边环境影响较小。</w:t>
            </w:r>
          </w:p>
          <w:p>
            <w:pPr>
              <w:adjustRightInd w:val="0"/>
              <w:snapToGrid w:val="0"/>
              <w:spacing w:line="360" w:lineRule="auto"/>
              <w:ind w:firstLine="480" w:firstLineChars="200"/>
              <w:jc w:val="left"/>
              <w:rPr>
                <w:bCs/>
                <w:sz w:val="24"/>
              </w:rPr>
            </w:pPr>
            <w:r>
              <w:rPr>
                <w:rFonts w:hint="eastAsia"/>
                <w:bCs/>
                <w:sz w:val="24"/>
              </w:rPr>
              <w:t>（</w:t>
            </w:r>
            <w:r>
              <w:rPr>
                <w:bCs/>
                <w:sz w:val="24"/>
              </w:rPr>
              <w:t>3</w:t>
            </w:r>
            <w:r>
              <w:rPr>
                <w:rFonts w:hint="eastAsia"/>
                <w:bCs/>
                <w:sz w:val="24"/>
              </w:rPr>
              <w:t>）监测计划</w:t>
            </w:r>
          </w:p>
          <w:p>
            <w:pPr>
              <w:widowControl/>
              <w:jc w:val="center"/>
              <w:rPr>
                <w:b/>
                <w:szCs w:val="21"/>
              </w:rPr>
            </w:pPr>
            <w:r>
              <w:rPr>
                <w:rFonts w:hint="eastAsia"/>
                <w:b/>
                <w:szCs w:val="21"/>
              </w:rPr>
              <w:t>表</w:t>
            </w:r>
            <w:r>
              <w:rPr>
                <w:b/>
                <w:szCs w:val="21"/>
              </w:rPr>
              <w:t xml:space="preserve">4-12   </w:t>
            </w:r>
            <w:r>
              <w:rPr>
                <w:rFonts w:hint="eastAsia"/>
                <w:b/>
                <w:szCs w:val="21"/>
              </w:rPr>
              <w:t>噪声监测计划一览表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1370"/>
              <w:gridCol w:w="1112"/>
              <w:gridCol w:w="1217"/>
              <w:gridCol w:w="1334"/>
              <w:gridCol w:w="3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790" w:type="pct"/>
                  <w:tcBorders>
                    <w:top w:val="single" w:color="auto" w:sz="12" w:space="0"/>
                    <w:left w:val="single" w:color="auto" w:sz="12" w:space="0"/>
                    <w:bottom w:val="single" w:color="auto" w:sz="4" w:space="0"/>
                    <w:right w:val="single" w:color="auto" w:sz="4" w:space="0"/>
                  </w:tcBorders>
                  <w:vAlign w:val="center"/>
                </w:tcPr>
                <w:p>
                  <w:pPr>
                    <w:wordWrap w:val="0"/>
                    <w:jc w:val="center"/>
                    <w:rPr>
                      <w:b/>
                      <w:szCs w:val="21"/>
                    </w:rPr>
                  </w:pPr>
                  <w:r>
                    <w:rPr>
                      <w:rFonts w:hint="eastAsia"/>
                      <w:b/>
                      <w:szCs w:val="21"/>
                    </w:rPr>
                    <w:t>污染源名称</w:t>
                  </w:r>
                </w:p>
              </w:tc>
              <w:tc>
                <w:tcPr>
                  <w:tcW w:w="641"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监测项目</w:t>
                  </w:r>
                </w:p>
              </w:tc>
              <w:tc>
                <w:tcPr>
                  <w:tcW w:w="702"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监测点位</w:t>
                  </w:r>
                </w:p>
              </w:tc>
              <w:tc>
                <w:tcPr>
                  <w:tcW w:w="770"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监测频次</w:t>
                  </w:r>
                </w:p>
              </w:tc>
              <w:tc>
                <w:tcPr>
                  <w:tcW w:w="2094" w:type="pct"/>
                  <w:tcBorders>
                    <w:top w:val="single" w:color="auto" w:sz="12" w:space="0"/>
                    <w:left w:val="single" w:color="auto" w:sz="4" w:space="0"/>
                    <w:bottom w:val="single" w:color="auto" w:sz="4" w:space="0"/>
                    <w:right w:val="single" w:color="auto" w:sz="12" w:space="0"/>
                  </w:tcBorders>
                  <w:vAlign w:val="center"/>
                </w:tcPr>
                <w:p>
                  <w:pPr>
                    <w:wordWrap w:val="0"/>
                    <w:jc w:val="center"/>
                    <w:rPr>
                      <w:b/>
                      <w:szCs w:val="21"/>
                    </w:rPr>
                  </w:pPr>
                  <w:r>
                    <w:rPr>
                      <w:rFonts w:hint="eastAsia"/>
                      <w:b/>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790" w:type="pct"/>
                  <w:tcBorders>
                    <w:top w:val="single" w:color="auto" w:sz="4" w:space="0"/>
                    <w:left w:val="single" w:color="auto" w:sz="12" w:space="0"/>
                    <w:bottom w:val="single" w:color="auto" w:sz="12" w:space="0"/>
                    <w:right w:val="single" w:color="auto" w:sz="4" w:space="0"/>
                  </w:tcBorders>
                  <w:vAlign w:val="center"/>
                </w:tcPr>
                <w:p>
                  <w:pPr>
                    <w:wordWrap w:val="0"/>
                    <w:jc w:val="center"/>
                    <w:rPr>
                      <w:szCs w:val="21"/>
                    </w:rPr>
                  </w:pPr>
                  <w:r>
                    <w:rPr>
                      <w:rFonts w:hint="eastAsia"/>
                      <w:szCs w:val="21"/>
                    </w:rPr>
                    <w:t>噪声</w:t>
                  </w:r>
                </w:p>
              </w:tc>
              <w:tc>
                <w:tcPr>
                  <w:tcW w:w="641" w:type="pct"/>
                  <w:tcBorders>
                    <w:top w:val="single" w:color="auto" w:sz="4" w:space="0"/>
                    <w:left w:val="single" w:color="auto" w:sz="4" w:space="0"/>
                    <w:bottom w:val="single" w:color="auto" w:sz="12"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Leq</w:t>
                  </w:r>
                  <w:r>
                    <w:rPr>
                      <w:rFonts w:hint="eastAsia"/>
                      <w:szCs w:val="21"/>
                    </w:rPr>
                    <w:t>（</w:t>
                  </w:r>
                  <w:r>
                    <w:rPr>
                      <w:szCs w:val="21"/>
                    </w:rPr>
                    <w:t>A</w:t>
                  </w:r>
                  <w:r>
                    <w:rPr>
                      <w:rFonts w:hint="eastAsia"/>
                      <w:szCs w:val="21"/>
                    </w:rPr>
                    <w:t>）</w:t>
                  </w:r>
                </w:p>
              </w:tc>
              <w:tc>
                <w:tcPr>
                  <w:tcW w:w="702" w:type="pct"/>
                  <w:tcBorders>
                    <w:top w:val="single" w:color="auto" w:sz="4" w:space="0"/>
                    <w:left w:val="single" w:color="auto" w:sz="4" w:space="0"/>
                    <w:bottom w:val="single" w:color="auto" w:sz="12"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厂界四周</w:t>
                  </w:r>
                </w:p>
              </w:tc>
              <w:tc>
                <w:tcPr>
                  <w:tcW w:w="770" w:type="pct"/>
                  <w:tcBorders>
                    <w:top w:val="single" w:color="auto" w:sz="4" w:space="0"/>
                    <w:left w:val="single" w:color="auto" w:sz="4" w:space="0"/>
                    <w:bottom w:val="single" w:color="auto" w:sz="12"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每季度一次</w:t>
                  </w:r>
                </w:p>
              </w:tc>
              <w:tc>
                <w:tcPr>
                  <w:tcW w:w="2094" w:type="pct"/>
                  <w:tcBorders>
                    <w:top w:val="single" w:color="auto" w:sz="4" w:space="0"/>
                    <w:left w:val="single" w:color="auto" w:sz="4" w:space="0"/>
                    <w:bottom w:val="single" w:color="auto" w:sz="12" w:space="0"/>
                    <w:right w:val="single" w:color="auto" w:sz="12" w:space="0"/>
                  </w:tcBorders>
                  <w:vAlign w:val="center"/>
                </w:tcPr>
                <w:p>
                  <w:pPr>
                    <w:tabs>
                      <w:tab w:val="left" w:pos="4515"/>
                    </w:tabs>
                    <w:wordWrap w:val="0"/>
                    <w:autoSpaceDE w:val="0"/>
                    <w:autoSpaceDN w:val="0"/>
                    <w:adjustRightInd w:val="0"/>
                    <w:snapToGrid w:val="0"/>
                    <w:jc w:val="center"/>
                    <w:rPr>
                      <w:szCs w:val="21"/>
                    </w:rPr>
                  </w:pPr>
                  <w:r>
                    <w:rPr>
                      <w:rFonts w:hint="eastAsia"/>
                      <w:szCs w:val="21"/>
                    </w:rPr>
                    <w:t>《工业企业厂界环境噪声排放标准》（</w:t>
                  </w:r>
                  <w:r>
                    <w:rPr>
                      <w:szCs w:val="21"/>
                    </w:rPr>
                    <w:t>GB12348-2008</w:t>
                  </w:r>
                  <w:r>
                    <w:rPr>
                      <w:rFonts w:hint="eastAsia"/>
                      <w:szCs w:val="21"/>
                    </w:rPr>
                    <w:t>）中</w:t>
                  </w:r>
                  <w:r>
                    <w:rPr>
                      <w:szCs w:val="21"/>
                    </w:rPr>
                    <w:t>3</w:t>
                  </w:r>
                  <w:r>
                    <w:rPr>
                      <w:rFonts w:hint="eastAsia"/>
                      <w:szCs w:val="21"/>
                    </w:rPr>
                    <w:t>类限值</w:t>
                  </w:r>
                </w:p>
              </w:tc>
            </w:tr>
          </w:tbl>
          <w:p>
            <w:pPr>
              <w:adjustRightInd w:val="0"/>
              <w:snapToGrid w:val="0"/>
              <w:spacing w:line="360" w:lineRule="auto"/>
              <w:ind w:firstLine="482" w:firstLineChars="200"/>
              <w:jc w:val="left"/>
              <w:rPr>
                <w:b/>
                <w:sz w:val="24"/>
              </w:rPr>
            </w:pPr>
            <w:r>
              <w:rPr>
                <w:b/>
                <w:sz w:val="24"/>
              </w:rPr>
              <w:t>4</w:t>
            </w:r>
            <w:r>
              <w:rPr>
                <w:rFonts w:hint="eastAsia"/>
                <w:b/>
                <w:sz w:val="24"/>
              </w:rPr>
              <w:t>、固废</w:t>
            </w:r>
          </w:p>
          <w:p>
            <w:pPr>
              <w:adjustRightInd w:val="0"/>
              <w:snapToGrid w:val="0"/>
              <w:spacing w:line="360" w:lineRule="auto"/>
              <w:ind w:firstLine="480" w:firstLineChars="200"/>
              <w:jc w:val="left"/>
              <w:rPr>
                <w:bCs/>
                <w:sz w:val="24"/>
              </w:rPr>
            </w:pPr>
            <w:r>
              <w:rPr>
                <w:rFonts w:hint="eastAsia"/>
                <w:bCs/>
                <w:sz w:val="24"/>
              </w:rPr>
              <w:t>（</w:t>
            </w:r>
            <w:r>
              <w:rPr>
                <w:bCs/>
                <w:sz w:val="24"/>
              </w:rPr>
              <w:t>1</w:t>
            </w:r>
            <w:r>
              <w:rPr>
                <w:rFonts w:hint="eastAsia"/>
                <w:bCs/>
                <w:sz w:val="24"/>
              </w:rPr>
              <w:t>）固体废物产生及处置情况</w:t>
            </w:r>
          </w:p>
          <w:p>
            <w:pPr>
              <w:adjustRightInd w:val="0"/>
              <w:snapToGrid w:val="0"/>
              <w:spacing w:line="360" w:lineRule="auto"/>
              <w:ind w:firstLine="480" w:firstLineChars="200"/>
              <w:jc w:val="left"/>
              <w:rPr>
                <w:bCs/>
                <w:sz w:val="24"/>
              </w:rPr>
            </w:pPr>
            <w:r>
              <w:rPr>
                <w:rFonts w:hint="eastAsia"/>
                <w:bCs/>
                <w:sz w:val="24"/>
              </w:rPr>
              <w:t>本项目固废主要为职工生活垃圾、吸音棉边角料、模内发泡边角料、废包材、废原料桶、废活性炭、废液压油、废润滑油及废含油手套抹布。</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1 \* GB3 \* MERGEFORMAT </w:instrText>
            </w:r>
            <w:r>
              <w:rPr>
                <w:bCs/>
                <w:sz w:val="24"/>
              </w:rPr>
              <w:fldChar w:fldCharType="separate"/>
            </w:r>
            <w:r>
              <w:rPr>
                <w:rFonts w:hint="eastAsia" w:ascii="宋体" w:hAnsi="宋体" w:cs="宋体"/>
              </w:rPr>
              <w:t>①</w:t>
            </w:r>
            <w:r>
              <w:rPr>
                <w:bCs/>
                <w:sz w:val="24"/>
              </w:rPr>
              <w:fldChar w:fldCharType="end"/>
            </w:r>
            <w:r>
              <w:rPr>
                <w:rFonts w:hint="eastAsia"/>
                <w:bCs/>
                <w:sz w:val="24"/>
              </w:rPr>
              <w:t>生活垃圾</w:t>
            </w:r>
          </w:p>
          <w:p>
            <w:pPr>
              <w:adjustRightInd w:val="0"/>
              <w:snapToGrid w:val="0"/>
              <w:spacing w:line="360" w:lineRule="auto"/>
              <w:ind w:firstLine="480" w:firstLineChars="200"/>
              <w:jc w:val="left"/>
              <w:rPr>
                <w:bCs/>
                <w:sz w:val="24"/>
              </w:rPr>
            </w:pPr>
            <w:r>
              <w:rPr>
                <w:rFonts w:hint="eastAsia"/>
                <w:bCs/>
                <w:sz w:val="24"/>
              </w:rPr>
              <w:t>运营期劳动定员</w:t>
            </w:r>
            <w:r>
              <w:rPr>
                <w:bCs/>
                <w:sz w:val="24"/>
              </w:rPr>
              <w:t>100</w:t>
            </w:r>
            <w:r>
              <w:rPr>
                <w:rFonts w:hint="eastAsia"/>
                <w:bCs/>
                <w:sz w:val="24"/>
              </w:rPr>
              <w:t>人，生活垃圾排放系数以</w:t>
            </w:r>
            <w:r>
              <w:rPr>
                <w:bCs/>
                <w:sz w:val="24"/>
              </w:rPr>
              <w:t>0.5kg/</w:t>
            </w:r>
            <w:r>
              <w:rPr>
                <w:rFonts w:hint="eastAsia"/>
                <w:bCs/>
                <w:sz w:val="24"/>
              </w:rPr>
              <w:t>人</w:t>
            </w:r>
            <w:r>
              <w:rPr>
                <w:bCs/>
                <w:sz w:val="24"/>
              </w:rPr>
              <w:t>•d</w:t>
            </w:r>
            <w:r>
              <w:rPr>
                <w:rFonts w:hint="eastAsia"/>
                <w:bCs/>
                <w:sz w:val="24"/>
              </w:rPr>
              <w:t>计，运营期共产生生活垃圾</w:t>
            </w:r>
            <w:r>
              <w:rPr>
                <w:bCs/>
                <w:sz w:val="24"/>
              </w:rPr>
              <w:t>12.5t/a</w:t>
            </w:r>
            <w:r>
              <w:rPr>
                <w:rFonts w:hint="eastAsia"/>
                <w:bCs/>
                <w:sz w:val="24"/>
              </w:rPr>
              <w:t>，垃圾桶分类收集，环卫部门统一清运。</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2 \* GB3 \* MERGEFORMAT </w:instrText>
            </w:r>
            <w:r>
              <w:rPr>
                <w:bCs/>
                <w:sz w:val="24"/>
              </w:rPr>
              <w:fldChar w:fldCharType="separate"/>
            </w:r>
            <w:r>
              <w:rPr>
                <w:rFonts w:hint="eastAsia" w:ascii="宋体" w:hAnsi="宋体" w:cs="宋体"/>
                <w:bCs/>
                <w:sz w:val="24"/>
              </w:rPr>
              <w:t>②</w:t>
            </w:r>
            <w:r>
              <w:rPr>
                <w:bCs/>
                <w:sz w:val="24"/>
              </w:rPr>
              <w:fldChar w:fldCharType="end"/>
            </w:r>
            <w:r>
              <w:rPr>
                <w:rFonts w:hint="eastAsia"/>
                <w:bCs/>
                <w:sz w:val="24"/>
              </w:rPr>
              <w:t>吸音棉边角料</w:t>
            </w:r>
          </w:p>
          <w:p>
            <w:pPr>
              <w:adjustRightInd w:val="0"/>
              <w:snapToGrid w:val="0"/>
              <w:spacing w:line="360" w:lineRule="auto"/>
              <w:ind w:firstLine="480" w:firstLineChars="200"/>
              <w:jc w:val="left"/>
              <w:rPr>
                <w:bCs/>
                <w:sz w:val="24"/>
              </w:rPr>
            </w:pPr>
            <w:r>
              <w:rPr>
                <w:rFonts w:hint="eastAsia"/>
                <w:bCs/>
                <w:sz w:val="24"/>
              </w:rPr>
              <w:t>吸音棉模具冲切产生一定量的废边角料，按原料用量的</w:t>
            </w:r>
            <w:r>
              <w:rPr>
                <w:bCs/>
                <w:sz w:val="24"/>
              </w:rPr>
              <w:t>1%</w:t>
            </w:r>
            <w:r>
              <w:rPr>
                <w:rFonts w:hint="eastAsia"/>
                <w:bCs/>
                <w:sz w:val="24"/>
              </w:rPr>
              <w:t>计，则废吸音棉边角料为</w:t>
            </w:r>
            <w:r>
              <w:rPr>
                <w:bCs/>
                <w:sz w:val="24"/>
              </w:rPr>
              <w:t>4.3t/a</w:t>
            </w:r>
            <w:r>
              <w:rPr>
                <w:rFonts w:hint="eastAsia"/>
                <w:bCs/>
                <w:sz w:val="24"/>
              </w:rPr>
              <w:t>。定期收集后外售综合利用。</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3 \* GB3 \* MERGEFORMAT </w:instrText>
            </w:r>
            <w:r>
              <w:rPr>
                <w:bCs/>
                <w:sz w:val="24"/>
              </w:rPr>
              <w:fldChar w:fldCharType="separate"/>
            </w:r>
            <w:r>
              <w:rPr>
                <w:rFonts w:hint="eastAsia" w:ascii="宋体" w:hAnsi="宋体" w:cs="宋体"/>
                <w:bCs/>
                <w:sz w:val="24"/>
              </w:rPr>
              <w:t>③</w:t>
            </w:r>
            <w:r>
              <w:rPr>
                <w:bCs/>
                <w:sz w:val="24"/>
              </w:rPr>
              <w:fldChar w:fldCharType="end"/>
            </w:r>
            <w:r>
              <w:rPr>
                <w:rFonts w:hint="eastAsia"/>
                <w:bCs/>
                <w:sz w:val="24"/>
              </w:rPr>
              <w:t>模内发泡件边角料</w:t>
            </w:r>
          </w:p>
          <w:p>
            <w:pPr>
              <w:adjustRightInd w:val="0"/>
              <w:snapToGrid w:val="0"/>
              <w:spacing w:line="360" w:lineRule="auto"/>
              <w:ind w:firstLine="480" w:firstLineChars="200"/>
              <w:jc w:val="left"/>
              <w:rPr>
                <w:bCs/>
                <w:sz w:val="24"/>
              </w:rPr>
            </w:pPr>
            <w:r>
              <w:rPr>
                <w:rFonts w:hint="eastAsia"/>
                <w:bCs/>
                <w:sz w:val="24"/>
              </w:rPr>
              <w:t>经发泡熟化后的模内发泡件半成品需进行裁剪修整，产生一定量的边角料，按模内发泡原料用量的</w:t>
            </w:r>
            <w:r>
              <w:rPr>
                <w:bCs/>
                <w:sz w:val="24"/>
              </w:rPr>
              <w:t>1%</w:t>
            </w:r>
            <w:r>
              <w:rPr>
                <w:rFonts w:hint="eastAsia"/>
                <w:bCs/>
                <w:sz w:val="24"/>
              </w:rPr>
              <w:t>计，则项目不合格品产生量约为</w:t>
            </w:r>
            <w:r>
              <w:rPr>
                <w:bCs/>
                <w:sz w:val="24"/>
              </w:rPr>
              <w:t>2.9t/a</w:t>
            </w:r>
            <w:r>
              <w:rPr>
                <w:rFonts w:hint="eastAsia"/>
                <w:bCs/>
                <w:sz w:val="24"/>
              </w:rPr>
              <w:t>，定期收集后外售综合利用。</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4 \* GB3 \* MERGEFORMAT </w:instrText>
            </w:r>
            <w:r>
              <w:rPr>
                <w:bCs/>
                <w:sz w:val="24"/>
              </w:rPr>
              <w:fldChar w:fldCharType="separate"/>
            </w:r>
            <w:r>
              <w:rPr>
                <w:rFonts w:hint="eastAsia" w:ascii="宋体" w:hAnsi="宋体" w:cs="宋体"/>
                <w:bCs/>
                <w:sz w:val="24"/>
              </w:rPr>
              <w:t>④</w:t>
            </w:r>
            <w:r>
              <w:rPr>
                <w:bCs/>
                <w:sz w:val="24"/>
              </w:rPr>
              <w:fldChar w:fldCharType="end"/>
            </w:r>
            <w:r>
              <w:rPr>
                <w:rFonts w:hint="eastAsia"/>
                <w:bCs/>
                <w:sz w:val="24"/>
              </w:rPr>
              <w:t>废包材</w:t>
            </w:r>
          </w:p>
          <w:p>
            <w:pPr>
              <w:adjustRightInd w:val="0"/>
              <w:snapToGrid w:val="0"/>
              <w:spacing w:line="360" w:lineRule="auto"/>
              <w:ind w:firstLine="480" w:firstLineChars="200"/>
              <w:jc w:val="left"/>
              <w:rPr>
                <w:bCs/>
                <w:sz w:val="24"/>
              </w:rPr>
            </w:pPr>
            <w:r>
              <w:rPr>
                <w:rFonts w:hint="eastAsia"/>
                <w:bCs/>
                <w:sz w:val="24"/>
              </w:rPr>
              <w:t>外购的中空涤纶短纤维（</w:t>
            </w:r>
            <w:r>
              <w:rPr>
                <w:bCs/>
                <w:sz w:val="24"/>
              </w:rPr>
              <w:t>PET</w:t>
            </w:r>
            <w:r>
              <w:rPr>
                <w:rFonts w:hint="eastAsia"/>
                <w:bCs/>
                <w:sz w:val="24"/>
              </w:rPr>
              <w:t>）由编织袋盛装，根据建设单位提供资料，废包材产生量为</w:t>
            </w:r>
            <w:r>
              <w:rPr>
                <w:bCs/>
                <w:sz w:val="24"/>
              </w:rPr>
              <w:t>2t/a</w:t>
            </w:r>
            <w:r>
              <w:rPr>
                <w:rFonts w:hint="eastAsia"/>
                <w:bCs/>
                <w:sz w:val="24"/>
              </w:rPr>
              <w:t>，集中收集后外售综合利用。</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5 \* GB3 \* MERGEFORMAT </w:instrText>
            </w:r>
            <w:r>
              <w:rPr>
                <w:bCs/>
                <w:sz w:val="24"/>
              </w:rPr>
              <w:fldChar w:fldCharType="separate"/>
            </w:r>
            <w:r>
              <w:rPr>
                <w:rFonts w:hint="eastAsia" w:ascii="宋体" w:hAnsi="宋体" w:cs="宋体"/>
                <w:bCs/>
                <w:sz w:val="24"/>
              </w:rPr>
              <w:t>⑤</w:t>
            </w:r>
            <w:r>
              <w:rPr>
                <w:bCs/>
                <w:sz w:val="24"/>
              </w:rPr>
              <w:fldChar w:fldCharType="end"/>
            </w:r>
            <w:r>
              <w:rPr>
                <w:rFonts w:hint="eastAsia"/>
                <w:bCs/>
                <w:sz w:val="24"/>
              </w:rPr>
              <w:t>废原料桶（</w:t>
            </w:r>
            <w:r>
              <w:rPr>
                <w:bCs/>
                <w:sz w:val="24"/>
              </w:rPr>
              <w:t>HW49 900-041-49</w:t>
            </w:r>
            <w:r>
              <w:rPr>
                <w:rFonts w:hint="eastAsia"/>
                <w:bCs/>
                <w:sz w:val="24"/>
              </w:rPr>
              <w:t>）</w:t>
            </w:r>
          </w:p>
          <w:p>
            <w:pPr>
              <w:adjustRightInd w:val="0"/>
              <w:snapToGrid w:val="0"/>
              <w:spacing w:line="360" w:lineRule="auto"/>
              <w:ind w:firstLine="480" w:firstLineChars="200"/>
              <w:jc w:val="left"/>
              <w:rPr>
                <w:bCs/>
                <w:sz w:val="24"/>
              </w:rPr>
            </w:pPr>
            <w:r>
              <w:rPr>
                <w:rFonts w:hint="eastAsia"/>
                <w:bCs/>
                <w:sz w:val="24"/>
              </w:rPr>
              <w:t>发泡使用的</w:t>
            </w:r>
            <w:r>
              <w:rPr>
                <w:bCs/>
                <w:sz w:val="24"/>
              </w:rPr>
              <w:t>A</w:t>
            </w:r>
            <w:r>
              <w:rPr>
                <w:rFonts w:hint="eastAsia"/>
                <w:bCs/>
                <w:sz w:val="24"/>
              </w:rPr>
              <w:t>料和</w:t>
            </w:r>
            <w:r>
              <w:rPr>
                <w:bCs/>
                <w:sz w:val="24"/>
              </w:rPr>
              <w:t>B</w:t>
            </w:r>
            <w:r>
              <w:rPr>
                <w:rFonts w:hint="eastAsia"/>
                <w:bCs/>
                <w:sz w:val="24"/>
              </w:rPr>
              <w:t>料为桶装，根据建设单位提供资料，废原料桶产生量为</w:t>
            </w:r>
            <w:r>
              <w:rPr>
                <w:bCs/>
                <w:sz w:val="24"/>
              </w:rPr>
              <w:t>3t/a</w:t>
            </w:r>
            <w:r>
              <w:rPr>
                <w:rFonts w:hint="eastAsia"/>
                <w:bCs/>
                <w:sz w:val="24"/>
              </w:rPr>
              <w:t>，集中收集后交由供货厂家回收循环利用。</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6 \* GB3 \* MERGEFORMAT </w:instrText>
            </w:r>
            <w:r>
              <w:rPr>
                <w:bCs/>
                <w:sz w:val="24"/>
              </w:rPr>
              <w:fldChar w:fldCharType="separate"/>
            </w:r>
            <w:r>
              <w:rPr>
                <w:rFonts w:hint="eastAsia" w:ascii="宋体" w:hAnsi="宋体" w:cs="宋体"/>
                <w:bCs/>
                <w:sz w:val="24"/>
              </w:rPr>
              <w:t>⑥</w:t>
            </w:r>
            <w:r>
              <w:rPr>
                <w:bCs/>
                <w:sz w:val="24"/>
              </w:rPr>
              <w:fldChar w:fldCharType="end"/>
            </w:r>
            <w:r>
              <w:rPr>
                <w:rFonts w:hint="eastAsia"/>
                <w:bCs/>
                <w:sz w:val="24"/>
              </w:rPr>
              <w:t>废活性炭（</w:t>
            </w:r>
            <w:r>
              <w:rPr>
                <w:bCs/>
                <w:sz w:val="24"/>
              </w:rPr>
              <w:t>HW49 900-039-49</w:t>
            </w:r>
            <w:r>
              <w:rPr>
                <w:rFonts w:hint="eastAsia"/>
                <w:bCs/>
                <w:sz w:val="24"/>
              </w:rPr>
              <w:t>）</w:t>
            </w:r>
          </w:p>
          <w:p>
            <w:pPr>
              <w:adjustRightInd w:val="0"/>
              <w:snapToGrid w:val="0"/>
              <w:spacing w:line="360" w:lineRule="auto"/>
              <w:ind w:firstLine="480" w:firstLineChars="200"/>
              <w:jc w:val="left"/>
              <w:rPr>
                <w:bCs/>
                <w:sz w:val="24"/>
              </w:rPr>
            </w:pPr>
            <w:r>
              <w:rPr>
                <w:rFonts w:hint="eastAsia"/>
                <w:bCs/>
                <w:sz w:val="24"/>
              </w:rPr>
              <w:t>活性炭对本项目有机废气的吸附量为</w:t>
            </w:r>
            <w:r>
              <w:rPr>
                <w:bCs/>
                <w:sz w:val="24"/>
              </w:rPr>
              <w:t>0.777t/a</w:t>
            </w:r>
            <w:r>
              <w:rPr>
                <w:rFonts w:hint="eastAsia"/>
                <w:bCs/>
                <w:sz w:val="24"/>
              </w:rPr>
              <w:t>，平均每吨活性炭可吸附</w:t>
            </w:r>
            <w:r>
              <w:rPr>
                <w:bCs/>
                <w:sz w:val="24"/>
              </w:rPr>
              <w:t>0.25t</w:t>
            </w:r>
            <w:r>
              <w:rPr>
                <w:rFonts w:hint="eastAsia"/>
                <w:bCs/>
                <w:sz w:val="24"/>
              </w:rPr>
              <w:t>有机废气，项目废活性炭产生量约</w:t>
            </w:r>
            <w:r>
              <w:rPr>
                <w:bCs/>
                <w:sz w:val="24"/>
              </w:rPr>
              <w:t>3.89t/a</w:t>
            </w:r>
            <w:r>
              <w:rPr>
                <w:rFonts w:hint="eastAsia"/>
                <w:bCs/>
                <w:sz w:val="24"/>
              </w:rPr>
              <w:t>。为保证处理效率，企业应每</w:t>
            </w:r>
            <w:r>
              <w:rPr>
                <w:bCs/>
                <w:sz w:val="24"/>
              </w:rPr>
              <w:t>500</w:t>
            </w:r>
            <w:r>
              <w:rPr>
                <w:rFonts w:hint="eastAsia"/>
                <w:bCs/>
                <w:sz w:val="24"/>
              </w:rPr>
              <w:t>小时更换一次活性炭，初始填充量应不少于</w:t>
            </w:r>
            <w:r>
              <w:rPr>
                <w:bCs/>
                <w:sz w:val="24"/>
              </w:rPr>
              <w:t>0.5t</w:t>
            </w:r>
            <w:r>
              <w:rPr>
                <w:rFonts w:hint="eastAsia"/>
                <w:bCs/>
                <w:sz w:val="24"/>
              </w:rPr>
              <w:t>，填充厚度不小于</w:t>
            </w:r>
            <w:r>
              <w:rPr>
                <w:bCs/>
                <w:sz w:val="24"/>
              </w:rPr>
              <w:t>500mm</w:t>
            </w:r>
            <w:r>
              <w:rPr>
                <w:rFonts w:hint="eastAsia"/>
                <w:bCs/>
                <w:sz w:val="24"/>
              </w:rPr>
              <w:t>。废活性炭设专用密闭容器收集，暂存于危废暂存间，交由有资质单位处置。</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7 \* GB3 \* MERGEFORMAT </w:instrText>
            </w:r>
            <w:r>
              <w:rPr>
                <w:bCs/>
                <w:sz w:val="24"/>
              </w:rPr>
              <w:fldChar w:fldCharType="separate"/>
            </w:r>
            <w:r>
              <w:rPr>
                <w:rFonts w:hint="eastAsia" w:ascii="宋体" w:hAnsi="宋体" w:cs="宋体"/>
                <w:bCs/>
                <w:sz w:val="24"/>
              </w:rPr>
              <w:t>⑦</w:t>
            </w:r>
            <w:r>
              <w:rPr>
                <w:bCs/>
                <w:sz w:val="24"/>
              </w:rPr>
              <w:fldChar w:fldCharType="end"/>
            </w:r>
            <w:r>
              <w:rPr>
                <w:rFonts w:hint="eastAsia"/>
                <w:bCs/>
                <w:sz w:val="24"/>
              </w:rPr>
              <w:t>废液压油（</w:t>
            </w:r>
            <w:r>
              <w:rPr>
                <w:bCs/>
                <w:sz w:val="24"/>
              </w:rPr>
              <w:t>HW08 900-218-08</w:t>
            </w:r>
            <w:r>
              <w:rPr>
                <w:rFonts w:hint="eastAsia"/>
                <w:bCs/>
                <w:sz w:val="24"/>
              </w:rPr>
              <w:t>）</w:t>
            </w:r>
          </w:p>
          <w:p>
            <w:pPr>
              <w:adjustRightInd w:val="0"/>
              <w:snapToGrid w:val="0"/>
              <w:spacing w:line="360" w:lineRule="auto"/>
              <w:ind w:firstLine="480" w:firstLineChars="200"/>
              <w:jc w:val="left"/>
              <w:rPr>
                <w:bCs/>
                <w:sz w:val="24"/>
              </w:rPr>
            </w:pPr>
            <w:r>
              <w:rPr>
                <w:rFonts w:hint="eastAsia"/>
                <w:bCs/>
                <w:sz w:val="24"/>
              </w:rPr>
              <w:t>本项目辊压机日常维护、检修过程会产生废液压油，废液压油的产生量为</w:t>
            </w:r>
            <w:r>
              <w:rPr>
                <w:bCs/>
                <w:sz w:val="24"/>
              </w:rPr>
              <w:t>0.5t/a</w:t>
            </w:r>
            <w:r>
              <w:rPr>
                <w:rFonts w:hint="eastAsia"/>
                <w:bCs/>
                <w:sz w:val="24"/>
              </w:rPr>
              <w:t>，属于</w:t>
            </w:r>
            <w:r>
              <w:rPr>
                <w:bCs/>
                <w:sz w:val="24"/>
              </w:rPr>
              <w:t>HW08 900-218-08</w:t>
            </w:r>
            <w:r>
              <w:rPr>
                <w:rFonts w:hint="eastAsia"/>
                <w:bCs/>
                <w:sz w:val="24"/>
              </w:rPr>
              <w:t>液压设备维护、更换和拆解过程中产生的废液压油。设置专用桶收集，暂存于危废暂存间，交由有资质单位处置。</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8 \* GB3 \* MERGEFORMAT </w:instrText>
            </w:r>
            <w:r>
              <w:rPr>
                <w:bCs/>
                <w:sz w:val="24"/>
              </w:rPr>
              <w:fldChar w:fldCharType="separate"/>
            </w:r>
            <w:r>
              <w:rPr>
                <w:rFonts w:hint="eastAsia" w:ascii="宋体" w:hAnsi="宋体" w:cs="宋体"/>
                <w:bCs/>
                <w:sz w:val="24"/>
              </w:rPr>
              <w:t>⑧</w:t>
            </w:r>
            <w:r>
              <w:rPr>
                <w:bCs/>
                <w:sz w:val="24"/>
              </w:rPr>
              <w:fldChar w:fldCharType="end"/>
            </w:r>
            <w:r>
              <w:rPr>
                <w:rFonts w:hint="eastAsia"/>
                <w:bCs/>
                <w:sz w:val="24"/>
              </w:rPr>
              <w:t>废润滑油（</w:t>
            </w:r>
            <w:r>
              <w:rPr>
                <w:bCs/>
                <w:sz w:val="24"/>
              </w:rPr>
              <w:t>HW08 900-217-08</w:t>
            </w:r>
            <w:r>
              <w:rPr>
                <w:rFonts w:hint="eastAsia"/>
                <w:bCs/>
                <w:sz w:val="24"/>
              </w:rPr>
              <w:t>）</w:t>
            </w:r>
          </w:p>
          <w:p>
            <w:pPr>
              <w:adjustRightInd w:val="0"/>
              <w:snapToGrid w:val="0"/>
              <w:spacing w:line="360" w:lineRule="auto"/>
              <w:ind w:firstLine="480" w:firstLineChars="200"/>
              <w:jc w:val="left"/>
              <w:rPr>
                <w:bCs/>
                <w:sz w:val="24"/>
              </w:rPr>
            </w:pPr>
            <w:r>
              <w:rPr>
                <w:rFonts w:hint="eastAsia"/>
                <w:bCs/>
                <w:sz w:val="24"/>
              </w:rPr>
              <w:t>项目机加设备日常维护、检修过程会产生废润滑油，废润滑油的产生量为</w:t>
            </w:r>
            <w:r>
              <w:rPr>
                <w:bCs/>
                <w:sz w:val="24"/>
              </w:rPr>
              <w:t>0.02t/a</w:t>
            </w:r>
            <w:r>
              <w:rPr>
                <w:rFonts w:hint="eastAsia"/>
                <w:bCs/>
                <w:sz w:val="24"/>
              </w:rPr>
              <w:t>，属于</w:t>
            </w:r>
            <w:r>
              <w:rPr>
                <w:bCs/>
                <w:sz w:val="24"/>
              </w:rPr>
              <w:t>HW08 900-217-08</w:t>
            </w:r>
            <w:r>
              <w:rPr>
                <w:rFonts w:hint="eastAsia"/>
                <w:bCs/>
                <w:sz w:val="24"/>
              </w:rPr>
              <w:t>使用工业齿轮油进行机械设备润滑过程中产生的废润滑油，设专用桶收集，暂存于危废暂存间，交由有资质单位处置。</w:t>
            </w:r>
          </w:p>
          <w:p>
            <w:pPr>
              <w:adjustRightInd w:val="0"/>
              <w:snapToGrid w:val="0"/>
              <w:spacing w:line="360" w:lineRule="auto"/>
              <w:ind w:firstLine="480" w:firstLineChars="200"/>
              <w:jc w:val="left"/>
              <w:rPr>
                <w:bCs/>
                <w:sz w:val="24"/>
              </w:rPr>
            </w:pPr>
            <w:r>
              <w:rPr>
                <w:bCs/>
                <w:sz w:val="24"/>
              </w:rPr>
              <w:fldChar w:fldCharType="begin"/>
            </w:r>
            <w:r>
              <w:rPr>
                <w:bCs/>
                <w:sz w:val="24"/>
              </w:rPr>
              <w:instrText xml:space="preserve"> = 9 \* GB3 \* MERGEFORMAT </w:instrText>
            </w:r>
            <w:r>
              <w:rPr>
                <w:bCs/>
                <w:sz w:val="24"/>
              </w:rPr>
              <w:fldChar w:fldCharType="separate"/>
            </w:r>
            <w:r>
              <w:rPr>
                <w:rFonts w:hint="eastAsia" w:ascii="宋体" w:hAnsi="宋体" w:cs="宋体"/>
                <w:bCs/>
                <w:sz w:val="24"/>
              </w:rPr>
              <w:t>⑨</w:t>
            </w:r>
            <w:r>
              <w:rPr>
                <w:bCs/>
                <w:sz w:val="24"/>
              </w:rPr>
              <w:fldChar w:fldCharType="end"/>
            </w:r>
            <w:r>
              <w:rPr>
                <w:rFonts w:hint="eastAsia"/>
                <w:bCs/>
                <w:sz w:val="24"/>
              </w:rPr>
              <w:t>废含油手套抹布（</w:t>
            </w:r>
            <w:r>
              <w:rPr>
                <w:bCs/>
                <w:sz w:val="24"/>
              </w:rPr>
              <w:t>HW49 900-041-49</w:t>
            </w:r>
            <w:r>
              <w:rPr>
                <w:rFonts w:hint="eastAsia"/>
                <w:bCs/>
                <w:sz w:val="24"/>
              </w:rPr>
              <w:t>）</w:t>
            </w:r>
          </w:p>
          <w:p>
            <w:pPr>
              <w:adjustRightInd w:val="0"/>
              <w:snapToGrid w:val="0"/>
              <w:spacing w:line="360" w:lineRule="auto"/>
              <w:ind w:firstLine="480" w:firstLineChars="200"/>
              <w:jc w:val="left"/>
              <w:rPr>
                <w:bCs/>
                <w:sz w:val="24"/>
              </w:rPr>
            </w:pPr>
            <w:r>
              <w:rPr>
                <w:rFonts w:hint="eastAsia"/>
                <w:bCs/>
                <w:sz w:val="24"/>
              </w:rPr>
              <w:t>项目机加设备日常检修维护过程会产生少量废含油手套、抹布，产生量约为</w:t>
            </w:r>
            <w:r>
              <w:rPr>
                <w:bCs/>
                <w:sz w:val="24"/>
              </w:rPr>
              <w:t>2.0kg/a</w:t>
            </w:r>
            <w:r>
              <w:rPr>
                <w:rFonts w:hint="eastAsia"/>
                <w:bCs/>
                <w:sz w:val="24"/>
              </w:rPr>
              <w:t>，设专用桶收集，暂存于危废暂存间内，交有资质单位进行处置。</w:t>
            </w:r>
          </w:p>
          <w:p>
            <w:pPr>
              <w:adjustRightInd w:val="0"/>
              <w:snapToGrid w:val="0"/>
              <w:spacing w:line="360" w:lineRule="auto"/>
              <w:ind w:firstLine="480" w:firstLineChars="200"/>
              <w:jc w:val="left"/>
              <w:rPr>
                <w:bCs/>
                <w:sz w:val="24"/>
              </w:rPr>
            </w:pPr>
            <w:r>
              <w:rPr>
                <w:rFonts w:hint="eastAsia"/>
                <w:bCs/>
                <w:sz w:val="24"/>
              </w:rPr>
              <w:t>各类固废产生及处置情况见下表。</w:t>
            </w:r>
          </w:p>
          <w:p>
            <w:pPr>
              <w:widowControl/>
              <w:jc w:val="center"/>
              <w:rPr>
                <w:b/>
                <w:szCs w:val="21"/>
              </w:rPr>
            </w:pPr>
            <w:r>
              <w:rPr>
                <w:rFonts w:hint="eastAsia"/>
                <w:b/>
                <w:szCs w:val="21"/>
              </w:rPr>
              <w:t>表</w:t>
            </w:r>
            <w:r>
              <w:rPr>
                <w:b/>
                <w:szCs w:val="21"/>
              </w:rPr>
              <w:t xml:space="preserve">4-13   </w:t>
            </w:r>
            <w:r>
              <w:rPr>
                <w:rFonts w:hint="eastAsia"/>
                <w:b/>
                <w:szCs w:val="21"/>
              </w:rPr>
              <w:t>固废产生及处置情况一览表</w:t>
            </w:r>
          </w:p>
          <w:tbl>
            <w:tblPr>
              <w:tblStyle w:val="1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1" w:type="dxa"/>
                <w:bottom w:w="0" w:type="dxa"/>
                <w:right w:w="11" w:type="dxa"/>
              </w:tblCellMar>
            </w:tblPr>
            <w:tblGrid>
              <w:gridCol w:w="669"/>
              <w:gridCol w:w="1170"/>
              <w:gridCol w:w="1215"/>
              <w:gridCol w:w="1104"/>
              <w:gridCol w:w="1363"/>
              <w:gridCol w:w="1075"/>
              <w:gridCol w:w="20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12" w:space="0"/>
                    <w:left w:val="single" w:color="auto" w:sz="12" w:space="0"/>
                    <w:bottom w:val="single" w:color="auto" w:sz="4" w:space="0"/>
                    <w:right w:val="single" w:color="auto" w:sz="4" w:space="0"/>
                  </w:tcBorders>
                  <w:vAlign w:val="center"/>
                </w:tcPr>
                <w:p>
                  <w:pPr>
                    <w:wordWrap w:val="0"/>
                    <w:jc w:val="center"/>
                    <w:rPr>
                      <w:b/>
                      <w:szCs w:val="21"/>
                    </w:rPr>
                  </w:pPr>
                  <w:r>
                    <w:rPr>
                      <w:rFonts w:hint="eastAsia"/>
                      <w:b/>
                      <w:szCs w:val="21"/>
                    </w:rPr>
                    <w:t>序号</w:t>
                  </w:r>
                </w:p>
              </w:tc>
              <w:tc>
                <w:tcPr>
                  <w:tcW w:w="675"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产生环节</w:t>
                  </w:r>
                </w:p>
              </w:tc>
              <w:tc>
                <w:tcPr>
                  <w:tcW w:w="701"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名称</w:t>
                  </w:r>
                </w:p>
              </w:tc>
              <w:tc>
                <w:tcPr>
                  <w:tcW w:w="637"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属性</w:t>
                  </w:r>
                </w:p>
              </w:tc>
              <w:tc>
                <w:tcPr>
                  <w:tcW w:w="787"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代码</w:t>
                  </w:r>
                </w:p>
              </w:tc>
              <w:tc>
                <w:tcPr>
                  <w:tcW w:w="621" w:type="pct"/>
                  <w:tcBorders>
                    <w:top w:val="single" w:color="auto" w:sz="12" w:space="0"/>
                    <w:left w:val="single" w:color="auto" w:sz="4" w:space="0"/>
                    <w:bottom w:val="single" w:color="auto" w:sz="4" w:space="0"/>
                    <w:right w:val="single" w:color="auto" w:sz="4" w:space="0"/>
                  </w:tcBorders>
                  <w:vAlign w:val="center"/>
                </w:tcPr>
                <w:p>
                  <w:pPr>
                    <w:wordWrap w:val="0"/>
                    <w:jc w:val="center"/>
                    <w:rPr>
                      <w:b/>
                      <w:szCs w:val="21"/>
                    </w:rPr>
                  </w:pPr>
                  <w:r>
                    <w:rPr>
                      <w:rFonts w:hint="eastAsia"/>
                      <w:b/>
                      <w:szCs w:val="21"/>
                    </w:rPr>
                    <w:t>产生量</w:t>
                  </w:r>
                </w:p>
              </w:tc>
              <w:tc>
                <w:tcPr>
                  <w:tcW w:w="1190" w:type="pct"/>
                  <w:tcBorders>
                    <w:top w:val="single" w:color="auto" w:sz="12" w:space="0"/>
                    <w:left w:val="single" w:color="auto" w:sz="4" w:space="0"/>
                    <w:bottom w:val="single" w:color="auto" w:sz="4" w:space="0"/>
                    <w:right w:val="single" w:color="auto" w:sz="12" w:space="0"/>
                  </w:tcBorders>
                  <w:vAlign w:val="center"/>
                </w:tcPr>
                <w:p>
                  <w:pPr>
                    <w:wordWrap w:val="0"/>
                    <w:jc w:val="center"/>
                    <w:rPr>
                      <w:b/>
                      <w:szCs w:val="21"/>
                    </w:rPr>
                  </w:pPr>
                  <w:r>
                    <w:rPr>
                      <w:rFonts w:hint="eastAsia"/>
                      <w:b/>
                      <w:szCs w:val="21"/>
                    </w:rPr>
                    <w:t>处置措施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1</w:t>
                  </w:r>
                </w:p>
              </w:tc>
              <w:tc>
                <w:tcPr>
                  <w:tcW w:w="675"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办公生活</w:t>
                  </w:r>
                </w:p>
              </w:tc>
              <w:tc>
                <w:tcPr>
                  <w:tcW w:w="70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生活垃圾</w:t>
                  </w:r>
                </w:p>
              </w:tc>
              <w:tc>
                <w:tcPr>
                  <w:tcW w:w="63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w:t>
                  </w:r>
                </w:p>
              </w:tc>
              <w:tc>
                <w:tcPr>
                  <w:tcW w:w="7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12.5t/a</w:t>
                  </w:r>
                </w:p>
              </w:tc>
              <w:tc>
                <w:tcPr>
                  <w:tcW w:w="1190" w:type="pct"/>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r>
                    <w:rPr>
                      <w:rFonts w:hint="eastAsia"/>
                      <w:szCs w:val="21"/>
                    </w:rPr>
                    <w:t>设垃圾桶分类收集，环卫部门统一清运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2</w:t>
                  </w:r>
                </w:p>
              </w:tc>
              <w:tc>
                <w:tcPr>
                  <w:tcW w:w="675"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吸音棉冲切</w:t>
                  </w:r>
                </w:p>
              </w:tc>
              <w:tc>
                <w:tcPr>
                  <w:tcW w:w="70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bCs/>
                      <w:szCs w:val="21"/>
                    </w:rPr>
                    <w:t>边角料</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一般固废</w:t>
                  </w:r>
                </w:p>
              </w:tc>
              <w:tc>
                <w:tcPr>
                  <w:tcW w:w="7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4.3t/a</w:t>
                  </w:r>
                </w:p>
              </w:tc>
              <w:tc>
                <w:tcPr>
                  <w:tcW w:w="1190" w:type="pct"/>
                  <w:vMerge w:val="restart"/>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r>
                    <w:rPr>
                      <w:rFonts w:hint="eastAsia"/>
                      <w:szCs w:val="21"/>
                    </w:rPr>
                    <w:t>定期收集后外售综合利用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3</w:t>
                  </w:r>
                </w:p>
              </w:tc>
              <w:tc>
                <w:tcPr>
                  <w:tcW w:w="675"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模内发泡件后处理</w:t>
                  </w:r>
                </w:p>
              </w:tc>
              <w:tc>
                <w:tcPr>
                  <w:tcW w:w="70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bCs/>
                      <w:szCs w:val="21"/>
                    </w:rPr>
                    <w:t>边角料</w:t>
                  </w:r>
                </w:p>
              </w:tc>
              <w:tc>
                <w:tcPr>
                  <w:tcW w:w="637" w:type="pct"/>
                  <w:vMerge w:val="continue"/>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p>
              </w:tc>
              <w:tc>
                <w:tcPr>
                  <w:tcW w:w="7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2.9t/a</w:t>
                  </w:r>
                </w:p>
              </w:tc>
              <w:tc>
                <w:tcPr>
                  <w:tcW w:w="1190" w:type="pct"/>
                  <w:vMerge w:val="continue"/>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4</w:t>
                  </w:r>
                </w:p>
              </w:tc>
              <w:tc>
                <w:tcPr>
                  <w:tcW w:w="675"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原料拆包</w:t>
                  </w:r>
                </w:p>
              </w:tc>
              <w:tc>
                <w:tcPr>
                  <w:tcW w:w="70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bCs/>
                      <w:szCs w:val="21"/>
                    </w:rPr>
                  </w:pPr>
                  <w:r>
                    <w:rPr>
                      <w:rFonts w:hint="eastAsia"/>
                      <w:bCs/>
                      <w:szCs w:val="21"/>
                    </w:rPr>
                    <w:t>废包材</w:t>
                  </w:r>
                </w:p>
              </w:tc>
              <w:tc>
                <w:tcPr>
                  <w:tcW w:w="637" w:type="pct"/>
                  <w:vMerge w:val="continue"/>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p>
              </w:tc>
              <w:tc>
                <w:tcPr>
                  <w:tcW w:w="7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2.0t/a</w:t>
                  </w:r>
                </w:p>
              </w:tc>
              <w:tc>
                <w:tcPr>
                  <w:tcW w:w="1190" w:type="pct"/>
                  <w:vMerge w:val="continue"/>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5</w:t>
                  </w:r>
                </w:p>
              </w:tc>
              <w:tc>
                <w:tcPr>
                  <w:tcW w:w="675"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原料使用</w:t>
                  </w:r>
                </w:p>
              </w:tc>
              <w:tc>
                <w:tcPr>
                  <w:tcW w:w="70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bCs/>
                      <w:szCs w:val="21"/>
                    </w:rPr>
                  </w:pPr>
                  <w:r>
                    <w:rPr>
                      <w:rFonts w:hint="eastAsia"/>
                      <w:bCs/>
                      <w:szCs w:val="21"/>
                    </w:rPr>
                    <w:t>废原料桶</w:t>
                  </w:r>
                </w:p>
              </w:tc>
              <w:tc>
                <w:tcPr>
                  <w:tcW w:w="63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rFonts w:hint="eastAsia"/>
                      <w:szCs w:val="21"/>
                    </w:rPr>
                    <w:t>危险废物</w:t>
                  </w:r>
                </w:p>
              </w:tc>
              <w:tc>
                <w:tcPr>
                  <w:tcW w:w="787"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HW49</w:t>
                  </w:r>
                  <w:r>
                    <w:rPr>
                      <w:rFonts w:hint="eastAsia"/>
                      <w:szCs w:val="21"/>
                    </w:rPr>
                    <w:t>：</w:t>
                  </w:r>
                  <w:r>
                    <w:rPr>
                      <w:szCs w:val="21"/>
                    </w:rPr>
                    <w:t>900-041-49</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3.0t/a</w:t>
                  </w:r>
                </w:p>
              </w:tc>
              <w:tc>
                <w:tcPr>
                  <w:tcW w:w="1190" w:type="pct"/>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r>
                    <w:rPr>
                      <w:rFonts w:hint="eastAsia"/>
                      <w:szCs w:val="21"/>
                    </w:rPr>
                    <w:t>由供货厂家定期回收循环利用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6</w:t>
                  </w:r>
                </w:p>
              </w:tc>
              <w:tc>
                <w:tcPr>
                  <w:tcW w:w="675"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环保设备</w:t>
                  </w:r>
                </w:p>
              </w:tc>
              <w:tc>
                <w:tcPr>
                  <w:tcW w:w="70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废活性炭</w:t>
                  </w:r>
                </w:p>
              </w:tc>
              <w:tc>
                <w:tcPr>
                  <w:tcW w:w="63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危险废物</w:t>
                  </w:r>
                </w:p>
              </w:tc>
              <w:tc>
                <w:tcPr>
                  <w:tcW w:w="78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szCs w:val="21"/>
                    </w:rPr>
                    <w:t>HW49</w:t>
                  </w:r>
                  <w:r>
                    <w:rPr>
                      <w:rFonts w:hint="eastAsia"/>
                      <w:szCs w:val="21"/>
                    </w:rPr>
                    <w:t>：</w:t>
                  </w:r>
                  <w:r>
                    <w:rPr>
                      <w:szCs w:val="21"/>
                    </w:rPr>
                    <w:t>900-039-49</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3.89t/a</w:t>
                  </w:r>
                </w:p>
              </w:tc>
              <w:tc>
                <w:tcPr>
                  <w:tcW w:w="1190" w:type="pct"/>
                  <w:vMerge w:val="restart"/>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r>
                    <w:rPr>
                      <w:rFonts w:hint="eastAsia"/>
                      <w:szCs w:val="21"/>
                    </w:rPr>
                    <w:t>分类收集，液体危废暂存桶下方设置托盘，各类暂存危废暂存间，交有资质单位处置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7</w:t>
                  </w:r>
                </w:p>
              </w:tc>
              <w:tc>
                <w:tcPr>
                  <w:tcW w:w="675" w:type="pct"/>
                  <w:vMerge w:val="restar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设备检修</w:t>
                  </w:r>
                </w:p>
                <w:p>
                  <w:pPr>
                    <w:wordWrap w:val="0"/>
                    <w:adjustRightInd w:val="0"/>
                    <w:snapToGrid w:val="0"/>
                    <w:jc w:val="center"/>
                    <w:rPr>
                      <w:szCs w:val="21"/>
                    </w:rPr>
                  </w:pPr>
                  <w:r>
                    <w:rPr>
                      <w:rFonts w:hint="eastAsia"/>
                      <w:szCs w:val="21"/>
                    </w:rPr>
                    <w:t>维护</w:t>
                  </w:r>
                </w:p>
              </w:tc>
              <w:tc>
                <w:tcPr>
                  <w:tcW w:w="70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废液压油</w:t>
                  </w:r>
                </w:p>
              </w:tc>
              <w:tc>
                <w:tcPr>
                  <w:tcW w:w="63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危险废物</w:t>
                  </w:r>
                </w:p>
              </w:tc>
              <w:tc>
                <w:tcPr>
                  <w:tcW w:w="78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szCs w:val="21"/>
                    </w:rPr>
                    <w:t>HW08</w:t>
                  </w:r>
                  <w:r>
                    <w:rPr>
                      <w:rFonts w:hint="eastAsia"/>
                      <w:szCs w:val="21"/>
                    </w:rPr>
                    <w:t>：</w:t>
                  </w:r>
                  <w:r>
                    <w:rPr>
                      <w:szCs w:val="21"/>
                    </w:rPr>
                    <w:t>900-218-08</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0.5t/a</w:t>
                  </w:r>
                </w:p>
              </w:tc>
              <w:tc>
                <w:tcPr>
                  <w:tcW w:w="1190" w:type="pct"/>
                  <w:vMerge w:val="continue"/>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4" w:space="0"/>
                    <w:right w:val="single" w:color="auto" w:sz="4" w:space="0"/>
                  </w:tcBorders>
                  <w:vAlign w:val="center"/>
                </w:tcPr>
                <w:p>
                  <w:pPr>
                    <w:wordWrap w:val="0"/>
                    <w:jc w:val="center"/>
                    <w:rPr>
                      <w:szCs w:val="21"/>
                    </w:rPr>
                  </w:pPr>
                  <w:r>
                    <w:rPr>
                      <w:szCs w:val="21"/>
                    </w:rPr>
                    <w:t>8</w:t>
                  </w:r>
                </w:p>
              </w:tc>
              <w:tc>
                <w:tcPr>
                  <w:tcW w:w="675" w:type="pct"/>
                  <w:vMerge w:val="continue"/>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p>
              </w:tc>
              <w:tc>
                <w:tcPr>
                  <w:tcW w:w="701"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废润滑油</w:t>
                  </w:r>
                </w:p>
              </w:tc>
              <w:tc>
                <w:tcPr>
                  <w:tcW w:w="63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rFonts w:hint="eastAsia"/>
                      <w:szCs w:val="21"/>
                    </w:rPr>
                    <w:t>危险废物</w:t>
                  </w:r>
                </w:p>
              </w:tc>
              <w:tc>
                <w:tcPr>
                  <w:tcW w:w="787" w:type="pct"/>
                  <w:tcBorders>
                    <w:top w:val="single" w:color="auto" w:sz="4" w:space="0"/>
                    <w:left w:val="single" w:color="auto" w:sz="4" w:space="0"/>
                    <w:bottom w:val="single" w:color="auto" w:sz="4" w:space="0"/>
                    <w:right w:val="single" w:color="auto" w:sz="4" w:space="0"/>
                  </w:tcBorders>
                  <w:vAlign w:val="center"/>
                </w:tcPr>
                <w:p>
                  <w:pPr>
                    <w:wordWrap w:val="0"/>
                    <w:adjustRightInd w:val="0"/>
                    <w:snapToGrid w:val="0"/>
                    <w:jc w:val="center"/>
                    <w:rPr>
                      <w:szCs w:val="21"/>
                    </w:rPr>
                  </w:pPr>
                  <w:r>
                    <w:rPr>
                      <w:szCs w:val="21"/>
                    </w:rPr>
                    <w:t>HW08</w:t>
                  </w:r>
                  <w:r>
                    <w:rPr>
                      <w:rFonts w:hint="eastAsia"/>
                      <w:szCs w:val="21"/>
                    </w:rPr>
                    <w:t>：</w:t>
                  </w:r>
                  <w:r>
                    <w:rPr>
                      <w:szCs w:val="21"/>
                    </w:rPr>
                    <w:t>900-217-08</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0.02t/a</w:t>
                  </w:r>
                </w:p>
              </w:tc>
              <w:tc>
                <w:tcPr>
                  <w:tcW w:w="1190" w:type="pct"/>
                  <w:vMerge w:val="continue"/>
                  <w:tcBorders>
                    <w:top w:val="single" w:color="auto" w:sz="4" w:space="0"/>
                    <w:left w:val="single" w:color="auto" w:sz="4" w:space="0"/>
                    <w:bottom w:val="single" w:color="auto" w:sz="4" w:space="0"/>
                    <w:right w:val="single" w:color="auto" w:sz="12" w:space="0"/>
                  </w:tcBorders>
                  <w:vAlign w:val="center"/>
                </w:tcPr>
                <w:p>
                  <w:pPr>
                    <w:tabs>
                      <w:tab w:val="left" w:pos="4515"/>
                    </w:tabs>
                    <w:wordWrap w:val="0"/>
                    <w:autoSpaceDE w:val="0"/>
                    <w:autoSpaceDN w:val="0"/>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1" w:type="dxa"/>
                  <w:bottom w:w="0" w:type="dxa"/>
                  <w:right w:w="11" w:type="dxa"/>
                </w:tblCellMar>
              </w:tblPrEx>
              <w:trPr>
                <w:cantSplit/>
                <w:trHeight w:val="397" w:hRule="atLeast"/>
                <w:jc w:val="center"/>
              </w:trPr>
              <w:tc>
                <w:tcPr>
                  <w:tcW w:w="386" w:type="pct"/>
                  <w:tcBorders>
                    <w:top w:val="single" w:color="auto" w:sz="4" w:space="0"/>
                    <w:left w:val="single" w:color="auto" w:sz="12" w:space="0"/>
                    <w:bottom w:val="single" w:color="auto" w:sz="12" w:space="0"/>
                    <w:right w:val="single" w:color="auto" w:sz="4" w:space="0"/>
                  </w:tcBorders>
                  <w:vAlign w:val="center"/>
                </w:tcPr>
                <w:p>
                  <w:pPr>
                    <w:wordWrap w:val="0"/>
                    <w:jc w:val="center"/>
                    <w:rPr>
                      <w:szCs w:val="21"/>
                    </w:rPr>
                  </w:pPr>
                  <w:r>
                    <w:rPr>
                      <w:szCs w:val="21"/>
                    </w:rPr>
                    <w:t>9</w:t>
                  </w:r>
                </w:p>
              </w:tc>
              <w:tc>
                <w:tcPr>
                  <w:tcW w:w="675" w:type="pct"/>
                  <w:vMerge w:val="continue"/>
                  <w:tcBorders>
                    <w:top w:val="single" w:color="auto" w:sz="4" w:space="0"/>
                    <w:left w:val="single" w:color="auto" w:sz="4" w:space="0"/>
                    <w:bottom w:val="single" w:color="auto" w:sz="12" w:space="0"/>
                    <w:right w:val="single" w:color="auto" w:sz="4" w:space="0"/>
                  </w:tcBorders>
                  <w:vAlign w:val="center"/>
                </w:tcPr>
                <w:p>
                  <w:pPr>
                    <w:wordWrap w:val="0"/>
                    <w:adjustRightInd w:val="0"/>
                    <w:snapToGrid w:val="0"/>
                    <w:jc w:val="center"/>
                    <w:rPr>
                      <w:szCs w:val="21"/>
                    </w:rPr>
                  </w:pPr>
                </w:p>
              </w:tc>
              <w:tc>
                <w:tcPr>
                  <w:tcW w:w="701" w:type="pct"/>
                  <w:tcBorders>
                    <w:top w:val="single" w:color="auto" w:sz="4" w:space="0"/>
                    <w:left w:val="single" w:color="auto" w:sz="4" w:space="0"/>
                    <w:bottom w:val="single" w:color="auto" w:sz="12" w:space="0"/>
                    <w:right w:val="single" w:color="auto" w:sz="4" w:space="0"/>
                  </w:tcBorders>
                  <w:vAlign w:val="center"/>
                </w:tcPr>
                <w:p>
                  <w:pPr>
                    <w:wordWrap w:val="0"/>
                    <w:adjustRightInd w:val="0"/>
                    <w:snapToGrid w:val="0"/>
                    <w:jc w:val="center"/>
                    <w:rPr>
                      <w:szCs w:val="21"/>
                    </w:rPr>
                  </w:pPr>
                  <w:r>
                    <w:rPr>
                      <w:rFonts w:hint="eastAsia"/>
                      <w:szCs w:val="21"/>
                    </w:rPr>
                    <w:t>废含油手套、抹布</w:t>
                  </w:r>
                </w:p>
              </w:tc>
              <w:tc>
                <w:tcPr>
                  <w:tcW w:w="637" w:type="pct"/>
                  <w:tcBorders>
                    <w:top w:val="single" w:color="auto" w:sz="4" w:space="0"/>
                    <w:left w:val="single" w:color="auto" w:sz="4" w:space="0"/>
                    <w:bottom w:val="single" w:color="auto" w:sz="12" w:space="0"/>
                    <w:right w:val="single" w:color="auto" w:sz="4" w:space="0"/>
                  </w:tcBorders>
                  <w:vAlign w:val="center"/>
                </w:tcPr>
                <w:p>
                  <w:pPr>
                    <w:wordWrap w:val="0"/>
                    <w:adjustRightInd w:val="0"/>
                    <w:snapToGrid w:val="0"/>
                    <w:jc w:val="center"/>
                    <w:rPr>
                      <w:szCs w:val="21"/>
                    </w:rPr>
                  </w:pPr>
                  <w:r>
                    <w:rPr>
                      <w:rFonts w:hint="eastAsia"/>
                      <w:szCs w:val="21"/>
                    </w:rPr>
                    <w:t>危险废物</w:t>
                  </w:r>
                </w:p>
              </w:tc>
              <w:tc>
                <w:tcPr>
                  <w:tcW w:w="787" w:type="pct"/>
                  <w:tcBorders>
                    <w:top w:val="single" w:color="auto" w:sz="4" w:space="0"/>
                    <w:left w:val="single" w:color="auto" w:sz="4" w:space="0"/>
                    <w:bottom w:val="single" w:color="auto" w:sz="12" w:space="0"/>
                    <w:right w:val="single" w:color="auto" w:sz="4" w:space="0"/>
                  </w:tcBorders>
                  <w:vAlign w:val="center"/>
                </w:tcPr>
                <w:p>
                  <w:pPr>
                    <w:wordWrap w:val="0"/>
                    <w:adjustRightInd w:val="0"/>
                    <w:snapToGrid w:val="0"/>
                    <w:jc w:val="center"/>
                    <w:rPr>
                      <w:szCs w:val="21"/>
                    </w:rPr>
                  </w:pPr>
                  <w:r>
                    <w:rPr>
                      <w:szCs w:val="21"/>
                    </w:rPr>
                    <w:t>HW49</w:t>
                  </w:r>
                  <w:r>
                    <w:rPr>
                      <w:rFonts w:hint="eastAsia"/>
                      <w:szCs w:val="21"/>
                    </w:rPr>
                    <w:t>：</w:t>
                  </w:r>
                  <w:r>
                    <w:rPr>
                      <w:szCs w:val="21"/>
                    </w:rPr>
                    <w:t>900-041-49</w:t>
                  </w:r>
                </w:p>
              </w:tc>
              <w:tc>
                <w:tcPr>
                  <w:tcW w:w="621" w:type="pct"/>
                  <w:tcBorders>
                    <w:top w:val="single" w:color="auto" w:sz="4" w:space="0"/>
                    <w:left w:val="single" w:color="auto" w:sz="4" w:space="0"/>
                    <w:bottom w:val="single" w:color="auto" w:sz="12" w:space="0"/>
                    <w:right w:val="single" w:color="auto" w:sz="4" w:space="0"/>
                  </w:tcBorders>
                  <w:vAlign w:val="center"/>
                </w:tcPr>
                <w:p>
                  <w:pPr>
                    <w:tabs>
                      <w:tab w:val="left" w:pos="4515"/>
                    </w:tabs>
                    <w:wordWrap w:val="0"/>
                    <w:autoSpaceDE w:val="0"/>
                    <w:autoSpaceDN w:val="0"/>
                    <w:adjustRightInd w:val="0"/>
                    <w:snapToGrid w:val="0"/>
                    <w:jc w:val="center"/>
                    <w:rPr>
                      <w:szCs w:val="21"/>
                    </w:rPr>
                  </w:pPr>
                  <w:r>
                    <w:rPr>
                      <w:szCs w:val="21"/>
                    </w:rPr>
                    <w:t>2.0kg/a</w:t>
                  </w:r>
                </w:p>
              </w:tc>
              <w:tc>
                <w:tcPr>
                  <w:tcW w:w="1190" w:type="pct"/>
                  <w:vMerge w:val="continue"/>
                  <w:tcBorders>
                    <w:top w:val="single" w:color="auto" w:sz="4" w:space="0"/>
                    <w:left w:val="single" w:color="auto" w:sz="4" w:space="0"/>
                    <w:bottom w:val="single" w:color="auto" w:sz="12" w:space="0"/>
                    <w:right w:val="single" w:color="auto" w:sz="12" w:space="0"/>
                  </w:tcBorders>
                  <w:vAlign w:val="center"/>
                </w:tcPr>
                <w:p>
                  <w:pPr>
                    <w:tabs>
                      <w:tab w:val="left" w:pos="4515"/>
                    </w:tabs>
                    <w:wordWrap w:val="0"/>
                    <w:autoSpaceDE w:val="0"/>
                    <w:autoSpaceDN w:val="0"/>
                    <w:adjustRightInd w:val="0"/>
                    <w:snapToGrid w:val="0"/>
                    <w:jc w:val="center"/>
                    <w:rPr>
                      <w:szCs w:val="21"/>
                    </w:rPr>
                  </w:pPr>
                </w:p>
              </w:tc>
            </w:tr>
          </w:tbl>
          <w:p>
            <w:pPr>
              <w:jc w:val="center"/>
              <w:rPr>
                <w:b/>
                <w:szCs w:val="21"/>
              </w:rPr>
            </w:pPr>
            <w:r>
              <w:rPr>
                <w:rFonts w:hint="eastAsia"/>
                <w:b/>
                <w:szCs w:val="21"/>
              </w:rPr>
              <w:t>表</w:t>
            </w:r>
            <w:r>
              <w:rPr>
                <w:b/>
                <w:szCs w:val="21"/>
              </w:rPr>
              <w:t xml:space="preserve">4-14   </w:t>
            </w:r>
            <w:r>
              <w:rPr>
                <w:rFonts w:hint="eastAsia"/>
                <w:b/>
                <w:szCs w:val="21"/>
              </w:rPr>
              <w:t>危险废物信息表</w:t>
            </w:r>
          </w:p>
          <w:tbl>
            <w:tblPr>
              <w:tblStyle w:val="1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865"/>
              <w:gridCol w:w="1450"/>
              <w:gridCol w:w="1286"/>
              <w:gridCol w:w="2029"/>
              <w:gridCol w:w="15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pPr>
                  <w:r>
                    <w:rPr>
                      <w:rFonts w:hint="eastAsia"/>
                      <w:b/>
                      <w:bCs/>
                      <w:szCs w:val="21"/>
                    </w:rPr>
                    <w:t>名称</w:t>
                  </w:r>
                </w:p>
              </w:tc>
              <w:tc>
                <w:tcPr>
                  <w:tcW w:w="500"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pPr>
                  <w:r>
                    <w:rPr>
                      <w:rFonts w:hint="eastAsia"/>
                      <w:b/>
                      <w:bCs/>
                      <w:szCs w:val="21"/>
                    </w:rPr>
                    <w:t>形态</w:t>
                  </w:r>
                </w:p>
              </w:tc>
              <w:tc>
                <w:tcPr>
                  <w:tcW w:w="836"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pPr>
                  <w:r>
                    <w:rPr>
                      <w:rFonts w:hint="eastAsia"/>
                      <w:b/>
                      <w:bCs/>
                      <w:szCs w:val="21"/>
                    </w:rPr>
                    <w:t>有害成分</w:t>
                  </w:r>
                </w:p>
              </w:tc>
              <w:tc>
                <w:tcPr>
                  <w:tcW w:w="742"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pPr>
                  <w:r>
                    <w:rPr>
                      <w:rFonts w:hint="eastAsia"/>
                      <w:b/>
                      <w:bCs/>
                      <w:szCs w:val="21"/>
                    </w:rPr>
                    <w:t>危险特性</w:t>
                  </w:r>
                </w:p>
              </w:tc>
              <w:tc>
                <w:tcPr>
                  <w:tcW w:w="1170"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pPr>
                  <w:r>
                    <w:rPr>
                      <w:rFonts w:hint="eastAsia"/>
                      <w:b/>
                      <w:bCs/>
                    </w:rPr>
                    <w:t>主要环境风险</w:t>
                  </w:r>
                </w:p>
              </w:tc>
              <w:tc>
                <w:tcPr>
                  <w:tcW w:w="916"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pPr>
                  <w:r>
                    <w:rPr>
                      <w:rFonts w:hint="eastAsia"/>
                      <w:b/>
                      <w:bCs/>
                      <w:szCs w:val="21"/>
                    </w:rPr>
                    <w:t>管理要求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r>
                    <w:rPr>
                      <w:rFonts w:hint="eastAsia"/>
                      <w:szCs w:val="21"/>
                    </w:rPr>
                    <w:t>废活性炭</w:t>
                  </w:r>
                </w:p>
              </w:tc>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szCs w:val="21"/>
                    </w:rPr>
                    <w:t>固态</w:t>
                  </w:r>
                </w:p>
              </w:tc>
              <w:tc>
                <w:tcPr>
                  <w:tcW w:w="8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szCs w:val="21"/>
                    </w:rPr>
                    <w:t>含有机废气</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szCs w:val="21"/>
                    </w:rPr>
                    <w:t>T</w:t>
                  </w:r>
                </w:p>
              </w:tc>
              <w:tc>
                <w:tcPr>
                  <w:tcW w:w="1170" w:type="pct"/>
                  <w:vMerge w:val="restart"/>
                  <w:tcBorders>
                    <w:top w:val="single" w:color="auto" w:sz="4" w:space="0"/>
                    <w:left w:val="single" w:color="auto" w:sz="4" w:space="0"/>
                    <w:bottom w:val="single" w:color="auto" w:sz="4" w:space="0"/>
                    <w:right w:val="single" w:color="auto" w:sz="4" w:space="0"/>
                  </w:tcBorders>
                  <w:vAlign w:val="center"/>
                </w:tcPr>
                <w:p>
                  <w:pPr>
                    <w:pStyle w:val="17"/>
                    <w:spacing w:after="0"/>
                    <w:ind w:left="0" w:leftChars="0" w:firstLine="0" w:firstLineChars="0"/>
                    <w:jc w:val="center"/>
                  </w:pPr>
                  <w:r>
                    <w:rPr>
                      <w:rFonts w:hint="eastAsia"/>
                    </w:rPr>
                    <w:t>遇明火可燃，燃烧废气可能引起环境空气污染风险</w:t>
                  </w:r>
                </w:p>
              </w:tc>
              <w:tc>
                <w:tcPr>
                  <w:tcW w:w="916" w:type="pct"/>
                  <w:vMerge w:val="restart"/>
                  <w:tcBorders>
                    <w:top w:val="single" w:color="auto" w:sz="4" w:space="0"/>
                    <w:left w:val="single" w:color="auto" w:sz="4" w:space="0"/>
                    <w:bottom w:val="single" w:color="auto" w:sz="4" w:space="0"/>
                    <w:right w:val="single" w:color="auto" w:sz="12" w:space="0"/>
                  </w:tcBorders>
                  <w:vAlign w:val="center"/>
                </w:tcPr>
                <w:p>
                  <w:pPr>
                    <w:pStyle w:val="17"/>
                    <w:spacing w:after="0"/>
                    <w:ind w:left="0" w:leftChars="0" w:firstLine="0" w:firstLineChars="0"/>
                    <w:jc w:val="center"/>
                  </w:pPr>
                  <w:r>
                    <w:rPr>
                      <w:rFonts w:hint="eastAsia"/>
                      <w:szCs w:val="21"/>
                    </w:rPr>
                    <w:t>分类收集，液体危废暂存桶下方设置托盘，各类暂存危废暂存间，交有资质单位处置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废原料桶</w:t>
                  </w:r>
                </w:p>
              </w:tc>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固态</w:t>
                  </w:r>
                </w:p>
              </w:tc>
              <w:tc>
                <w:tcPr>
                  <w:tcW w:w="8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含化工原料</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T</w:t>
                  </w:r>
                </w:p>
              </w:tc>
              <w:tc>
                <w:tcPr>
                  <w:tcW w:w="1170" w:type="pct"/>
                  <w:vMerge w:val="continue"/>
                  <w:tcBorders>
                    <w:top w:val="single" w:color="auto" w:sz="4" w:space="0"/>
                    <w:left w:val="single" w:color="auto" w:sz="4" w:space="0"/>
                    <w:bottom w:val="single" w:color="auto" w:sz="4" w:space="0"/>
                    <w:right w:val="single" w:color="auto" w:sz="4" w:space="0"/>
                  </w:tcBorders>
                  <w:vAlign w:val="center"/>
                </w:tcPr>
                <w:p>
                  <w:pPr>
                    <w:pStyle w:val="17"/>
                    <w:spacing w:after="0"/>
                    <w:ind w:left="0" w:leftChars="0" w:firstLine="0" w:firstLineChars="0"/>
                    <w:jc w:val="center"/>
                  </w:pPr>
                </w:p>
              </w:tc>
              <w:tc>
                <w:tcPr>
                  <w:tcW w:w="916" w:type="pct"/>
                  <w:vMerge w:val="continue"/>
                  <w:tcBorders>
                    <w:top w:val="single" w:color="auto" w:sz="4" w:space="0"/>
                    <w:left w:val="single" w:color="auto" w:sz="4" w:space="0"/>
                    <w:bottom w:val="single" w:color="auto" w:sz="4" w:space="0"/>
                    <w:right w:val="single" w:color="auto" w:sz="12" w:space="0"/>
                  </w:tcBorders>
                  <w:vAlign w:val="center"/>
                </w:tcPr>
                <w:p>
                  <w:pPr>
                    <w:pStyle w:val="17"/>
                    <w:spacing w:after="0"/>
                    <w:ind w:left="0" w:leftChars="0" w:firstLine="0" w:firstLineChars="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废含油手套、抹布</w:t>
                  </w:r>
                </w:p>
              </w:tc>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szCs w:val="21"/>
                    </w:rPr>
                  </w:pPr>
                  <w:r>
                    <w:rPr>
                      <w:rFonts w:hint="eastAsia"/>
                      <w:szCs w:val="21"/>
                    </w:rPr>
                    <w:t>固态</w:t>
                  </w:r>
                </w:p>
              </w:tc>
              <w:tc>
                <w:tcPr>
                  <w:tcW w:w="836"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szCs w:val="21"/>
                    </w:rPr>
                  </w:pPr>
                  <w:r>
                    <w:rPr>
                      <w:rFonts w:hint="eastAsia"/>
                      <w:szCs w:val="21"/>
                    </w:rPr>
                    <w:t>含废矿物油</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szCs w:val="21"/>
                    </w:rPr>
                  </w:pPr>
                  <w:r>
                    <w:rPr>
                      <w:szCs w:val="21"/>
                    </w:rPr>
                    <w:t>T</w:t>
                  </w:r>
                </w:p>
              </w:tc>
              <w:tc>
                <w:tcPr>
                  <w:tcW w:w="1170" w:type="pct"/>
                  <w:vMerge w:val="continue"/>
                  <w:tcBorders>
                    <w:top w:val="single" w:color="auto" w:sz="4" w:space="0"/>
                    <w:left w:val="single" w:color="auto" w:sz="4" w:space="0"/>
                    <w:bottom w:val="single" w:color="auto" w:sz="4" w:space="0"/>
                    <w:right w:val="single" w:color="auto" w:sz="4" w:space="0"/>
                  </w:tcBorders>
                  <w:vAlign w:val="center"/>
                </w:tcPr>
                <w:p>
                  <w:pPr>
                    <w:pStyle w:val="17"/>
                    <w:spacing w:after="0"/>
                    <w:ind w:left="0" w:leftChars="0" w:firstLine="0" w:firstLineChars="0"/>
                    <w:jc w:val="center"/>
                  </w:pPr>
                </w:p>
              </w:tc>
              <w:tc>
                <w:tcPr>
                  <w:tcW w:w="916" w:type="pct"/>
                  <w:vMerge w:val="continue"/>
                  <w:tcBorders>
                    <w:top w:val="single" w:color="auto" w:sz="4" w:space="0"/>
                    <w:left w:val="single" w:color="auto" w:sz="4" w:space="0"/>
                    <w:bottom w:val="single" w:color="auto" w:sz="4" w:space="0"/>
                    <w:right w:val="single" w:color="auto" w:sz="12" w:space="0"/>
                  </w:tcBorders>
                  <w:vAlign w:val="center"/>
                </w:tcPr>
                <w:p>
                  <w:pPr>
                    <w:pStyle w:val="17"/>
                    <w:spacing w:after="0"/>
                    <w:ind w:left="0" w:leftChars="0" w:firstLine="0" w:firstLineChars="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r>
                    <w:rPr>
                      <w:rFonts w:hint="eastAsia"/>
                      <w:szCs w:val="21"/>
                    </w:rPr>
                    <w:t>废液压油</w:t>
                  </w:r>
                </w:p>
              </w:tc>
              <w:tc>
                <w:tcPr>
                  <w:tcW w:w="5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szCs w:val="21"/>
                    </w:rPr>
                    <w:t>液态</w:t>
                  </w:r>
                </w:p>
              </w:tc>
              <w:tc>
                <w:tcPr>
                  <w:tcW w:w="83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rFonts w:hint="eastAsia"/>
                      <w:szCs w:val="21"/>
                    </w:rPr>
                    <w:t>废矿物油</w:t>
                  </w:r>
                </w:p>
              </w:tc>
              <w:tc>
                <w:tcPr>
                  <w:tcW w:w="74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pPr>
                  <w:r>
                    <w:rPr>
                      <w:szCs w:val="21"/>
                    </w:rPr>
                    <w:t>T</w:t>
                  </w:r>
                  <w:r>
                    <w:rPr>
                      <w:rFonts w:hint="eastAsia"/>
                      <w:szCs w:val="21"/>
                    </w:rPr>
                    <w:t>，</w:t>
                  </w:r>
                  <w:r>
                    <w:rPr>
                      <w:szCs w:val="21"/>
                    </w:rPr>
                    <w:t>I</w:t>
                  </w:r>
                </w:p>
              </w:tc>
              <w:tc>
                <w:tcPr>
                  <w:tcW w:w="1170" w:type="pct"/>
                  <w:vMerge w:val="restart"/>
                  <w:tcBorders>
                    <w:top w:val="single" w:color="auto" w:sz="4" w:space="0"/>
                    <w:left w:val="single" w:color="auto" w:sz="4" w:space="0"/>
                    <w:bottom w:val="single" w:color="auto" w:sz="4" w:space="0"/>
                    <w:right w:val="single" w:color="auto" w:sz="4" w:space="0"/>
                  </w:tcBorders>
                  <w:vAlign w:val="center"/>
                </w:tcPr>
                <w:p>
                  <w:pPr>
                    <w:pStyle w:val="17"/>
                    <w:spacing w:after="0"/>
                    <w:ind w:left="0" w:leftChars="0" w:firstLine="0" w:firstLineChars="0"/>
                    <w:jc w:val="center"/>
                  </w:pPr>
                  <w:r>
                    <w:rPr>
                      <w:rFonts w:hint="eastAsia"/>
                    </w:rPr>
                    <w:t>泄漏可能引起地下水、土壤环境污染风险</w:t>
                  </w:r>
                </w:p>
              </w:tc>
              <w:tc>
                <w:tcPr>
                  <w:tcW w:w="916" w:type="pct"/>
                  <w:vMerge w:val="continue"/>
                  <w:tcBorders>
                    <w:top w:val="single" w:color="auto" w:sz="4" w:space="0"/>
                    <w:left w:val="single" w:color="auto" w:sz="4" w:space="0"/>
                    <w:bottom w:val="single" w:color="auto" w:sz="4" w:space="0"/>
                    <w:right w:val="single" w:color="auto" w:sz="12" w:space="0"/>
                  </w:tcBorders>
                  <w:vAlign w:val="center"/>
                </w:tcPr>
                <w:p>
                  <w:pPr>
                    <w:pStyle w:val="17"/>
                    <w:spacing w:after="0"/>
                    <w:ind w:left="0" w:leftChars="0" w:firstLine="0" w:firstLineChars="0"/>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3" w:type="pct"/>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pPr>
                  <w:r>
                    <w:rPr>
                      <w:rFonts w:hint="eastAsia"/>
                      <w:szCs w:val="21"/>
                    </w:rPr>
                    <w:t>废润滑油</w:t>
                  </w:r>
                </w:p>
              </w:tc>
              <w:tc>
                <w:tcPr>
                  <w:tcW w:w="500"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pPr>
                  <w:r>
                    <w:rPr>
                      <w:rFonts w:hint="eastAsia"/>
                      <w:szCs w:val="21"/>
                    </w:rPr>
                    <w:t>液态</w:t>
                  </w:r>
                </w:p>
              </w:tc>
              <w:tc>
                <w:tcPr>
                  <w:tcW w:w="836"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pPr>
                  <w:r>
                    <w:rPr>
                      <w:rFonts w:hint="eastAsia"/>
                      <w:szCs w:val="21"/>
                    </w:rPr>
                    <w:t>废矿物油</w:t>
                  </w:r>
                </w:p>
              </w:tc>
              <w:tc>
                <w:tcPr>
                  <w:tcW w:w="742" w:type="pct"/>
                  <w:tcBorders>
                    <w:top w:val="single" w:color="auto" w:sz="4" w:space="0"/>
                    <w:left w:val="single" w:color="auto" w:sz="4" w:space="0"/>
                    <w:bottom w:val="single" w:color="auto" w:sz="12" w:space="0"/>
                    <w:right w:val="single" w:color="auto" w:sz="4" w:space="0"/>
                  </w:tcBorders>
                  <w:vAlign w:val="center"/>
                </w:tcPr>
                <w:p>
                  <w:pPr>
                    <w:adjustRightInd w:val="0"/>
                    <w:snapToGrid w:val="0"/>
                    <w:jc w:val="center"/>
                  </w:pPr>
                  <w:r>
                    <w:rPr>
                      <w:szCs w:val="21"/>
                    </w:rPr>
                    <w:t>T</w:t>
                  </w:r>
                  <w:r>
                    <w:rPr>
                      <w:rFonts w:hint="eastAsia"/>
                      <w:szCs w:val="21"/>
                    </w:rPr>
                    <w:t>，</w:t>
                  </w:r>
                  <w:r>
                    <w:rPr>
                      <w:szCs w:val="21"/>
                    </w:rPr>
                    <w:t>I</w:t>
                  </w:r>
                </w:p>
              </w:tc>
              <w:tc>
                <w:tcPr>
                  <w:tcW w:w="1170" w:type="pct"/>
                  <w:vMerge w:val="continue"/>
                  <w:tcBorders>
                    <w:top w:val="single" w:color="auto" w:sz="4" w:space="0"/>
                    <w:left w:val="single" w:color="auto" w:sz="4" w:space="0"/>
                    <w:bottom w:val="single" w:color="auto" w:sz="12" w:space="0"/>
                    <w:right w:val="single" w:color="auto" w:sz="4" w:space="0"/>
                  </w:tcBorders>
                  <w:vAlign w:val="center"/>
                </w:tcPr>
                <w:p>
                  <w:pPr>
                    <w:pStyle w:val="17"/>
                    <w:spacing w:after="0"/>
                    <w:ind w:left="0" w:leftChars="0" w:firstLine="0" w:firstLineChars="0"/>
                    <w:jc w:val="center"/>
                  </w:pPr>
                </w:p>
              </w:tc>
              <w:tc>
                <w:tcPr>
                  <w:tcW w:w="916" w:type="pct"/>
                  <w:vMerge w:val="continue"/>
                  <w:tcBorders>
                    <w:top w:val="single" w:color="auto" w:sz="4" w:space="0"/>
                    <w:left w:val="single" w:color="auto" w:sz="4" w:space="0"/>
                    <w:bottom w:val="single" w:color="auto" w:sz="12" w:space="0"/>
                    <w:right w:val="single" w:color="auto" w:sz="12" w:space="0"/>
                  </w:tcBorders>
                  <w:vAlign w:val="center"/>
                </w:tcPr>
                <w:p>
                  <w:pPr>
                    <w:pStyle w:val="17"/>
                    <w:spacing w:after="0"/>
                    <w:ind w:left="0" w:leftChars="0" w:firstLine="0" w:firstLineChars="0"/>
                    <w:jc w:val="center"/>
                  </w:pPr>
                </w:p>
              </w:tc>
            </w:tr>
          </w:tbl>
          <w:p>
            <w:pPr>
              <w:spacing w:line="480" w:lineRule="exact"/>
              <w:ind w:firstLine="482" w:firstLineChars="200"/>
              <w:rPr>
                <w:b/>
                <w:bCs/>
                <w:sz w:val="24"/>
              </w:rPr>
            </w:pPr>
            <w:r>
              <w:rPr>
                <w:rFonts w:hint="eastAsia"/>
                <w:b/>
                <w:bCs/>
                <w:sz w:val="24"/>
              </w:rPr>
              <w:t>（</w:t>
            </w:r>
            <w:r>
              <w:rPr>
                <w:b/>
                <w:bCs/>
                <w:sz w:val="24"/>
              </w:rPr>
              <w:t>4</w:t>
            </w:r>
            <w:r>
              <w:rPr>
                <w:rFonts w:hint="eastAsia"/>
                <w:b/>
                <w:bCs/>
                <w:sz w:val="24"/>
              </w:rPr>
              <w:t>）固废环境管理要求</w:t>
            </w:r>
          </w:p>
          <w:p>
            <w:pPr>
              <w:spacing w:line="480" w:lineRule="exact"/>
              <w:ind w:firstLine="480" w:firstLineChars="200"/>
              <w:rPr>
                <w:sz w:val="24"/>
              </w:rPr>
            </w:pPr>
            <w:r>
              <w:rPr>
                <w:rFonts w:hint="eastAsia"/>
                <w:sz w:val="24"/>
              </w:rPr>
              <w:t>本环评要求，应做好厂内各固废分类收集，严格按照《一般工业固体废物贮存和填埋污染控制标准》（</w:t>
            </w:r>
            <w:r>
              <w:rPr>
                <w:sz w:val="24"/>
              </w:rPr>
              <w:t>GB18599-2020</w:t>
            </w:r>
            <w:r>
              <w:rPr>
                <w:rFonts w:hint="eastAsia"/>
                <w:sz w:val="24"/>
              </w:rPr>
              <w:t>）和《危险废物贮存污染控制标准》（</w:t>
            </w:r>
            <w:r>
              <w:rPr>
                <w:sz w:val="24"/>
              </w:rPr>
              <w:t>GB18597-2023</w:t>
            </w:r>
            <w:r>
              <w:rPr>
                <w:rFonts w:hint="eastAsia"/>
                <w:sz w:val="24"/>
              </w:rPr>
              <w:t>）要求。一般固废设置固废暂存区；生活垃圾设置垃圾桶；危险废物暂存间并做好防雨、防晒、防渗、防扬散和防火等措施，为重点防渗区，防止二次污染发生，并应按以下要求对危险废物的收集、暂存、转运等进行管理：</w:t>
            </w:r>
          </w:p>
          <w:p>
            <w:pPr>
              <w:spacing w:line="480" w:lineRule="exact"/>
              <w:ind w:firstLine="480" w:firstLineChars="200"/>
              <w:rPr>
                <w:sz w:val="24"/>
              </w:rPr>
            </w:pPr>
            <w:r>
              <w:rPr>
                <w:rFonts w:hint="eastAsia" w:ascii="宋体" w:hAnsi="宋体" w:cs="宋体"/>
                <w:sz w:val="24"/>
              </w:rPr>
              <w:t>①</w:t>
            </w:r>
            <w:r>
              <w:rPr>
                <w:rFonts w:hint="eastAsia"/>
                <w:sz w:val="24"/>
              </w:rPr>
              <w:t>危险废物的容器和包装物以及收集、暂存、转移、处置危险废物的设施、场所，必须按《危</w:t>
            </w:r>
            <w:r>
              <w:rPr>
                <w:sz w:val="24"/>
              </w:rPr>
              <w:t xml:space="preserve"> </w:t>
            </w:r>
            <w:r>
              <w:rPr>
                <w:rFonts w:hint="eastAsia"/>
                <w:sz w:val="24"/>
              </w:rPr>
              <w:t>险废物贮存控制标准》（</w:t>
            </w:r>
            <w:r>
              <w:rPr>
                <w:sz w:val="24"/>
              </w:rPr>
              <w:t>GB18597-2023</w:t>
            </w:r>
            <w:r>
              <w:rPr>
                <w:rFonts w:hint="eastAsia"/>
                <w:sz w:val="24"/>
              </w:rPr>
              <w:t>）设置危险废物识别标志。</w:t>
            </w:r>
            <w:r>
              <w:rPr>
                <w:sz w:val="24"/>
              </w:rPr>
              <w:t xml:space="preserve"> </w:t>
            </w:r>
          </w:p>
          <w:p>
            <w:pPr>
              <w:spacing w:line="480" w:lineRule="exact"/>
              <w:ind w:firstLine="480" w:firstLineChars="200"/>
              <w:rPr>
                <w:sz w:val="24"/>
              </w:rPr>
            </w:pPr>
            <w:r>
              <w:rPr>
                <w:rFonts w:hint="eastAsia" w:ascii="宋体" w:hAnsi="宋体" w:cs="宋体"/>
                <w:sz w:val="24"/>
              </w:rPr>
              <w:t>②</w:t>
            </w:r>
            <w:r>
              <w:rPr>
                <w:rFonts w:hint="eastAsia"/>
                <w:sz w:val="24"/>
              </w:rPr>
              <w:t>禁止车间随意倾倒、堆置危险废物。</w:t>
            </w:r>
            <w:r>
              <w:rPr>
                <w:sz w:val="24"/>
              </w:rPr>
              <w:t xml:space="preserve"> </w:t>
            </w:r>
          </w:p>
          <w:p>
            <w:pPr>
              <w:spacing w:line="480" w:lineRule="exact"/>
              <w:ind w:firstLine="480" w:firstLineChars="200"/>
              <w:rPr>
                <w:sz w:val="24"/>
              </w:rPr>
            </w:pPr>
            <w:r>
              <w:rPr>
                <w:rFonts w:hint="eastAsia" w:ascii="宋体" w:hAnsi="宋体" w:cs="宋体"/>
                <w:sz w:val="24"/>
              </w:rPr>
              <w:t>③</w:t>
            </w:r>
            <w:r>
              <w:rPr>
                <w:rFonts w:hint="eastAsia"/>
                <w:sz w:val="24"/>
              </w:rPr>
              <w:t>禁止将危险废物混入非危险废物中收集、暂存、转移、处置，收集、贮存、转移危险废物时，严格按照危险废物特性分类进行，防止混合收集、贮存、运输、转移性质不相容且未经安全性处置的危险废物。</w:t>
            </w:r>
            <w:r>
              <w:rPr>
                <w:sz w:val="24"/>
              </w:rPr>
              <w:t xml:space="preserve"> </w:t>
            </w:r>
          </w:p>
          <w:p>
            <w:pPr>
              <w:spacing w:line="480" w:lineRule="exact"/>
              <w:ind w:firstLine="480" w:firstLineChars="200"/>
              <w:rPr>
                <w:sz w:val="24"/>
              </w:rPr>
            </w:pPr>
            <w:r>
              <w:rPr>
                <w:rFonts w:hint="eastAsia" w:ascii="宋体" w:hAnsi="宋体" w:cs="宋体"/>
                <w:sz w:val="24"/>
              </w:rPr>
              <w:t>④</w:t>
            </w:r>
            <w:r>
              <w:rPr>
                <w:rFonts w:hint="eastAsia"/>
                <w:sz w:val="24"/>
              </w:rPr>
              <w:t>需要转移危险废物时，必须按照相关规定办理危险废物转移联单，未经批准，不得进行转移。</w:t>
            </w:r>
            <w:r>
              <w:rPr>
                <w:sz w:val="24"/>
              </w:rPr>
              <w:t xml:space="preserve"> </w:t>
            </w:r>
          </w:p>
          <w:p>
            <w:pPr>
              <w:spacing w:line="480" w:lineRule="exact"/>
              <w:ind w:firstLine="480" w:firstLineChars="200"/>
              <w:rPr>
                <w:sz w:val="24"/>
              </w:rPr>
            </w:pPr>
            <w:r>
              <w:rPr>
                <w:rFonts w:hint="eastAsia" w:ascii="宋体" w:hAnsi="宋体" w:cs="宋体"/>
                <w:sz w:val="24"/>
              </w:rPr>
              <w:t>⑤</w:t>
            </w:r>
            <w:r>
              <w:rPr>
                <w:rFonts w:hint="eastAsia"/>
                <w:sz w:val="24"/>
              </w:rPr>
              <w:t>根据生产实际情况，安全、有效地处理好停车和处理紧急事故过程中产生的危险废物，杜绝环境污染事故的发生。</w:t>
            </w:r>
            <w:r>
              <w:rPr>
                <w:sz w:val="24"/>
              </w:rPr>
              <w:t xml:space="preserve"> </w:t>
            </w:r>
          </w:p>
          <w:p>
            <w:pPr>
              <w:spacing w:line="480" w:lineRule="exact"/>
              <w:ind w:firstLine="480" w:firstLineChars="200"/>
              <w:rPr>
                <w:sz w:val="24"/>
              </w:rPr>
            </w:pPr>
            <w:r>
              <w:rPr>
                <w:rFonts w:hint="eastAsia" w:ascii="宋体" w:hAnsi="宋体" w:cs="宋体"/>
                <w:sz w:val="24"/>
              </w:rPr>
              <w:t>⑥</w:t>
            </w:r>
            <w:r>
              <w:rPr>
                <w:rFonts w:hint="eastAsia"/>
                <w:sz w:val="24"/>
              </w:rPr>
              <w:t>企业对产生的危险废物进行详细的登记，填写《危险废物产生贮存台</w:t>
            </w:r>
            <w:r>
              <w:rPr>
                <w:sz w:val="24"/>
              </w:rPr>
              <w:t xml:space="preserve"> </w:t>
            </w:r>
            <w:r>
              <w:rPr>
                <w:rFonts w:hint="eastAsia"/>
                <w:sz w:val="24"/>
              </w:rPr>
              <w:t>账》。</w:t>
            </w:r>
          </w:p>
          <w:p>
            <w:pPr>
              <w:spacing w:line="480" w:lineRule="exact"/>
              <w:ind w:firstLine="480" w:firstLineChars="200"/>
              <w:rPr>
                <w:sz w:val="24"/>
              </w:rPr>
            </w:pPr>
            <w:r>
              <w:rPr>
                <w:rFonts w:hint="eastAsia" w:ascii="宋体" w:hAnsi="宋体" w:cs="宋体"/>
                <w:sz w:val="24"/>
              </w:rPr>
              <w:t>⑦</w:t>
            </w:r>
            <w:r>
              <w:rPr>
                <w:rFonts w:hint="eastAsia"/>
                <w:sz w:val="24"/>
              </w:rPr>
              <w:t>对危险废物暂时贮存场所要加强管理，定期巡检，确保危险废物不扩散、不渗漏、不丢失等。</w:t>
            </w:r>
          </w:p>
          <w:p>
            <w:pPr>
              <w:spacing w:line="480" w:lineRule="exact"/>
              <w:ind w:firstLine="480" w:firstLineChars="200"/>
              <w:rPr>
                <w:sz w:val="24"/>
              </w:rPr>
            </w:pPr>
            <w:r>
              <w:rPr>
                <w:rFonts w:hint="eastAsia"/>
                <w:sz w:val="24"/>
              </w:rPr>
              <w:t>对危废暂存间具体要求如下：</w:t>
            </w:r>
            <w:r>
              <w:rPr>
                <w:sz w:val="24"/>
              </w:rPr>
              <w:t xml:space="preserve"> </w:t>
            </w:r>
          </w:p>
          <w:p>
            <w:pPr>
              <w:spacing w:line="480" w:lineRule="exact"/>
              <w:ind w:firstLine="480" w:firstLineChars="200"/>
              <w:rPr>
                <w:sz w:val="24"/>
              </w:rPr>
            </w:pPr>
            <w:r>
              <w:rPr>
                <w:rFonts w:hint="eastAsia" w:ascii="宋体" w:hAnsi="宋体" w:cs="宋体"/>
                <w:sz w:val="24"/>
              </w:rPr>
              <w:t>①</w:t>
            </w:r>
            <w:r>
              <w:rPr>
                <w:rFonts w:hint="eastAsia"/>
                <w:sz w:val="24"/>
              </w:rPr>
              <w:t>危险废物的贮存要求</w:t>
            </w:r>
            <w:r>
              <w:rPr>
                <w:sz w:val="24"/>
              </w:rPr>
              <w:t xml:space="preserve"> </w:t>
            </w:r>
          </w:p>
          <w:p>
            <w:pPr>
              <w:spacing w:line="480" w:lineRule="exact"/>
              <w:ind w:firstLine="480" w:firstLineChars="200"/>
              <w:rPr>
                <w:sz w:val="24"/>
              </w:rPr>
            </w:pPr>
            <w:r>
              <w:rPr>
                <w:rFonts w:hint="eastAsia"/>
                <w:sz w:val="24"/>
              </w:rPr>
              <w:t>为防止危险废物处置不当引发环境污染事件，危险废物暂存区应按照《危</w:t>
            </w:r>
            <w:r>
              <w:rPr>
                <w:sz w:val="24"/>
              </w:rPr>
              <w:t xml:space="preserve"> </w:t>
            </w:r>
            <w:r>
              <w:rPr>
                <w:rFonts w:hint="eastAsia"/>
                <w:sz w:val="24"/>
              </w:rPr>
              <w:t>险废物贮存控制标准》（</w:t>
            </w:r>
            <w:r>
              <w:rPr>
                <w:sz w:val="24"/>
              </w:rPr>
              <w:t>GB18597-2023</w:t>
            </w:r>
            <w:r>
              <w:rPr>
                <w:rFonts w:hint="eastAsia"/>
                <w:sz w:val="24"/>
              </w:rPr>
              <w:t>）的有关规定进行贮存，并应由专门人负责管理，为防止危险固废堆放期间对环境产生不利影响，应采取以下措施：</w:t>
            </w:r>
            <w:r>
              <w:rPr>
                <w:sz w:val="24"/>
              </w:rPr>
              <w:t xml:space="preserve"> </w:t>
            </w:r>
          </w:p>
          <w:p>
            <w:pPr>
              <w:spacing w:line="480" w:lineRule="exact"/>
              <w:ind w:firstLine="480" w:firstLineChars="200"/>
              <w:rPr>
                <w:sz w:val="24"/>
              </w:rPr>
            </w:pPr>
            <w:r>
              <w:rPr>
                <w:sz w:val="24"/>
              </w:rPr>
              <w:t xml:space="preserve">a. </w:t>
            </w:r>
            <w:r>
              <w:rPr>
                <w:rFonts w:hint="eastAsia"/>
                <w:sz w:val="24"/>
              </w:rPr>
              <w:t>废物分类编号，用固定的容器密闭贮存。废弃物进入危险废物暂存区</w:t>
            </w:r>
            <w:r>
              <w:rPr>
                <w:sz w:val="24"/>
              </w:rPr>
              <w:t xml:space="preserve"> </w:t>
            </w:r>
            <w:r>
              <w:rPr>
                <w:rFonts w:hint="eastAsia"/>
                <w:sz w:val="24"/>
              </w:rPr>
              <w:t>前，均需填写进场清单，经核准后方可存入危险暂存区。</w:t>
            </w:r>
            <w:r>
              <w:rPr>
                <w:sz w:val="24"/>
              </w:rPr>
              <w:t xml:space="preserve"> </w:t>
            </w:r>
          </w:p>
          <w:p>
            <w:pPr>
              <w:spacing w:line="480" w:lineRule="exact"/>
              <w:ind w:firstLine="480" w:firstLineChars="200"/>
              <w:rPr>
                <w:sz w:val="24"/>
              </w:rPr>
            </w:pPr>
            <w:r>
              <w:rPr>
                <w:sz w:val="24"/>
              </w:rPr>
              <w:t xml:space="preserve">b. </w:t>
            </w:r>
            <w:r>
              <w:rPr>
                <w:rFonts w:hint="eastAsia"/>
                <w:sz w:val="24"/>
              </w:rPr>
              <w:t>按</w:t>
            </w:r>
            <w:r>
              <w:rPr>
                <w:sz w:val="24"/>
              </w:rPr>
              <w:t>GB15562.2</w:t>
            </w:r>
            <w:r>
              <w:rPr>
                <w:rFonts w:hint="eastAsia"/>
                <w:sz w:val="24"/>
              </w:rPr>
              <w:t>《环境保护图形标识</w:t>
            </w:r>
            <w:r>
              <w:rPr>
                <w:sz w:val="24"/>
              </w:rPr>
              <w:t>-</w:t>
            </w:r>
            <w:r>
              <w:rPr>
                <w:rFonts w:hint="eastAsia"/>
                <w:sz w:val="24"/>
              </w:rPr>
              <w:t>固体废物贮存（处理）场》设置警</w:t>
            </w:r>
            <w:r>
              <w:rPr>
                <w:sz w:val="24"/>
              </w:rPr>
              <w:t xml:space="preserve"> </w:t>
            </w:r>
            <w:r>
              <w:rPr>
                <w:rFonts w:hint="eastAsia"/>
                <w:sz w:val="24"/>
              </w:rPr>
              <w:t>示标志，盛装含有危险废物的容器上必须粘贴符合标准要求的标签，表明贮存日期、名称、成份、数量及特性。</w:t>
            </w:r>
            <w:r>
              <w:rPr>
                <w:sz w:val="24"/>
              </w:rPr>
              <w:t xml:space="preserve"> </w:t>
            </w:r>
          </w:p>
          <w:p>
            <w:pPr>
              <w:spacing w:line="480" w:lineRule="exact"/>
              <w:ind w:firstLine="480" w:firstLineChars="200"/>
              <w:rPr>
                <w:sz w:val="24"/>
              </w:rPr>
            </w:pPr>
            <w:r>
              <w:rPr>
                <w:sz w:val="24"/>
              </w:rPr>
              <w:t xml:space="preserve">c. </w:t>
            </w:r>
            <w:r>
              <w:rPr>
                <w:rFonts w:hint="eastAsia"/>
                <w:sz w:val="24"/>
              </w:rPr>
              <w:t>危废暂存区地面做防渗处理，表面铺设防渗层，防渗层为至少</w:t>
            </w:r>
            <w:r>
              <w:rPr>
                <w:sz w:val="24"/>
              </w:rPr>
              <w:t>1m</w:t>
            </w:r>
            <w:r>
              <w:rPr>
                <w:rFonts w:hint="eastAsia"/>
                <w:sz w:val="24"/>
              </w:rPr>
              <w:t>厚黏土层（渗透系数</w:t>
            </w:r>
            <w:r>
              <w:rPr>
                <w:sz w:val="24"/>
              </w:rPr>
              <w:t>≤10</w:t>
            </w:r>
            <w:r>
              <w:rPr>
                <w:sz w:val="24"/>
                <w:vertAlign w:val="superscript"/>
              </w:rPr>
              <w:t>-7</w:t>
            </w:r>
            <w:r>
              <w:rPr>
                <w:sz w:val="24"/>
              </w:rPr>
              <w:t>cm/s</w:t>
            </w:r>
            <w:r>
              <w:rPr>
                <w:rFonts w:hint="eastAsia"/>
                <w:sz w:val="24"/>
              </w:rPr>
              <w:t>），或</w:t>
            </w:r>
            <w:r>
              <w:rPr>
                <w:sz w:val="24"/>
              </w:rPr>
              <w:t>2mm</w:t>
            </w:r>
            <w:r>
              <w:rPr>
                <w:rFonts w:hint="eastAsia"/>
                <w:sz w:val="24"/>
              </w:rPr>
              <w:t>厚高密度聚乙烯，或至少</w:t>
            </w:r>
            <w:r>
              <w:rPr>
                <w:sz w:val="24"/>
              </w:rPr>
              <w:t>2mm</w:t>
            </w:r>
            <w:r>
              <w:rPr>
                <w:rFonts w:hint="eastAsia"/>
                <w:sz w:val="24"/>
              </w:rPr>
              <w:t>厚的其他人供材料（渗透系数</w:t>
            </w:r>
            <w:r>
              <w:rPr>
                <w:sz w:val="24"/>
              </w:rPr>
              <w:t>≤10</w:t>
            </w:r>
            <w:r>
              <w:rPr>
                <w:sz w:val="24"/>
                <w:vertAlign w:val="superscript"/>
              </w:rPr>
              <w:t>-10</w:t>
            </w:r>
            <w:r>
              <w:rPr>
                <w:sz w:val="24"/>
              </w:rPr>
              <w:t>cm/s</w:t>
            </w:r>
            <w:r>
              <w:rPr>
                <w:rFonts w:hint="eastAsia"/>
                <w:sz w:val="24"/>
              </w:rPr>
              <w:t>），地面无裂痕，设施底部必须高于地下水最高水位。不得露天堆放，场四周设雨水沟，防治雨水流入暂存区。</w:t>
            </w:r>
            <w:r>
              <w:rPr>
                <w:sz w:val="24"/>
              </w:rPr>
              <w:t xml:space="preserve"> </w:t>
            </w:r>
          </w:p>
          <w:p>
            <w:pPr>
              <w:spacing w:line="480" w:lineRule="exact"/>
              <w:ind w:firstLine="480" w:firstLineChars="200"/>
              <w:rPr>
                <w:sz w:val="24"/>
              </w:rPr>
            </w:pPr>
            <w:r>
              <w:rPr>
                <w:sz w:val="24"/>
              </w:rPr>
              <w:t xml:space="preserve"> </w:t>
            </w:r>
            <w:r>
              <w:rPr>
                <w:rFonts w:hint="eastAsia" w:ascii="宋体" w:hAnsi="宋体" w:cs="宋体"/>
                <w:sz w:val="24"/>
              </w:rPr>
              <w:t>②</w:t>
            </w:r>
            <w:r>
              <w:rPr>
                <w:rFonts w:hint="eastAsia"/>
                <w:sz w:val="24"/>
              </w:rPr>
              <w:t>危险废物的出厂运输</w:t>
            </w:r>
            <w:r>
              <w:rPr>
                <w:sz w:val="24"/>
              </w:rPr>
              <w:t xml:space="preserve"> </w:t>
            </w:r>
          </w:p>
          <w:p>
            <w:pPr>
              <w:spacing w:line="480" w:lineRule="exact"/>
              <w:ind w:firstLine="480" w:firstLineChars="200"/>
              <w:rPr>
                <w:sz w:val="24"/>
              </w:rPr>
            </w:pPr>
            <w:r>
              <w:rPr>
                <w:rFonts w:hint="eastAsia"/>
                <w:sz w:val="24"/>
              </w:rPr>
              <w:t>危险废物出厂运输应采取危险废物转移</w:t>
            </w:r>
            <w:r>
              <w:rPr>
                <w:sz w:val="24"/>
              </w:rPr>
              <w:t>“</w:t>
            </w:r>
            <w:r>
              <w:rPr>
                <w:rFonts w:hint="eastAsia"/>
                <w:sz w:val="24"/>
              </w:rPr>
              <w:t>五联单</w:t>
            </w:r>
            <w:r>
              <w:rPr>
                <w:sz w:val="24"/>
              </w:rPr>
              <w:t>”</w:t>
            </w:r>
            <w:r>
              <w:rPr>
                <w:rFonts w:hint="eastAsia"/>
                <w:sz w:val="24"/>
              </w:rPr>
              <w:t>制度，保证运输安全，防止非法转移和非法处理，保证危险废物的安全监控，防治危险废物污染事故发生。</w:t>
            </w:r>
            <w:r>
              <w:rPr>
                <w:sz w:val="24"/>
              </w:rPr>
              <w:t>“</w:t>
            </w:r>
            <w:r>
              <w:rPr>
                <w:rFonts w:hint="eastAsia"/>
                <w:sz w:val="24"/>
              </w:rPr>
              <w:t>五联单</w:t>
            </w:r>
            <w:r>
              <w:rPr>
                <w:sz w:val="24"/>
              </w:rPr>
              <w:t>”</w:t>
            </w:r>
            <w:r>
              <w:rPr>
                <w:rFonts w:hint="eastAsia"/>
                <w:sz w:val="24"/>
              </w:rPr>
              <w:t>中第一联由废物产生者送交环保局，第二联由废物产生者保管，</w:t>
            </w:r>
            <w:r>
              <w:rPr>
                <w:sz w:val="24"/>
              </w:rPr>
              <w:t xml:space="preserve"> </w:t>
            </w:r>
            <w:r>
              <w:rPr>
                <w:rFonts w:hint="eastAsia"/>
                <w:sz w:val="24"/>
              </w:rPr>
              <w:t>第三联由处置场工作人员送交环保局，第四联由处置场工作人员保存，第五联由废物运输者保存。并且危险废物转移必须填写报告单。在转移的过程中，报告单始终跟随着危险废物，以防止危险废物的非法转移和非法处置，保证危险废物的安全监控，方式危险废物的流失和污染事故的发生。</w:t>
            </w:r>
            <w:r>
              <w:rPr>
                <w:sz w:val="24"/>
              </w:rPr>
              <w:t xml:space="preserve"> </w:t>
            </w:r>
          </w:p>
          <w:p>
            <w:pPr>
              <w:adjustRightInd w:val="0"/>
              <w:snapToGrid w:val="0"/>
              <w:spacing w:line="360" w:lineRule="auto"/>
              <w:ind w:firstLine="480" w:firstLineChars="200"/>
              <w:jc w:val="left"/>
              <w:rPr>
                <w:bCs/>
                <w:sz w:val="24"/>
              </w:rPr>
            </w:pPr>
            <w:r>
              <w:rPr>
                <w:rFonts w:hint="eastAsia"/>
                <w:sz w:val="24"/>
              </w:rPr>
              <w:t>以上处置措施可保证项目产生的一般固废和危险固废均能得到安全和妥</w:t>
            </w:r>
            <w:r>
              <w:rPr>
                <w:sz w:val="24"/>
              </w:rPr>
              <w:t xml:space="preserve"> </w:t>
            </w:r>
            <w:r>
              <w:rPr>
                <w:rFonts w:hint="eastAsia"/>
                <w:sz w:val="24"/>
              </w:rPr>
              <w:t>善的处理，不会因长期堆放而对周围环境造成不利影响，固废处置措施有效可行，能够做到资源化、无害化，不对外随意排放。综上所述，固体废弃物均得到妥善处理，对环境产生的影响较小。</w:t>
            </w:r>
          </w:p>
          <w:p>
            <w:pPr>
              <w:adjustRightInd w:val="0"/>
              <w:snapToGrid w:val="0"/>
              <w:spacing w:line="360" w:lineRule="auto"/>
              <w:ind w:firstLine="482" w:firstLineChars="200"/>
              <w:jc w:val="left"/>
              <w:rPr>
                <w:b/>
                <w:sz w:val="24"/>
              </w:rPr>
            </w:pPr>
            <w:r>
              <w:rPr>
                <w:b/>
                <w:sz w:val="24"/>
              </w:rPr>
              <w:t>5</w:t>
            </w:r>
            <w:r>
              <w:rPr>
                <w:rFonts w:hint="eastAsia"/>
                <w:b/>
                <w:sz w:val="24"/>
              </w:rPr>
              <w:t>、地下水、土壤</w:t>
            </w:r>
          </w:p>
          <w:p>
            <w:pPr>
              <w:adjustRightInd w:val="0"/>
              <w:snapToGrid w:val="0"/>
              <w:spacing w:line="360" w:lineRule="auto"/>
              <w:ind w:firstLine="480" w:firstLineChars="200"/>
              <w:jc w:val="left"/>
              <w:rPr>
                <w:bCs/>
                <w:sz w:val="24"/>
              </w:rPr>
            </w:pPr>
            <w:r>
              <w:rPr>
                <w:rFonts w:hint="eastAsia"/>
                <w:bCs/>
                <w:sz w:val="24"/>
              </w:rPr>
              <w:t>（</w:t>
            </w:r>
            <w:r>
              <w:rPr>
                <w:bCs/>
                <w:sz w:val="24"/>
              </w:rPr>
              <w:t>1</w:t>
            </w:r>
            <w:r>
              <w:rPr>
                <w:rFonts w:hint="eastAsia"/>
                <w:bCs/>
                <w:sz w:val="24"/>
              </w:rPr>
              <w:t>）地下水环境影响分析</w:t>
            </w:r>
          </w:p>
          <w:p>
            <w:pPr>
              <w:adjustRightInd w:val="0"/>
              <w:snapToGrid w:val="0"/>
              <w:spacing w:line="360" w:lineRule="auto"/>
              <w:ind w:firstLine="480" w:firstLineChars="200"/>
              <w:jc w:val="left"/>
              <w:rPr>
                <w:bCs/>
                <w:sz w:val="24"/>
              </w:rPr>
            </w:pPr>
            <w:r>
              <w:rPr>
                <w:rFonts w:hint="eastAsia"/>
                <w:bCs/>
                <w:sz w:val="24"/>
              </w:rPr>
              <w:t>本项目生活污水由化粪池处理后排入市政管网，冷却水循环使用，不外排。废水对地下水、土壤基本无影响。</w:t>
            </w:r>
          </w:p>
          <w:p>
            <w:pPr>
              <w:adjustRightInd w:val="0"/>
              <w:snapToGrid w:val="0"/>
              <w:spacing w:line="360" w:lineRule="auto"/>
              <w:ind w:firstLine="480" w:firstLineChars="200"/>
              <w:jc w:val="left"/>
              <w:rPr>
                <w:bCs/>
                <w:sz w:val="24"/>
              </w:rPr>
            </w:pPr>
            <w:r>
              <w:rPr>
                <w:rFonts w:hint="eastAsia"/>
                <w:bCs/>
                <w:sz w:val="24"/>
              </w:rPr>
              <w:t>本项目环评要求对厂区地面采取硬化措施；化粪池采取防渗措施；危废间地面采取硬化、防渗措施。日常运营中加强管理，严格按照危废管理制度和危废贮存要求贮存，采取措施后，基本切断了跑、冒、滴、漏的废水和物料进入土壤和地下水的途径，污染物一般不会直接渗入地下土壤进而污染地下水。因此，在落实以上措施后基本不存在污水渗漏引起的地下水及土壤污染的环境问题。项目厂区分区防渗情况见表</w:t>
            </w:r>
            <w:r>
              <w:rPr>
                <w:bCs/>
                <w:sz w:val="24"/>
              </w:rPr>
              <w:t>4-15</w:t>
            </w:r>
            <w:r>
              <w:rPr>
                <w:rFonts w:hint="eastAsia"/>
                <w:bCs/>
                <w:sz w:val="24"/>
              </w:rPr>
              <w:t>。</w:t>
            </w:r>
          </w:p>
          <w:p>
            <w:pPr>
              <w:pStyle w:val="44"/>
            </w:pPr>
            <w:r>
              <w:rPr>
                <w:rFonts w:hint="eastAsia"/>
              </w:rPr>
              <w:t>表</w:t>
            </w:r>
            <w:r>
              <w:t xml:space="preserve">4-15   </w:t>
            </w:r>
            <w:r>
              <w:rPr>
                <w:rFonts w:hint="eastAsia"/>
              </w:rPr>
              <w:t>项目分区防渗表</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367"/>
              <w:gridCol w:w="2154"/>
              <w:gridCol w:w="514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032" w:type="pct"/>
                  <w:gridSpan w:val="2"/>
                  <w:tcBorders>
                    <w:top w:val="single" w:color="000000" w:sz="12" w:space="0"/>
                    <w:left w:val="single" w:color="000000" w:sz="12" w:space="0"/>
                    <w:bottom w:val="single" w:color="000000" w:sz="4" w:space="0"/>
                    <w:right w:val="single" w:color="000000" w:sz="4" w:space="0"/>
                  </w:tcBorders>
                  <w:vAlign w:val="center"/>
                </w:tcPr>
                <w:p>
                  <w:pPr>
                    <w:widowControl/>
                    <w:autoSpaceDE w:val="0"/>
                    <w:autoSpaceDN w:val="0"/>
                    <w:snapToGrid w:val="0"/>
                    <w:jc w:val="center"/>
                    <w:rPr>
                      <w:b/>
                      <w:bCs/>
                      <w:kern w:val="0"/>
                      <w:szCs w:val="21"/>
                    </w:rPr>
                  </w:pPr>
                  <w:r>
                    <w:rPr>
                      <w:rFonts w:hint="eastAsia"/>
                      <w:b/>
                      <w:bCs/>
                      <w:kern w:val="0"/>
                      <w:szCs w:val="21"/>
                    </w:rPr>
                    <w:t>防治分区</w:t>
                  </w:r>
                </w:p>
              </w:tc>
              <w:tc>
                <w:tcPr>
                  <w:tcW w:w="2967" w:type="pct"/>
                  <w:tcBorders>
                    <w:top w:val="single" w:color="000000" w:sz="12" w:space="0"/>
                    <w:left w:val="single" w:color="000000" w:sz="4" w:space="0"/>
                    <w:bottom w:val="single" w:color="000000" w:sz="4" w:space="0"/>
                    <w:right w:val="single" w:color="000000" w:sz="12" w:space="0"/>
                  </w:tcBorders>
                  <w:vAlign w:val="center"/>
                </w:tcPr>
                <w:p>
                  <w:pPr>
                    <w:widowControl/>
                    <w:autoSpaceDE w:val="0"/>
                    <w:autoSpaceDN w:val="0"/>
                    <w:snapToGrid w:val="0"/>
                    <w:jc w:val="center"/>
                    <w:rPr>
                      <w:b/>
                      <w:bCs/>
                      <w:kern w:val="0"/>
                      <w:szCs w:val="21"/>
                    </w:rPr>
                  </w:pPr>
                  <w:r>
                    <w:rPr>
                      <w:rFonts w:hint="eastAsia"/>
                      <w:b/>
                      <w:bCs/>
                      <w:kern w:val="0"/>
                      <w:szCs w:val="21"/>
                    </w:rPr>
                    <w:t>分区防渗要求及措施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89"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kern w:val="0"/>
                      <w:szCs w:val="21"/>
                    </w:rPr>
                  </w:pPr>
                  <w:r>
                    <w:rPr>
                      <w:rFonts w:hint="eastAsia"/>
                      <w:kern w:val="0"/>
                      <w:szCs w:val="21"/>
                    </w:rPr>
                    <w:t>重点防渗区</w:t>
                  </w:r>
                </w:p>
              </w:tc>
              <w:tc>
                <w:tcPr>
                  <w:tcW w:w="12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rFonts w:hint="eastAsia"/>
                      <w:szCs w:val="21"/>
                    </w:rPr>
                    <w:t>危废暂存间</w:t>
                  </w:r>
                </w:p>
              </w:tc>
              <w:tc>
                <w:tcPr>
                  <w:tcW w:w="2967" w:type="pct"/>
                  <w:tcBorders>
                    <w:top w:val="single" w:color="000000" w:sz="4" w:space="0"/>
                    <w:left w:val="single" w:color="000000" w:sz="4" w:space="0"/>
                    <w:bottom w:val="single" w:color="000000" w:sz="4" w:space="0"/>
                    <w:right w:val="single" w:color="000000" w:sz="12" w:space="0"/>
                  </w:tcBorders>
                  <w:vAlign w:val="center"/>
                </w:tcPr>
                <w:p>
                  <w:pPr>
                    <w:autoSpaceDE w:val="0"/>
                    <w:autoSpaceDN w:val="0"/>
                    <w:jc w:val="center"/>
                    <w:rPr>
                      <w:szCs w:val="21"/>
                    </w:rPr>
                  </w:pPr>
                  <w:r>
                    <w:rPr>
                      <w:rFonts w:hint="eastAsia"/>
                      <w:szCs w:val="21"/>
                    </w:rPr>
                    <w:t>按《危险废物贮存污染控制标准》采取防渗措施，采用</w:t>
                  </w:r>
                  <w:r>
                    <w:rPr>
                      <w:szCs w:val="21"/>
                    </w:rPr>
                    <w:t>P8</w:t>
                  </w:r>
                  <w:r>
                    <w:rPr>
                      <w:rFonts w:hint="eastAsia"/>
                      <w:szCs w:val="21"/>
                    </w:rPr>
                    <w:t>抗渗混凝土</w:t>
                  </w:r>
                  <w:r>
                    <w:rPr>
                      <w:szCs w:val="21"/>
                    </w:rPr>
                    <w:t>+</w:t>
                  </w:r>
                  <w:r>
                    <w:rPr>
                      <w:rFonts w:hint="eastAsia"/>
                      <w:szCs w:val="21"/>
                    </w:rPr>
                    <w:t>环氧树脂地坪漆进行防渗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789" w:type="pct"/>
                  <w:tcBorders>
                    <w:top w:val="single" w:color="000000" w:sz="4" w:space="0"/>
                    <w:left w:val="single" w:color="000000" w:sz="12" w:space="0"/>
                    <w:bottom w:val="single" w:color="000000" w:sz="12" w:space="0"/>
                    <w:right w:val="single" w:color="000000" w:sz="4" w:space="0"/>
                  </w:tcBorders>
                  <w:vAlign w:val="center"/>
                </w:tcPr>
                <w:p>
                  <w:pPr>
                    <w:widowControl/>
                    <w:autoSpaceDE w:val="0"/>
                    <w:autoSpaceDN w:val="0"/>
                    <w:snapToGrid w:val="0"/>
                    <w:jc w:val="center"/>
                    <w:rPr>
                      <w:kern w:val="0"/>
                      <w:szCs w:val="21"/>
                    </w:rPr>
                  </w:pPr>
                  <w:r>
                    <w:rPr>
                      <w:rFonts w:hint="eastAsia"/>
                      <w:kern w:val="0"/>
                      <w:szCs w:val="21"/>
                    </w:rPr>
                    <w:t>简单防渗区</w:t>
                  </w:r>
                </w:p>
              </w:tc>
              <w:tc>
                <w:tcPr>
                  <w:tcW w:w="1242" w:type="pct"/>
                  <w:tcBorders>
                    <w:top w:val="single" w:color="000000" w:sz="4" w:space="0"/>
                    <w:left w:val="single" w:color="000000" w:sz="4" w:space="0"/>
                    <w:bottom w:val="single" w:color="000000" w:sz="12" w:space="0"/>
                    <w:right w:val="single" w:color="000000" w:sz="4" w:space="0"/>
                  </w:tcBorders>
                  <w:vAlign w:val="center"/>
                </w:tcPr>
                <w:p>
                  <w:pPr>
                    <w:autoSpaceDE w:val="0"/>
                    <w:autoSpaceDN w:val="0"/>
                    <w:jc w:val="center"/>
                    <w:rPr>
                      <w:szCs w:val="21"/>
                    </w:rPr>
                  </w:pPr>
                  <w:r>
                    <w:rPr>
                      <w:rFonts w:hint="eastAsia"/>
                      <w:szCs w:val="21"/>
                    </w:rPr>
                    <w:t>生产车间、库房</w:t>
                  </w:r>
                </w:p>
              </w:tc>
              <w:tc>
                <w:tcPr>
                  <w:tcW w:w="2967" w:type="pct"/>
                  <w:tcBorders>
                    <w:top w:val="single" w:color="000000" w:sz="4" w:space="0"/>
                    <w:left w:val="single" w:color="000000" w:sz="4" w:space="0"/>
                    <w:bottom w:val="single" w:color="000000" w:sz="12" w:space="0"/>
                    <w:right w:val="single" w:color="000000" w:sz="12" w:space="0"/>
                  </w:tcBorders>
                  <w:vAlign w:val="center"/>
                </w:tcPr>
                <w:p>
                  <w:pPr>
                    <w:autoSpaceDE w:val="0"/>
                    <w:autoSpaceDN w:val="0"/>
                    <w:jc w:val="center"/>
                    <w:rPr>
                      <w:szCs w:val="21"/>
                    </w:rPr>
                  </w:pPr>
                  <w:r>
                    <w:rPr>
                      <w:rFonts w:hint="eastAsia"/>
                      <w:szCs w:val="21"/>
                    </w:rPr>
                    <w:t>一般硬化即可</w:t>
                  </w:r>
                </w:p>
              </w:tc>
            </w:tr>
          </w:tbl>
          <w:p>
            <w:pPr>
              <w:adjustRightInd w:val="0"/>
              <w:snapToGrid w:val="0"/>
              <w:spacing w:line="360" w:lineRule="auto"/>
              <w:ind w:firstLine="482" w:firstLineChars="200"/>
              <w:jc w:val="left"/>
              <w:rPr>
                <w:b/>
                <w:sz w:val="24"/>
              </w:rPr>
            </w:pPr>
            <w:r>
              <w:rPr>
                <w:b/>
                <w:sz w:val="24"/>
              </w:rPr>
              <w:t>6</w:t>
            </w:r>
            <w:r>
              <w:rPr>
                <w:rFonts w:hint="eastAsia"/>
                <w:b/>
                <w:sz w:val="24"/>
              </w:rPr>
              <w:t>、环境风险</w:t>
            </w:r>
          </w:p>
          <w:p>
            <w:pPr>
              <w:adjustRightInd w:val="0"/>
              <w:snapToGrid w:val="0"/>
              <w:spacing w:line="360" w:lineRule="auto"/>
              <w:ind w:firstLine="480" w:firstLineChars="200"/>
              <w:jc w:val="left"/>
              <w:rPr>
                <w:bCs/>
                <w:sz w:val="24"/>
              </w:rPr>
            </w:pPr>
            <w:r>
              <w:rPr>
                <w:rFonts w:hint="eastAsia"/>
                <w:bCs/>
                <w:sz w:val="24"/>
              </w:rPr>
              <w:t>（</w:t>
            </w:r>
            <w:r>
              <w:rPr>
                <w:bCs/>
                <w:sz w:val="24"/>
              </w:rPr>
              <w:t>1</w:t>
            </w:r>
            <w:r>
              <w:rPr>
                <w:rFonts w:hint="eastAsia"/>
                <w:bCs/>
                <w:sz w:val="24"/>
              </w:rPr>
              <w:t>）风险源调查</w:t>
            </w:r>
          </w:p>
          <w:p>
            <w:pPr>
              <w:adjustRightInd w:val="0"/>
              <w:snapToGrid w:val="0"/>
              <w:spacing w:line="360" w:lineRule="auto"/>
              <w:ind w:firstLine="480" w:firstLineChars="200"/>
              <w:jc w:val="left"/>
              <w:rPr>
                <w:bCs/>
                <w:sz w:val="24"/>
              </w:rPr>
            </w:pPr>
            <w:r>
              <w:rPr>
                <w:rFonts w:hint="eastAsia"/>
                <w:bCs/>
                <w:sz w:val="24"/>
              </w:rPr>
              <w:t>风险物质：根据《建设项目环境风险评价技术导则》（</w:t>
            </w:r>
            <w:r>
              <w:rPr>
                <w:bCs/>
                <w:sz w:val="24"/>
              </w:rPr>
              <w:t>HJ169-2018</w:t>
            </w:r>
            <w:r>
              <w:rPr>
                <w:rFonts w:hint="eastAsia"/>
                <w:bCs/>
                <w:sz w:val="24"/>
              </w:rPr>
              <w:t>）附录</w:t>
            </w:r>
            <w:r>
              <w:rPr>
                <w:bCs/>
                <w:sz w:val="24"/>
              </w:rPr>
              <w:t>B</w:t>
            </w:r>
            <w:r>
              <w:rPr>
                <w:rFonts w:hint="eastAsia"/>
                <w:bCs/>
                <w:sz w:val="24"/>
              </w:rPr>
              <w:t>，本项目涉及的风险物质主要为液压油、润滑油、废润滑油、废液压油，。</w:t>
            </w:r>
          </w:p>
          <w:p>
            <w:pPr>
              <w:pStyle w:val="44"/>
            </w:pPr>
            <w:r>
              <w:rPr>
                <w:rFonts w:hint="eastAsia"/>
              </w:rPr>
              <w:t>表</w:t>
            </w:r>
            <w:r>
              <w:t xml:space="preserve">4-16   </w:t>
            </w:r>
            <w:r>
              <w:rPr>
                <w:rFonts w:hint="eastAsia"/>
              </w:rPr>
              <w:t>危险物质及临界量表</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51"/>
              <w:gridCol w:w="4695"/>
              <w:gridCol w:w="1760"/>
              <w:gridCol w:w="135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1" w:type="pct"/>
                  <w:tcBorders>
                    <w:top w:val="single" w:color="000000" w:sz="12" w:space="0"/>
                    <w:left w:val="single" w:color="000000" w:sz="12" w:space="0"/>
                    <w:bottom w:val="single" w:color="000000" w:sz="4" w:space="0"/>
                    <w:right w:val="single" w:color="000000" w:sz="4" w:space="0"/>
                  </w:tcBorders>
                  <w:vAlign w:val="center"/>
                </w:tcPr>
                <w:p>
                  <w:pPr>
                    <w:widowControl/>
                    <w:autoSpaceDE w:val="0"/>
                    <w:autoSpaceDN w:val="0"/>
                    <w:snapToGrid w:val="0"/>
                    <w:jc w:val="center"/>
                    <w:rPr>
                      <w:b/>
                      <w:bCs/>
                      <w:kern w:val="0"/>
                      <w:szCs w:val="21"/>
                    </w:rPr>
                  </w:pPr>
                  <w:r>
                    <w:rPr>
                      <w:rFonts w:hint="eastAsia"/>
                      <w:b/>
                      <w:bCs/>
                      <w:kern w:val="0"/>
                      <w:szCs w:val="21"/>
                    </w:rPr>
                    <w:t>序号</w:t>
                  </w:r>
                </w:p>
              </w:tc>
              <w:tc>
                <w:tcPr>
                  <w:tcW w:w="2709" w:type="pct"/>
                  <w:tcBorders>
                    <w:top w:val="single" w:color="000000" w:sz="12" w:space="0"/>
                    <w:left w:val="single" w:color="000000" w:sz="4" w:space="0"/>
                    <w:bottom w:val="single" w:color="000000" w:sz="4" w:space="0"/>
                    <w:right w:val="single" w:color="000000" w:sz="4" w:space="0"/>
                  </w:tcBorders>
                  <w:vAlign w:val="center"/>
                </w:tcPr>
                <w:p>
                  <w:pPr>
                    <w:widowControl/>
                    <w:autoSpaceDE w:val="0"/>
                    <w:autoSpaceDN w:val="0"/>
                    <w:snapToGrid w:val="0"/>
                    <w:jc w:val="center"/>
                    <w:rPr>
                      <w:b/>
                      <w:bCs/>
                      <w:kern w:val="0"/>
                      <w:szCs w:val="21"/>
                    </w:rPr>
                  </w:pPr>
                  <w:r>
                    <w:rPr>
                      <w:rFonts w:hint="eastAsia"/>
                      <w:b/>
                      <w:bCs/>
                      <w:kern w:val="0"/>
                      <w:szCs w:val="21"/>
                    </w:rPr>
                    <w:t>危险物质名称</w:t>
                  </w:r>
                </w:p>
              </w:tc>
              <w:tc>
                <w:tcPr>
                  <w:tcW w:w="1016" w:type="pct"/>
                  <w:tcBorders>
                    <w:top w:val="single" w:color="000000" w:sz="12" w:space="0"/>
                    <w:left w:val="single" w:color="000000" w:sz="4" w:space="0"/>
                    <w:bottom w:val="single" w:color="000000" w:sz="4" w:space="0"/>
                    <w:right w:val="single" w:color="000000" w:sz="4" w:space="0"/>
                  </w:tcBorders>
                  <w:vAlign w:val="center"/>
                </w:tcPr>
                <w:p>
                  <w:pPr>
                    <w:widowControl/>
                    <w:autoSpaceDE w:val="0"/>
                    <w:autoSpaceDN w:val="0"/>
                    <w:snapToGrid w:val="0"/>
                    <w:jc w:val="center"/>
                    <w:rPr>
                      <w:b/>
                      <w:bCs/>
                      <w:kern w:val="0"/>
                      <w:szCs w:val="21"/>
                    </w:rPr>
                  </w:pPr>
                  <w:r>
                    <w:rPr>
                      <w:rFonts w:hint="eastAsia"/>
                      <w:b/>
                      <w:bCs/>
                      <w:kern w:val="0"/>
                      <w:szCs w:val="21"/>
                    </w:rPr>
                    <w:t>最大存在量（</w:t>
                  </w:r>
                  <w:r>
                    <w:rPr>
                      <w:b/>
                      <w:bCs/>
                      <w:kern w:val="0"/>
                      <w:szCs w:val="21"/>
                    </w:rPr>
                    <w:t>t</w:t>
                  </w:r>
                  <w:r>
                    <w:rPr>
                      <w:rFonts w:hint="eastAsia"/>
                      <w:b/>
                      <w:bCs/>
                      <w:kern w:val="0"/>
                      <w:szCs w:val="21"/>
                    </w:rPr>
                    <w:t>）</w:t>
                  </w:r>
                </w:p>
              </w:tc>
              <w:tc>
                <w:tcPr>
                  <w:tcW w:w="783" w:type="pct"/>
                  <w:tcBorders>
                    <w:top w:val="single" w:color="000000" w:sz="12" w:space="0"/>
                    <w:left w:val="single" w:color="000000" w:sz="4" w:space="0"/>
                    <w:bottom w:val="single" w:color="000000" w:sz="4" w:space="0"/>
                    <w:right w:val="single" w:color="000000" w:sz="12" w:space="0"/>
                  </w:tcBorders>
                  <w:vAlign w:val="center"/>
                </w:tcPr>
                <w:p>
                  <w:pPr>
                    <w:widowControl/>
                    <w:autoSpaceDE w:val="0"/>
                    <w:autoSpaceDN w:val="0"/>
                    <w:snapToGrid w:val="0"/>
                    <w:jc w:val="center"/>
                    <w:rPr>
                      <w:b/>
                      <w:bCs/>
                      <w:kern w:val="0"/>
                      <w:szCs w:val="21"/>
                    </w:rPr>
                  </w:pPr>
                  <w:r>
                    <w:rPr>
                      <w:rFonts w:hint="eastAsia"/>
                      <w:b/>
                      <w:bCs/>
                      <w:kern w:val="0"/>
                      <w:szCs w:val="21"/>
                    </w:rPr>
                    <w:t>临界量（</w:t>
                  </w:r>
                  <w:r>
                    <w:rPr>
                      <w:b/>
                      <w:bCs/>
                      <w:kern w:val="0"/>
                      <w:szCs w:val="21"/>
                    </w:rPr>
                    <w:t>t</w:t>
                  </w:r>
                  <w:r>
                    <w:rPr>
                      <w:rFonts w:hint="eastAsia"/>
                      <w:b/>
                      <w:bCs/>
                      <w:kern w:val="0"/>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1"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kern w:val="0"/>
                      <w:szCs w:val="21"/>
                    </w:rPr>
                  </w:pPr>
                  <w:r>
                    <w:rPr>
                      <w:kern w:val="0"/>
                      <w:szCs w:val="21"/>
                    </w:rPr>
                    <w:t>1</w:t>
                  </w:r>
                </w:p>
              </w:tc>
              <w:tc>
                <w:tcPr>
                  <w:tcW w:w="2709"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rFonts w:hint="eastAsia"/>
                      <w:szCs w:val="21"/>
                    </w:rPr>
                    <w:t>液压油（油类物质）</w:t>
                  </w:r>
                </w:p>
              </w:tc>
              <w:tc>
                <w:tcPr>
                  <w:tcW w:w="1016"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szCs w:val="21"/>
                    </w:rPr>
                    <w:t>1</w:t>
                  </w:r>
                </w:p>
              </w:tc>
              <w:tc>
                <w:tcPr>
                  <w:tcW w:w="783" w:type="pct"/>
                  <w:tcBorders>
                    <w:top w:val="single" w:color="000000" w:sz="4" w:space="0"/>
                    <w:left w:val="single" w:color="000000" w:sz="4" w:space="0"/>
                    <w:bottom w:val="single" w:color="000000" w:sz="4" w:space="0"/>
                    <w:right w:val="single" w:color="000000" w:sz="12" w:space="0"/>
                  </w:tcBorders>
                  <w:vAlign w:val="center"/>
                </w:tcPr>
                <w:p>
                  <w:pPr>
                    <w:autoSpaceDE w:val="0"/>
                    <w:autoSpaceDN w:val="0"/>
                    <w:jc w:val="center"/>
                    <w:rPr>
                      <w:szCs w:val="21"/>
                    </w:rPr>
                  </w:pPr>
                  <w:r>
                    <w:rPr>
                      <w:szCs w:val="21"/>
                    </w:rPr>
                    <w:t>2500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1"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kern w:val="0"/>
                      <w:szCs w:val="21"/>
                    </w:rPr>
                  </w:pPr>
                  <w:r>
                    <w:rPr>
                      <w:kern w:val="0"/>
                      <w:szCs w:val="21"/>
                    </w:rPr>
                    <w:t>2</w:t>
                  </w:r>
                </w:p>
              </w:tc>
              <w:tc>
                <w:tcPr>
                  <w:tcW w:w="2709"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rFonts w:hint="eastAsia"/>
                      <w:szCs w:val="21"/>
                    </w:rPr>
                    <w:t>润滑油（油类物质）</w:t>
                  </w:r>
                </w:p>
              </w:tc>
              <w:tc>
                <w:tcPr>
                  <w:tcW w:w="1016"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szCs w:val="21"/>
                    </w:rPr>
                    <w:t>0.1</w:t>
                  </w:r>
                </w:p>
              </w:tc>
              <w:tc>
                <w:tcPr>
                  <w:tcW w:w="783" w:type="pct"/>
                  <w:tcBorders>
                    <w:top w:val="single" w:color="000000" w:sz="4" w:space="0"/>
                    <w:left w:val="single" w:color="000000" w:sz="4" w:space="0"/>
                    <w:bottom w:val="single" w:color="000000" w:sz="4" w:space="0"/>
                    <w:right w:val="single" w:color="000000" w:sz="12" w:space="0"/>
                  </w:tcBorders>
                  <w:vAlign w:val="center"/>
                </w:tcPr>
                <w:p>
                  <w:pPr>
                    <w:autoSpaceDE w:val="0"/>
                    <w:autoSpaceDN w:val="0"/>
                    <w:jc w:val="center"/>
                    <w:rPr>
                      <w:szCs w:val="21"/>
                    </w:rPr>
                  </w:pPr>
                  <w:r>
                    <w:rPr>
                      <w:szCs w:val="21"/>
                    </w:rPr>
                    <w:t>2500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1" w:type="pct"/>
                  <w:tcBorders>
                    <w:top w:val="single" w:color="000000" w:sz="4" w:space="0"/>
                    <w:left w:val="single" w:color="000000" w:sz="12" w:space="0"/>
                    <w:bottom w:val="single" w:color="000000" w:sz="4" w:space="0"/>
                    <w:right w:val="single" w:color="000000" w:sz="4" w:space="0"/>
                  </w:tcBorders>
                  <w:vAlign w:val="center"/>
                </w:tcPr>
                <w:p>
                  <w:pPr>
                    <w:widowControl/>
                    <w:autoSpaceDE w:val="0"/>
                    <w:autoSpaceDN w:val="0"/>
                    <w:snapToGrid w:val="0"/>
                    <w:jc w:val="center"/>
                    <w:rPr>
                      <w:kern w:val="0"/>
                      <w:szCs w:val="21"/>
                    </w:rPr>
                  </w:pPr>
                  <w:r>
                    <w:rPr>
                      <w:kern w:val="0"/>
                      <w:szCs w:val="21"/>
                    </w:rPr>
                    <w:t>3</w:t>
                  </w:r>
                </w:p>
              </w:tc>
              <w:tc>
                <w:tcPr>
                  <w:tcW w:w="2709"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rFonts w:hint="eastAsia"/>
                      <w:szCs w:val="21"/>
                    </w:rPr>
                    <w:t>废润滑油（健康危险急性毒性物质类别</w:t>
                  </w:r>
                  <w:r>
                    <w:rPr>
                      <w:szCs w:val="21"/>
                    </w:rPr>
                    <w:t>2</w:t>
                  </w:r>
                  <w:r>
                    <w:rPr>
                      <w:rFonts w:hint="eastAsia"/>
                      <w:szCs w:val="21"/>
                    </w:rPr>
                    <w:t>，类别</w:t>
                  </w:r>
                  <w:r>
                    <w:rPr>
                      <w:szCs w:val="21"/>
                    </w:rPr>
                    <w:t>3</w:t>
                  </w:r>
                  <w:r>
                    <w:rPr>
                      <w:rFonts w:hint="eastAsia"/>
                      <w:szCs w:val="21"/>
                    </w:rPr>
                    <w:t>）</w:t>
                  </w:r>
                </w:p>
              </w:tc>
              <w:tc>
                <w:tcPr>
                  <w:tcW w:w="1016" w:type="pct"/>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szCs w:val="21"/>
                    </w:rPr>
                  </w:pPr>
                  <w:r>
                    <w:rPr>
                      <w:szCs w:val="21"/>
                    </w:rPr>
                    <w:t>0.02</w:t>
                  </w:r>
                </w:p>
              </w:tc>
              <w:tc>
                <w:tcPr>
                  <w:tcW w:w="783" w:type="pct"/>
                  <w:tcBorders>
                    <w:top w:val="single" w:color="000000" w:sz="4" w:space="0"/>
                    <w:left w:val="single" w:color="000000" w:sz="4" w:space="0"/>
                    <w:bottom w:val="single" w:color="000000" w:sz="4" w:space="0"/>
                    <w:right w:val="single" w:color="000000" w:sz="12" w:space="0"/>
                  </w:tcBorders>
                  <w:vAlign w:val="center"/>
                </w:tcPr>
                <w:p>
                  <w:pPr>
                    <w:autoSpaceDE w:val="0"/>
                    <w:autoSpaceDN w:val="0"/>
                    <w:jc w:val="center"/>
                    <w:rPr>
                      <w:szCs w:val="21"/>
                    </w:rPr>
                  </w:pPr>
                  <w:r>
                    <w:rPr>
                      <w:szCs w:val="21"/>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91" w:type="pct"/>
                  <w:tcBorders>
                    <w:top w:val="single" w:color="000000" w:sz="4" w:space="0"/>
                    <w:left w:val="single" w:color="000000" w:sz="12" w:space="0"/>
                    <w:bottom w:val="single" w:color="000000" w:sz="12" w:space="0"/>
                    <w:right w:val="single" w:color="000000" w:sz="4" w:space="0"/>
                  </w:tcBorders>
                  <w:vAlign w:val="center"/>
                </w:tcPr>
                <w:p>
                  <w:pPr>
                    <w:widowControl/>
                    <w:autoSpaceDE w:val="0"/>
                    <w:autoSpaceDN w:val="0"/>
                    <w:snapToGrid w:val="0"/>
                    <w:jc w:val="center"/>
                    <w:rPr>
                      <w:kern w:val="0"/>
                      <w:szCs w:val="21"/>
                    </w:rPr>
                  </w:pPr>
                  <w:r>
                    <w:rPr>
                      <w:kern w:val="0"/>
                      <w:szCs w:val="21"/>
                    </w:rPr>
                    <w:t>4</w:t>
                  </w:r>
                </w:p>
              </w:tc>
              <w:tc>
                <w:tcPr>
                  <w:tcW w:w="2709" w:type="pct"/>
                  <w:tcBorders>
                    <w:top w:val="single" w:color="000000" w:sz="4" w:space="0"/>
                    <w:left w:val="single" w:color="000000" w:sz="4" w:space="0"/>
                    <w:bottom w:val="single" w:color="000000" w:sz="12" w:space="0"/>
                    <w:right w:val="single" w:color="000000" w:sz="4" w:space="0"/>
                  </w:tcBorders>
                  <w:vAlign w:val="center"/>
                </w:tcPr>
                <w:p>
                  <w:pPr>
                    <w:autoSpaceDE w:val="0"/>
                    <w:autoSpaceDN w:val="0"/>
                    <w:jc w:val="center"/>
                    <w:rPr>
                      <w:szCs w:val="21"/>
                    </w:rPr>
                  </w:pPr>
                  <w:r>
                    <w:rPr>
                      <w:rFonts w:hint="eastAsia"/>
                      <w:szCs w:val="21"/>
                    </w:rPr>
                    <w:t>废液压油（健康危险急性毒性物质类别</w:t>
                  </w:r>
                  <w:r>
                    <w:rPr>
                      <w:szCs w:val="21"/>
                    </w:rPr>
                    <w:t>2</w:t>
                  </w:r>
                  <w:r>
                    <w:rPr>
                      <w:rFonts w:hint="eastAsia"/>
                      <w:szCs w:val="21"/>
                    </w:rPr>
                    <w:t>，类别</w:t>
                  </w:r>
                  <w:r>
                    <w:rPr>
                      <w:szCs w:val="21"/>
                    </w:rPr>
                    <w:t>3</w:t>
                  </w:r>
                  <w:r>
                    <w:rPr>
                      <w:rFonts w:hint="eastAsia"/>
                      <w:szCs w:val="21"/>
                    </w:rPr>
                    <w:t>）</w:t>
                  </w:r>
                </w:p>
              </w:tc>
              <w:tc>
                <w:tcPr>
                  <w:tcW w:w="1016" w:type="pct"/>
                  <w:tcBorders>
                    <w:top w:val="single" w:color="000000" w:sz="4" w:space="0"/>
                    <w:left w:val="single" w:color="000000" w:sz="4" w:space="0"/>
                    <w:bottom w:val="single" w:color="000000" w:sz="12" w:space="0"/>
                    <w:right w:val="single" w:color="000000" w:sz="4" w:space="0"/>
                  </w:tcBorders>
                  <w:vAlign w:val="center"/>
                </w:tcPr>
                <w:p>
                  <w:pPr>
                    <w:autoSpaceDE w:val="0"/>
                    <w:autoSpaceDN w:val="0"/>
                    <w:jc w:val="center"/>
                    <w:rPr>
                      <w:szCs w:val="21"/>
                    </w:rPr>
                  </w:pPr>
                  <w:r>
                    <w:rPr>
                      <w:szCs w:val="21"/>
                    </w:rPr>
                    <w:t>0.5</w:t>
                  </w:r>
                </w:p>
              </w:tc>
              <w:tc>
                <w:tcPr>
                  <w:tcW w:w="783" w:type="pct"/>
                  <w:tcBorders>
                    <w:top w:val="single" w:color="000000" w:sz="4" w:space="0"/>
                    <w:left w:val="single" w:color="000000" w:sz="4" w:space="0"/>
                    <w:bottom w:val="single" w:color="000000" w:sz="12" w:space="0"/>
                    <w:right w:val="single" w:color="000000" w:sz="12" w:space="0"/>
                  </w:tcBorders>
                  <w:vAlign w:val="center"/>
                </w:tcPr>
                <w:p>
                  <w:pPr>
                    <w:autoSpaceDE w:val="0"/>
                    <w:autoSpaceDN w:val="0"/>
                    <w:jc w:val="center"/>
                    <w:rPr>
                      <w:szCs w:val="21"/>
                    </w:rPr>
                  </w:pPr>
                  <w:r>
                    <w:rPr>
                      <w:szCs w:val="21"/>
                    </w:rPr>
                    <w:t>50</w:t>
                  </w:r>
                </w:p>
              </w:tc>
            </w:tr>
          </w:tbl>
          <w:p>
            <w:pPr>
              <w:adjustRightInd w:val="0"/>
              <w:snapToGrid w:val="0"/>
              <w:spacing w:line="360" w:lineRule="auto"/>
              <w:ind w:firstLine="480" w:firstLineChars="200"/>
              <w:jc w:val="left"/>
              <w:rPr>
                <w:bCs/>
                <w:sz w:val="24"/>
              </w:rPr>
            </w:pPr>
            <w:r>
              <w:rPr>
                <w:rFonts w:hint="eastAsia"/>
                <w:bCs/>
                <w:sz w:val="24"/>
              </w:rPr>
              <w:t>经计算，</w:t>
            </w:r>
            <w:r>
              <w:rPr>
                <w:bCs/>
                <w:sz w:val="24"/>
              </w:rPr>
              <w:t>Q=0.0108</w:t>
            </w:r>
            <w:r>
              <w:rPr>
                <w:rFonts w:hint="eastAsia"/>
                <w:bCs/>
                <w:sz w:val="24"/>
              </w:rPr>
              <w:t>＜</w:t>
            </w:r>
            <w:r>
              <w:rPr>
                <w:bCs/>
                <w:sz w:val="24"/>
              </w:rPr>
              <w:t>1</w:t>
            </w:r>
            <w:r>
              <w:rPr>
                <w:rFonts w:hint="eastAsia"/>
                <w:bCs/>
                <w:sz w:val="24"/>
              </w:rPr>
              <w:t>，因此本项目环境风险潜势为</w:t>
            </w:r>
            <w:r>
              <w:rPr>
                <w:bCs/>
                <w:sz w:val="24"/>
              </w:rPr>
              <w:fldChar w:fldCharType="begin"/>
            </w:r>
            <w:r>
              <w:rPr>
                <w:bCs/>
                <w:sz w:val="24"/>
              </w:rPr>
              <w:instrText xml:space="preserve"> = 1 \* ROMAN \* MERGEFORMAT </w:instrText>
            </w:r>
            <w:r>
              <w:rPr>
                <w:bCs/>
                <w:sz w:val="24"/>
              </w:rPr>
              <w:fldChar w:fldCharType="separate"/>
            </w:r>
            <w:r>
              <w:t>I</w:t>
            </w:r>
            <w:r>
              <w:rPr>
                <w:bCs/>
                <w:sz w:val="24"/>
              </w:rPr>
              <w:fldChar w:fldCharType="end"/>
            </w:r>
            <w:r>
              <w:rPr>
                <w:rFonts w:hint="eastAsia"/>
                <w:bCs/>
                <w:sz w:val="24"/>
              </w:rPr>
              <w:t>，仅作简单分析即可。</w:t>
            </w:r>
          </w:p>
          <w:p>
            <w:pPr>
              <w:adjustRightInd w:val="0"/>
              <w:snapToGrid w:val="0"/>
              <w:spacing w:line="360" w:lineRule="auto"/>
              <w:ind w:firstLine="480" w:firstLineChars="200"/>
              <w:jc w:val="left"/>
              <w:rPr>
                <w:bCs/>
                <w:sz w:val="24"/>
              </w:rPr>
            </w:pPr>
            <w:r>
              <w:rPr>
                <w:rFonts w:hint="eastAsia"/>
                <w:bCs/>
                <w:sz w:val="24"/>
              </w:rPr>
              <w:t>可能影响途径：本项目设备维护检修过程会产生少量的废液压油、废润滑油，若盛装容器发生破损或因操作失误等会引发泄漏，少量泄漏会污染环境空气，若大量泄漏遇明火则会引发燃烧；此外废油类物质遇明火引起燃烧，燃烧的产物为一氧化碳，未完全燃烧的物质在高温下挥发释放至环境空气中，污染周围环境空气，同时也对厂区人员健康造成影响。</w:t>
            </w:r>
          </w:p>
          <w:p>
            <w:pPr>
              <w:adjustRightInd w:val="0"/>
              <w:snapToGrid w:val="0"/>
              <w:spacing w:line="360" w:lineRule="auto"/>
              <w:ind w:firstLine="480" w:firstLineChars="200"/>
              <w:jc w:val="left"/>
              <w:rPr>
                <w:bCs/>
                <w:sz w:val="24"/>
              </w:rPr>
            </w:pPr>
            <w:r>
              <w:rPr>
                <w:rFonts w:hint="eastAsia"/>
                <w:bCs/>
                <w:sz w:val="24"/>
              </w:rPr>
              <w:t>（</w:t>
            </w:r>
            <w:r>
              <w:rPr>
                <w:bCs/>
                <w:sz w:val="24"/>
              </w:rPr>
              <w:t>2</w:t>
            </w:r>
            <w:r>
              <w:rPr>
                <w:rFonts w:hint="eastAsia"/>
                <w:bCs/>
                <w:sz w:val="24"/>
              </w:rPr>
              <w:t>）环境风险防范措施</w:t>
            </w:r>
          </w:p>
          <w:p>
            <w:pPr>
              <w:pStyle w:val="41"/>
              <w:snapToGrid w:val="0"/>
              <w:spacing w:after="0" w:line="360" w:lineRule="auto"/>
              <w:ind w:firstLine="480" w:firstLineChars="200"/>
              <w:rPr>
                <w:bCs/>
                <w:kern w:val="2"/>
              </w:rPr>
            </w:pPr>
            <w:r>
              <w:rPr>
                <w:bCs/>
                <w:kern w:val="2"/>
              </w:rPr>
              <w:fldChar w:fldCharType="begin"/>
            </w:r>
            <w:r>
              <w:rPr>
                <w:bCs/>
                <w:kern w:val="2"/>
              </w:rPr>
              <w:instrText xml:space="preserve"> = 1 \* GB3 \* MERGEFORMAT </w:instrText>
            </w:r>
            <w:r>
              <w:rPr>
                <w:bCs/>
                <w:kern w:val="2"/>
              </w:rPr>
              <w:fldChar w:fldCharType="separate"/>
            </w:r>
            <w:r>
              <w:rPr>
                <w:rFonts w:hint="eastAsia" w:ascii="宋体" w:hAnsi="宋体" w:cs="宋体"/>
                <w:bCs/>
                <w:kern w:val="2"/>
              </w:rPr>
              <w:t>①</w:t>
            </w:r>
            <w:r>
              <w:rPr>
                <w:bCs/>
                <w:kern w:val="2"/>
              </w:rPr>
              <w:fldChar w:fldCharType="end"/>
            </w:r>
            <w:r>
              <w:rPr>
                <w:rFonts w:hint="eastAsia"/>
                <w:bCs/>
                <w:kern w:val="2"/>
              </w:rPr>
              <w:t>公司产生的危险废物要求按照危险废物特性进行单独收集和分类存放，并严格要求危险废物不得混入生活垃圾和一般工业固体废物中，各类危险废物按其性质和所含的主要污染物，分类收集、分类贮存。</w:t>
            </w:r>
          </w:p>
          <w:p>
            <w:pPr>
              <w:pStyle w:val="41"/>
              <w:snapToGrid w:val="0"/>
              <w:spacing w:after="0" w:line="360" w:lineRule="auto"/>
              <w:ind w:firstLine="480" w:firstLineChars="200"/>
              <w:jc w:val="both"/>
              <w:rPr>
                <w:bCs/>
                <w:kern w:val="2"/>
              </w:rPr>
            </w:pPr>
            <w:r>
              <w:rPr>
                <w:rFonts w:hint="eastAsia" w:ascii="宋体" w:hAnsi="宋体" w:cs="宋体"/>
                <w:bCs/>
                <w:kern w:val="2"/>
              </w:rPr>
              <w:t>②</w:t>
            </w:r>
            <w:r>
              <w:rPr>
                <w:rFonts w:hint="eastAsia"/>
                <w:bCs/>
                <w:kern w:val="2"/>
              </w:rPr>
              <w:t>公司危废暂存间要求严格按照《危险废物贮存污染控制标准》（</w:t>
            </w:r>
            <w:r>
              <w:rPr>
                <w:bCs/>
                <w:kern w:val="2"/>
              </w:rPr>
              <w:t>GB18527-2023</w:t>
            </w:r>
            <w:r>
              <w:rPr>
                <w:rFonts w:hint="eastAsia"/>
                <w:bCs/>
                <w:kern w:val="2"/>
              </w:rPr>
              <w:t>）要求进行建设及日常管理。危废暂存间的地面与裙脚采用坚固、防渗的材料建造，建筑材料与危险废物相容，地面表面无裂缝。废活性炭、废液压油、废润滑油及废含油手套抹布设专用容器暂存危废暂存间相应位置，液体危废暂存容器下方设置托盘。</w:t>
            </w:r>
          </w:p>
          <w:p>
            <w:pPr>
              <w:pStyle w:val="41"/>
              <w:snapToGrid w:val="0"/>
              <w:spacing w:after="0" w:line="360" w:lineRule="auto"/>
              <w:ind w:firstLine="480" w:firstLineChars="200"/>
              <w:rPr>
                <w:bCs/>
                <w:kern w:val="2"/>
              </w:rPr>
            </w:pPr>
            <w:r>
              <w:rPr>
                <w:rFonts w:hint="eastAsia" w:ascii="宋体" w:hAnsi="宋体" w:cs="宋体"/>
                <w:bCs/>
                <w:kern w:val="2"/>
              </w:rPr>
              <w:t>③</w:t>
            </w:r>
            <w:r>
              <w:rPr>
                <w:rFonts w:hint="eastAsia"/>
                <w:bCs/>
                <w:kern w:val="2"/>
              </w:rPr>
              <w:t>危废贮存区、危废盛装容器等有关设施、场所和设备上，均牢固粘贴有关的危废标签，注废名称、来源、收集日期等信息。</w:t>
            </w:r>
          </w:p>
          <w:p>
            <w:pPr>
              <w:pStyle w:val="41"/>
              <w:snapToGrid w:val="0"/>
              <w:spacing w:after="0" w:line="360" w:lineRule="auto"/>
              <w:ind w:firstLine="480" w:firstLineChars="200"/>
              <w:rPr>
                <w:bCs/>
                <w:kern w:val="2"/>
              </w:rPr>
            </w:pPr>
            <w:r>
              <w:rPr>
                <w:rFonts w:hint="eastAsia" w:ascii="宋体" w:hAnsi="宋体" w:cs="宋体"/>
                <w:bCs/>
                <w:kern w:val="2"/>
              </w:rPr>
              <w:t>④</w:t>
            </w:r>
            <w:r>
              <w:rPr>
                <w:rFonts w:hint="eastAsia"/>
                <w:bCs/>
                <w:kern w:val="2"/>
              </w:rPr>
              <w:t>危废暂存间要求配备消防设备设施。</w:t>
            </w:r>
          </w:p>
          <w:p>
            <w:pPr>
              <w:adjustRightInd w:val="0"/>
              <w:snapToGrid w:val="0"/>
              <w:spacing w:line="360" w:lineRule="auto"/>
              <w:ind w:firstLine="480" w:firstLineChars="200"/>
              <w:jc w:val="left"/>
              <w:rPr>
                <w:bCs/>
                <w:sz w:val="24"/>
              </w:rPr>
            </w:pPr>
            <w:r>
              <w:rPr>
                <w:rFonts w:hint="eastAsia"/>
                <w:bCs/>
                <w:sz w:val="24"/>
              </w:rPr>
              <w:t>采取以上措施后，可以将风险控制在可接受的范围之内。</w:t>
            </w:r>
          </w:p>
          <w:p>
            <w:pPr>
              <w:adjustRightInd w:val="0"/>
              <w:snapToGrid w:val="0"/>
              <w:spacing w:line="360" w:lineRule="auto"/>
              <w:ind w:firstLine="482" w:firstLineChars="200"/>
              <w:jc w:val="left"/>
              <w:rPr>
                <w:b/>
                <w:sz w:val="24"/>
              </w:rPr>
            </w:pPr>
            <w:r>
              <w:rPr>
                <w:b/>
                <w:sz w:val="24"/>
              </w:rPr>
              <w:t>7</w:t>
            </w:r>
            <w:r>
              <w:rPr>
                <w:rFonts w:hint="eastAsia"/>
                <w:b/>
                <w:sz w:val="24"/>
              </w:rPr>
              <w:t>、环保投资估算</w:t>
            </w:r>
          </w:p>
          <w:p>
            <w:pPr>
              <w:adjustRightInd w:val="0"/>
              <w:snapToGrid w:val="0"/>
              <w:spacing w:line="360" w:lineRule="auto"/>
              <w:ind w:firstLine="480" w:firstLineChars="200"/>
              <w:jc w:val="left"/>
              <w:rPr>
                <w:bCs/>
                <w:sz w:val="24"/>
              </w:rPr>
            </w:pPr>
            <w:r>
              <w:rPr>
                <w:rFonts w:hint="eastAsia"/>
                <w:bCs/>
                <w:sz w:val="24"/>
              </w:rPr>
              <w:t>在项目实施过程中，为落实环保措施，预计项目总投资</w:t>
            </w:r>
            <w:r>
              <w:rPr>
                <w:bCs/>
                <w:sz w:val="24"/>
              </w:rPr>
              <w:t>2000</w:t>
            </w:r>
            <w:r>
              <w:rPr>
                <w:rFonts w:hint="eastAsia"/>
                <w:bCs/>
                <w:sz w:val="24"/>
              </w:rPr>
              <w:t>万元，其中环保投资</w:t>
            </w:r>
            <w:r>
              <w:rPr>
                <w:bCs/>
                <w:sz w:val="24"/>
              </w:rPr>
              <w:t>26.6</w:t>
            </w:r>
            <w:r>
              <w:rPr>
                <w:rFonts w:hint="eastAsia"/>
                <w:bCs/>
                <w:sz w:val="24"/>
              </w:rPr>
              <w:t>万元，占总投资的</w:t>
            </w:r>
            <w:r>
              <w:rPr>
                <w:bCs/>
                <w:sz w:val="24"/>
              </w:rPr>
              <w:t>1.33%</w:t>
            </w:r>
            <w:r>
              <w:rPr>
                <w:rFonts w:hint="eastAsia"/>
                <w:bCs/>
                <w:sz w:val="24"/>
              </w:rPr>
              <w:t>。项目环保投资表见下表</w:t>
            </w:r>
            <w:r>
              <w:rPr>
                <w:bCs/>
                <w:sz w:val="24"/>
              </w:rPr>
              <w:t>4-17</w:t>
            </w:r>
            <w:r>
              <w:rPr>
                <w:rFonts w:hint="eastAsia"/>
                <w:bCs/>
                <w:sz w:val="24"/>
              </w:rPr>
              <w:t>。</w:t>
            </w:r>
          </w:p>
          <w:p>
            <w:pPr>
              <w:jc w:val="center"/>
              <w:rPr>
                <w:b/>
                <w:szCs w:val="21"/>
              </w:rPr>
            </w:pPr>
            <w:r>
              <w:rPr>
                <w:rFonts w:hint="eastAsia"/>
                <w:b/>
                <w:szCs w:val="21"/>
              </w:rPr>
              <w:t>表</w:t>
            </w:r>
            <w:r>
              <w:rPr>
                <w:b/>
                <w:szCs w:val="21"/>
              </w:rPr>
              <w:t xml:space="preserve">4-17   </w:t>
            </w:r>
            <w:r>
              <w:rPr>
                <w:rFonts w:hint="eastAsia"/>
                <w:b/>
                <w:szCs w:val="21"/>
              </w:rPr>
              <w:t>环保投资一览表</w:t>
            </w:r>
          </w:p>
          <w:tbl>
            <w:tblPr>
              <w:tblStyle w:val="1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1862"/>
              <w:gridCol w:w="3127"/>
              <w:gridCol w:w="859"/>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pct"/>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b/>
                      <w:bCs/>
                      <w:szCs w:val="21"/>
                    </w:rPr>
                  </w:pPr>
                  <w:r>
                    <w:rPr>
                      <w:rFonts w:hint="eastAsia"/>
                      <w:b/>
                      <w:bCs/>
                      <w:szCs w:val="21"/>
                    </w:rPr>
                    <w:t>污染类型</w:t>
                  </w:r>
                </w:p>
              </w:tc>
              <w:tc>
                <w:tcPr>
                  <w:tcW w:w="1074"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b/>
                      <w:bCs/>
                      <w:szCs w:val="21"/>
                    </w:rPr>
                    <w:t>污染源</w:t>
                  </w:r>
                </w:p>
              </w:tc>
              <w:tc>
                <w:tcPr>
                  <w:tcW w:w="1805"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b/>
                      <w:bCs/>
                      <w:szCs w:val="21"/>
                    </w:rPr>
                    <w:t>治理设施</w:t>
                  </w:r>
                </w:p>
              </w:tc>
              <w:tc>
                <w:tcPr>
                  <w:tcW w:w="495" w:type="pct"/>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b/>
                      <w:bCs/>
                      <w:szCs w:val="21"/>
                    </w:rPr>
                  </w:pPr>
                  <w:r>
                    <w:rPr>
                      <w:rFonts w:hint="eastAsia"/>
                      <w:b/>
                      <w:bCs/>
                      <w:szCs w:val="21"/>
                    </w:rPr>
                    <w:t>数量</w:t>
                  </w:r>
                </w:p>
              </w:tc>
              <w:tc>
                <w:tcPr>
                  <w:tcW w:w="839" w:type="pct"/>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b/>
                      <w:bCs/>
                      <w:szCs w:val="21"/>
                    </w:rPr>
                  </w:pPr>
                  <w:r>
                    <w:rPr>
                      <w:rFonts w:hint="eastAsia"/>
                      <w:b/>
                      <w:bCs/>
                      <w:szCs w:val="21"/>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5"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废气</w:t>
                  </w: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有机废气及天然气燃烧废气排气筒（</w:t>
                  </w:r>
                  <w:r>
                    <w:rPr>
                      <w:szCs w:val="21"/>
                    </w:rPr>
                    <w:t>DA001</w:t>
                  </w:r>
                  <w:r>
                    <w:rPr>
                      <w:rFonts w:hint="eastAsia"/>
                      <w:szCs w:val="21"/>
                    </w:rPr>
                    <w:t>）</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套密闭集气管道</w:t>
                  </w:r>
                  <w:r>
                    <w:rPr>
                      <w:szCs w:val="21"/>
                    </w:rPr>
                    <w:t>+4</w:t>
                  </w:r>
                  <w:r>
                    <w:rPr>
                      <w:rFonts w:hint="eastAsia"/>
                      <w:szCs w:val="21"/>
                    </w:rPr>
                    <w:t>套集气罩</w:t>
                  </w:r>
                  <w:r>
                    <w:rPr>
                      <w:szCs w:val="21"/>
                    </w:rPr>
                    <w:t>+1</w:t>
                  </w:r>
                  <w:r>
                    <w:rPr>
                      <w:rFonts w:hint="eastAsia"/>
                      <w:szCs w:val="21"/>
                    </w:rPr>
                    <w:t>套二级活性炭吸附装置（</w:t>
                  </w:r>
                  <w:r>
                    <w:rPr>
                      <w:szCs w:val="21"/>
                    </w:rPr>
                    <w:t>TA001</w:t>
                  </w:r>
                  <w:r>
                    <w:rPr>
                      <w:rFonts w:hint="eastAsia"/>
                      <w:szCs w:val="21"/>
                    </w:rPr>
                    <w:t>）</w:t>
                  </w:r>
                  <w:r>
                    <w:rPr>
                      <w:szCs w:val="21"/>
                    </w:rPr>
                    <w:t>+1</w:t>
                  </w:r>
                  <w:r>
                    <w:rPr>
                      <w:rFonts w:hint="eastAsia"/>
                      <w:szCs w:val="21"/>
                    </w:rPr>
                    <w:t>根</w:t>
                  </w:r>
                  <w:r>
                    <w:rPr>
                      <w:szCs w:val="21"/>
                    </w:rPr>
                    <w:t>15m</w:t>
                  </w:r>
                  <w:r>
                    <w:rPr>
                      <w:rFonts w:hint="eastAsia"/>
                      <w:szCs w:val="21"/>
                    </w:rPr>
                    <w:t>高排气筒（</w:t>
                  </w:r>
                  <w:r>
                    <w:rPr>
                      <w:szCs w:val="21"/>
                    </w:rPr>
                    <w:t>DA001</w:t>
                  </w:r>
                  <w:r>
                    <w:rPr>
                      <w:rFonts w:hint="eastAsia"/>
                      <w:szCs w:val="21"/>
                    </w:rPr>
                    <w:t>）</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套</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15.5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5"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pP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吸音棉开松梳理粉尘（</w:t>
                  </w:r>
                  <w:r>
                    <w:rPr>
                      <w:szCs w:val="21"/>
                    </w:rPr>
                    <w:t>DA002</w:t>
                  </w:r>
                  <w:r>
                    <w:rPr>
                      <w:rFonts w:hint="eastAsia"/>
                      <w:szCs w:val="21"/>
                    </w:rPr>
                    <w:t>）</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密度管道收集</w:t>
                  </w:r>
                  <w:r>
                    <w:rPr>
                      <w:szCs w:val="21"/>
                    </w:rPr>
                    <w:t>+</w:t>
                  </w:r>
                  <w:r>
                    <w:rPr>
                      <w:rFonts w:hint="eastAsia"/>
                      <w:szCs w:val="21"/>
                    </w:rPr>
                    <w:t>布袋除尘器（</w:t>
                  </w:r>
                  <w:r>
                    <w:rPr>
                      <w:szCs w:val="21"/>
                    </w:rPr>
                    <w:t>TA002</w:t>
                  </w:r>
                  <w:r>
                    <w:rPr>
                      <w:rFonts w:hint="eastAsia"/>
                      <w:szCs w:val="21"/>
                    </w:rPr>
                    <w:t>）</w:t>
                  </w:r>
                  <w:r>
                    <w:rPr>
                      <w:szCs w:val="21"/>
                    </w:rPr>
                    <w:t>+15m</w:t>
                  </w:r>
                  <w:r>
                    <w:rPr>
                      <w:rFonts w:hint="eastAsia"/>
                      <w:szCs w:val="21"/>
                    </w:rPr>
                    <w:t>高排气筒（</w:t>
                  </w:r>
                  <w:r>
                    <w:rPr>
                      <w:szCs w:val="21"/>
                    </w:rPr>
                    <w:t>DA002</w:t>
                  </w:r>
                  <w:r>
                    <w:rPr>
                      <w:rFonts w:hint="eastAsia"/>
                      <w:szCs w:val="21"/>
                    </w:rPr>
                    <w:t>）</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套</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废水</w:t>
                  </w: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DW001</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化粪池（依托）</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座</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pc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噪声</w:t>
                  </w: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生产设备</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bCs/>
                      <w:szCs w:val="21"/>
                    </w:rPr>
                    <w:t>选用低噪声设备、墙体隔声、基础减振、接头处采用软连接，并设置空压机房</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pct"/>
                  <w:vMerge w:val="restart"/>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r>
                    <w:rPr>
                      <w:rFonts w:hint="eastAsia"/>
                      <w:szCs w:val="21"/>
                    </w:rPr>
                    <w:t>固废</w:t>
                  </w: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职工生活</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垃圾桶</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生产工序</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一般固废暂存区</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处</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pct"/>
                  <w:vMerge w:val="continue"/>
                  <w:tcBorders>
                    <w:top w:val="single" w:color="auto" w:sz="4" w:space="0"/>
                    <w:left w:val="single" w:color="auto" w:sz="12" w:space="0"/>
                    <w:bottom w:val="single" w:color="auto" w:sz="4" w:space="0"/>
                    <w:right w:val="single" w:color="auto" w:sz="4" w:space="0"/>
                  </w:tcBorders>
                  <w:vAlign w:val="center"/>
                </w:tcPr>
                <w:p>
                  <w:pPr>
                    <w:adjustRightInd w:val="0"/>
                    <w:snapToGrid w:val="0"/>
                    <w:jc w:val="center"/>
                    <w:rPr>
                      <w:szCs w:val="21"/>
                    </w:rPr>
                  </w:pPr>
                </w:p>
              </w:tc>
              <w:tc>
                <w:tcPr>
                  <w:tcW w:w="107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设备维护、检修</w:t>
                  </w:r>
                </w:p>
              </w:tc>
              <w:tc>
                <w:tcPr>
                  <w:tcW w:w="180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rFonts w:hint="eastAsia"/>
                      <w:szCs w:val="21"/>
                    </w:rPr>
                    <w:t>危废暂存间</w:t>
                  </w:r>
                </w:p>
              </w:tc>
              <w:tc>
                <w:tcPr>
                  <w:tcW w:w="49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1</w:t>
                  </w:r>
                  <w:r>
                    <w:rPr>
                      <w:rFonts w:hint="eastAsia"/>
                      <w:szCs w:val="21"/>
                    </w:rPr>
                    <w:t>间</w:t>
                  </w:r>
                </w:p>
              </w:tc>
              <w:tc>
                <w:tcPr>
                  <w:tcW w:w="839" w:type="pct"/>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szCs w:val="21"/>
                    </w:rPr>
                  </w:pPr>
                  <w:r>
                    <w:rPr>
                      <w:szCs w:val="21"/>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60" w:type="pct"/>
                  <w:gridSpan w:val="4"/>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rPr>
                      <w:szCs w:val="21"/>
                    </w:rPr>
                  </w:pPr>
                  <w:r>
                    <w:rPr>
                      <w:rFonts w:hint="eastAsia"/>
                      <w:szCs w:val="21"/>
                    </w:rPr>
                    <w:t>合计</w:t>
                  </w:r>
                </w:p>
              </w:tc>
              <w:tc>
                <w:tcPr>
                  <w:tcW w:w="839" w:type="pct"/>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szCs w:val="21"/>
                    </w:rPr>
                  </w:pPr>
                  <w:r>
                    <w:rPr>
                      <w:szCs w:val="21"/>
                    </w:rPr>
                    <w:t>26.6</w:t>
                  </w:r>
                </w:p>
              </w:tc>
            </w:tr>
          </w:tbl>
          <w:p>
            <w:pPr>
              <w:jc w:val="center"/>
              <w:rPr>
                <w:b/>
                <w:szCs w:val="21"/>
              </w:rPr>
            </w:pPr>
          </w:p>
          <w:p>
            <w:pPr>
              <w:jc w:val="center"/>
              <w:rPr>
                <w:b/>
                <w:szCs w:val="21"/>
              </w:rPr>
            </w:pPr>
          </w:p>
          <w:p>
            <w:pPr>
              <w:jc w:val="center"/>
              <w:rPr>
                <w:b/>
                <w:szCs w:val="21"/>
              </w:rPr>
            </w:pPr>
          </w:p>
          <w:p>
            <w:pPr>
              <w:jc w:val="center"/>
              <w:rPr>
                <w:b/>
                <w:szCs w:val="21"/>
              </w:rPr>
            </w:pPr>
          </w:p>
          <w:p>
            <w:pPr>
              <w:adjustRightInd w:val="0"/>
              <w:snapToGrid w:val="0"/>
              <w:rPr>
                <w:bCs/>
                <w:spacing w:val="-10"/>
                <w:szCs w:val="21"/>
              </w:rPr>
            </w:pPr>
          </w:p>
        </w:tc>
      </w:tr>
    </w:tbl>
    <w:p>
      <w:pPr>
        <w:adjustRightInd w:val="0"/>
        <w:snapToGrid w:val="0"/>
        <w:spacing w:line="360" w:lineRule="auto"/>
        <w:rPr>
          <w:b/>
          <w:kern w:val="0"/>
          <w:sz w:val="28"/>
          <w:szCs w:val="28"/>
        </w:rPr>
        <w:sectPr>
          <w:pgSz w:w="11907" w:h="16840"/>
          <w:pgMar w:top="1417" w:right="1417" w:bottom="1417" w:left="1417" w:header="851" w:footer="851" w:gutter="0"/>
          <w:cols w:space="720" w:num="1"/>
          <w:docGrid w:linePitch="312" w:charSpace="0"/>
        </w:sectPr>
      </w:pPr>
    </w:p>
    <w:p>
      <w:pPr>
        <w:pStyle w:val="2"/>
        <w:jc w:val="center"/>
      </w:pPr>
      <w:r>
        <w:rPr>
          <w:rFonts w:hint="eastAsia"/>
        </w:rPr>
        <w:t>五、</w:t>
      </w:r>
      <w:bookmarkStart w:id="2" w:name="_Hlk54167917"/>
      <w:r>
        <w:rPr>
          <w:rFonts w:hint="eastAsia"/>
        </w:rPr>
        <w:t>环境保护措施监督检查清单</w:t>
      </w:r>
      <w:bookmarkEnd w:id="2"/>
    </w:p>
    <w:tbl>
      <w:tblPr>
        <w:tblStyle w:val="18"/>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670"/>
        <w:gridCol w:w="1350"/>
        <w:gridCol w:w="2318"/>
        <w:gridCol w:w="29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pct"/>
            <w:tcBorders>
              <w:top w:val="single" w:color="auto" w:sz="8" w:space="0"/>
              <w:tl2br w:val="single" w:color="auto" w:sz="4" w:space="0"/>
            </w:tcBorders>
          </w:tcPr>
          <w:p>
            <w:pPr>
              <w:adjustRightInd w:val="0"/>
              <w:snapToGrid w:val="0"/>
              <w:jc w:val="right"/>
              <w:rPr>
                <w:sz w:val="24"/>
              </w:rPr>
            </w:pPr>
            <w:r>
              <w:rPr>
                <w:rFonts w:hint="eastAsia"/>
                <w:sz w:val="24"/>
              </w:rPr>
              <w:t>内容</w:t>
            </w:r>
          </w:p>
          <w:p>
            <w:pPr>
              <w:adjustRightInd w:val="0"/>
              <w:snapToGrid w:val="0"/>
              <w:rPr>
                <w:sz w:val="24"/>
              </w:rPr>
            </w:pPr>
            <w:r>
              <w:rPr>
                <w:rFonts w:hint="eastAsia"/>
                <w:sz w:val="24"/>
              </w:rPr>
              <w:t>要素</w:t>
            </w:r>
          </w:p>
        </w:tc>
        <w:tc>
          <w:tcPr>
            <w:tcW w:w="899" w:type="pct"/>
            <w:tcBorders>
              <w:top w:val="single" w:color="auto" w:sz="8" w:space="0"/>
            </w:tcBorders>
            <w:vAlign w:val="center"/>
          </w:tcPr>
          <w:p>
            <w:pPr>
              <w:adjustRightInd w:val="0"/>
              <w:snapToGrid w:val="0"/>
              <w:jc w:val="center"/>
              <w:rPr>
                <w:sz w:val="24"/>
              </w:rPr>
            </w:pPr>
            <w:r>
              <w:rPr>
                <w:rFonts w:hint="eastAsia"/>
                <w:sz w:val="24"/>
              </w:rPr>
              <w:t>排放口</w:t>
            </w:r>
            <w:r>
              <w:rPr>
                <w:sz w:val="24"/>
              </w:rPr>
              <w:t>(</w:t>
            </w:r>
            <w:r>
              <w:rPr>
                <w:rFonts w:hint="eastAsia"/>
                <w:sz w:val="24"/>
              </w:rPr>
              <w:t>编号、</w:t>
            </w:r>
          </w:p>
          <w:p>
            <w:pPr>
              <w:adjustRightInd w:val="0"/>
              <w:snapToGrid w:val="0"/>
              <w:jc w:val="center"/>
              <w:rPr>
                <w:sz w:val="24"/>
              </w:rPr>
            </w:pPr>
            <w:r>
              <w:rPr>
                <w:rFonts w:hint="eastAsia"/>
                <w:sz w:val="24"/>
              </w:rPr>
              <w:t>名称</w:t>
            </w:r>
            <w:r>
              <w:rPr>
                <w:sz w:val="24"/>
              </w:rPr>
              <w:t>)/</w:t>
            </w:r>
            <w:r>
              <w:rPr>
                <w:rFonts w:hint="eastAsia"/>
                <w:sz w:val="24"/>
              </w:rPr>
              <w:t>污染源</w:t>
            </w:r>
          </w:p>
        </w:tc>
        <w:tc>
          <w:tcPr>
            <w:tcW w:w="727" w:type="pct"/>
            <w:tcBorders>
              <w:top w:val="single" w:color="auto" w:sz="8" w:space="0"/>
            </w:tcBorders>
            <w:vAlign w:val="center"/>
          </w:tcPr>
          <w:p>
            <w:pPr>
              <w:adjustRightInd w:val="0"/>
              <w:snapToGrid w:val="0"/>
              <w:jc w:val="center"/>
              <w:rPr>
                <w:sz w:val="24"/>
              </w:rPr>
            </w:pPr>
            <w:r>
              <w:rPr>
                <w:rFonts w:hint="eastAsia"/>
                <w:sz w:val="24"/>
              </w:rPr>
              <w:t>污染物项目</w:t>
            </w:r>
          </w:p>
        </w:tc>
        <w:tc>
          <w:tcPr>
            <w:tcW w:w="1249" w:type="pct"/>
            <w:tcBorders>
              <w:top w:val="single" w:color="auto" w:sz="8" w:space="0"/>
            </w:tcBorders>
            <w:vAlign w:val="center"/>
          </w:tcPr>
          <w:p>
            <w:pPr>
              <w:adjustRightInd w:val="0"/>
              <w:snapToGrid w:val="0"/>
              <w:jc w:val="center"/>
              <w:rPr>
                <w:sz w:val="24"/>
              </w:rPr>
            </w:pPr>
            <w:r>
              <w:rPr>
                <w:rFonts w:hint="eastAsia"/>
                <w:sz w:val="24"/>
              </w:rPr>
              <w:t>环境保护措施</w:t>
            </w:r>
          </w:p>
        </w:tc>
        <w:tc>
          <w:tcPr>
            <w:tcW w:w="1569" w:type="pct"/>
            <w:tcBorders>
              <w:top w:val="single" w:color="auto" w:sz="8" w:space="0"/>
            </w:tcBorders>
            <w:vAlign w:val="center"/>
          </w:tcPr>
          <w:p>
            <w:pPr>
              <w:adjustRightInd w:val="0"/>
              <w:snapToGrid w:val="0"/>
              <w:jc w:val="center"/>
              <w:rPr>
                <w:sz w:val="24"/>
              </w:rPr>
            </w:pPr>
            <w:r>
              <w:rPr>
                <w:rFonts w:hint="eastAsia"/>
                <w:sz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4" w:type="pct"/>
            <w:vMerge w:val="restart"/>
            <w:vAlign w:val="center"/>
          </w:tcPr>
          <w:p>
            <w:pPr>
              <w:adjustRightInd w:val="0"/>
              <w:snapToGrid w:val="0"/>
              <w:jc w:val="center"/>
              <w:rPr>
                <w:sz w:val="24"/>
              </w:rPr>
            </w:pPr>
            <w:r>
              <w:rPr>
                <w:rFonts w:hint="eastAsia"/>
                <w:sz w:val="24"/>
              </w:rPr>
              <w:t>大气环境</w:t>
            </w:r>
          </w:p>
        </w:tc>
        <w:tc>
          <w:tcPr>
            <w:tcW w:w="899" w:type="pct"/>
            <w:vMerge w:val="restart"/>
            <w:vAlign w:val="center"/>
          </w:tcPr>
          <w:p>
            <w:pPr>
              <w:adjustRightInd w:val="0"/>
              <w:snapToGrid w:val="0"/>
              <w:jc w:val="center"/>
              <w:rPr>
                <w:sz w:val="24"/>
              </w:rPr>
            </w:pPr>
            <w:r>
              <w:rPr>
                <w:sz w:val="24"/>
              </w:rPr>
              <w:t>DA001</w:t>
            </w:r>
            <w:r>
              <w:rPr>
                <w:rFonts w:hint="eastAsia"/>
                <w:sz w:val="24"/>
              </w:rPr>
              <w:t>排气筒</w:t>
            </w:r>
          </w:p>
        </w:tc>
        <w:tc>
          <w:tcPr>
            <w:tcW w:w="727" w:type="pct"/>
            <w:vAlign w:val="center"/>
          </w:tcPr>
          <w:p>
            <w:pPr>
              <w:adjustRightInd w:val="0"/>
              <w:snapToGrid w:val="0"/>
              <w:jc w:val="center"/>
              <w:rPr>
                <w:sz w:val="24"/>
              </w:rPr>
            </w:pPr>
            <w:r>
              <w:rPr>
                <w:rFonts w:hint="eastAsia"/>
                <w:sz w:val="24"/>
              </w:rPr>
              <w:t>非甲烷总烃</w:t>
            </w:r>
          </w:p>
        </w:tc>
        <w:tc>
          <w:tcPr>
            <w:tcW w:w="1249" w:type="pct"/>
            <w:vMerge w:val="restart"/>
            <w:vAlign w:val="center"/>
          </w:tcPr>
          <w:p>
            <w:pPr>
              <w:adjustRightInd w:val="0"/>
              <w:snapToGrid w:val="0"/>
              <w:jc w:val="center"/>
              <w:rPr>
                <w:sz w:val="24"/>
              </w:rPr>
            </w:pPr>
            <w:r>
              <w:rPr>
                <w:sz w:val="24"/>
              </w:rPr>
              <w:t>1</w:t>
            </w:r>
            <w:r>
              <w:rPr>
                <w:rFonts w:hint="eastAsia"/>
                <w:sz w:val="24"/>
              </w:rPr>
              <w:t>套密闭集气管道</w:t>
            </w:r>
            <w:r>
              <w:rPr>
                <w:sz w:val="24"/>
              </w:rPr>
              <w:t>+4</w:t>
            </w:r>
            <w:r>
              <w:rPr>
                <w:rFonts w:hint="eastAsia"/>
                <w:sz w:val="24"/>
              </w:rPr>
              <w:t>套集气罩收集</w:t>
            </w:r>
            <w:r>
              <w:rPr>
                <w:sz w:val="24"/>
              </w:rPr>
              <w:t>+1</w:t>
            </w:r>
            <w:r>
              <w:rPr>
                <w:rFonts w:hint="eastAsia"/>
                <w:sz w:val="24"/>
              </w:rPr>
              <w:t>套二级活性炭吸附装置（</w:t>
            </w:r>
            <w:r>
              <w:rPr>
                <w:sz w:val="24"/>
              </w:rPr>
              <w:t>TA001</w:t>
            </w:r>
            <w:r>
              <w:rPr>
                <w:rFonts w:hint="eastAsia"/>
                <w:sz w:val="24"/>
              </w:rPr>
              <w:t>）</w:t>
            </w:r>
            <w:r>
              <w:rPr>
                <w:sz w:val="24"/>
              </w:rPr>
              <w:t>+1</w:t>
            </w:r>
            <w:r>
              <w:rPr>
                <w:rFonts w:hint="eastAsia"/>
                <w:sz w:val="24"/>
              </w:rPr>
              <w:t>根</w:t>
            </w:r>
            <w:r>
              <w:rPr>
                <w:sz w:val="24"/>
              </w:rPr>
              <w:t>15m</w:t>
            </w:r>
            <w:r>
              <w:rPr>
                <w:rFonts w:hint="eastAsia"/>
                <w:sz w:val="24"/>
              </w:rPr>
              <w:t>高排气筒（</w:t>
            </w:r>
            <w:r>
              <w:rPr>
                <w:sz w:val="24"/>
              </w:rPr>
              <w:t>DA001</w:t>
            </w:r>
            <w:r>
              <w:rPr>
                <w:rFonts w:hint="eastAsia"/>
                <w:sz w:val="24"/>
              </w:rPr>
              <w:t>）</w:t>
            </w:r>
          </w:p>
        </w:tc>
        <w:tc>
          <w:tcPr>
            <w:tcW w:w="1569" w:type="pct"/>
            <w:vAlign w:val="center"/>
          </w:tcPr>
          <w:p>
            <w:pPr>
              <w:adjustRightInd w:val="0"/>
              <w:snapToGrid w:val="0"/>
              <w:jc w:val="center"/>
              <w:rPr>
                <w:sz w:val="24"/>
              </w:rPr>
            </w:pPr>
            <w:r>
              <w:rPr>
                <w:rFonts w:hint="eastAsia"/>
                <w:bCs/>
                <w:sz w:val="24"/>
              </w:rPr>
              <w:t>合成树脂工业污染物排放标准》（</w:t>
            </w:r>
            <w:r>
              <w:rPr>
                <w:bCs/>
                <w:sz w:val="24"/>
              </w:rPr>
              <w:t>GB31572-2015</w:t>
            </w:r>
            <w:r>
              <w:rPr>
                <w:rFonts w:hint="eastAsia"/>
                <w:bCs/>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4" w:type="pct"/>
            <w:vMerge w:val="continue"/>
            <w:vAlign w:val="center"/>
          </w:tcPr>
          <w:p>
            <w:pPr>
              <w:adjustRightInd w:val="0"/>
              <w:snapToGrid w:val="0"/>
              <w:jc w:val="center"/>
            </w:pPr>
          </w:p>
        </w:tc>
        <w:tc>
          <w:tcPr>
            <w:tcW w:w="899" w:type="pct"/>
            <w:vMerge w:val="continue"/>
            <w:vAlign w:val="center"/>
          </w:tcPr>
          <w:p>
            <w:pPr>
              <w:adjustRightInd w:val="0"/>
              <w:snapToGrid w:val="0"/>
              <w:jc w:val="center"/>
            </w:pPr>
          </w:p>
        </w:tc>
        <w:tc>
          <w:tcPr>
            <w:tcW w:w="727" w:type="pct"/>
            <w:vAlign w:val="center"/>
          </w:tcPr>
          <w:p>
            <w:pPr>
              <w:adjustRightInd w:val="0"/>
              <w:snapToGrid w:val="0"/>
              <w:jc w:val="center"/>
              <w:rPr>
                <w:sz w:val="24"/>
              </w:rPr>
            </w:pPr>
            <w:r>
              <w:rPr>
                <w:sz w:val="24"/>
              </w:rPr>
              <w:t>SO</w:t>
            </w:r>
            <w:r>
              <w:rPr>
                <w:sz w:val="24"/>
                <w:vertAlign w:val="subscript"/>
              </w:rPr>
              <w:t>2</w:t>
            </w:r>
            <w:r>
              <w:rPr>
                <w:rFonts w:hint="eastAsia"/>
                <w:sz w:val="24"/>
              </w:rPr>
              <w:t>、</w:t>
            </w:r>
            <w:r>
              <w:rPr>
                <w:sz w:val="24"/>
              </w:rPr>
              <w:t>NO</w:t>
            </w:r>
            <w:r>
              <w:rPr>
                <w:sz w:val="24"/>
                <w:vertAlign w:val="subscript"/>
              </w:rPr>
              <w:t>X</w:t>
            </w:r>
            <w:r>
              <w:rPr>
                <w:rFonts w:hint="eastAsia"/>
                <w:sz w:val="24"/>
              </w:rPr>
              <w:t>、颗粒物</w:t>
            </w:r>
          </w:p>
        </w:tc>
        <w:tc>
          <w:tcPr>
            <w:tcW w:w="1249" w:type="pct"/>
            <w:vMerge w:val="continue"/>
            <w:vAlign w:val="center"/>
          </w:tcPr>
          <w:p>
            <w:pPr>
              <w:adjustRightInd w:val="0"/>
              <w:snapToGrid w:val="0"/>
              <w:jc w:val="center"/>
              <w:rPr>
                <w:sz w:val="24"/>
              </w:rPr>
            </w:pPr>
          </w:p>
        </w:tc>
        <w:tc>
          <w:tcPr>
            <w:tcW w:w="1569" w:type="pct"/>
            <w:vAlign w:val="center"/>
          </w:tcPr>
          <w:p>
            <w:pPr>
              <w:adjustRightInd w:val="0"/>
              <w:snapToGrid w:val="0"/>
              <w:jc w:val="center"/>
              <w:rPr>
                <w:sz w:val="24"/>
              </w:rPr>
            </w:pPr>
            <w:r>
              <w:rPr>
                <w:rFonts w:hint="eastAsia"/>
                <w:sz w:val="24"/>
              </w:rPr>
              <w:t>《工业炉窑大气污染综合治理方案》（环大气〔</w:t>
            </w:r>
            <w:r>
              <w:rPr>
                <w:sz w:val="24"/>
              </w:rPr>
              <w:t>2019</w:t>
            </w:r>
            <w:r>
              <w:rPr>
                <w:rFonts w:hint="eastAsia"/>
                <w:sz w:val="24"/>
              </w:rPr>
              <w:t>〕</w:t>
            </w:r>
            <w:r>
              <w:rPr>
                <w:sz w:val="24"/>
              </w:rPr>
              <w:t>56</w:t>
            </w:r>
            <w:r>
              <w:rPr>
                <w:rFonts w:hint="eastAsia"/>
                <w:sz w:val="24"/>
              </w:rPr>
              <w:t>号）中重点区域工业炉窑排放标准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54" w:type="pct"/>
            <w:vMerge w:val="continue"/>
            <w:vAlign w:val="center"/>
          </w:tcPr>
          <w:p>
            <w:pPr>
              <w:adjustRightInd w:val="0"/>
              <w:snapToGrid w:val="0"/>
              <w:jc w:val="center"/>
              <w:rPr>
                <w:sz w:val="24"/>
              </w:rPr>
            </w:pPr>
          </w:p>
        </w:tc>
        <w:tc>
          <w:tcPr>
            <w:tcW w:w="899" w:type="pct"/>
            <w:vAlign w:val="center"/>
          </w:tcPr>
          <w:p>
            <w:pPr>
              <w:adjustRightInd w:val="0"/>
              <w:snapToGrid w:val="0"/>
              <w:jc w:val="center"/>
              <w:rPr>
                <w:sz w:val="24"/>
              </w:rPr>
            </w:pPr>
            <w:r>
              <w:rPr>
                <w:sz w:val="24"/>
              </w:rPr>
              <w:t>DA002</w:t>
            </w:r>
            <w:r>
              <w:rPr>
                <w:rFonts w:hint="eastAsia"/>
                <w:sz w:val="24"/>
              </w:rPr>
              <w:t>排气筒</w:t>
            </w:r>
          </w:p>
        </w:tc>
        <w:tc>
          <w:tcPr>
            <w:tcW w:w="727" w:type="pct"/>
            <w:vAlign w:val="center"/>
          </w:tcPr>
          <w:p>
            <w:pPr>
              <w:adjustRightInd w:val="0"/>
              <w:snapToGrid w:val="0"/>
              <w:jc w:val="center"/>
              <w:rPr>
                <w:sz w:val="24"/>
              </w:rPr>
            </w:pPr>
            <w:r>
              <w:rPr>
                <w:rFonts w:hint="eastAsia"/>
                <w:sz w:val="24"/>
              </w:rPr>
              <w:t>颗粒物</w:t>
            </w:r>
          </w:p>
        </w:tc>
        <w:tc>
          <w:tcPr>
            <w:tcW w:w="1249" w:type="pct"/>
            <w:vAlign w:val="center"/>
          </w:tcPr>
          <w:p>
            <w:pPr>
              <w:adjustRightInd w:val="0"/>
              <w:snapToGrid w:val="0"/>
              <w:jc w:val="center"/>
              <w:rPr>
                <w:sz w:val="24"/>
              </w:rPr>
            </w:pPr>
            <w:r>
              <w:rPr>
                <w:rFonts w:hint="eastAsia"/>
                <w:bCs/>
                <w:spacing w:val="-17"/>
                <w:sz w:val="24"/>
              </w:rPr>
              <w:t>密闭集气管道</w:t>
            </w:r>
            <w:r>
              <w:rPr>
                <w:bCs/>
                <w:spacing w:val="-17"/>
                <w:sz w:val="24"/>
              </w:rPr>
              <w:t>+</w:t>
            </w:r>
            <w:r>
              <w:rPr>
                <w:rFonts w:hint="eastAsia"/>
                <w:bCs/>
                <w:spacing w:val="-17"/>
                <w:sz w:val="24"/>
              </w:rPr>
              <w:t>布袋除尘器（</w:t>
            </w:r>
            <w:r>
              <w:rPr>
                <w:bCs/>
                <w:spacing w:val="-17"/>
                <w:sz w:val="24"/>
              </w:rPr>
              <w:t>TA002</w:t>
            </w:r>
            <w:r>
              <w:rPr>
                <w:rFonts w:hint="eastAsia"/>
                <w:bCs/>
                <w:spacing w:val="-17"/>
                <w:sz w:val="24"/>
              </w:rPr>
              <w:t>）</w:t>
            </w:r>
            <w:r>
              <w:rPr>
                <w:bCs/>
                <w:spacing w:val="-17"/>
                <w:sz w:val="24"/>
              </w:rPr>
              <w:t>+15m</w:t>
            </w:r>
            <w:r>
              <w:rPr>
                <w:rFonts w:hint="eastAsia"/>
                <w:bCs/>
                <w:spacing w:val="-17"/>
                <w:sz w:val="24"/>
              </w:rPr>
              <w:t>排气筒（</w:t>
            </w:r>
            <w:r>
              <w:rPr>
                <w:bCs/>
                <w:spacing w:val="-17"/>
                <w:sz w:val="24"/>
              </w:rPr>
              <w:t>DA002</w:t>
            </w:r>
            <w:r>
              <w:rPr>
                <w:rFonts w:hint="eastAsia"/>
                <w:bCs/>
                <w:spacing w:val="-17"/>
                <w:sz w:val="24"/>
              </w:rPr>
              <w:t>）</w:t>
            </w:r>
          </w:p>
        </w:tc>
        <w:tc>
          <w:tcPr>
            <w:tcW w:w="1569" w:type="pct"/>
            <w:vAlign w:val="center"/>
          </w:tcPr>
          <w:p>
            <w:pPr>
              <w:adjustRightInd w:val="0"/>
              <w:snapToGrid w:val="0"/>
              <w:jc w:val="center"/>
              <w:rPr>
                <w:sz w:val="24"/>
              </w:rPr>
            </w:pPr>
            <w:r>
              <w:rPr>
                <w:rFonts w:hint="eastAsia"/>
                <w:sz w:val="24"/>
              </w:rPr>
              <w:t>《合成树脂工业污染物排放标准》（</w:t>
            </w:r>
            <w:r>
              <w:rPr>
                <w:sz w:val="24"/>
              </w:rPr>
              <w:t>GB31572-2015</w:t>
            </w: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54" w:type="pct"/>
            <w:vMerge w:val="continue"/>
            <w:vAlign w:val="center"/>
          </w:tcPr>
          <w:p>
            <w:pPr>
              <w:adjustRightInd w:val="0"/>
              <w:snapToGrid w:val="0"/>
              <w:jc w:val="center"/>
            </w:pPr>
          </w:p>
        </w:tc>
        <w:tc>
          <w:tcPr>
            <w:tcW w:w="899" w:type="pct"/>
            <w:vAlign w:val="center"/>
          </w:tcPr>
          <w:p>
            <w:pPr>
              <w:adjustRightInd w:val="0"/>
              <w:snapToGrid w:val="0"/>
              <w:jc w:val="center"/>
              <w:rPr>
                <w:sz w:val="24"/>
              </w:rPr>
            </w:pPr>
            <w:r>
              <w:rPr>
                <w:rFonts w:hint="eastAsia"/>
                <w:sz w:val="24"/>
              </w:rPr>
              <w:t>生产车间</w:t>
            </w:r>
          </w:p>
        </w:tc>
        <w:tc>
          <w:tcPr>
            <w:tcW w:w="727" w:type="pct"/>
            <w:vAlign w:val="center"/>
          </w:tcPr>
          <w:p>
            <w:pPr>
              <w:adjustRightInd w:val="0"/>
              <w:snapToGrid w:val="0"/>
              <w:jc w:val="center"/>
              <w:rPr>
                <w:sz w:val="24"/>
              </w:rPr>
            </w:pPr>
            <w:r>
              <w:rPr>
                <w:rFonts w:hint="eastAsia"/>
                <w:sz w:val="24"/>
              </w:rPr>
              <w:t>非甲烷总烃</w:t>
            </w:r>
          </w:p>
        </w:tc>
        <w:tc>
          <w:tcPr>
            <w:tcW w:w="1249" w:type="pct"/>
            <w:vAlign w:val="center"/>
          </w:tcPr>
          <w:p>
            <w:pPr>
              <w:adjustRightInd w:val="0"/>
              <w:snapToGrid w:val="0"/>
              <w:jc w:val="center"/>
              <w:rPr>
                <w:sz w:val="24"/>
              </w:rPr>
            </w:pPr>
            <w:r>
              <w:rPr>
                <w:rFonts w:hint="eastAsia"/>
                <w:sz w:val="24"/>
              </w:rPr>
              <w:t>保证集气装置集气效率，加强环保措施检查维护，加强车间环境卫生管理</w:t>
            </w:r>
          </w:p>
        </w:tc>
        <w:tc>
          <w:tcPr>
            <w:tcW w:w="1569" w:type="pct"/>
            <w:vAlign w:val="center"/>
          </w:tcPr>
          <w:p>
            <w:pPr>
              <w:adjustRightInd w:val="0"/>
              <w:snapToGrid w:val="0"/>
              <w:jc w:val="center"/>
              <w:rPr>
                <w:sz w:val="24"/>
              </w:rPr>
            </w:pPr>
            <w:r>
              <w:rPr>
                <w:rFonts w:hint="eastAsia"/>
                <w:bCs/>
                <w:sz w:val="24"/>
              </w:rPr>
              <w:t>厂房外执行《挥发性有机物无组织排放控制标准》（</w:t>
            </w:r>
            <w:r>
              <w:rPr>
                <w:bCs/>
                <w:sz w:val="24"/>
              </w:rPr>
              <w:t>GB37822-2019</w:t>
            </w:r>
            <w:r>
              <w:rPr>
                <w:rFonts w:hint="eastAsia"/>
                <w:bCs/>
                <w:sz w:val="24"/>
              </w:rPr>
              <w:t>），厂界执行《合成树脂工业污染物排放标准》（</w:t>
            </w:r>
            <w:r>
              <w:rPr>
                <w:bCs/>
                <w:sz w:val="24"/>
              </w:rPr>
              <w:t>GB31572-2015</w:t>
            </w:r>
            <w:r>
              <w:rPr>
                <w:rFonts w:hint="eastAsia"/>
                <w:bCs/>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pct"/>
            <w:vAlign w:val="center"/>
          </w:tcPr>
          <w:p>
            <w:pPr>
              <w:adjustRightInd w:val="0"/>
              <w:snapToGrid w:val="0"/>
              <w:jc w:val="center"/>
              <w:rPr>
                <w:sz w:val="24"/>
              </w:rPr>
            </w:pPr>
            <w:r>
              <w:rPr>
                <w:rFonts w:hint="eastAsia"/>
                <w:sz w:val="24"/>
              </w:rPr>
              <w:t>地表水环境</w:t>
            </w:r>
          </w:p>
        </w:tc>
        <w:tc>
          <w:tcPr>
            <w:tcW w:w="899" w:type="pct"/>
            <w:vAlign w:val="center"/>
          </w:tcPr>
          <w:p>
            <w:pPr>
              <w:adjustRightInd w:val="0"/>
              <w:snapToGrid w:val="0"/>
              <w:jc w:val="center"/>
              <w:rPr>
                <w:sz w:val="24"/>
              </w:rPr>
            </w:pPr>
            <w:r>
              <w:rPr>
                <w:sz w:val="24"/>
              </w:rPr>
              <w:t>DW001</w:t>
            </w:r>
          </w:p>
        </w:tc>
        <w:tc>
          <w:tcPr>
            <w:tcW w:w="727" w:type="pct"/>
            <w:vAlign w:val="center"/>
          </w:tcPr>
          <w:p>
            <w:pPr>
              <w:adjustRightInd w:val="0"/>
              <w:snapToGrid w:val="0"/>
              <w:jc w:val="center"/>
              <w:rPr>
                <w:sz w:val="24"/>
              </w:rPr>
            </w:pPr>
            <w:r>
              <w:rPr>
                <w:sz w:val="24"/>
              </w:rPr>
              <w:t>COD</w:t>
            </w:r>
            <w:r>
              <w:rPr>
                <w:rFonts w:hint="eastAsia"/>
                <w:sz w:val="24"/>
              </w:rPr>
              <w:t>、</w:t>
            </w:r>
            <w:r>
              <w:rPr>
                <w:sz w:val="24"/>
              </w:rPr>
              <w:t>BOD</w:t>
            </w:r>
            <w:r>
              <w:rPr>
                <w:sz w:val="24"/>
                <w:vertAlign w:val="subscript"/>
              </w:rPr>
              <w:t>5</w:t>
            </w:r>
            <w:r>
              <w:rPr>
                <w:rFonts w:hint="eastAsia"/>
                <w:sz w:val="24"/>
              </w:rPr>
              <w:t>、</w:t>
            </w:r>
            <w:r>
              <w:rPr>
                <w:sz w:val="24"/>
              </w:rPr>
              <w:t>SS</w:t>
            </w:r>
            <w:r>
              <w:rPr>
                <w:rFonts w:hint="eastAsia"/>
                <w:sz w:val="24"/>
              </w:rPr>
              <w:t>、氨氮、总磷、总氮</w:t>
            </w:r>
          </w:p>
        </w:tc>
        <w:tc>
          <w:tcPr>
            <w:tcW w:w="1249" w:type="pct"/>
            <w:vAlign w:val="center"/>
          </w:tcPr>
          <w:p>
            <w:pPr>
              <w:adjustRightInd w:val="0"/>
              <w:snapToGrid w:val="0"/>
              <w:jc w:val="center"/>
              <w:rPr>
                <w:sz w:val="24"/>
              </w:rPr>
            </w:pPr>
            <w:r>
              <w:rPr>
                <w:rFonts w:hint="eastAsia"/>
                <w:sz w:val="24"/>
              </w:rPr>
              <w:t>化粪池（依托）</w:t>
            </w:r>
          </w:p>
        </w:tc>
        <w:tc>
          <w:tcPr>
            <w:tcW w:w="1569" w:type="pct"/>
            <w:vAlign w:val="center"/>
          </w:tcPr>
          <w:p>
            <w:pPr>
              <w:adjustRightInd w:val="0"/>
              <w:snapToGrid w:val="0"/>
              <w:jc w:val="center"/>
              <w:rPr>
                <w:sz w:val="24"/>
              </w:rPr>
            </w:pPr>
            <w:r>
              <w:rPr>
                <w:rFonts w:hint="eastAsia"/>
                <w:bCs/>
                <w:sz w:val="24"/>
              </w:rPr>
              <w:t>《污水综合排放标准》（</w:t>
            </w:r>
            <w:r>
              <w:rPr>
                <w:bCs/>
                <w:sz w:val="24"/>
              </w:rPr>
              <w:t>GB8978-1996</w:t>
            </w:r>
            <w:r>
              <w:rPr>
                <w:rFonts w:hint="eastAsia"/>
                <w:bCs/>
                <w:sz w:val="24"/>
              </w:rPr>
              <w:t>）中的三级标准及《污水排入城镇下水道水质标准》（</w:t>
            </w:r>
            <w:r>
              <w:rPr>
                <w:bCs/>
                <w:sz w:val="24"/>
              </w:rPr>
              <w:t>GB/T31962-2015</w:t>
            </w:r>
            <w:r>
              <w:rPr>
                <w:rFonts w:hint="eastAsia"/>
                <w:bCs/>
                <w:sz w:val="24"/>
              </w:rPr>
              <w:t>）中</w:t>
            </w:r>
            <w:r>
              <w:rPr>
                <w:bCs/>
                <w:sz w:val="24"/>
              </w:rPr>
              <w:t>B</w:t>
            </w:r>
            <w:r>
              <w:rPr>
                <w:rFonts w:hint="eastAsia"/>
                <w:bCs/>
                <w:sz w:val="24"/>
              </w:rPr>
              <w:t>级限值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pct"/>
            <w:vAlign w:val="center"/>
          </w:tcPr>
          <w:p>
            <w:pPr>
              <w:adjustRightInd w:val="0"/>
              <w:snapToGrid w:val="0"/>
              <w:jc w:val="center"/>
              <w:rPr>
                <w:sz w:val="24"/>
              </w:rPr>
            </w:pPr>
            <w:r>
              <w:rPr>
                <w:rFonts w:hint="eastAsia"/>
                <w:sz w:val="24"/>
              </w:rPr>
              <w:t>声环境</w:t>
            </w:r>
          </w:p>
        </w:tc>
        <w:tc>
          <w:tcPr>
            <w:tcW w:w="899" w:type="pct"/>
            <w:vAlign w:val="center"/>
          </w:tcPr>
          <w:p>
            <w:pPr>
              <w:adjustRightInd w:val="0"/>
              <w:snapToGrid w:val="0"/>
              <w:jc w:val="center"/>
              <w:rPr>
                <w:sz w:val="24"/>
              </w:rPr>
            </w:pPr>
            <w:r>
              <w:rPr>
                <w:rFonts w:hint="eastAsia"/>
                <w:sz w:val="24"/>
              </w:rPr>
              <w:t>生产设备</w:t>
            </w:r>
          </w:p>
        </w:tc>
        <w:tc>
          <w:tcPr>
            <w:tcW w:w="727" w:type="pct"/>
            <w:vAlign w:val="center"/>
          </w:tcPr>
          <w:p>
            <w:pPr>
              <w:adjustRightInd w:val="0"/>
              <w:snapToGrid w:val="0"/>
              <w:jc w:val="center"/>
              <w:rPr>
                <w:sz w:val="24"/>
              </w:rPr>
            </w:pPr>
            <w:r>
              <w:rPr>
                <w:rFonts w:hint="eastAsia"/>
                <w:sz w:val="24"/>
              </w:rPr>
              <w:t>噪声</w:t>
            </w:r>
          </w:p>
        </w:tc>
        <w:tc>
          <w:tcPr>
            <w:tcW w:w="1249" w:type="pct"/>
            <w:vAlign w:val="center"/>
          </w:tcPr>
          <w:p>
            <w:pPr>
              <w:adjustRightInd w:val="0"/>
              <w:snapToGrid w:val="0"/>
              <w:jc w:val="center"/>
              <w:rPr>
                <w:sz w:val="24"/>
              </w:rPr>
            </w:pPr>
            <w:r>
              <w:rPr>
                <w:rFonts w:hint="eastAsia"/>
                <w:sz w:val="24"/>
              </w:rPr>
              <w:t>基础减振、厂房隔声、距离衰减等</w:t>
            </w:r>
          </w:p>
        </w:tc>
        <w:tc>
          <w:tcPr>
            <w:tcW w:w="1569" w:type="pct"/>
            <w:vAlign w:val="center"/>
          </w:tcPr>
          <w:p>
            <w:pPr>
              <w:snapToGrid w:val="0"/>
              <w:jc w:val="center"/>
              <w:rPr>
                <w:sz w:val="24"/>
              </w:rPr>
            </w:pPr>
            <w:r>
              <w:rPr>
                <w:rFonts w:hint="eastAsia"/>
                <w:sz w:val="24"/>
              </w:rPr>
              <w:t>《工业企业厂界环境噪声排放标准》（</w:t>
            </w:r>
            <w:r>
              <w:rPr>
                <w:sz w:val="24"/>
              </w:rPr>
              <w:t>GB12348-2008</w:t>
            </w:r>
            <w:r>
              <w:rPr>
                <w:rFonts w:hint="eastAsia"/>
                <w:sz w:val="24"/>
              </w:rPr>
              <w:t>）</w:t>
            </w:r>
            <w:r>
              <w:rPr>
                <w:sz w:val="24"/>
              </w:rPr>
              <w:t>3</w:t>
            </w:r>
            <w:r>
              <w:rPr>
                <w:rFonts w:hint="eastAsia"/>
                <w:sz w:val="24"/>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54" w:type="pct"/>
            <w:vAlign w:val="center"/>
          </w:tcPr>
          <w:p>
            <w:pPr>
              <w:adjustRightInd w:val="0"/>
              <w:snapToGrid w:val="0"/>
              <w:jc w:val="center"/>
              <w:rPr>
                <w:sz w:val="24"/>
              </w:rPr>
            </w:pPr>
            <w:r>
              <w:rPr>
                <w:rFonts w:hint="eastAsia"/>
                <w:sz w:val="24"/>
              </w:rPr>
              <w:t>固体废物</w:t>
            </w:r>
          </w:p>
        </w:tc>
        <w:tc>
          <w:tcPr>
            <w:tcW w:w="4445" w:type="pct"/>
            <w:gridSpan w:val="4"/>
            <w:vAlign w:val="center"/>
          </w:tcPr>
          <w:p>
            <w:pPr>
              <w:adjustRightInd w:val="0"/>
              <w:snapToGrid w:val="0"/>
              <w:spacing w:line="360" w:lineRule="auto"/>
              <w:jc w:val="center"/>
              <w:rPr>
                <w:sz w:val="24"/>
              </w:rPr>
            </w:pPr>
            <w:r>
              <w:rPr>
                <w:rFonts w:hint="eastAsia"/>
                <w:bCs/>
                <w:sz w:val="24"/>
              </w:rPr>
              <w:t>生活垃圾设垃圾桶分类收集环卫部门统一清运；废边角料、废包材、废原料桶定期收集后外售综合利用；废活性炭、废润滑油、废液压油及废含油手套抹布设专用容器暂存于危废暂存间交有资质单位处置。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54" w:type="pct"/>
            <w:vAlign w:val="center"/>
          </w:tcPr>
          <w:p>
            <w:pPr>
              <w:adjustRightInd w:val="0"/>
              <w:snapToGrid w:val="0"/>
              <w:jc w:val="center"/>
              <w:rPr>
                <w:sz w:val="24"/>
              </w:rPr>
            </w:pPr>
            <w:r>
              <w:rPr>
                <w:rFonts w:hint="eastAsia"/>
                <w:sz w:val="24"/>
              </w:rPr>
              <w:t>土壤及地下水</w:t>
            </w:r>
          </w:p>
          <w:p>
            <w:pPr>
              <w:adjustRightInd w:val="0"/>
              <w:snapToGrid w:val="0"/>
              <w:jc w:val="center"/>
              <w:rPr>
                <w:sz w:val="24"/>
              </w:rPr>
            </w:pPr>
            <w:r>
              <w:rPr>
                <w:rFonts w:hint="eastAsia"/>
                <w:sz w:val="24"/>
              </w:rPr>
              <w:t>污染防治措施</w:t>
            </w:r>
          </w:p>
        </w:tc>
        <w:tc>
          <w:tcPr>
            <w:tcW w:w="4445" w:type="pct"/>
            <w:gridSpan w:val="4"/>
            <w:vAlign w:val="center"/>
          </w:tcPr>
          <w:p>
            <w:pPr>
              <w:adjustRightInd w:val="0"/>
              <w:snapToGrid w:val="0"/>
              <w:spacing w:line="360" w:lineRule="auto"/>
              <w:jc w:val="left"/>
              <w:rPr>
                <w:sz w:val="24"/>
              </w:rPr>
            </w:pPr>
            <w:r>
              <w:rPr>
                <w:rFonts w:hint="eastAsia"/>
                <w:bCs/>
                <w:sz w:val="24"/>
              </w:rPr>
              <w:t>在项目运营期间应充分重视自身环保行为，车间地面采用水泥硬化；危废暂存间建设需满足《危险废物贮存污染控制标准》（</w:t>
            </w:r>
            <w:r>
              <w:rPr>
                <w:bCs/>
                <w:sz w:val="24"/>
              </w:rPr>
              <w:t>GB18527-2023</w:t>
            </w:r>
            <w:r>
              <w:rPr>
                <w:rFonts w:hint="eastAsia"/>
                <w:bCs/>
                <w:sz w:val="24"/>
              </w:rPr>
              <w:t>）的要求；加强环境保护措施日常管理、检查及维护工作，加强沉淀池、危废暂存间等地的日常检查及维护。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54" w:type="pct"/>
            <w:vAlign w:val="center"/>
          </w:tcPr>
          <w:p>
            <w:pPr>
              <w:adjustRightInd w:val="0"/>
              <w:snapToGrid w:val="0"/>
              <w:jc w:val="center"/>
              <w:rPr>
                <w:sz w:val="24"/>
              </w:rPr>
            </w:pPr>
            <w:r>
              <w:rPr>
                <w:rFonts w:hint="eastAsia"/>
                <w:sz w:val="24"/>
              </w:rPr>
              <w:t>生态保护措施</w:t>
            </w:r>
          </w:p>
        </w:tc>
        <w:tc>
          <w:tcPr>
            <w:tcW w:w="4445" w:type="pct"/>
            <w:gridSpan w:val="4"/>
            <w:vAlign w:val="center"/>
          </w:tcPr>
          <w:p>
            <w:pPr>
              <w:adjustRightInd w:val="0"/>
              <w:snapToGrid w:val="0"/>
              <w:jc w:val="center"/>
              <w:rPr>
                <w:sz w:val="24"/>
              </w:rPr>
            </w:pPr>
            <w:r>
              <w:rPr>
                <w:rFonts w:hint="eastAsia"/>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554" w:type="pct"/>
            <w:vAlign w:val="center"/>
          </w:tcPr>
          <w:p>
            <w:pPr>
              <w:adjustRightInd w:val="0"/>
              <w:snapToGrid w:val="0"/>
              <w:jc w:val="center"/>
              <w:rPr>
                <w:spacing w:val="-8"/>
                <w:sz w:val="24"/>
              </w:rPr>
            </w:pPr>
            <w:r>
              <w:rPr>
                <w:rFonts w:hint="eastAsia"/>
                <w:spacing w:val="-8"/>
                <w:sz w:val="24"/>
              </w:rPr>
              <w:t>环境风险防范措施</w:t>
            </w:r>
          </w:p>
        </w:tc>
        <w:tc>
          <w:tcPr>
            <w:tcW w:w="4445" w:type="pct"/>
            <w:gridSpan w:val="4"/>
            <w:vAlign w:val="center"/>
          </w:tcPr>
          <w:p>
            <w:pPr>
              <w:adjustRightInd w:val="0"/>
              <w:snapToGrid w:val="0"/>
              <w:spacing w:line="360" w:lineRule="auto"/>
              <w:jc w:val="left"/>
              <w:rPr>
                <w:sz w:val="24"/>
              </w:rPr>
            </w:pPr>
            <w:r>
              <w:rPr>
                <w:rFonts w:hint="eastAsia"/>
                <w:bCs/>
                <w:sz w:val="24"/>
              </w:rPr>
              <w:t>要求按照危险废物特性进行单独收集和分类存放于危废暂存间内。危废暂存间严格按照《危险废物贮存污染控制标准》（</w:t>
            </w:r>
            <w:r>
              <w:rPr>
                <w:bCs/>
                <w:sz w:val="24"/>
              </w:rPr>
              <w:t>GB18527-2023</w:t>
            </w:r>
            <w:r>
              <w:rPr>
                <w:rFonts w:hint="eastAsia"/>
                <w:bCs/>
                <w:sz w:val="24"/>
              </w:rPr>
              <w:t>）的要求进行建设及日常管理。根据各功能区域要求配备消防设备设施。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554" w:type="pct"/>
            <w:tcBorders>
              <w:bottom w:val="single" w:color="auto" w:sz="8" w:space="0"/>
            </w:tcBorders>
            <w:vAlign w:val="center"/>
          </w:tcPr>
          <w:p>
            <w:pPr>
              <w:adjustRightInd w:val="0"/>
              <w:snapToGrid w:val="0"/>
              <w:jc w:val="center"/>
              <w:rPr>
                <w:spacing w:val="-8"/>
                <w:sz w:val="24"/>
              </w:rPr>
            </w:pPr>
            <w:r>
              <w:rPr>
                <w:rFonts w:hint="eastAsia"/>
                <w:spacing w:val="-8"/>
                <w:sz w:val="24"/>
              </w:rPr>
              <w:t>其他环境管理要求</w:t>
            </w:r>
          </w:p>
        </w:tc>
        <w:tc>
          <w:tcPr>
            <w:tcW w:w="4445" w:type="pct"/>
            <w:gridSpan w:val="4"/>
            <w:tcBorders>
              <w:bottom w:val="single" w:color="auto" w:sz="8" w:space="0"/>
            </w:tcBorders>
            <w:vAlign w:val="center"/>
          </w:tcPr>
          <w:p>
            <w:pPr>
              <w:pStyle w:val="6"/>
              <w:spacing w:line="360" w:lineRule="auto"/>
              <w:ind w:left="420" w:leftChars="200"/>
              <w:rPr>
                <w:b/>
                <w:bCs/>
                <w:kern w:val="10"/>
                <w:sz w:val="24"/>
              </w:rPr>
            </w:pPr>
            <w:r>
              <w:rPr>
                <w:rFonts w:hint="eastAsia"/>
                <w:b/>
                <w:bCs/>
                <w:kern w:val="10"/>
                <w:sz w:val="24"/>
              </w:rPr>
              <w:t>一、排污口规范化要求</w:t>
            </w:r>
          </w:p>
          <w:p>
            <w:pPr>
              <w:pStyle w:val="6"/>
              <w:adjustRightInd w:val="0"/>
              <w:snapToGrid w:val="0"/>
              <w:spacing w:line="360" w:lineRule="auto"/>
              <w:ind w:firstLine="480" w:firstLineChars="200"/>
              <w:rPr>
                <w:kern w:val="10"/>
                <w:sz w:val="24"/>
              </w:rPr>
            </w:pPr>
            <w:r>
              <w:rPr>
                <w:rFonts w:hint="eastAsia"/>
                <w:kern w:val="10"/>
                <w:sz w:val="24"/>
              </w:rPr>
              <w:t>本项目的排污口按照《排污口规范化整治技术要求》进行规范化设置，具体要求如下：</w:t>
            </w:r>
          </w:p>
          <w:p>
            <w:pPr>
              <w:pStyle w:val="6"/>
              <w:spacing w:line="360" w:lineRule="auto"/>
              <w:ind w:firstLine="480" w:firstLineChars="200"/>
              <w:rPr>
                <w:kern w:val="10"/>
                <w:sz w:val="24"/>
              </w:rPr>
            </w:pPr>
            <w:r>
              <w:rPr>
                <w:rFonts w:hint="eastAsia"/>
                <w:kern w:val="10"/>
                <w:sz w:val="24"/>
              </w:rPr>
              <w:t>（</w:t>
            </w:r>
            <w:r>
              <w:rPr>
                <w:kern w:val="10"/>
                <w:sz w:val="24"/>
              </w:rPr>
              <w:t>1</w:t>
            </w:r>
            <w:r>
              <w:rPr>
                <w:rFonts w:hint="eastAsia"/>
                <w:kern w:val="10"/>
                <w:sz w:val="24"/>
              </w:rPr>
              <w:t>）排污口规范化整治应遵循便于采集样品，便于计量监测，便于日常现场监督检查的原则；</w:t>
            </w:r>
          </w:p>
          <w:p>
            <w:pPr>
              <w:pStyle w:val="6"/>
              <w:spacing w:line="360" w:lineRule="auto"/>
              <w:ind w:firstLine="480" w:firstLineChars="200"/>
              <w:rPr>
                <w:kern w:val="10"/>
                <w:sz w:val="24"/>
              </w:rPr>
            </w:pPr>
            <w:r>
              <w:rPr>
                <w:rFonts w:hint="eastAsia"/>
                <w:kern w:val="10"/>
                <w:sz w:val="24"/>
              </w:rPr>
              <w:t>（</w:t>
            </w:r>
            <w:r>
              <w:rPr>
                <w:kern w:val="10"/>
                <w:sz w:val="24"/>
              </w:rPr>
              <w:t>2</w:t>
            </w:r>
            <w:r>
              <w:rPr>
                <w:rFonts w:hint="eastAsia"/>
                <w:kern w:val="10"/>
                <w:sz w:val="24"/>
              </w:rPr>
              <w:t>）排气筒应设置便于采样、监测的采样口。采样口的设置应符合《污染源监测技术规范》要求；</w:t>
            </w:r>
          </w:p>
          <w:p>
            <w:pPr>
              <w:pStyle w:val="6"/>
              <w:spacing w:line="360" w:lineRule="auto"/>
              <w:ind w:firstLine="480" w:firstLineChars="200"/>
              <w:rPr>
                <w:kern w:val="10"/>
                <w:sz w:val="24"/>
              </w:rPr>
            </w:pPr>
            <w:r>
              <w:rPr>
                <w:rFonts w:hint="eastAsia"/>
                <w:kern w:val="10"/>
                <w:sz w:val="24"/>
              </w:rPr>
              <w:t>（</w:t>
            </w:r>
            <w:r>
              <w:rPr>
                <w:kern w:val="10"/>
                <w:sz w:val="24"/>
              </w:rPr>
              <w:t>3</w:t>
            </w:r>
            <w:r>
              <w:rPr>
                <w:rFonts w:hint="eastAsia"/>
                <w:kern w:val="10"/>
                <w:sz w:val="24"/>
              </w:rPr>
              <w:t>）采样口位置无法满足</w:t>
            </w:r>
            <w:r>
              <w:rPr>
                <w:kern w:val="10"/>
                <w:sz w:val="24"/>
              </w:rPr>
              <w:t>“</w:t>
            </w:r>
            <w:r>
              <w:rPr>
                <w:rFonts w:hint="eastAsia"/>
                <w:kern w:val="10"/>
                <w:sz w:val="24"/>
              </w:rPr>
              <w:t>规范</w:t>
            </w:r>
            <w:r>
              <w:rPr>
                <w:kern w:val="10"/>
                <w:sz w:val="24"/>
              </w:rPr>
              <w:t>”</w:t>
            </w:r>
            <w:r>
              <w:rPr>
                <w:rFonts w:hint="eastAsia"/>
                <w:kern w:val="10"/>
                <w:sz w:val="24"/>
              </w:rPr>
              <w:t>要求的，其监测位置由当地环境监测部门确认；</w:t>
            </w:r>
          </w:p>
          <w:p>
            <w:pPr>
              <w:pStyle w:val="6"/>
              <w:spacing w:line="360" w:lineRule="auto"/>
              <w:ind w:firstLine="480" w:firstLineChars="200"/>
              <w:rPr>
                <w:kern w:val="10"/>
                <w:sz w:val="24"/>
              </w:rPr>
            </w:pPr>
            <w:r>
              <w:rPr>
                <w:rFonts w:hint="eastAsia"/>
                <w:kern w:val="10"/>
                <w:sz w:val="24"/>
              </w:rPr>
              <w:t>（</w:t>
            </w:r>
            <w:r>
              <w:rPr>
                <w:kern w:val="10"/>
                <w:sz w:val="24"/>
              </w:rPr>
              <w:t>4</w:t>
            </w:r>
            <w:r>
              <w:rPr>
                <w:rFonts w:hint="eastAsia"/>
                <w:kern w:val="10"/>
                <w:sz w:val="24"/>
              </w:rPr>
              <w:t>）污染物排放口必须实行规范化整治，按照国家标准《环境保护图形标志》（</w:t>
            </w:r>
            <w:r>
              <w:rPr>
                <w:kern w:val="10"/>
                <w:sz w:val="24"/>
              </w:rPr>
              <w:t>GB15562.1-1995</w:t>
            </w:r>
            <w:r>
              <w:rPr>
                <w:rFonts w:hint="eastAsia"/>
                <w:kern w:val="10"/>
                <w:sz w:val="24"/>
              </w:rPr>
              <w:t>）（</w:t>
            </w:r>
            <w:r>
              <w:rPr>
                <w:kern w:val="10"/>
                <w:sz w:val="24"/>
              </w:rPr>
              <w:t>GB15562.2-1995</w:t>
            </w:r>
            <w:r>
              <w:rPr>
                <w:rFonts w:hint="eastAsia"/>
                <w:kern w:val="10"/>
                <w:sz w:val="24"/>
              </w:rPr>
              <w:t>）的规定，设置与之相适应的环境保护图形标志牌；</w:t>
            </w:r>
          </w:p>
          <w:p>
            <w:pPr>
              <w:pStyle w:val="6"/>
              <w:spacing w:line="360" w:lineRule="auto"/>
              <w:ind w:firstLine="480" w:firstLineChars="200"/>
              <w:rPr>
                <w:kern w:val="10"/>
                <w:sz w:val="24"/>
              </w:rPr>
            </w:pPr>
            <w:r>
              <w:rPr>
                <w:rFonts w:hint="eastAsia"/>
                <w:kern w:val="10"/>
                <w:sz w:val="24"/>
              </w:rPr>
              <w:t>（</w:t>
            </w:r>
            <w:r>
              <w:rPr>
                <w:kern w:val="10"/>
                <w:sz w:val="24"/>
              </w:rPr>
              <w:t>5</w:t>
            </w:r>
            <w:r>
              <w:rPr>
                <w:rFonts w:hint="eastAsia"/>
                <w:kern w:val="10"/>
                <w:sz w:val="24"/>
              </w:rPr>
              <w:t>）排放口必须使用由国家统一定点制作和监制的环境保护图形标志牌；</w:t>
            </w:r>
          </w:p>
          <w:p>
            <w:pPr>
              <w:pStyle w:val="6"/>
              <w:spacing w:line="360" w:lineRule="auto"/>
              <w:ind w:firstLine="480" w:firstLineChars="200"/>
              <w:rPr>
                <w:kern w:val="10"/>
                <w:sz w:val="24"/>
              </w:rPr>
            </w:pPr>
            <w:r>
              <w:rPr>
                <w:rFonts w:hint="eastAsia"/>
                <w:kern w:val="10"/>
                <w:sz w:val="24"/>
              </w:rPr>
              <w:t>（</w:t>
            </w:r>
            <w:r>
              <w:rPr>
                <w:kern w:val="10"/>
                <w:sz w:val="24"/>
              </w:rPr>
              <w:t>6</w:t>
            </w:r>
            <w:r>
              <w:rPr>
                <w:rFonts w:hint="eastAsia"/>
                <w:kern w:val="10"/>
                <w:sz w:val="24"/>
              </w:rPr>
              <w:t>）环境保护图形标志牌设置位置应距污染物排放口（源）及采样点较近且醒目处，并能长久保留，设置高度一般为：环境保护图形标志牌上缘距离地面</w:t>
            </w:r>
            <w:r>
              <w:rPr>
                <w:kern w:val="10"/>
                <w:sz w:val="24"/>
              </w:rPr>
              <w:t>2</w:t>
            </w:r>
            <w:r>
              <w:rPr>
                <w:rFonts w:hint="eastAsia"/>
                <w:kern w:val="10"/>
                <w:sz w:val="24"/>
              </w:rPr>
              <w:t>米；</w:t>
            </w:r>
          </w:p>
          <w:p>
            <w:pPr>
              <w:pStyle w:val="6"/>
              <w:spacing w:line="360" w:lineRule="auto"/>
              <w:ind w:firstLine="480" w:firstLineChars="200"/>
              <w:rPr>
                <w:kern w:val="10"/>
                <w:sz w:val="24"/>
              </w:rPr>
            </w:pPr>
            <w:r>
              <w:rPr>
                <w:rFonts w:hint="eastAsia"/>
                <w:kern w:val="10"/>
                <w:sz w:val="24"/>
              </w:rPr>
              <w:t>（</w:t>
            </w:r>
            <w:r>
              <w:rPr>
                <w:kern w:val="10"/>
                <w:sz w:val="24"/>
              </w:rPr>
              <w:t>7</w:t>
            </w:r>
            <w:r>
              <w:rPr>
                <w:rFonts w:hint="eastAsia"/>
                <w:kern w:val="10"/>
                <w:sz w:val="24"/>
              </w:rPr>
              <w:t>）环境保护图形标志牌的辅助标志上，需要填写的栏目，应由环境保护部门统一组织填写，要求字迹工整，字的颜色，与标志牌颜色要总体协调。</w:t>
            </w:r>
          </w:p>
          <w:p>
            <w:pPr>
              <w:snapToGrid w:val="0"/>
              <w:spacing w:line="360" w:lineRule="auto"/>
              <w:ind w:firstLine="482" w:firstLineChars="200"/>
              <w:rPr>
                <w:b/>
                <w:bCs/>
                <w:sz w:val="24"/>
              </w:rPr>
            </w:pPr>
            <w:r>
              <w:rPr>
                <w:rFonts w:hint="eastAsia"/>
                <w:b/>
                <w:bCs/>
                <w:sz w:val="24"/>
              </w:rPr>
              <w:t>二、环境管理要求</w:t>
            </w:r>
          </w:p>
          <w:p>
            <w:pPr>
              <w:snapToGrid w:val="0"/>
              <w:spacing w:line="360" w:lineRule="auto"/>
              <w:ind w:firstLine="480" w:firstLineChars="200"/>
              <w:rPr>
                <w:sz w:val="24"/>
              </w:rPr>
            </w:pPr>
            <w:r>
              <w:rPr>
                <w:rFonts w:hint="eastAsia"/>
                <w:sz w:val="24"/>
              </w:rPr>
              <w:t>项目的污染物排放水平与厂区环境管理水平密切相关，运营期的环境管理是企业环境管理的重点，因此在采取环境保护工程措施的同时，必须加强环境管理。</w:t>
            </w:r>
          </w:p>
          <w:p>
            <w:pPr>
              <w:snapToGrid w:val="0"/>
              <w:spacing w:line="360" w:lineRule="auto"/>
              <w:ind w:firstLine="480" w:firstLineChars="200"/>
              <w:rPr>
                <w:sz w:val="24"/>
              </w:rPr>
            </w:pPr>
            <w:r>
              <w:rPr>
                <w:rFonts w:hint="eastAsia"/>
                <w:sz w:val="24"/>
              </w:rPr>
              <w:t>（</w:t>
            </w:r>
            <w:r>
              <w:rPr>
                <w:sz w:val="24"/>
              </w:rPr>
              <w:t>1</w:t>
            </w:r>
            <w:r>
              <w:rPr>
                <w:rFonts w:hint="eastAsia"/>
                <w:sz w:val="24"/>
              </w:rPr>
              <w:t>）建立环境管理台账，并接受有关部门检查。台账内容包括：</w:t>
            </w:r>
          </w:p>
          <w:p>
            <w:pPr>
              <w:snapToGrid w:val="0"/>
              <w:spacing w:line="360" w:lineRule="auto"/>
              <w:ind w:firstLine="480" w:firstLineChars="200"/>
              <w:rPr>
                <w:sz w:val="24"/>
              </w:rPr>
            </w:pPr>
            <w:r>
              <w:rPr>
                <w:sz w:val="24"/>
              </w:rPr>
              <w:t>A</w:t>
            </w:r>
            <w:r>
              <w:rPr>
                <w:rFonts w:hint="eastAsia"/>
                <w:sz w:val="24"/>
              </w:rPr>
              <w:t>、污染物排放情况；</w:t>
            </w:r>
          </w:p>
          <w:p>
            <w:pPr>
              <w:snapToGrid w:val="0"/>
              <w:spacing w:line="360" w:lineRule="auto"/>
              <w:ind w:firstLine="480" w:firstLineChars="200"/>
              <w:rPr>
                <w:sz w:val="24"/>
              </w:rPr>
            </w:pPr>
            <w:r>
              <w:rPr>
                <w:sz w:val="24"/>
              </w:rPr>
              <w:t>B</w:t>
            </w:r>
            <w:r>
              <w:rPr>
                <w:rFonts w:hint="eastAsia"/>
                <w:sz w:val="24"/>
              </w:rPr>
              <w:t>、污染物治理设施的运行、操作和管理情况；</w:t>
            </w:r>
          </w:p>
          <w:p>
            <w:pPr>
              <w:snapToGrid w:val="0"/>
              <w:spacing w:line="360" w:lineRule="auto"/>
              <w:ind w:firstLine="480" w:firstLineChars="200"/>
              <w:rPr>
                <w:sz w:val="24"/>
              </w:rPr>
            </w:pPr>
            <w:r>
              <w:rPr>
                <w:sz w:val="24"/>
              </w:rPr>
              <w:t>C</w:t>
            </w:r>
            <w:r>
              <w:rPr>
                <w:rFonts w:hint="eastAsia"/>
                <w:sz w:val="24"/>
              </w:rPr>
              <w:t>、各污染物的监测分析方法和监测记录；</w:t>
            </w:r>
          </w:p>
          <w:p>
            <w:pPr>
              <w:snapToGrid w:val="0"/>
              <w:spacing w:line="360" w:lineRule="auto"/>
              <w:ind w:firstLine="480" w:firstLineChars="200"/>
              <w:rPr>
                <w:sz w:val="24"/>
              </w:rPr>
            </w:pPr>
            <w:r>
              <w:rPr>
                <w:sz w:val="24"/>
              </w:rPr>
              <w:t>D</w:t>
            </w:r>
            <w:r>
              <w:rPr>
                <w:rFonts w:hint="eastAsia"/>
                <w:sz w:val="24"/>
              </w:rPr>
              <w:t>、事故情况及有关记录；</w:t>
            </w:r>
          </w:p>
          <w:p>
            <w:pPr>
              <w:snapToGrid w:val="0"/>
              <w:spacing w:line="360" w:lineRule="auto"/>
              <w:ind w:firstLine="480" w:firstLineChars="200"/>
              <w:rPr>
                <w:sz w:val="24"/>
              </w:rPr>
            </w:pPr>
            <w:r>
              <w:rPr>
                <w:sz w:val="24"/>
              </w:rPr>
              <w:t>E</w:t>
            </w:r>
            <w:r>
              <w:rPr>
                <w:rFonts w:hint="eastAsia"/>
                <w:sz w:val="24"/>
              </w:rPr>
              <w:t>、其他与污染防治有关的情况和资料；</w:t>
            </w:r>
          </w:p>
          <w:p>
            <w:pPr>
              <w:snapToGrid w:val="0"/>
              <w:spacing w:line="360" w:lineRule="auto"/>
              <w:ind w:firstLine="480" w:firstLineChars="200"/>
              <w:rPr>
                <w:sz w:val="24"/>
              </w:rPr>
            </w:pPr>
            <w:r>
              <w:rPr>
                <w:sz w:val="24"/>
              </w:rPr>
              <w:t>F</w:t>
            </w:r>
            <w:r>
              <w:rPr>
                <w:rFonts w:hint="eastAsia"/>
                <w:sz w:val="24"/>
              </w:rPr>
              <w:t>、环保设施运行能耗情况等。</w:t>
            </w:r>
          </w:p>
          <w:p>
            <w:pPr>
              <w:snapToGrid w:val="0"/>
              <w:spacing w:line="360" w:lineRule="auto"/>
              <w:ind w:firstLine="480" w:firstLineChars="200"/>
              <w:rPr>
                <w:sz w:val="24"/>
              </w:rPr>
            </w:pPr>
            <w:r>
              <w:rPr>
                <w:rFonts w:hint="eastAsia"/>
                <w:sz w:val="24"/>
              </w:rPr>
              <w:t>（</w:t>
            </w:r>
            <w:r>
              <w:rPr>
                <w:sz w:val="24"/>
              </w:rPr>
              <w:t>2</w:t>
            </w:r>
            <w:r>
              <w:rPr>
                <w:rFonts w:hint="eastAsia"/>
                <w:sz w:val="24"/>
              </w:rPr>
              <w:t>）把环境管理和污染治理纳入企业日常经营管理活动，从计划管理、生产管理、技术管理、设备管理到经济成本核算都要有控制污染的内容和指标，并要落实到位。</w:t>
            </w:r>
          </w:p>
          <w:p>
            <w:pPr>
              <w:snapToGrid w:val="0"/>
              <w:spacing w:line="360" w:lineRule="auto"/>
              <w:ind w:firstLine="480" w:firstLineChars="200"/>
              <w:rPr>
                <w:sz w:val="24"/>
              </w:rPr>
            </w:pPr>
            <w:r>
              <w:rPr>
                <w:rFonts w:hint="eastAsia"/>
                <w:sz w:val="24"/>
              </w:rPr>
              <w:t>（</w:t>
            </w:r>
            <w:r>
              <w:rPr>
                <w:sz w:val="24"/>
              </w:rPr>
              <w:t>3</w:t>
            </w:r>
            <w:r>
              <w:rPr>
                <w:rFonts w:hint="eastAsia"/>
                <w:sz w:val="24"/>
              </w:rPr>
              <w:t>）实行环保责任制，由领导负责企业总体环境管理工作。</w:t>
            </w:r>
          </w:p>
          <w:p>
            <w:pPr>
              <w:snapToGrid w:val="0"/>
              <w:spacing w:line="360" w:lineRule="auto"/>
              <w:ind w:firstLine="480" w:firstLineChars="200"/>
              <w:rPr>
                <w:sz w:val="24"/>
              </w:rPr>
            </w:pPr>
            <w:r>
              <w:rPr>
                <w:rFonts w:hint="eastAsia"/>
                <w:sz w:val="24"/>
              </w:rPr>
              <w:t>（</w:t>
            </w:r>
            <w:r>
              <w:rPr>
                <w:sz w:val="24"/>
              </w:rPr>
              <w:t>4</w:t>
            </w:r>
            <w:r>
              <w:rPr>
                <w:rFonts w:hint="eastAsia"/>
                <w:sz w:val="24"/>
              </w:rPr>
              <w:t>）建立环境保护指标体系，根据工艺特点，制定废气、废水、固体废物、噪声污染防治措施的各项操作规程，制定节水、节电、节能措施</w:t>
            </w:r>
          </w:p>
          <w:p>
            <w:pPr>
              <w:snapToGrid w:val="0"/>
              <w:spacing w:line="360" w:lineRule="auto"/>
              <w:ind w:firstLine="480" w:firstLineChars="200"/>
              <w:rPr>
                <w:sz w:val="24"/>
              </w:rPr>
            </w:pPr>
            <w:r>
              <w:rPr>
                <w:rFonts w:hint="eastAsia"/>
                <w:sz w:val="24"/>
              </w:rPr>
              <w:t>（</w:t>
            </w:r>
            <w:r>
              <w:rPr>
                <w:sz w:val="24"/>
              </w:rPr>
              <w:t>5</w:t>
            </w:r>
            <w:r>
              <w:rPr>
                <w:rFonts w:hint="eastAsia"/>
                <w:sz w:val="24"/>
              </w:rPr>
              <w:t>）对员工进行定期环保知识培训讲座，将国家环境保护的有关法律法规和企业的环境保护目标与指标以及为保障目标、指标的实现而建立的各项管理制度向员工进行针对性地宣讲。</w:t>
            </w:r>
          </w:p>
          <w:p>
            <w:pPr>
              <w:adjustRightInd w:val="0"/>
              <w:snapToGrid w:val="0"/>
              <w:spacing w:line="360" w:lineRule="auto"/>
              <w:ind w:firstLine="480" w:firstLineChars="200"/>
              <w:jc w:val="left"/>
              <w:rPr>
                <w:sz w:val="24"/>
              </w:rPr>
            </w:pPr>
            <w:r>
              <w:rPr>
                <w:rFonts w:hint="eastAsia"/>
                <w:sz w:val="24"/>
              </w:rPr>
              <w:t>（</w:t>
            </w:r>
            <w:r>
              <w:rPr>
                <w:sz w:val="24"/>
              </w:rPr>
              <w:t>6</w:t>
            </w:r>
            <w:r>
              <w:rPr>
                <w:rFonts w:hint="eastAsia"/>
                <w:sz w:val="24"/>
              </w:rPr>
              <w:t>）企业应对项目基础信息，排污信息，防止污染设施的建设和运行情况，建设项目环评情况、验收、执行国家及地方环保政策等信息进行公开公示。</w:t>
            </w:r>
          </w:p>
          <w:p>
            <w:pPr>
              <w:adjustRightInd w:val="0"/>
              <w:snapToGrid w:val="0"/>
              <w:spacing w:line="360" w:lineRule="auto"/>
              <w:ind w:firstLine="482" w:firstLineChars="200"/>
              <w:jc w:val="left"/>
              <w:rPr>
                <w:b/>
                <w:bCs/>
                <w:sz w:val="24"/>
              </w:rPr>
            </w:pPr>
            <w:r>
              <w:rPr>
                <w:rFonts w:hint="eastAsia"/>
                <w:b/>
                <w:bCs/>
                <w:sz w:val="24"/>
              </w:rPr>
              <w:t>三、环境监测计划</w:t>
            </w:r>
            <w:r>
              <w:rPr>
                <w:b/>
                <w:bCs/>
                <w:sz w:val="24"/>
              </w:rPr>
              <w:t xml:space="preserve"> </w:t>
            </w:r>
          </w:p>
          <w:p>
            <w:pPr>
              <w:adjustRightInd w:val="0"/>
              <w:snapToGrid w:val="0"/>
              <w:spacing w:line="360" w:lineRule="auto"/>
              <w:ind w:firstLine="480" w:firstLineChars="200"/>
              <w:jc w:val="left"/>
              <w:rPr>
                <w:sz w:val="24"/>
              </w:rPr>
            </w:pPr>
            <w:r>
              <w:rPr>
                <w:rFonts w:hint="eastAsia"/>
                <w:sz w:val="24"/>
              </w:rPr>
              <w:t>企业不必自设环境监测机构，对环境监测任务可委托当地环境监测机进行。环境监测应采用国家环保规定的标准、监测方法，定期向有关环境保护主管部门上报监测结果。企业应自觉接受当地环保部门的监督与管理。</w:t>
            </w: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tc>
      </w:tr>
    </w:tbl>
    <w:p>
      <w:pPr>
        <w:pStyle w:val="16"/>
        <w:jc w:val="center"/>
        <w:outlineLvl w:val="0"/>
        <w:rPr>
          <w:rFonts w:ascii="Times New Roman" w:hAnsi="Times New Roman"/>
          <w:snapToGrid w:val="0"/>
        </w:rPr>
        <w:sectPr>
          <w:pgSz w:w="11906" w:h="16838"/>
          <w:pgMar w:top="1134" w:right="1417" w:bottom="1417" w:left="1417" w:header="851" w:footer="851" w:gutter="0"/>
          <w:cols w:space="720" w:num="1"/>
          <w:docGrid w:linePitch="312" w:charSpace="0"/>
        </w:sectPr>
      </w:pPr>
    </w:p>
    <w:p>
      <w:pPr>
        <w:pStyle w:val="16"/>
        <w:jc w:val="center"/>
        <w:outlineLvl w:val="0"/>
        <w:rPr>
          <w:rFonts w:ascii="Times New Roman" w:hAnsi="Times New Roman" w:eastAsia="黑体"/>
          <w:snapToGrid w:val="0"/>
          <w:sz w:val="30"/>
          <w:szCs w:val="30"/>
        </w:rPr>
      </w:pPr>
      <w:r>
        <w:rPr>
          <w:rFonts w:hint="eastAsia" w:ascii="Times New Roman" w:hAnsi="Times New Roman"/>
          <w:b/>
          <w:bCs/>
          <w:kern w:val="44"/>
          <w:sz w:val="30"/>
          <w:szCs w:val="44"/>
        </w:rPr>
        <w:t>六、结论</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Borders>
              <w:top w:val="single" w:color="auto" w:sz="8" w:space="0"/>
              <w:bottom w:val="single" w:color="auto" w:sz="8" w:space="0"/>
            </w:tcBorders>
          </w:tcPr>
          <w:p>
            <w:pPr>
              <w:spacing w:line="360" w:lineRule="auto"/>
              <w:ind w:firstLine="480" w:firstLineChars="200"/>
              <w:rPr>
                <w:sz w:val="24"/>
              </w:rPr>
            </w:pPr>
            <w:r>
              <w:rPr>
                <w:rFonts w:hint="eastAsia"/>
                <w:bCs/>
                <w:sz w:val="24"/>
              </w:rPr>
              <w:t>本项目符合国家和地方产业政策、园区规划等，选址合理，项目在切实执行</w:t>
            </w:r>
            <w:r>
              <w:rPr>
                <w:bCs/>
                <w:sz w:val="24"/>
              </w:rPr>
              <w:t>“</w:t>
            </w:r>
            <w:r>
              <w:rPr>
                <w:rFonts w:hint="eastAsia"/>
                <w:bCs/>
                <w:sz w:val="24"/>
              </w:rPr>
              <w:t>三同时</w:t>
            </w:r>
            <w:r>
              <w:rPr>
                <w:bCs/>
                <w:sz w:val="24"/>
              </w:rPr>
              <w:t>”</w:t>
            </w:r>
            <w:r>
              <w:rPr>
                <w:rFonts w:hint="eastAsia"/>
                <w:bCs/>
                <w:sz w:val="24"/>
              </w:rPr>
              <w:t>制度，认真落实本报告提出的各项环保措施和风险防范措施的前提下，污染物能做到达标排放，固废均能妥善处置，环境风险可接受。从环境保护角度，项目环境影响可行。</w:t>
            </w:r>
          </w:p>
        </w:tc>
      </w:tr>
    </w:tbl>
    <w:p>
      <w:pPr>
        <w:ind w:firstLine="209"/>
        <w:sectPr>
          <w:pgSz w:w="11906" w:h="16838"/>
          <w:pgMar w:top="1417" w:right="1531" w:bottom="1417" w:left="1417" w:header="851" w:footer="851" w:gutter="0"/>
          <w:cols w:space="720" w:num="1"/>
          <w:docGrid w:linePitch="312" w:charSpace="0"/>
        </w:sectPr>
      </w:pPr>
    </w:p>
    <w:p>
      <w:pPr>
        <w:pStyle w:val="2"/>
        <w:spacing w:line="240" w:lineRule="auto"/>
      </w:pPr>
      <w:r>
        <w:rPr>
          <w:rFonts w:hint="eastAsia"/>
        </w:rPr>
        <w:t>附表</w:t>
      </w:r>
    </w:p>
    <w:p>
      <w:pPr>
        <w:pStyle w:val="16"/>
        <w:spacing w:beforeAutospacing="0" w:afterAutospacing="0"/>
        <w:jc w:val="center"/>
        <w:outlineLvl w:val="0"/>
        <w:rPr>
          <w:rFonts w:ascii="Times New Roman" w:hAnsi="Times New Roman" w:eastAsia="方正小标宋_GBK"/>
          <w:snapToGrid w:val="0"/>
          <w:sz w:val="32"/>
          <w:szCs w:val="32"/>
        </w:rPr>
      </w:pPr>
      <w:r>
        <w:rPr>
          <w:rFonts w:hint="eastAsia" w:ascii="Times New Roman" w:hAnsi="Times New Roman" w:eastAsia="方正小标宋_GBK"/>
          <w:snapToGrid w:val="0"/>
          <w:sz w:val="32"/>
          <w:szCs w:val="32"/>
        </w:rPr>
        <w:t>建设项目污染物排放量汇总表</w:t>
      </w:r>
    </w:p>
    <w:tbl>
      <w:tblPr>
        <w:tblStyle w:val="18"/>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753"/>
        <w:gridCol w:w="1514"/>
        <w:gridCol w:w="1317"/>
        <w:gridCol w:w="1494"/>
        <w:gridCol w:w="1542"/>
        <w:gridCol w:w="1882"/>
        <w:gridCol w:w="1753"/>
        <w:gridCol w:w="14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tcBorders>
              <w:top w:val="single" w:color="auto" w:sz="8" w:space="0"/>
              <w:tl2br w:val="single" w:color="auto" w:sz="4" w:space="0"/>
            </w:tcBorders>
            <w:tcMar>
              <w:left w:w="28" w:type="dxa"/>
              <w:right w:w="28" w:type="dxa"/>
            </w:tcMar>
            <w:vAlign w:val="center"/>
          </w:tcPr>
          <w:p>
            <w:pPr>
              <w:pStyle w:val="42"/>
              <w:spacing w:beforeLines="0" w:afterLines="0" w:line="240" w:lineRule="auto"/>
              <w:jc w:val="right"/>
              <w:rPr>
                <w:rFonts w:ascii="Times New Roman" w:eastAsia="黑体"/>
                <w:snapToGrid w:val="0"/>
                <w:spacing w:val="-6"/>
                <w:kern w:val="21"/>
                <w:szCs w:val="21"/>
              </w:rPr>
            </w:pPr>
            <w:r>
              <w:rPr>
                <w:rFonts w:hint="eastAsia" w:ascii="Times New Roman" w:eastAsia="黑体"/>
                <w:snapToGrid w:val="0"/>
                <w:spacing w:val="-6"/>
                <w:kern w:val="21"/>
                <w:szCs w:val="21"/>
              </w:rPr>
              <w:t>项目</w:t>
            </w:r>
          </w:p>
          <w:p>
            <w:pPr>
              <w:pStyle w:val="42"/>
              <w:spacing w:beforeLines="0" w:afterLines="0" w:line="240" w:lineRule="auto"/>
              <w:jc w:val="left"/>
              <w:rPr>
                <w:rFonts w:ascii="Times New Roman" w:eastAsia="黑体"/>
                <w:snapToGrid w:val="0"/>
                <w:spacing w:val="-6"/>
                <w:kern w:val="21"/>
                <w:szCs w:val="21"/>
              </w:rPr>
            </w:pPr>
            <w:r>
              <w:rPr>
                <w:rFonts w:hint="eastAsia" w:ascii="Times New Roman" w:eastAsia="黑体"/>
                <w:snapToGrid w:val="0"/>
                <w:spacing w:val="-6"/>
                <w:kern w:val="21"/>
                <w:szCs w:val="21"/>
              </w:rPr>
              <w:t>分类</w:t>
            </w:r>
          </w:p>
        </w:tc>
        <w:tc>
          <w:tcPr>
            <w:tcW w:w="623"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污染物名称</w:t>
            </w:r>
          </w:p>
        </w:tc>
        <w:tc>
          <w:tcPr>
            <w:tcW w:w="538"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现有工程</w:t>
            </w:r>
          </w:p>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hint="eastAsia" w:ascii="Times New Roman" w:eastAsia="黑体"/>
                <w:kern w:val="2"/>
                <w:szCs w:val="21"/>
              </w:rPr>
              <w:t>①</w:t>
            </w:r>
            <w:r>
              <w:rPr>
                <w:rFonts w:ascii="Times New Roman" w:eastAsia="黑体"/>
                <w:snapToGrid w:val="0"/>
                <w:spacing w:val="-6"/>
                <w:kern w:val="21"/>
                <w:szCs w:val="21"/>
              </w:rPr>
              <w:fldChar w:fldCharType="end"/>
            </w:r>
          </w:p>
        </w:tc>
        <w:tc>
          <w:tcPr>
            <w:tcW w:w="468"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现有工程</w:t>
            </w:r>
          </w:p>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许可排放量</w:t>
            </w:r>
          </w:p>
          <w:p>
            <w:pPr>
              <w:pStyle w:val="42"/>
              <w:spacing w:beforeLines="0" w:afterLine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hint="eastAsia" w:ascii="Times New Roman" w:eastAsia="黑体"/>
                <w:snapToGrid w:val="0"/>
                <w:spacing w:val="-6"/>
                <w:kern w:val="21"/>
                <w:szCs w:val="21"/>
              </w:rPr>
              <w:t>②</w:t>
            </w:r>
            <w:r>
              <w:rPr>
                <w:rFonts w:ascii="Times New Roman" w:eastAsia="黑体"/>
                <w:snapToGrid w:val="0"/>
                <w:spacing w:val="-6"/>
                <w:kern w:val="21"/>
                <w:szCs w:val="21"/>
              </w:rPr>
              <w:fldChar w:fldCharType="end"/>
            </w:r>
          </w:p>
        </w:tc>
        <w:tc>
          <w:tcPr>
            <w:tcW w:w="531"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在建工程</w:t>
            </w:r>
          </w:p>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hint="eastAsia" w:ascii="Times New Roman" w:eastAsia="黑体"/>
                <w:kern w:val="2"/>
                <w:szCs w:val="21"/>
              </w:rPr>
              <w:t>③</w:t>
            </w:r>
            <w:r>
              <w:rPr>
                <w:rFonts w:ascii="Times New Roman" w:eastAsia="黑体"/>
                <w:snapToGrid w:val="0"/>
                <w:spacing w:val="-6"/>
                <w:kern w:val="21"/>
                <w:szCs w:val="21"/>
              </w:rPr>
              <w:fldChar w:fldCharType="end"/>
            </w:r>
          </w:p>
        </w:tc>
        <w:tc>
          <w:tcPr>
            <w:tcW w:w="548"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本项目</w:t>
            </w:r>
          </w:p>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hint="eastAsia" w:ascii="Times New Roman" w:eastAsia="黑体"/>
                <w:kern w:val="2"/>
                <w:szCs w:val="21"/>
              </w:rPr>
              <w:t>④</w:t>
            </w:r>
            <w:r>
              <w:rPr>
                <w:rFonts w:ascii="Times New Roman" w:eastAsia="黑体"/>
                <w:snapToGrid w:val="0"/>
                <w:spacing w:val="-6"/>
                <w:kern w:val="21"/>
                <w:szCs w:val="21"/>
              </w:rPr>
              <w:fldChar w:fldCharType="end"/>
            </w:r>
          </w:p>
        </w:tc>
        <w:tc>
          <w:tcPr>
            <w:tcW w:w="669"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16"/>
                <w:kern w:val="21"/>
                <w:szCs w:val="21"/>
              </w:rPr>
            </w:pPr>
            <w:r>
              <w:rPr>
                <w:rFonts w:hint="eastAsia" w:ascii="Times New Roman" w:eastAsia="黑体"/>
                <w:snapToGrid w:val="0"/>
                <w:spacing w:val="-16"/>
                <w:kern w:val="21"/>
                <w:szCs w:val="21"/>
              </w:rPr>
              <w:t>以新带老削减量</w:t>
            </w:r>
          </w:p>
          <w:p>
            <w:pPr>
              <w:pStyle w:val="42"/>
              <w:spacing w:beforeLines="0" w:afterLines="0" w:line="240" w:lineRule="auto"/>
              <w:rPr>
                <w:rFonts w:ascii="Times New Roman" w:eastAsia="黑体"/>
                <w:snapToGrid w:val="0"/>
                <w:spacing w:val="-16"/>
                <w:kern w:val="21"/>
                <w:szCs w:val="21"/>
              </w:rPr>
            </w:pPr>
            <w:r>
              <w:rPr>
                <w:rFonts w:hint="eastAsia" w:ascii="Times New Roman" w:eastAsia="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hint="eastAsia" w:ascii="Times New Roman" w:eastAsia="黑体"/>
                <w:kern w:val="2"/>
                <w:szCs w:val="21"/>
              </w:rPr>
              <w:t>⑤</w:t>
            </w:r>
            <w:r>
              <w:rPr>
                <w:rFonts w:ascii="Times New Roman" w:eastAsia="黑体"/>
                <w:snapToGrid w:val="0"/>
                <w:spacing w:val="-16"/>
                <w:kern w:val="21"/>
                <w:szCs w:val="21"/>
              </w:rPr>
              <w:fldChar w:fldCharType="end"/>
            </w:r>
          </w:p>
        </w:tc>
        <w:tc>
          <w:tcPr>
            <w:tcW w:w="623"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16"/>
                <w:kern w:val="21"/>
                <w:szCs w:val="21"/>
              </w:rPr>
            </w:pPr>
            <w:r>
              <w:rPr>
                <w:rFonts w:hint="eastAsia" w:ascii="Times New Roman" w:eastAsia="黑体"/>
                <w:snapToGrid w:val="0"/>
                <w:spacing w:val="-16"/>
                <w:kern w:val="21"/>
                <w:szCs w:val="21"/>
              </w:rPr>
              <w:t>本项目建成后</w:t>
            </w:r>
          </w:p>
          <w:p>
            <w:pPr>
              <w:pStyle w:val="42"/>
              <w:spacing w:beforeLines="0" w:afterLines="0" w:line="240" w:lineRule="auto"/>
              <w:rPr>
                <w:rFonts w:ascii="Times New Roman" w:eastAsia="黑体"/>
                <w:snapToGrid w:val="0"/>
                <w:spacing w:val="-16"/>
                <w:kern w:val="21"/>
                <w:szCs w:val="21"/>
              </w:rPr>
            </w:pPr>
            <w:r>
              <w:rPr>
                <w:rFonts w:hint="eastAsia" w:ascii="Times New Roman" w:eastAsia="黑体"/>
                <w:snapToGrid w:val="0"/>
                <w:spacing w:val="-16"/>
                <w:kern w:val="21"/>
                <w:szCs w:val="21"/>
              </w:rPr>
              <w:t>全厂排放量（固体废物产生量）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hint="eastAsia" w:ascii="Times New Roman" w:eastAsia="黑体"/>
                <w:kern w:val="2"/>
                <w:szCs w:val="21"/>
              </w:rPr>
              <w:t>⑥</w:t>
            </w:r>
            <w:r>
              <w:rPr>
                <w:rFonts w:ascii="Times New Roman" w:eastAsia="黑体"/>
                <w:snapToGrid w:val="0"/>
                <w:spacing w:val="-16"/>
                <w:kern w:val="21"/>
                <w:szCs w:val="21"/>
              </w:rPr>
              <w:fldChar w:fldCharType="end"/>
            </w:r>
          </w:p>
        </w:tc>
        <w:tc>
          <w:tcPr>
            <w:tcW w:w="530" w:type="pct"/>
            <w:tcBorders>
              <w:top w:val="single" w:color="auto" w:sz="8" w:space="0"/>
            </w:tcBorders>
            <w:tcMar>
              <w:left w:w="28" w:type="dxa"/>
              <w:right w:w="28" w:type="dxa"/>
            </w:tcMar>
            <w:vAlign w:val="center"/>
          </w:tcPr>
          <w:p>
            <w:pPr>
              <w:pStyle w:val="42"/>
              <w:spacing w:beforeLines="0" w:afterLines="0" w:line="240" w:lineRule="auto"/>
              <w:rPr>
                <w:rFonts w:ascii="Times New Roman" w:eastAsia="黑体"/>
                <w:snapToGrid w:val="0"/>
                <w:spacing w:val="-6"/>
                <w:kern w:val="21"/>
                <w:szCs w:val="21"/>
              </w:rPr>
            </w:pPr>
            <w:r>
              <w:rPr>
                <w:rFonts w:hint="eastAsia" w:ascii="Times New Roman" w:eastAsia="黑体"/>
                <w:snapToGrid w:val="0"/>
                <w:spacing w:val="-6"/>
                <w:kern w:val="21"/>
                <w:szCs w:val="21"/>
              </w:rPr>
              <w:t>变化量</w:t>
            </w:r>
          </w:p>
          <w:p>
            <w:pPr>
              <w:pStyle w:val="42"/>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hint="eastAsia" w:ascii="Times New Roman" w:eastAsia="黑体"/>
                <w:kern w:val="2"/>
                <w:szCs w:val="21"/>
              </w:rPr>
              <w:t>⑦</w:t>
            </w:r>
            <w:r>
              <w:rPr>
                <w:rFonts w:ascii="Times New Roman" w:eastAsia="黑体"/>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restar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废气</w:t>
            </w:r>
          </w:p>
        </w:tc>
        <w:tc>
          <w:tcPr>
            <w:tcW w:w="623" w:type="pct"/>
            <w:vAlign w:val="center"/>
          </w:tcPr>
          <w:p>
            <w:pPr>
              <w:pStyle w:val="38"/>
              <w:autoSpaceDE w:val="0"/>
              <w:autoSpaceDN w:val="0"/>
              <w:rPr>
                <w:rFonts w:eastAsia="宋体"/>
                <w:sz w:val="21"/>
                <w:szCs w:val="21"/>
              </w:rPr>
            </w:pPr>
            <w:r>
              <w:rPr>
                <w:rFonts w:hint="eastAsia" w:eastAsia="宋体"/>
                <w:kern w:val="0"/>
                <w:sz w:val="21"/>
                <w:szCs w:val="21"/>
              </w:rPr>
              <w:t>非甲烷总烃</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38"/>
              <w:autoSpaceDE w:val="0"/>
              <w:autoSpaceDN w:val="0"/>
              <w:rPr>
                <w:rFonts w:eastAsia="宋体"/>
                <w:sz w:val="21"/>
                <w:szCs w:val="21"/>
              </w:rPr>
            </w:pPr>
            <w:r>
              <w:rPr>
                <w:rFonts w:eastAsia="宋体"/>
                <w:kern w:val="0"/>
                <w:sz w:val="21"/>
                <w:szCs w:val="21"/>
              </w:rPr>
              <w:t>0.543t/a</w:t>
            </w:r>
          </w:p>
        </w:tc>
        <w:tc>
          <w:tcPr>
            <w:tcW w:w="669" w:type="pct"/>
            <w:vAlign w:val="center"/>
          </w:tcPr>
          <w:p>
            <w:pPr>
              <w:widowControl/>
              <w:jc w:val="center"/>
              <w:rPr>
                <w:szCs w:val="21"/>
              </w:rPr>
            </w:pPr>
            <w:r>
              <w:rPr>
                <w:szCs w:val="21"/>
              </w:rPr>
              <w:t>0</w:t>
            </w:r>
          </w:p>
        </w:tc>
        <w:tc>
          <w:tcPr>
            <w:tcW w:w="623" w:type="pct"/>
            <w:vAlign w:val="center"/>
          </w:tcPr>
          <w:p>
            <w:pPr>
              <w:widowControl/>
              <w:jc w:val="center"/>
              <w:rPr>
                <w:szCs w:val="21"/>
              </w:rPr>
            </w:pPr>
            <w:r>
              <w:rPr>
                <w:szCs w:val="21"/>
              </w:rPr>
              <w:t>0.543</w:t>
            </w:r>
            <w:r>
              <w:rPr>
                <w:kern w:val="0"/>
                <w:szCs w:val="21"/>
              </w:rPr>
              <w:t>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+0.543t/a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pPr>
          </w:p>
        </w:tc>
        <w:tc>
          <w:tcPr>
            <w:tcW w:w="623" w:type="pct"/>
            <w:vAlign w:val="center"/>
          </w:tcPr>
          <w:p>
            <w:pPr>
              <w:pStyle w:val="38"/>
              <w:autoSpaceDE w:val="0"/>
              <w:autoSpaceDN w:val="0"/>
              <w:rPr>
                <w:rFonts w:eastAsia="宋体"/>
                <w:sz w:val="21"/>
                <w:szCs w:val="21"/>
              </w:rPr>
            </w:pPr>
            <w:r>
              <w:rPr>
                <w:rFonts w:hint="eastAsia" w:eastAsia="宋体"/>
                <w:kern w:val="0"/>
                <w:sz w:val="21"/>
                <w:szCs w:val="21"/>
              </w:rPr>
              <w:t>颗粒物</w:t>
            </w:r>
          </w:p>
        </w:tc>
        <w:tc>
          <w:tcPr>
            <w:tcW w:w="538" w:type="pct"/>
            <w:vAlign w:val="center"/>
          </w:tcPr>
          <w:p>
            <w:pPr>
              <w:jc w:val="center"/>
              <w:rPr>
                <w:snapToGrid w:val="0"/>
                <w:kern w:val="21"/>
                <w:szCs w:val="21"/>
              </w:rPr>
            </w:pPr>
            <w:r>
              <w:rPr>
                <w:snapToGrid w:val="0"/>
                <w:kern w:val="21"/>
                <w:szCs w:val="21"/>
              </w:rPr>
              <w:t>0</w:t>
            </w:r>
          </w:p>
        </w:tc>
        <w:tc>
          <w:tcPr>
            <w:tcW w:w="468" w:type="pct"/>
            <w:vAlign w:val="center"/>
          </w:tcPr>
          <w:p>
            <w:pPr>
              <w:jc w:val="center"/>
              <w:rPr>
                <w:snapToGrid w:val="0"/>
                <w:kern w:val="21"/>
                <w:szCs w:val="21"/>
              </w:rPr>
            </w:pPr>
            <w:r>
              <w:rPr>
                <w:snapToGrid w:val="0"/>
                <w:kern w:val="21"/>
                <w:szCs w:val="21"/>
              </w:rPr>
              <w:t>0</w:t>
            </w:r>
          </w:p>
        </w:tc>
        <w:tc>
          <w:tcPr>
            <w:tcW w:w="531" w:type="pct"/>
            <w:vAlign w:val="center"/>
          </w:tcPr>
          <w:p>
            <w:pPr>
              <w:jc w:val="center"/>
              <w:rPr>
                <w:snapToGrid w:val="0"/>
                <w:kern w:val="21"/>
                <w:szCs w:val="21"/>
              </w:rPr>
            </w:pPr>
            <w:r>
              <w:rPr>
                <w:snapToGrid w:val="0"/>
                <w:kern w:val="21"/>
                <w:szCs w:val="21"/>
              </w:rPr>
              <w:t>0</w:t>
            </w:r>
          </w:p>
        </w:tc>
        <w:tc>
          <w:tcPr>
            <w:tcW w:w="548" w:type="pct"/>
            <w:vAlign w:val="center"/>
          </w:tcPr>
          <w:p>
            <w:pPr>
              <w:pStyle w:val="38"/>
              <w:autoSpaceDE w:val="0"/>
              <w:autoSpaceDN w:val="0"/>
              <w:rPr>
                <w:rFonts w:eastAsia="宋体"/>
                <w:sz w:val="21"/>
                <w:szCs w:val="21"/>
              </w:rPr>
            </w:pPr>
            <w:r>
              <w:rPr>
                <w:rFonts w:eastAsia="宋体"/>
                <w:kern w:val="0"/>
                <w:sz w:val="21"/>
                <w:szCs w:val="21"/>
              </w:rPr>
              <w:t>0.052t/a</w:t>
            </w:r>
          </w:p>
        </w:tc>
        <w:tc>
          <w:tcPr>
            <w:tcW w:w="669" w:type="pct"/>
            <w:vAlign w:val="center"/>
          </w:tcPr>
          <w:p>
            <w:pPr>
              <w:jc w:val="center"/>
              <w:rPr>
                <w:szCs w:val="21"/>
              </w:rPr>
            </w:pPr>
            <w:r>
              <w:rPr>
                <w:szCs w:val="21"/>
              </w:rPr>
              <w:t>0</w:t>
            </w:r>
          </w:p>
        </w:tc>
        <w:tc>
          <w:tcPr>
            <w:tcW w:w="623" w:type="pct"/>
            <w:vAlign w:val="center"/>
          </w:tcPr>
          <w:p>
            <w:pPr>
              <w:jc w:val="center"/>
              <w:rPr>
                <w:szCs w:val="21"/>
              </w:rPr>
            </w:pPr>
            <w:r>
              <w:rPr>
                <w:szCs w:val="21"/>
              </w:rPr>
              <w:t>0.052</w:t>
            </w:r>
            <w:r>
              <w:rPr>
                <w:kern w:val="0"/>
                <w:szCs w:val="21"/>
              </w:rPr>
              <w:t>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+0.052t/a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38"/>
              <w:autoSpaceDE w:val="0"/>
              <w:autoSpaceDN w:val="0"/>
              <w:rPr>
                <w:rFonts w:eastAsia="宋体"/>
                <w:sz w:val="21"/>
                <w:szCs w:val="21"/>
              </w:rPr>
            </w:pPr>
            <w:r>
              <w:rPr>
                <w:rFonts w:eastAsia="宋体"/>
                <w:kern w:val="0"/>
                <w:sz w:val="21"/>
                <w:szCs w:val="21"/>
              </w:rPr>
              <w:t>SO</w:t>
            </w:r>
            <w:r>
              <w:rPr>
                <w:rFonts w:eastAsia="宋体"/>
                <w:kern w:val="0"/>
                <w:sz w:val="21"/>
                <w:szCs w:val="21"/>
                <w:vertAlign w:val="subscript"/>
              </w:rPr>
              <w:t>2</w:t>
            </w:r>
          </w:p>
        </w:tc>
        <w:tc>
          <w:tcPr>
            <w:tcW w:w="538" w:type="pct"/>
            <w:vAlign w:val="center"/>
          </w:tcPr>
          <w:p>
            <w:pPr>
              <w:jc w:val="center"/>
              <w:rPr>
                <w:snapToGrid w:val="0"/>
                <w:kern w:val="21"/>
                <w:szCs w:val="21"/>
              </w:rPr>
            </w:pPr>
            <w:r>
              <w:rPr>
                <w:snapToGrid w:val="0"/>
                <w:kern w:val="21"/>
                <w:szCs w:val="21"/>
              </w:rPr>
              <w:t>0</w:t>
            </w:r>
          </w:p>
        </w:tc>
        <w:tc>
          <w:tcPr>
            <w:tcW w:w="468" w:type="pct"/>
            <w:vAlign w:val="center"/>
          </w:tcPr>
          <w:p>
            <w:pPr>
              <w:jc w:val="center"/>
              <w:rPr>
                <w:snapToGrid w:val="0"/>
                <w:kern w:val="21"/>
                <w:szCs w:val="21"/>
              </w:rPr>
            </w:pPr>
            <w:r>
              <w:rPr>
                <w:snapToGrid w:val="0"/>
                <w:kern w:val="21"/>
                <w:szCs w:val="21"/>
              </w:rPr>
              <w:t>0</w:t>
            </w:r>
          </w:p>
        </w:tc>
        <w:tc>
          <w:tcPr>
            <w:tcW w:w="531" w:type="pct"/>
            <w:vAlign w:val="center"/>
          </w:tcPr>
          <w:p>
            <w:pPr>
              <w:jc w:val="center"/>
              <w:rPr>
                <w:snapToGrid w:val="0"/>
                <w:kern w:val="21"/>
                <w:szCs w:val="21"/>
              </w:rPr>
            </w:pPr>
            <w:r>
              <w:rPr>
                <w:snapToGrid w:val="0"/>
                <w:kern w:val="21"/>
                <w:szCs w:val="21"/>
              </w:rPr>
              <w:t>0</w:t>
            </w:r>
          </w:p>
        </w:tc>
        <w:tc>
          <w:tcPr>
            <w:tcW w:w="548" w:type="pct"/>
            <w:vAlign w:val="center"/>
          </w:tcPr>
          <w:p>
            <w:pPr>
              <w:pStyle w:val="38"/>
              <w:autoSpaceDE w:val="0"/>
              <w:autoSpaceDN w:val="0"/>
              <w:rPr>
                <w:rFonts w:eastAsia="宋体"/>
                <w:sz w:val="21"/>
                <w:szCs w:val="21"/>
              </w:rPr>
            </w:pPr>
            <w:r>
              <w:rPr>
                <w:rFonts w:eastAsia="宋体"/>
                <w:kern w:val="0"/>
                <w:sz w:val="21"/>
                <w:szCs w:val="21"/>
              </w:rPr>
              <w:t>0</w:t>
            </w:r>
          </w:p>
        </w:tc>
        <w:tc>
          <w:tcPr>
            <w:tcW w:w="669" w:type="pct"/>
            <w:vAlign w:val="center"/>
          </w:tcPr>
          <w:p>
            <w:pPr>
              <w:jc w:val="center"/>
              <w:rPr>
                <w:szCs w:val="21"/>
              </w:rPr>
            </w:pPr>
            <w:r>
              <w:rPr>
                <w:szCs w:val="21"/>
              </w:rPr>
              <w:t>0</w:t>
            </w:r>
          </w:p>
        </w:tc>
        <w:tc>
          <w:tcPr>
            <w:tcW w:w="623" w:type="pct"/>
            <w:vAlign w:val="center"/>
          </w:tcPr>
          <w:p>
            <w:pPr>
              <w:jc w:val="center"/>
              <w:rPr>
                <w:szCs w:val="21"/>
              </w:rPr>
            </w:pPr>
            <w:r>
              <w:rPr>
                <w:szCs w:val="21"/>
              </w:rPr>
              <w:t>0.026</w:t>
            </w:r>
            <w:r>
              <w:rPr>
                <w:kern w:val="0"/>
                <w:szCs w:val="21"/>
              </w:rPr>
              <w:t>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pPr>
          </w:p>
        </w:tc>
        <w:tc>
          <w:tcPr>
            <w:tcW w:w="623" w:type="pct"/>
            <w:vAlign w:val="center"/>
          </w:tcPr>
          <w:p>
            <w:pPr>
              <w:pStyle w:val="38"/>
              <w:autoSpaceDE w:val="0"/>
              <w:autoSpaceDN w:val="0"/>
              <w:rPr>
                <w:rFonts w:eastAsia="宋体"/>
                <w:sz w:val="21"/>
                <w:szCs w:val="21"/>
              </w:rPr>
            </w:pPr>
            <w:r>
              <w:rPr>
                <w:rFonts w:eastAsia="宋体"/>
                <w:kern w:val="0"/>
                <w:sz w:val="21"/>
                <w:szCs w:val="21"/>
              </w:rPr>
              <w:t>NOx</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38"/>
              <w:autoSpaceDE w:val="0"/>
              <w:autoSpaceDN w:val="0"/>
              <w:rPr>
                <w:rFonts w:eastAsia="宋体"/>
                <w:sz w:val="21"/>
                <w:szCs w:val="21"/>
              </w:rPr>
            </w:pPr>
            <w:r>
              <w:rPr>
                <w:rFonts w:eastAsia="宋体"/>
                <w:kern w:val="0"/>
                <w:sz w:val="21"/>
                <w:szCs w:val="21"/>
              </w:rPr>
              <w:t>0</w:t>
            </w:r>
          </w:p>
        </w:tc>
        <w:tc>
          <w:tcPr>
            <w:tcW w:w="669" w:type="pct"/>
            <w:vAlign w:val="center"/>
          </w:tcPr>
          <w:p>
            <w:pPr>
              <w:jc w:val="center"/>
              <w:rPr>
                <w:szCs w:val="21"/>
              </w:rPr>
            </w:pPr>
            <w:r>
              <w:rPr>
                <w:szCs w:val="21"/>
              </w:rPr>
              <w:t>0</w:t>
            </w:r>
          </w:p>
        </w:tc>
        <w:tc>
          <w:tcPr>
            <w:tcW w:w="623" w:type="pct"/>
            <w:vAlign w:val="center"/>
          </w:tcPr>
          <w:p>
            <w:pPr>
              <w:jc w:val="center"/>
              <w:rPr>
                <w:szCs w:val="21"/>
              </w:rPr>
            </w:pPr>
            <w:r>
              <w:rPr>
                <w:szCs w:val="21"/>
              </w:rPr>
              <w:t>0.391</w:t>
            </w:r>
            <w:r>
              <w:rPr>
                <w:kern w:val="0"/>
                <w:szCs w:val="21"/>
              </w:rPr>
              <w:t>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+0.391t/a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restar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废水</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COD</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0.149t/a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0.149t/a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+0.149t/a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BOD</w:t>
            </w:r>
            <w:r>
              <w:rPr>
                <w:rFonts w:ascii="Times New Roman"/>
                <w:snapToGrid w:val="0"/>
                <w:kern w:val="21"/>
                <w:szCs w:val="21"/>
                <w:vertAlign w:val="subscript"/>
              </w:rPr>
              <w:t>5</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0.090t/a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0.090t/a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+0.090t/a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SS</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0.066t/a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0.066t/a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+0.066t/a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氨氮</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0.023t/a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0.023t/a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总磷</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0.003t/a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0.003t/a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总氮</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0.024t/a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0.024t/a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+0.024t/a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restar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一般工业</w:t>
            </w:r>
          </w:p>
          <w:p>
            <w:pPr>
              <w:pStyle w:val="42"/>
              <w:spacing w:beforeLines="0" w:afterLines="0" w:line="240" w:lineRule="auto"/>
              <w:rPr>
                <w:rFonts w:ascii="Times New Roman"/>
                <w:snapToGrid w:val="0"/>
                <w:kern w:val="21"/>
                <w:szCs w:val="21"/>
              </w:rPr>
            </w:pPr>
            <w:r>
              <w:rPr>
                <w:rFonts w:hint="eastAsia" w:ascii="Times New Roman"/>
                <w:snapToGrid w:val="0"/>
                <w:kern w:val="21"/>
                <w:szCs w:val="21"/>
              </w:rPr>
              <w:t>固体废物</w:t>
            </w: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吸音棉边角料</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4.3t/a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4.3t/a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+4.3t/a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模内发泡边角料</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2.9t/a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2.9t/a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废包材</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废原料桶</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3.0t/a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3.0t/a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restar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危险废物</w:t>
            </w: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废活性炭</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3.89t/a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3.89t/a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+3.89t/a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废液压油</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0.5t/a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0.5t/a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vAlign w:val="center"/>
          </w:tcPr>
          <w:p>
            <w:pPr>
              <w:pStyle w:val="42"/>
              <w:spacing w:beforeLines="0" w:afterLines="0" w:line="240" w:lineRule="auto"/>
              <w:rPr>
                <w:rFonts w:ascii="Times New Roman"/>
                <w:snapToGrid w:val="0"/>
                <w:kern w:val="21"/>
                <w:szCs w:val="21"/>
              </w:rPr>
            </w:pPr>
          </w:p>
        </w:tc>
        <w:tc>
          <w:tcPr>
            <w:tcW w:w="623" w:type="pct"/>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废润滑油</w:t>
            </w:r>
          </w:p>
        </w:tc>
        <w:tc>
          <w:tcPr>
            <w:tcW w:w="53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0.02t/a</w:t>
            </w:r>
          </w:p>
        </w:tc>
        <w:tc>
          <w:tcPr>
            <w:tcW w:w="669"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0.02t/a</w:t>
            </w:r>
          </w:p>
        </w:tc>
        <w:tc>
          <w:tcPr>
            <w:tcW w:w="530" w:type="pct"/>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4" w:type="pct"/>
            <w:vMerge w:val="continue"/>
            <w:tcBorders>
              <w:bottom w:val="single" w:color="auto" w:sz="8" w:space="0"/>
            </w:tcBorders>
            <w:vAlign w:val="center"/>
          </w:tcPr>
          <w:p>
            <w:pPr>
              <w:pStyle w:val="42"/>
              <w:spacing w:beforeLines="0" w:afterLines="0" w:line="240" w:lineRule="auto"/>
              <w:rPr>
                <w:rFonts w:ascii="Times New Roman"/>
                <w:snapToGrid w:val="0"/>
                <w:kern w:val="21"/>
                <w:szCs w:val="21"/>
              </w:rPr>
            </w:pPr>
          </w:p>
        </w:tc>
        <w:tc>
          <w:tcPr>
            <w:tcW w:w="623"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hint="eastAsia" w:ascii="Times New Roman"/>
                <w:snapToGrid w:val="0"/>
                <w:kern w:val="21"/>
                <w:szCs w:val="21"/>
              </w:rPr>
              <w:t>废含油手套抹布</w:t>
            </w:r>
          </w:p>
        </w:tc>
        <w:tc>
          <w:tcPr>
            <w:tcW w:w="538"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468"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31"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548"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2.0kg/a</w:t>
            </w:r>
          </w:p>
        </w:tc>
        <w:tc>
          <w:tcPr>
            <w:tcW w:w="669"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0</w:t>
            </w:r>
          </w:p>
        </w:tc>
        <w:tc>
          <w:tcPr>
            <w:tcW w:w="623"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2.0kg/a</w:t>
            </w:r>
          </w:p>
        </w:tc>
        <w:tc>
          <w:tcPr>
            <w:tcW w:w="530" w:type="pct"/>
            <w:tcBorders>
              <w:bottom w:val="single" w:color="auto" w:sz="8" w:space="0"/>
            </w:tcBorders>
            <w:vAlign w:val="center"/>
          </w:tcPr>
          <w:p>
            <w:pPr>
              <w:pStyle w:val="42"/>
              <w:spacing w:beforeLines="0" w:afterLines="0" w:line="240" w:lineRule="auto"/>
              <w:rPr>
                <w:rFonts w:ascii="Times New Roman"/>
                <w:snapToGrid w:val="0"/>
                <w:kern w:val="21"/>
                <w:szCs w:val="21"/>
              </w:rPr>
            </w:pPr>
            <w:r>
              <w:rPr>
                <w:rFonts w:ascii="Times New Roman"/>
                <w:snapToGrid w:val="0"/>
                <w:kern w:val="21"/>
                <w:szCs w:val="21"/>
              </w:rPr>
              <w:t>+2.0kg/a</w:t>
            </w:r>
          </w:p>
        </w:tc>
      </w:tr>
    </w:tbl>
    <w:p>
      <w:pPr>
        <w:pStyle w:val="42"/>
        <w:spacing w:beforeLines="80" w:after="24"/>
        <w:jc w:val="left"/>
        <w:rPr>
          <w:rFonts w:ascii="Times New Roman"/>
        </w:rPr>
      </w:pPr>
      <w:r>
        <w:rPr>
          <w:rFonts w:hint="eastAsia"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hint="eastAsia"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sectPr>
      <w:footerReference r:id="rId6" w:type="default"/>
      <w:pgSz w:w="16838" w:h="11906" w:orient="landscape"/>
      <w:pgMar w:top="1417" w:right="1417" w:bottom="1531" w:left="141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27</w:t>
                          </w:r>
                          <w:r>
                            <w:rPr>
                              <w:sz w:val="21"/>
                              <w:szCs w:val="21"/>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8X+8uQBAADPAwAADgAAAGRycy9lMm9Eb2MueG1srVNNrtMwEN4jcQfL&#10;e5o0C6iqpk9A9RASAqQHB3Adp7Fkeyx72qQcAG7Aig17ztVzMHaSPnhs3oJNMn/+Zr7P483NYA07&#10;qRA1uJovFyVnyklotDvU/POn22crziIK1wgDTtX8rCK/2T59sun9WlXQgWlUYATi4rr3Ne8Q/boo&#10;ouyUFXEBXjlKthCsQHLDoWiC6AndmqIqy+dFD6HxAaSKkaK7McknxPAYQGhbLdUO5NEqhyNqUEYg&#10;UYqd9pFv87RtqyR+aNuokJmaE1PMX2pC9j59i+1GrA9B+E7LaQTxmBEecLJCO2p6hdoJFOwY9D9Q&#10;VssAEVpcSLDFSCQrQiyW5QNt7jrhVeZCUkd/FT3+P1j5/vQxMN3UvOLMCUsXfvn+7fLj1+XnV7Ys&#10;qxdJod7HNRXeeSrF4RUMtDdzPFIwER/aYNOfKDHKk77nq75qQCbToVW1WpWUkpSbHcIv7o/7EPGN&#10;AsuSUfNAF5h1Fad3EcfSuSR1c3CrjcmXaNxfAcIcIypvwXQ6MRknThYO+2Git4fmTOzoXVDXDsIX&#10;znraipo7egScmbeORE8LNBthNvazIZykgzVHzkbzNY6LdvRBH7q8emnE6F8ekebOdNIYY2+SITl0&#10;z1mQaSfTIv3p56r7d7j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Brxf7y5AEAAM8DAAAO&#10;AAAAAAAAAAEAIAAAAB4BAABkcnMvZTJvRG9jLnhtbFBLBQYAAAAABgAGAFkBAAB0BQAAAAA=&#10;">
              <v:fill on="f" focussize="0,0"/>
              <v:stroke on="f"/>
              <v:imagedata o:title=""/>
              <o:lock v:ext="edit" aspectratio="f"/>
              <v:textbox inset="0mm,0mm,0mm,0mm" style="mso-fit-shape-to-text:t;">
                <w:txbxContent>
                  <w:p>
                    <w:pPr>
                      <w:pStyle w:val="12"/>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27</w:t>
                    </w:r>
                    <w:r>
                      <w:rPr>
                        <w:sz w:val="21"/>
                        <w:szCs w:val="21"/>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t xml:space="preserve">— </w:t>
                          </w:r>
                          <w:r>
                            <w:fldChar w:fldCharType="begin"/>
                          </w:r>
                          <w:r>
                            <w:instrText xml:space="preserve"> PAGE  \* MERGEFORMAT </w:instrText>
                          </w:r>
                          <w:r>
                            <w:fldChar w:fldCharType="separate"/>
                          </w:r>
                          <w:r>
                            <w:t>66</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2eOQBAADPAwAADgAAAGRycy9lMm9Eb2MueG1srVNNrtMwEN4jcQfL&#10;e5q0SCiqmj4B1UNICJAeHMB1nMaS7bHsaZNyALgBKzbsOVfPwdhJ+uCxeQs2yfz5m/k+jzc3gzXs&#10;pELU4Gq+XJScKSeh0e5Q88+fbp9VnEUUrhEGnKr5WUV+s336ZNP7tVpBB6ZRgRGIi+ve17xD9Oui&#10;iLJTVsQFeOUo2UKwAskNh6IJoid0a4pVWb4oegiNDyBVjBTdjUk+IYbHAELbaql2II9WORxRgzIC&#10;iVLstI98m6dtWyXxQ9tGhczUnJhi/lITsvfpW2w3Yn0IwndaTiOIx4zwgJMV2lHTK9ROoGDHoP+B&#10;sloGiNDiQoItRiJZEWKxLB9oc9cJrzIXkjr6q+jx/8HK96ePgemm5s85c8LShV++f7v8+HX5+ZUt&#10;y1WVFOp9XFPhnadSHF7BQHszxyMFE/GhDTb9iRKjPOl7vuqrBmQyHapWVVVSSlJudgi/uD/uQ8Q3&#10;CixLRs0DXWDWVZzeRRxL55LUzcGtNiZfonF/BQhzjKi8BdPpxGScOFk47IeJ3h6aM7Gjd0FdOwhf&#10;OOtpK2ru6BFwZt46Ej0t0GyE2djPhnCSDtYcORvN1zgu2tEHfejy6qURo395RJo700ljjL1JhuTQ&#10;PWdBpp1Mi/Snn6vu3+H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DKePZ45AEAAM8DAAAO&#10;AAAAAAAAAAEAIAAAAB4BAABkcnMvZTJvRG9jLnhtbFBLBQYAAAAABgAGAFkBAAB0BQ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66</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10404"/>
    <w:multiLevelType w:val="singleLevel"/>
    <w:tmpl w:val="87510404"/>
    <w:lvl w:ilvl="0" w:tentative="0">
      <w:start w:val="4"/>
      <w:numFmt w:val="chineseCounting"/>
      <w:suff w:val="nothing"/>
      <w:lvlText w:val="%1、"/>
      <w:lvlJc w:val="left"/>
      <w:rPr>
        <w:rFonts w:hint="eastAsia" w:cs="Times New Roman"/>
      </w:rPr>
    </w:lvl>
  </w:abstractNum>
  <w:abstractNum w:abstractNumId="1">
    <w:nsid w:val="B98E559E"/>
    <w:multiLevelType w:val="singleLevel"/>
    <w:tmpl w:val="B98E559E"/>
    <w:lvl w:ilvl="0" w:tentative="0">
      <w:start w:val="7"/>
      <w:numFmt w:val="decimal"/>
      <w:suff w:val="nothing"/>
      <w:lvlText w:val="%1、"/>
      <w:lvlJc w:val="left"/>
      <w:rPr>
        <w:rFonts w:cs="Times New Roman"/>
      </w:rPr>
    </w:lvl>
  </w:abstractNum>
  <w:abstractNum w:abstractNumId="2">
    <w:nsid w:val="F9A87280"/>
    <w:multiLevelType w:val="singleLevel"/>
    <w:tmpl w:val="F9A87280"/>
    <w:lvl w:ilvl="0" w:tentative="0">
      <w:start w:val="1"/>
      <w:numFmt w:val="decimal"/>
      <w:suff w:val="nothing"/>
      <w:lvlText w:val="%1、"/>
      <w:lvlJc w:val="left"/>
      <w:rPr>
        <w:rFonts w:cs="Times New Roman"/>
      </w:rPr>
    </w:lvl>
  </w:abstractNum>
  <w:abstractNum w:abstractNumId="3">
    <w:nsid w:val="17EC10E4"/>
    <w:multiLevelType w:val="singleLevel"/>
    <w:tmpl w:val="17EC10E4"/>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4">
    <w:nsid w:val="4A90EEDE"/>
    <w:multiLevelType w:val="singleLevel"/>
    <w:tmpl w:val="4A90EEDE"/>
    <w:lvl w:ilvl="0" w:tentative="0">
      <w:start w:val="2"/>
      <w:numFmt w:val="chineseCounting"/>
      <w:suff w:val="nothing"/>
      <w:lvlText w:val="%1、"/>
      <w:lvlJc w:val="left"/>
      <w:rPr>
        <w:rFonts w:hint="eastAsia" w:cs="Times New Roman"/>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wMGE5NmIzODU5ZWU5NGVkNDcwZTFjZDFkNGQ3ZGYifQ=="/>
  </w:docVars>
  <w:rsids>
    <w:rsidRoot w:val="00172A27"/>
    <w:rsid w:val="00172A27"/>
    <w:rsid w:val="0021617C"/>
    <w:rsid w:val="003160B6"/>
    <w:rsid w:val="003B3833"/>
    <w:rsid w:val="0043713C"/>
    <w:rsid w:val="00441793"/>
    <w:rsid w:val="004D02EE"/>
    <w:rsid w:val="006C6630"/>
    <w:rsid w:val="00752FC9"/>
    <w:rsid w:val="0081583C"/>
    <w:rsid w:val="008E5E7B"/>
    <w:rsid w:val="00955065"/>
    <w:rsid w:val="009F423C"/>
    <w:rsid w:val="00A247C6"/>
    <w:rsid w:val="00B10F64"/>
    <w:rsid w:val="00BA6A09"/>
    <w:rsid w:val="00BD716A"/>
    <w:rsid w:val="00DF7BA5"/>
    <w:rsid w:val="00F5053F"/>
    <w:rsid w:val="0116312F"/>
    <w:rsid w:val="01B12309"/>
    <w:rsid w:val="0253183E"/>
    <w:rsid w:val="02F70F04"/>
    <w:rsid w:val="045F77E3"/>
    <w:rsid w:val="04934A97"/>
    <w:rsid w:val="05E320F9"/>
    <w:rsid w:val="06577B4F"/>
    <w:rsid w:val="06993269"/>
    <w:rsid w:val="07081DDE"/>
    <w:rsid w:val="07803218"/>
    <w:rsid w:val="088E2BF8"/>
    <w:rsid w:val="09904CE5"/>
    <w:rsid w:val="09AC0B67"/>
    <w:rsid w:val="0A4203FB"/>
    <w:rsid w:val="0B044101"/>
    <w:rsid w:val="0C006493"/>
    <w:rsid w:val="0D6151A8"/>
    <w:rsid w:val="0E8865B1"/>
    <w:rsid w:val="0F4D13F6"/>
    <w:rsid w:val="11396664"/>
    <w:rsid w:val="11982ABF"/>
    <w:rsid w:val="121E6EC1"/>
    <w:rsid w:val="12E93831"/>
    <w:rsid w:val="137012BB"/>
    <w:rsid w:val="13B44E97"/>
    <w:rsid w:val="13E47B30"/>
    <w:rsid w:val="14D97337"/>
    <w:rsid w:val="159E7178"/>
    <w:rsid w:val="17060EA2"/>
    <w:rsid w:val="170823D2"/>
    <w:rsid w:val="1791376F"/>
    <w:rsid w:val="18391C38"/>
    <w:rsid w:val="194E0DCF"/>
    <w:rsid w:val="19D13ABF"/>
    <w:rsid w:val="1A632043"/>
    <w:rsid w:val="1AAC6CD7"/>
    <w:rsid w:val="1ABD7455"/>
    <w:rsid w:val="1BDF723B"/>
    <w:rsid w:val="1CCF0DCA"/>
    <w:rsid w:val="1CD87B68"/>
    <w:rsid w:val="1E8123D3"/>
    <w:rsid w:val="1EA27A67"/>
    <w:rsid w:val="1EDF3BA9"/>
    <w:rsid w:val="1F1B6A51"/>
    <w:rsid w:val="21EE7C0D"/>
    <w:rsid w:val="22045819"/>
    <w:rsid w:val="22192EA3"/>
    <w:rsid w:val="228B6EDD"/>
    <w:rsid w:val="239E0599"/>
    <w:rsid w:val="249E0BF8"/>
    <w:rsid w:val="25130123"/>
    <w:rsid w:val="25C55B68"/>
    <w:rsid w:val="266742BA"/>
    <w:rsid w:val="26962499"/>
    <w:rsid w:val="272D4261"/>
    <w:rsid w:val="27446F90"/>
    <w:rsid w:val="27DF40A6"/>
    <w:rsid w:val="289B50E2"/>
    <w:rsid w:val="29984FAF"/>
    <w:rsid w:val="2A724254"/>
    <w:rsid w:val="2B395AE8"/>
    <w:rsid w:val="2B6066F6"/>
    <w:rsid w:val="2B7F799F"/>
    <w:rsid w:val="2C4958B7"/>
    <w:rsid w:val="2CA234EE"/>
    <w:rsid w:val="2CCF5041"/>
    <w:rsid w:val="2D2307FE"/>
    <w:rsid w:val="2D72131B"/>
    <w:rsid w:val="2DE85F3E"/>
    <w:rsid w:val="2E001635"/>
    <w:rsid w:val="2EAD4E91"/>
    <w:rsid w:val="2EC20497"/>
    <w:rsid w:val="2FB27C17"/>
    <w:rsid w:val="30D86711"/>
    <w:rsid w:val="3200110E"/>
    <w:rsid w:val="32A229C0"/>
    <w:rsid w:val="335D1BCF"/>
    <w:rsid w:val="3408592D"/>
    <w:rsid w:val="34A246FE"/>
    <w:rsid w:val="3615024E"/>
    <w:rsid w:val="36254AEE"/>
    <w:rsid w:val="36A4571D"/>
    <w:rsid w:val="375B08F1"/>
    <w:rsid w:val="381F4353"/>
    <w:rsid w:val="38DE55D9"/>
    <w:rsid w:val="39B4157B"/>
    <w:rsid w:val="3BCC4363"/>
    <w:rsid w:val="3C110C2B"/>
    <w:rsid w:val="3D0F0457"/>
    <w:rsid w:val="3D712EC0"/>
    <w:rsid w:val="3DAE4F67"/>
    <w:rsid w:val="3DFD4754"/>
    <w:rsid w:val="3E8061F0"/>
    <w:rsid w:val="3F5B48A1"/>
    <w:rsid w:val="40980764"/>
    <w:rsid w:val="410563C6"/>
    <w:rsid w:val="41656ECE"/>
    <w:rsid w:val="41C0079C"/>
    <w:rsid w:val="427C033D"/>
    <w:rsid w:val="440D142E"/>
    <w:rsid w:val="448805E2"/>
    <w:rsid w:val="45394DED"/>
    <w:rsid w:val="456C5BE9"/>
    <w:rsid w:val="464A1B77"/>
    <w:rsid w:val="464F06D9"/>
    <w:rsid w:val="465F37FA"/>
    <w:rsid w:val="467652B5"/>
    <w:rsid w:val="46C26486"/>
    <w:rsid w:val="47AA14A8"/>
    <w:rsid w:val="492876AD"/>
    <w:rsid w:val="49A10689"/>
    <w:rsid w:val="4A2662CF"/>
    <w:rsid w:val="4B0E4655"/>
    <w:rsid w:val="4B11183E"/>
    <w:rsid w:val="4C3168AA"/>
    <w:rsid w:val="4D184915"/>
    <w:rsid w:val="4D301632"/>
    <w:rsid w:val="4DF96BC6"/>
    <w:rsid w:val="4E21038C"/>
    <w:rsid w:val="4E7A702F"/>
    <w:rsid w:val="4EA622FC"/>
    <w:rsid w:val="4F6F09D5"/>
    <w:rsid w:val="502B7CB1"/>
    <w:rsid w:val="52E16DDC"/>
    <w:rsid w:val="54F5035F"/>
    <w:rsid w:val="55F76399"/>
    <w:rsid w:val="57033D26"/>
    <w:rsid w:val="57602C24"/>
    <w:rsid w:val="57AF0C3B"/>
    <w:rsid w:val="57D636A1"/>
    <w:rsid w:val="59401C6C"/>
    <w:rsid w:val="59CA16CD"/>
    <w:rsid w:val="5A0608FD"/>
    <w:rsid w:val="5A22695B"/>
    <w:rsid w:val="5A5E5830"/>
    <w:rsid w:val="5A9242D0"/>
    <w:rsid w:val="5BBA09AE"/>
    <w:rsid w:val="5C3F00D8"/>
    <w:rsid w:val="5DDF5D3A"/>
    <w:rsid w:val="5E4A6562"/>
    <w:rsid w:val="601E37A4"/>
    <w:rsid w:val="61C82A8F"/>
    <w:rsid w:val="62117C84"/>
    <w:rsid w:val="62426A55"/>
    <w:rsid w:val="62F51D1A"/>
    <w:rsid w:val="63A434A5"/>
    <w:rsid w:val="63CD67F3"/>
    <w:rsid w:val="63F533AD"/>
    <w:rsid w:val="64590086"/>
    <w:rsid w:val="64B0794C"/>
    <w:rsid w:val="665568AE"/>
    <w:rsid w:val="66FE4F15"/>
    <w:rsid w:val="67591430"/>
    <w:rsid w:val="67892A30"/>
    <w:rsid w:val="684E77D6"/>
    <w:rsid w:val="68B65AA7"/>
    <w:rsid w:val="696A1508"/>
    <w:rsid w:val="69EE78DD"/>
    <w:rsid w:val="6A440D6B"/>
    <w:rsid w:val="6AA15935"/>
    <w:rsid w:val="6C6825AD"/>
    <w:rsid w:val="6F32398A"/>
    <w:rsid w:val="6F3F1B6C"/>
    <w:rsid w:val="70205C7F"/>
    <w:rsid w:val="703B2FBB"/>
    <w:rsid w:val="705106E1"/>
    <w:rsid w:val="7218628D"/>
    <w:rsid w:val="728D668D"/>
    <w:rsid w:val="73DD0704"/>
    <w:rsid w:val="742C1E6C"/>
    <w:rsid w:val="74DD6D91"/>
    <w:rsid w:val="759A0A46"/>
    <w:rsid w:val="766E1FD3"/>
    <w:rsid w:val="77860A1E"/>
    <w:rsid w:val="780109BB"/>
    <w:rsid w:val="784574B2"/>
    <w:rsid w:val="7907661D"/>
    <w:rsid w:val="7A621346"/>
    <w:rsid w:val="7B5B77AD"/>
    <w:rsid w:val="7BF34DAC"/>
    <w:rsid w:val="7C26489A"/>
    <w:rsid w:val="7CE64029"/>
    <w:rsid w:val="7DCA36CE"/>
    <w:rsid w:val="7DE21A85"/>
    <w:rsid w:val="7DF34642"/>
    <w:rsid w:val="7DF847DD"/>
    <w:rsid w:val="7F4F177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nhideWhenUsed="0" w:uiPriority="99" w:semiHidden="0" w:name="toc 8"/>
    <w:lsdException w:uiPriority="39" w:name="toc 9" w:locked="1"/>
    <w:lsdException w:uiPriority="99" w:name="Normal Indent" w:locked="1"/>
    <w:lsdException w:uiPriority="99" w:name="footnote text" w:locked="1"/>
    <w:lsdException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qFormat="1" w:unhideWhenUsed="0" w:uiPriority="99" w:semiHidden="0" w:name="List Bullet 5"/>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nhideWhenUsed="0" w:uiPriority="99" w:semiHidden="0" w:name="Block Text"/>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adjustRightInd w:val="0"/>
      <w:snapToGrid w:val="0"/>
      <w:spacing w:line="360" w:lineRule="auto"/>
      <w:jc w:val="left"/>
      <w:outlineLvl w:val="0"/>
    </w:pPr>
    <w:rPr>
      <w:b/>
      <w:bCs/>
      <w:kern w:val="44"/>
      <w:sz w:val="30"/>
      <w:szCs w:val="44"/>
    </w:rPr>
  </w:style>
  <w:style w:type="paragraph" w:styleId="3">
    <w:name w:val="heading 2"/>
    <w:basedOn w:val="1"/>
    <w:next w:val="1"/>
    <w:link w:val="25"/>
    <w:qFormat/>
    <w:uiPriority w:val="99"/>
    <w:pPr>
      <w:keepNext/>
      <w:keepLines/>
      <w:spacing w:before="260" w:after="260" w:line="415" w:lineRule="auto"/>
      <w:outlineLvl w:val="1"/>
    </w:pPr>
    <w:rPr>
      <w:rFonts w:ascii="Arial" w:hAnsi="Arial" w:eastAsia="黑体"/>
      <w:b/>
      <w:sz w:val="32"/>
      <w:szCs w:val="20"/>
    </w:rPr>
  </w:style>
  <w:style w:type="paragraph" w:styleId="4">
    <w:name w:val="heading 3"/>
    <w:basedOn w:val="1"/>
    <w:next w:val="1"/>
    <w:link w:val="26"/>
    <w:qFormat/>
    <w:uiPriority w:val="99"/>
    <w:pPr>
      <w:jc w:val="left"/>
      <w:outlineLvl w:val="2"/>
    </w:pPr>
    <w:rPr>
      <w:rFonts w:ascii="宋体" w:hAnsi="宋体"/>
      <w:b/>
      <w:bCs/>
      <w:kern w:val="0"/>
      <w:sz w:val="24"/>
    </w:rPr>
  </w:style>
  <w:style w:type="character" w:default="1" w:styleId="20">
    <w:name w:val="Default Paragraph Font"/>
    <w:semiHidden/>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uiPriority w:val="99"/>
    <w:pPr>
      <w:jc w:val="left"/>
    </w:pPr>
  </w:style>
  <w:style w:type="paragraph" w:styleId="6">
    <w:name w:val="Body Text"/>
    <w:basedOn w:val="1"/>
    <w:next w:val="1"/>
    <w:link w:val="28"/>
    <w:uiPriority w:val="99"/>
    <w:pPr>
      <w:spacing w:after="120"/>
    </w:pPr>
  </w:style>
  <w:style w:type="paragraph" w:styleId="7">
    <w:name w:val="Body Text Indent"/>
    <w:basedOn w:val="1"/>
    <w:link w:val="29"/>
    <w:uiPriority w:val="99"/>
    <w:pPr>
      <w:spacing w:after="120"/>
      <w:ind w:left="420" w:leftChars="200"/>
    </w:pPr>
    <w:rPr>
      <w:kern w:val="0"/>
      <w:sz w:val="24"/>
      <w:szCs w:val="20"/>
    </w:rPr>
  </w:style>
  <w:style w:type="paragraph" w:styleId="8">
    <w:name w:val="Block Text"/>
    <w:basedOn w:val="1"/>
    <w:uiPriority w:val="99"/>
    <w:pPr>
      <w:spacing w:before="120"/>
      <w:ind w:left="113" w:right="113"/>
    </w:pPr>
    <w:rPr>
      <w:rFonts w:ascii="Arial" w:hAnsi="Arial"/>
      <w:kern w:val="24"/>
      <w:sz w:val="24"/>
    </w:rPr>
  </w:style>
  <w:style w:type="paragraph" w:styleId="9">
    <w:name w:val="List Bullet 5"/>
    <w:basedOn w:val="1"/>
    <w:qFormat/>
    <w:uiPriority w:val="99"/>
    <w:pPr>
      <w:numPr>
        <w:ilvl w:val="0"/>
        <w:numId w:val="1"/>
      </w:numPr>
    </w:pPr>
  </w:style>
  <w:style w:type="paragraph" w:styleId="10">
    <w:name w:val="toc 8"/>
    <w:basedOn w:val="1"/>
    <w:next w:val="1"/>
    <w:uiPriority w:val="99"/>
    <w:pPr>
      <w:ind w:left="1470"/>
      <w:jc w:val="left"/>
    </w:pPr>
    <w:rPr>
      <w:sz w:val="18"/>
      <w:szCs w:val="18"/>
    </w:rPr>
  </w:style>
  <w:style w:type="paragraph" w:styleId="11">
    <w:name w:val="Balloon Text"/>
    <w:basedOn w:val="1"/>
    <w:link w:val="30"/>
    <w:qFormat/>
    <w:uiPriority w:val="99"/>
    <w:rPr>
      <w:sz w:val="18"/>
      <w:szCs w:val="18"/>
    </w:rPr>
  </w:style>
  <w:style w:type="paragraph" w:styleId="12">
    <w:name w:val="footer"/>
    <w:basedOn w:val="1"/>
    <w:link w:val="31"/>
    <w:uiPriority w:val="99"/>
    <w:pPr>
      <w:tabs>
        <w:tab w:val="center" w:pos="4153"/>
        <w:tab w:val="right" w:pos="8306"/>
      </w:tabs>
      <w:snapToGrid w:val="0"/>
      <w:jc w:val="left"/>
    </w:pPr>
    <w:rPr>
      <w:kern w:val="0"/>
      <w:sz w:val="18"/>
      <w:szCs w:val="20"/>
    </w:rPr>
  </w:style>
  <w:style w:type="paragraph" w:styleId="13">
    <w:name w:val="header"/>
    <w:basedOn w:val="1"/>
    <w:link w:val="3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link w:val="33"/>
    <w:qFormat/>
    <w:uiPriority w:val="99"/>
    <w:pPr>
      <w:spacing w:line="360" w:lineRule="auto"/>
      <w:ind w:firstLine="480" w:firstLineChars="200"/>
    </w:pPr>
    <w:rPr>
      <w:sz w:val="24"/>
    </w:rPr>
  </w:style>
  <w:style w:type="paragraph" w:styleId="15">
    <w:name w:val="toc 2"/>
    <w:basedOn w:val="1"/>
    <w:next w:val="1"/>
    <w:uiPriority w:val="99"/>
    <w:pPr>
      <w:ind w:left="210"/>
    </w:pPr>
    <w:rPr>
      <w:smallCaps/>
      <w:sz w:val="20"/>
      <w:szCs w:val="20"/>
    </w:rPr>
  </w:style>
  <w:style w:type="paragraph" w:styleId="16">
    <w:name w:val="Normal (Web)"/>
    <w:basedOn w:val="1"/>
    <w:next w:val="10"/>
    <w:uiPriority w:val="99"/>
    <w:pPr>
      <w:widowControl/>
      <w:adjustRightInd w:val="0"/>
      <w:snapToGrid w:val="0"/>
      <w:spacing w:beforeAutospacing="1" w:afterAutospacing="1"/>
      <w:jc w:val="left"/>
    </w:pPr>
    <w:rPr>
      <w:rFonts w:ascii="宋体" w:hAnsi="宋体"/>
      <w:kern w:val="0"/>
      <w:sz w:val="24"/>
      <w:szCs w:val="20"/>
    </w:rPr>
  </w:style>
  <w:style w:type="paragraph" w:styleId="17">
    <w:name w:val="Body Text First Indent 2"/>
    <w:basedOn w:val="7"/>
    <w:next w:val="1"/>
    <w:link w:val="34"/>
    <w:qFormat/>
    <w:uiPriority w:val="99"/>
    <w:pPr>
      <w:ind w:firstLine="420" w:firstLineChars="200"/>
    </w:pPr>
    <w:rPr>
      <w:kern w:val="2"/>
      <w:sz w:val="21"/>
    </w:rPr>
  </w:style>
  <w:style w:type="table" w:styleId="19">
    <w:name w:val="Table Grid"/>
    <w:basedOn w:val="1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99"/>
    <w:rPr>
      <w:rFonts w:cs="Times New Roman"/>
    </w:rPr>
  </w:style>
  <w:style w:type="character" w:styleId="22">
    <w:name w:val="Hyperlink"/>
    <w:basedOn w:val="20"/>
    <w:qFormat/>
    <w:uiPriority w:val="99"/>
    <w:rPr>
      <w:rFonts w:ascii="Times New Roman" w:hAnsi="Times New Roman" w:eastAsia="宋体" w:cs="Times New Roman"/>
      <w:color w:val="0268CD"/>
      <w:sz w:val="28"/>
      <w:u w:val="none"/>
    </w:rPr>
  </w:style>
  <w:style w:type="character" w:styleId="23">
    <w:name w:val="annotation reference"/>
    <w:basedOn w:val="20"/>
    <w:uiPriority w:val="99"/>
    <w:rPr>
      <w:rFonts w:cs="Times New Roman"/>
      <w:sz w:val="21"/>
      <w:szCs w:val="21"/>
    </w:rPr>
  </w:style>
  <w:style w:type="character" w:customStyle="1" w:styleId="24">
    <w:name w:val="Heading 1 Char"/>
    <w:basedOn w:val="20"/>
    <w:link w:val="2"/>
    <w:locked/>
    <w:uiPriority w:val="99"/>
    <w:rPr>
      <w:rFonts w:eastAsia="宋体" w:cs="Times New Roman"/>
      <w:b/>
      <w:kern w:val="44"/>
      <w:sz w:val="44"/>
    </w:rPr>
  </w:style>
  <w:style w:type="character" w:customStyle="1" w:styleId="25">
    <w:name w:val="Heading 2 Char"/>
    <w:basedOn w:val="20"/>
    <w:link w:val="3"/>
    <w:semiHidden/>
    <w:locked/>
    <w:uiPriority w:val="99"/>
    <w:rPr>
      <w:rFonts w:ascii="Cambria" w:hAnsi="Cambria" w:eastAsia="宋体" w:cs="Times New Roman"/>
      <w:b/>
      <w:bCs/>
      <w:sz w:val="32"/>
      <w:szCs w:val="32"/>
    </w:rPr>
  </w:style>
  <w:style w:type="character" w:customStyle="1" w:styleId="26">
    <w:name w:val="Heading 3 Char"/>
    <w:basedOn w:val="20"/>
    <w:link w:val="4"/>
    <w:semiHidden/>
    <w:locked/>
    <w:uiPriority w:val="99"/>
    <w:rPr>
      <w:rFonts w:cs="Times New Roman"/>
      <w:b/>
      <w:bCs/>
      <w:sz w:val="32"/>
      <w:szCs w:val="32"/>
    </w:rPr>
  </w:style>
  <w:style w:type="character" w:customStyle="1" w:styleId="27">
    <w:name w:val="Comment Text Char"/>
    <w:basedOn w:val="20"/>
    <w:link w:val="5"/>
    <w:semiHidden/>
    <w:locked/>
    <w:uiPriority w:val="99"/>
    <w:rPr>
      <w:rFonts w:cs="Times New Roman"/>
      <w:sz w:val="24"/>
      <w:szCs w:val="24"/>
    </w:rPr>
  </w:style>
  <w:style w:type="character" w:customStyle="1" w:styleId="28">
    <w:name w:val="Body Text Char"/>
    <w:basedOn w:val="20"/>
    <w:link w:val="6"/>
    <w:semiHidden/>
    <w:locked/>
    <w:uiPriority w:val="99"/>
    <w:rPr>
      <w:rFonts w:cs="Times New Roman"/>
      <w:sz w:val="24"/>
      <w:szCs w:val="24"/>
    </w:rPr>
  </w:style>
  <w:style w:type="character" w:customStyle="1" w:styleId="29">
    <w:name w:val="Body Text Indent Char"/>
    <w:basedOn w:val="20"/>
    <w:link w:val="7"/>
    <w:semiHidden/>
    <w:locked/>
    <w:uiPriority w:val="99"/>
    <w:rPr>
      <w:rFonts w:cs="Times New Roman"/>
      <w:sz w:val="24"/>
      <w:szCs w:val="24"/>
    </w:rPr>
  </w:style>
  <w:style w:type="character" w:customStyle="1" w:styleId="30">
    <w:name w:val="Balloon Text Char"/>
    <w:basedOn w:val="20"/>
    <w:link w:val="11"/>
    <w:locked/>
    <w:uiPriority w:val="99"/>
    <w:rPr>
      <w:rFonts w:cs="Times New Roman"/>
      <w:kern w:val="2"/>
      <w:sz w:val="18"/>
      <w:szCs w:val="18"/>
    </w:rPr>
  </w:style>
  <w:style w:type="character" w:customStyle="1" w:styleId="31">
    <w:name w:val="Footer Char"/>
    <w:basedOn w:val="20"/>
    <w:link w:val="12"/>
    <w:semiHidden/>
    <w:locked/>
    <w:uiPriority w:val="99"/>
    <w:rPr>
      <w:rFonts w:cs="Times New Roman"/>
      <w:sz w:val="18"/>
      <w:szCs w:val="18"/>
    </w:rPr>
  </w:style>
  <w:style w:type="character" w:customStyle="1" w:styleId="32">
    <w:name w:val="Header Char"/>
    <w:basedOn w:val="20"/>
    <w:link w:val="13"/>
    <w:semiHidden/>
    <w:locked/>
    <w:uiPriority w:val="99"/>
    <w:rPr>
      <w:rFonts w:cs="Times New Roman"/>
      <w:sz w:val="18"/>
      <w:szCs w:val="18"/>
    </w:rPr>
  </w:style>
  <w:style w:type="character" w:customStyle="1" w:styleId="33">
    <w:name w:val="Body Text Indent 3 Char"/>
    <w:basedOn w:val="20"/>
    <w:link w:val="14"/>
    <w:semiHidden/>
    <w:qFormat/>
    <w:locked/>
    <w:uiPriority w:val="99"/>
    <w:rPr>
      <w:rFonts w:cs="Times New Roman"/>
      <w:sz w:val="16"/>
      <w:szCs w:val="16"/>
    </w:rPr>
  </w:style>
  <w:style w:type="character" w:customStyle="1" w:styleId="34">
    <w:name w:val="Body Text First Indent 2 Char"/>
    <w:basedOn w:val="29"/>
    <w:link w:val="17"/>
    <w:semiHidden/>
    <w:locked/>
    <w:uiPriority w:val="99"/>
  </w:style>
  <w:style w:type="paragraph" w:customStyle="1" w:styleId="35">
    <w:name w:val="Default"/>
    <w:basedOn w:val="36"/>
    <w:next w:val="37"/>
    <w:qFormat/>
    <w:uiPriority w:val="99"/>
    <w:rPr>
      <w:rFonts w:ascii="宋体`....." w:eastAsia="宋体`....." w:cs="宋体`....."/>
      <w:color w:val="000000"/>
      <w:sz w:val="24"/>
      <w:szCs w:val="24"/>
    </w:rPr>
  </w:style>
  <w:style w:type="paragraph" w:customStyle="1" w:styleId="36">
    <w:name w:val="纯文本1"/>
    <w:basedOn w:val="1"/>
    <w:uiPriority w:val="99"/>
    <w:pPr>
      <w:autoSpaceDE w:val="0"/>
      <w:autoSpaceDN w:val="0"/>
      <w:adjustRightInd w:val="0"/>
      <w:textAlignment w:val="baseline"/>
    </w:pPr>
    <w:rPr>
      <w:rFonts w:ascii="宋体"/>
      <w:szCs w:val="20"/>
    </w:rPr>
  </w:style>
  <w:style w:type="paragraph" w:customStyle="1" w:styleId="37">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8">
    <w:name w:val="Table Paragraph"/>
    <w:basedOn w:val="1"/>
    <w:next w:val="1"/>
    <w:qFormat/>
    <w:uiPriority w:val="99"/>
    <w:pPr>
      <w:jc w:val="center"/>
    </w:pPr>
    <w:rPr>
      <w:rFonts w:eastAsia="华文仿宋"/>
      <w:sz w:val="24"/>
    </w:rPr>
  </w:style>
  <w:style w:type="paragraph" w:customStyle="1" w:styleId="39">
    <w:name w:val="正文1"/>
    <w:basedOn w:val="1"/>
    <w:uiPriority w:val="99"/>
    <w:pPr>
      <w:adjustRightInd w:val="0"/>
      <w:spacing w:line="315" w:lineRule="atLeast"/>
    </w:pPr>
    <w:rPr>
      <w:rFonts w:ascii="宋体"/>
      <w:kern w:val="0"/>
      <w:sz w:val="24"/>
      <w:szCs w:val="22"/>
    </w:rPr>
  </w:style>
  <w:style w:type="paragraph" w:customStyle="1" w:styleId="40">
    <w:name w:val="样式 样式 样式 小四 左 首行缩进:  2 字符 + 首行缩进:  2 字符 Char + 右  0 字符1"/>
    <w:basedOn w:val="1"/>
    <w:qFormat/>
    <w:uiPriority w:val="99"/>
    <w:pPr>
      <w:adjustRightInd w:val="0"/>
      <w:spacing w:line="360" w:lineRule="auto"/>
      <w:ind w:firstLine="200" w:firstLineChars="200"/>
      <w:jc w:val="left"/>
    </w:pPr>
    <w:rPr>
      <w:sz w:val="24"/>
      <w:szCs w:val="20"/>
    </w:rPr>
  </w:style>
  <w:style w:type="paragraph" w:customStyle="1" w:styleId="41">
    <w:name w:val="中文报告书"/>
    <w:basedOn w:val="1"/>
    <w:uiPriority w:val="99"/>
    <w:pPr>
      <w:adjustRightInd w:val="0"/>
      <w:spacing w:after="80" w:line="420" w:lineRule="atLeast"/>
      <w:jc w:val="left"/>
      <w:textAlignment w:val="baseline"/>
    </w:pPr>
    <w:rPr>
      <w:kern w:val="0"/>
      <w:sz w:val="24"/>
    </w:rPr>
  </w:style>
  <w:style w:type="paragraph" w:customStyle="1" w:styleId="42">
    <w:name w:val="表格"/>
    <w:basedOn w:val="1"/>
    <w:next w:val="1"/>
    <w:qFormat/>
    <w:uiPriority w:val="99"/>
    <w:pPr>
      <w:adjustRightInd w:val="0"/>
      <w:snapToGrid w:val="0"/>
      <w:spacing w:beforeLines="10" w:afterLines="10" w:line="259" w:lineRule="auto"/>
      <w:jc w:val="center"/>
    </w:pPr>
    <w:rPr>
      <w:rFonts w:ascii="宋体"/>
      <w:kern w:val="0"/>
      <w:szCs w:val="20"/>
    </w:rPr>
  </w:style>
  <w:style w:type="paragraph" w:customStyle="1" w:styleId="43">
    <w:name w:val="正文4号"/>
    <w:qFormat/>
    <w:uiPriority w:val="99"/>
    <w:pPr>
      <w:widowControl w:val="0"/>
      <w:adjustRightInd w:val="0"/>
      <w:snapToGrid w:val="0"/>
      <w:spacing w:line="360" w:lineRule="auto"/>
      <w:ind w:firstLine="200" w:firstLineChars="200"/>
      <w:jc w:val="both"/>
    </w:pPr>
    <w:rPr>
      <w:rFonts w:ascii="Times New Roman" w:hAnsi="Times New Roman" w:eastAsia="宋体" w:cs="Times New Roman"/>
      <w:kern w:val="24"/>
      <w:sz w:val="24"/>
      <w:szCs w:val="24"/>
      <w:lang w:val="en-US" w:eastAsia="zh-CN" w:bidi="ar-SA"/>
    </w:rPr>
  </w:style>
  <w:style w:type="paragraph" w:customStyle="1" w:styleId="44">
    <w:name w:val="表头样式"/>
    <w:basedOn w:val="1"/>
    <w:next w:val="1"/>
    <w:uiPriority w:val="99"/>
    <w:pPr>
      <w:jc w:val="center"/>
    </w:pPr>
    <w:rPr>
      <w:b/>
      <w:bCs/>
      <w:szCs w:val="21"/>
    </w:rPr>
  </w:style>
  <w:style w:type="character" w:customStyle="1" w:styleId="45">
    <w:name w:val="特殊注释 Char"/>
    <w:link w:val="46"/>
    <w:locked/>
    <w:uiPriority w:val="99"/>
    <w:rPr>
      <w:rFonts w:ascii="楷体" w:hAnsi="楷体" w:eastAsia="楷体"/>
      <w:b/>
      <w:color w:val="auto"/>
      <w:lang w:val="en-US"/>
    </w:rPr>
  </w:style>
  <w:style w:type="paragraph" w:customStyle="1" w:styleId="46">
    <w:name w:val="特殊注释"/>
    <w:basedOn w:val="1"/>
    <w:link w:val="45"/>
    <w:uiPriority w:val="99"/>
    <w:rPr>
      <w:rFonts w:ascii="楷体" w:hAnsi="楷体" w:eastAsia="楷体"/>
      <w:b/>
      <w:kern w:val="0"/>
      <w:sz w:val="20"/>
      <w:szCs w:val="20"/>
    </w:rPr>
  </w:style>
  <w:style w:type="paragraph" w:customStyle="1" w:styleId="47">
    <w:name w:val="无间隔1"/>
    <w:basedOn w:val="6"/>
    <w:next w:val="6"/>
    <w:qFormat/>
    <w:uiPriority w:val="99"/>
    <w:pPr>
      <w:spacing w:after="0" w:line="360" w:lineRule="exact"/>
      <w:jc w:val="center"/>
    </w:pPr>
    <w:rPr>
      <w:rFonts w:eastAsia="黑体"/>
    </w:rPr>
  </w:style>
  <w:style w:type="paragraph" w:customStyle="1" w:styleId="48">
    <w:name w:val="3图表标题"/>
    <w:basedOn w:val="49"/>
    <w:qFormat/>
    <w:uiPriority w:val="99"/>
    <w:pPr>
      <w:spacing w:line="240" w:lineRule="auto"/>
      <w:ind w:firstLine="0" w:firstLineChars="0"/>
      <w:jc w:val="center"/>
    </w:pPr>
    <w:rPr>
      <w:rFonts w:eastAsia="黑体"/>
      <w:bCs w:val="0"/>
      <w:kern w:val="44"/>
    </w:rPr>
  </w:style>
  <w:style w:type="paragraph" w:customStyle="1" w:styleId="49">
    <w:name w:val="1正文"/>
    <w:basedOn w:val="1"/>
    <w:qFormat/>
    <w:uiPriority w:val="99"/>
    <w:pPr>
      <w:adjustRightInd w:val="0"/>
      <w:snapToGrid w:val="0"/>
      <w:spacing w:line="360" w:lineRule="auto"/>
      <w:ind w:firstLine="200" w:firstLineChars="200"/>
    </w:pPr>
    <w:rPr>
      <w:bCs/>
      <w:sz w:val="24"/>
    </w:rPr>
  </w:style>
  <w:style w:type="paragraph" w:customStyle="1" w:styleId="50">
    <w:name w:val="4表内内容"/>
    <w:basedOn w:val="51"/>
    <w:qFormat/>
    <w:uiPriority w:val="99"/>
    <w:pPr>
      <w:adjustRightInd w:val="0"/>
      <w:snapToGrid w:val="0"/>
    </w:pPr>
  </w:style>
  <w:style w:type="paragraph" w:customStyle="1" w:styleId="51">
    <w:name w:val="表内内容"/>
    <w:basedOn w:val="1"/>
    <w:qFormat/>
    <w:uiPriority w:val="99"/>
    <w:pPr>
      <w:jc w:val="center"/>
    </w:pPr>
  </w:style>
  <w:style w:type="paragraph" w:customStyle="1" w:styleId="52">
    <w:name w:val="第1"/>
    <w:basedOn w:val="1"/>
    <w:uiPriority w:val="99"/>
    <w:pPr>
      <w:spacing w:line="360" w:lineRule="auto"/>
      <w:ind w:firstLine="720" w:firstLineChars="200"/>
    </w:pPr>
    <w:rPr>
      <w:sz w:val="24"/>
    </w:rPr>
  </w:style>
  <w:style w:type="paragraph" w:customStyle="1" w:styleId="53">
    <w:name w:val="_Style 5"/>
    <w:basedOn w:val="1"/>
    <w:qFormat/>
    <w:uiPriority w:val="99"/>
    <w:pPr>
      <w:ind w:firstLine="420" w:firstLineChars="200"/>
    </w:pPr>
    <w:rPr>
      <w:rFonts w:ascii="Calibri"/>
    </w:rPr>
  </w:style>
  <w:style w:type="paragraph" w:customStyle="1" w:styleId="54">
    <w:name w:val="表头"/>
    <w:basedOn w:val="1"/>
    <w:next w:val="1"/>
    <w:uiPriority w:val="99"/>
    <w:pPr>
      <w:jc w:val="center"/>
    </w:pPr>
    <w:rPr>
      <w:b/>
      <w:szCs w:val="21"/>
    </w:rPr>
  </w:style>
  <w:style w:type="paragraph" w:customStyle="1" w:styleId="55">
    <w:name w:val="表格内文字"/>
    <w:basedOn w:val="1"/>
    <w:uiPriority w:val="99"/>
    <w:pPr>
      <w:jc w:val="center"/>
    </w:pPr>
    <w:rPr>
      <w:spacing w:val="11"/>
      <w:kern w:val="28"/>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4.wmf"/><Relationship Id="rId33" Type="http://schemas.openxmlformats.org/officeDocument/2006/relationships/oleObject" Target="embeddings/oleObject13.bin"/><Relationship Id="rId32" Type="http://schemas.openxmlformats.org/officeDocument/2006/relationships/image" Target="media/image13.wmf"/><Relationship Id="rId31" Type="http://schemas.openxmlformats.org/officeDocument/2006/relationships/oleObject" Target="embeddings/oleObject12.bin"/><Relationship Id="rId30" Type="http://schemas.openxmlformats.org/officeDocument/2006/relationships/image" Target="media/image12.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1.wmf"/><Relationship Id="rId27" Type="http://schemas.openxmlformats.org/officeDocument/2006/relationships/oleObject" Target="embeddings/oleObject10.bin"/><Relationship Id="rId26" Type="http://schemas.openxmlformats.org/officeDocument/2006/relationships/image" Target="media/image10.wmf"/><Relationship Id="rId25" Type="http://schemas.openxmlformats.org/officeDocument/2006/relationships/oleObject" Target="embeddings/oleObject9.bin"/><Relationship Id="rId24" Type="http://schemas.openxmlformats.org/officeDocument/2006/relationships/image" Target="media/image9.wmf"/><Relationship Id="rId23" Type="http://schemas.openxmlformats.org/officeDocument/2006/relationships/oleObject" Target="embeddings/oleObject8.bin"/><Relationship Id="rId22" Type="http://schemas.openxmlformats.org/officeDocument/2006/relationships/image" Target="media/image8.wmf"/><Relationship Id="rId21" Type="http://schemas.openxmlformats.org/officeDocument/2006/relationships/oleObject" Target="embeddings/oleObject7.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6.emf"/><Relationship Id="rId17" Type="http://schemas.openxmlformats.org/officeDocument/2006/relationships/oleObject" Target="embeddings/oleObject5.bin"/><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67</Pages>
  <Words>7900</Word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2023-07-29T12:05:00Z</dcterms:created>
  <dc:creator>Administrator</dc:creator>
  <cp:lastModifiedBy>手心</cp:lastModifiedBy>
  <dcterms:modified xsi:type="dcterms:W3CDTF">2023-10-25T07:09:31Z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71947C01765B408585EFB05ADBB95034_13</vt:lpwstr>
  </property>
</Properties>
</file>