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30"/>
        <w:gridCol w:w="1439"/>
        <w:gridCol w:w="3201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lang w:val="en-US" w:eastAsia="zh-CN" w:bidi="ar-SA"/>
              </w:rPr>
              <w:t>区级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财政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衔接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资金产业发展项目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其他资金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台小麦宽幅沟播机；2、年度内完成资金支付。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数量指标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购置小麦宽幅沟播机数量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质量指标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项目建设合格率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时效指标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项目按时完成率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安排项目管理费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提高粮食每亩单产数量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受益建档立卡户数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全区小麦种植户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产业帮扶政策影响力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93B3"/>
    <w:multiLevelType w:val="singleLevel"/>
    <w:tmpl w:val="302893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2724C"/>
    <w:rsid w:val="6BFE75E8"/>
    <w:rsid w:val="725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2023-10-17T02:26:00Z</dcterms:created>
  <dc:creator>Administrator</dc:creator>
  <cp:lastModifiedBy>Vickyyy_wwq </cp:lastModifiedBy>
  <dcterms:modified xsi:type="dcterms:W3CDTF">2023-10-17T02:33:25Z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418798814_btnclosed</vt:lpwstr>
  </property>
</Properties>
</file>