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600" w:lineRule="exact"/>
        <w:ind w:firstLine="880" w:firstLineChars="200"/>
        <w:rPr>
          <w:rFonts w:ascii="宋体" w:cs="宋体"/>
          <w:b/>
          <w:bCs/>
          <w:sz w:val="44"/>
          <w:szCs w:val="44"/>
        </w:rPr>
      </w:pPr>
    </w:p>
    <w:p>
      <w:pPr>
        <w:spacing w:line="600" w:lineRule="exact"/>
        <w:ind w:firstLine="640" w:firstLineChars="200"/>
        <w:rPr>
          <w:rFonts w:ascii="仿宋_GB2312" w:eastAsia="仿宋_GB2312"/>
        </w:rPr>
      </w:pPr>
    </w:p>
    <w:p>
      <w:pPr>
        <w:tabs>
          <w:tab w:val="left" w:pos="8190"/>
          <w:tab w:val="left" w:pos="8610"/>
        </w:tabs>
        <w:spacing w:line="600" w:lineRule="exact"/>
        <w:ind w:firstLine="640" w:firstLineChars="200"/>
        <w:jc w:val="right"/>
        <w:rPr>
          <w:rFonts w:ascii="仿宋_GB2312" w:hAnsi="仿宋" w:eastAsia="仿宋_GB2312" w:cs="仿宋"/>
          <w:szCs w:val="32"/>
        </w:rPr>
      </w:pPr>
      <w:r>
        <w:rPr>
          <w:rFonts w:hint="eastAsia" w:ascii="仿宋_GB2312" w:hAnsi="仿宋" w:eastAsia="仿宋" w:cs="宋体"/>
        </w:rPr>
        <w:t>鄠</w:t>
      </w:r>
      <w:r>
        <w:rPr>
          <w:rFonts w:hint="eastAsia" w:ascii="仿宋_GB2312" w:hAnsi="仿宋" w:eastAsia="仿宋_GB2312" w:cs="宋体"/>
        </w:rPr>
        <w:t>政办函</w:t>
      </w:r>
      <w:r>
        <w:rPr>
          <w:rFonts w:hint="eastAsia" w:ascii="仿宋_GB2312" w:hAnsi="仿宋" w:eastAsia="仿宋_GB2312" w:cs="仿宋"/>
          <w:szCs w:val="32"/>
        </w:rPr>
        <w:t>〔</w:t>
      </w:r>
      <w:r>
        <w:rPr>
          <w:rFonts w:ascii="仿宋_GB2312" w:hAnsi="仿宋" w:eastAsia="仿宋_GB2312" w:cs="仿宋"/>
          <w:szCs w:val="32"/>
        </w:rPr>
        <w:t>2023</w:t>
      </w:r>
      <w:r>
        <w:rPr>
          <w:rFonts w:hint="eastAsia" w:ascii="仿宋_GB2312" w:hAnsi="仿宋" w:eastAsia="仿宋_GB2312" w:cs="仿宋"/>
          <w:szCs w:val="32"/>
        </w:rPr>
        <w:t>〕</w:t>
      </w:r>
      <w:r>
        <w:rPr>
          <w:rFonts w:ascii="仿宋_GB2312" w:hAnsi="仿宋" w:eastAsia="仿宋_GB2312" w:cs="仿宋"/>
          <w:szCs w:val="32"/>
        </w:rPr>
        <w:t>4</w:t>
      </w:r>
      <w:r>
        <w:rPr>
          <w:rFonts w:hint="eastAsia" w:ascii="仿宋_GB2312" w:hAnsi="仿宋" w:eastAsia="仿宋_GB2312" w:cs="仿宋"/>
          <w:szCs w:val="32"/>
        </w:rPr>
        <w:t>号</w:t>
      </w:r>
    </w:p>
    <w:p>
      <w:pPr>
        <w:pStyle w:val="2"/>
        <w:spacing w:line="600" w:lineRule="exact"/>
        <w:ind w:firstLine="360" w:firstLineChars="200"/>
        <w:jc w:val="both"/>
      </w:pPr>
    </w:p>
    <w:p>
      <w:pPr>
        <w:spacing w:line="600" w:lineRule="exact"/>
        <w:jc w:val="center"/>
        <w:textAlignment w:val="baseline"/>
        <w:rPr>
          <w:rStyle w:val="13"/>
          <w:rFonts w:ascii="方正小标宋_GBK" w:hAnsi="方正小标宋简体" w:eastAsia="方正小标宋_GBK" w:cs="方正小标宋简体"/>
          <w:sz w:val="44"/>
          <w:szCs w:val="44"/>
        </w:rPr>
      </w:pPr>
      <w:r>
        <w:rPr>
          <w:rStyle w:val="13"/>
          <w:rFonts w:hint="eastAsia" w:ascii="方正小标宋_GBK" w:hAnsi="方正小标宋简体" w:eastAsia="方正小标宋_GBK" w:cs="方正小标宋简体"/>
          <w:sz w:val="44"/>
          <w:szCs w:val="44"/>
        </w:rPr>
        <w:t>西安市</w:t>
      </w:r>
      <w:r>
        <w:rPr>
          <w:rStyle w:val="13"/>
          <w:rFonts w:hint="eastAsia" w:ascii="方正小标宋_GBK" w:hAnsi="宋体" w:eastAsia="方正小标宋_GBK" w:cs="宋体"/>
          <w:bCs/>
          <w:sz w:val="44"/>
          <w:szCs w:val="44"/>
        </w:rPr>
        <w:t>鄠</w:t>
      </w:r>
      <w:r>
        <w:rPr>
          <w:rStyle w:val="13"/>
          <w:rFonts w:hint="eastAsia" w:ascii="方正小标宋_GBK" w:hAnsi="方正小标宋简体" w:eastAsia="方正小标宋_GBK" w:cs="方正小标宋简体"/>
          <w:sz w:val="44"/>
          <w:szCs w:val="44"/>
        </w:rPr>
        <w:t>邑区人民政府办公室</w:t>
      </w:r>
    </w:p>
    <w:p>
      <w:pPr>
        <w:spacing w:line="600" w:lineRule="exact"/>
        <w:jc w:val="center"/>
        <w:textAlignment w:val="baseline"/>
        <w:rPr>
          <w:rFonts w:ascii="方正小标宋_GBK" w:hAnsi="方正小标宋简体" w:eastAsia="方正小标宋_GBK" w:cs="方正小标宋简体"/>
          <w:color w:val="000000"/>
          <w:kern w:val="0"/>
          <w:sz w:val="44"/>
          <w:szCs w:val="44"/>
        </w:rPr>
      </w:pPr>
      <w:r>
        <w:rPr>
          <w:rStyle w:val="13"/>
          <w:rFonts w:hint="eastAsia" w:ascii="方正小标宋_GBK" w:hAnsi="方正小标宋简体" w:eastAsia="方正小标宋_GBK" w:cs="方正小标宋简体"/>
          <w:sz w:val="44"/>
          <w:szCs w:val="44"/>
        </w:rPr>
        <w:t>关于印发《</w:t>
      </w:r>
      <w:r>
        <w:rPr>
          <w:rFonts w:hint="eastAsia" w:ascii="方正小标宋_GBK" w:hAnsi="方正小标宋简体" w:eastAsia="方正小标宋_GBK" w:cs="方正小标宋简体"/>
          <w:color w:val="000000"/>
          <w:kern w:val="0"/>
          <w:sz w:val="44"/>
          <w:szCs w:val="44"/>
        </w:rPr>
        <w:t>西安市</w:t>
      </w:r>
      <w:r>
        <w:rPr>
          <w:rFonts w:hint="eastAsia" w:ascii="方正小标宋_GBK" w:hAnsi="宋体" w:eastAsia="方正小标宋_GBK" w:cs="宋体"/>
          <w:bCs/>
          <w:color w:val="000000"/>
          <w:kern w:val="0"/>
          <w:sz w:val="44"/>
          <w:szCs w:val="44"/>
        </w:rPr>
        <w:t>鄠</w:t>
      </w:r>
      <w:r>
        <w:rPr>
          <w:rFonts w:hint="eastAsia" w:ascii="方正小标宋_GBK" w:hAnsi="方正小标宋简体" w:eastAsia="方正小标宋_GBK" w:cs="方正小标宋简体"/>
          <w:color w:val="000000"/>
          <w:kern w:val="0"/>
          <w:sz w:val="44"/>
          <w:szCs w:val="44"/>
        </w:rPr>
        <w:t>邑区创建全国基层中医药工作示范区（县）工作实施方案</w:t>
      </w:r>
    </w:p>
    <w:p>
      <w:pPr>
        <w:spacing w:line="600" w:lineRule="exact"/>
        <w:jc w:val="center"/>
        <w:textAlignment w:val="baseline"/>
        <w:rPr>
          <w:rStyle w:val="13"/>
          <w:rFonts w:ascii="方正小标宋_GBK" w:hAnsi="方正小标宋简体" w:eastAsia="方正小标宋_GBK" w:cs="方正小标宋简体"/>
          <w:sz w:val="44"/>
          <w:szCs w:val="44"/>
        </w:rPr>
      </w:pPr>
      <w:r>
        <w:rPr>
          <w:rFonts w:hint="eastAsia" w:ascii="方正小标宋_GBK" w:hAnsi="方正小标宋简体" w:eastAsia="方正小标宋_GBK" w:cs="方正小标宋简体"/>
          <w:color w:val="000000"/>
          <w:kern w:val="0"/>
          <w:sz w:val="44"/>
          <w:szCs w:val="44"/>
        </w:rPr>
        <w:t>（</w:t>
      </w:r>
      <w:r>
        <w:rPr>
          <w:rFonts w:ascii="方正小标宋_GBK" w:hAnsi="方正小标宋简体" w:eastAsia="方正小标宋_GBK" w:cs="方正小标宋简体"/>
          <w:color w:val="000000"/>
          <w:kern w:val="0"/>
          <w:sz w:val="44"/>
          <w:szCs w:val="44"/>
        </w:rPr>
        <w:t>2022-2024</w:t>
      </w:r>
      <w:r>
        <w:rPr>
          <w:rFonts w:hint="eastAsia" w:ascii="方正小标宋_GBK" w:hAnsi="方正小标宋简体" w:eastAsia="方正小标宋_GBK" w:cs="方正小标宋简体"/>
          <w:color w:val="000000"/>
          <w:kern w:val="0"/>
          <w:sz w:val="44"/>
          <w:szCs w:val="44"/>
        </w:rPr>
        <w:t>年）</w:t>
      </w:r>
      <w:r>
        <w:rPr>
          <w:rStyle w:val="13"/>
          <w:rFonts w:hint="eastAsia" w:ascii="方正小标宋_GBK" w:hAnsi="方正小标宋简体" w:eastAsia="方正小标宋_GBK" w:cs="方正小标宋简体"/>
          <w:sz w:val="44"/>
          <w:szCs w:val="44"/>
        </w:rPr>
        <w:t>》的通知</w:t>
      </w:r>
    </w:p>
    <w:p>
      <w:pPr>
        <w:spacing w:line="600" w:lineRule="exact"/>
        <w:ind w:firstLine="640" w:firstLineChars="200"/>
        <w:jc w:val="center"/>
        <w:textAlignment w:val="baseline"/>
        <w:rPr>
          <w:rFonts w:ascii="仿宋_GB2312" w:eastAsia="仿宋_GB2312"/>
        </w:rPr>
      </w:pPr>
    </w:p>
    <w:p>
      <w:pPr>
        <w:spacing w:line="600" w:lineRule="exact"/>
        <w:jc w:val="left"/>
        <w:textAlignment w:val="baseline"/>
        <w:rPr>
          <w:rFonts w:ascii="仿宋_GB2312" w:hAnsi="仿宋" w:eastAsia="仿宋_GB2312"/>
        </w:rPr>
      </w:pPr>
      <w:bookmarkStart w:id="0" w:name="_GoBack"/>
      <w:r>
        <w:rPr>
          <w:rFonts w:hint="eastAsia" w:ascii="仿宋_GB2312" w:hAnsi="仿宋" w:eastAsia="仿宋_GB2312"/>
        </w:rPr>
        <w:t>各街道办事处，区人民政府各工作部门，各直属机构：</w:t>
      </w:r>
    </w:p>
    <w:p>
      <w:pPr>
        <w:spacing w:line="600" w:lineRule="exact"/>
        <w:ind w:firstLine="640" w:firstLineChars="200"/>
        <w:textAlignment w:val="baseline"/>
        <w:rPr>
          <w:rFonts w:ascii="仿宋_GB2312" w:hAnsi="仿宋" w:eastAsia="仿宋_GB2312"/>
        </w:rPr>
      </w:pPr>
      <w:r>
        <w:rPr>
          <w:rFonts w:hint="eastAsia" w:ascii="仿宋_GB2312" w:hAnsi="仿宋" w:eastAsia="仿宋_GB2312"/>
        </w:rPr>
        <w:t>《西安市</w:t>
      </w:r>
      <w:r>
        <w:rPr>
          <w:rFonts w:hint="eastAsia" w:ascii="仿宋_GB2312" w:hAnsi="仿宋" w:eastAsia="仿宋"/>
        </w:rPr>
        <w:t>鄠</w:t>
      </w:r>
      <w:r>
        <w:rPr>
          <w:rFonts w:hint="eastAsia" w:ascii="仿宋_GB2312" w:hAnsi="仿宋" w:eastAsia="仿宋_GB2312"/>
        </w:rPr>
        <w:t>邑区创建全国基层中医药工作示范区（县）工作实施方案（</w:t>
      </w:r>
      <w:r>
        <w:rPr>
          <w:rFonts w:ascii="仿宋_GB2312" w:hAnsi="仿宋" w:eastAsia="仿宋_GB2312"/>
        </w:rPr>
        <w:t>2022-2024</w:t>
      </w:r>
      <w:r>
        <w:rPr>
          <w:rFonts w:hint="eastAsia" w:ascii="仿宋_GB2312" w:hAnsi="仿宋" w:eastAsia="仿宋_GB2312"/>
        </w:rPr>
        <w:t>年）》</w:t>
      </w:r>
      <w:r>
        <w:rPr>
          <w:rStyle w:val="13"/>
          <w:rFonts w:hint="eastAsia" w:ascii="仿宋_GB2312" w:hAnsi="仿宋_GB2312" w:eastAsia="仿宋_GB2312"/>
          <w:color w:val="000000"/>
          <w:szCs w:val="32"/>
        </w:rPr>
        <w:t>已经</w:t>
      </w:r>
      <w:r>
        <w:rPr>
          <w:rStyle w:val="13"/>
          <w:rFonts w:ascii="仿宋_GB2312" w:hAnsi="仿宋_GB2312" w:eastAsia="仿宋_GB2312"/>
          <w:color w:val="000000"/>
          <w:szCs w:val="32"/>
        </w:rPr>
        <w:t>2023</w:t>
      </w:r>
      <w:r>
        <w:rPr>
          <w:rStyle w:val="13"/>
          <w:rFonts w:hint="eastAsia" w:ascii="仿宋_GB2312" w:hAnsi="仿宋_GB2312" w:eastAsia="仿宋_GB2312"/>
          <w:color w:val="000000"/>
          <w:szCs w:val="32"/>
        </w:rPr>
        <w:t>年</w:t>
      </w:r>
      <w:r>
        <w:rPr>
          <w:rStyle w:val="13"/>
          <w:rFonts w:ascii="仿宋_GB2312" w:hAnsi="仿宋_GB2312" w:eastAsia="仿宋_GB2312"/>
          <w:color w:val="000000"/>
          <w:szCs w:val="32"/>
        </w:rPr>
        <w:t>3</w:t>
      </w:r>
      <w:r>
        <w:rPr>
          <w:rStyle w:val="13"/>
          <w:rFonts w:hint="eastAsia" w:ascii="仿宋_GB2312" w:hAnsi="仿宋_GB2312" w:eastAsia="仿宋_GB2312"/>
          <w:color w:val="000000"/>
          <w:szCs w:val="32"/>
        </w:rPr>
        <w:t>月</w:t>
      </w:r>
      <w:r>
        <w:rPr>
          <w:rStyle w:val="13"/>
          <w:rFonts w:ascii="仿宋_GB2312" w:hAnsi="仿宋_GB2312" w:eastAsia="仿宋_GB2312"/>
          <w:color w:val="000000"/>
          <w:szCs w:val="32"/>
        </w:rPr>
        <w:t>3</w:t>
      </w:r>
      <w:r>
        <w:rPr>
          <w:rStyle w:val="13"/>
          <w:rFonts w:hint="eastAsia" w:ascii="仿宋_GB2312" w:hAnsi="仿宋_GB2312" w:eastAsia="仿宋_GB2312"/>
          <w:color w:val="000000"/>
          <w:szCs w:val="32"/>
        </w:rPr>
        <w:t>日区政府第</w:t>
      </w:r>
      <w:r>
        <w:rPr>
          <w:rStyle w:val="13"/>
          <w:rFonts w:ascii="仿宋_GB2312" w:hAnsi="仿宋_GB2312" w:eastAsia="仿宋_GB2312"/>
          <w:color w:val="000000"/>
          <w:szCs w:val="32"/>
        </w:rPr>
        <w:t>4</w:t>
      </w:r>
      <w:r>
        <w:rPr>
          <w:rStyle w:val="13"/>
          <w:rFonts w:hint="eastAsia" w:ascii="仿宋_GB2312" w:hAnsi="仿宋_GB2312" w:eastAsia="仿宋_GB2312"/>
          <w:color w:val="000000"/>
          <w:szCs w:val="32"/>
        </w:rPr>
        <w:t>次常务会议研究通过，现印发给你们，请认真抓好贯彻落实。</w:t>
      </w:r>
    </w:p>
    <w:p>
      <w:pPr>
        <w:spacing w:line="600" w:lineRule="exact"/>
        <w:ind w:firstLine="640" w:firstLineChars="200"/>
        <w:textAlignment w:val="baseline"/>
        <w:rPr>
          <w:color w:val="000000"/>
        </w:rPr>
      </w:pPr>
    </w:p>
    <w:p>
      <w:pPr>
        <w:pStyle w:val="2"/>
        <w:spacing w:line="600" w:lineRule="exact"/>
      </w:pPr>
    </w:p>
    <w:p>
      <w:pPr>
        <w:spacing w:line="600" w:lineRule="exact"/>
        <w:ind w:firstLine="3520" w:firstLineChars="1100"/>
        <w:textAlignment w:val="baseline"/>
        <w:rPr>
          <w:rFonts w:ascii="仿宋_GB2312" w:hAnsi="仿宋" w:eastAsia="仿宋_GB2312"/>
        </w:rPr>
      </w:pPr>
      <w:r>
        <w:rPr>
          <w:rFonts w:hint="eastAsia" w:ascii="仿宋_GB2312" w:hAnsi="仿宋" w:eastAsia="仿宋_GB2312"/>
        </w:rPr>
        <w:t>西安市</w:t>
      </w:r>
      <w:r>
        <w:rPr>
          <w:rFonts w:hint="eastAsia" w:ascii="仿宋_GB2312" w:hAnsi="仿宋" w:eastAsia="仿宋"/>
        </w:rPr>
        <w:t>鄠</w:t>
      </w:r>
      <w:r>
        <w:rPr>
          <w:rFonts w:hint="eastAsia" w:ascii="仿宋_GB2312" w:hAnsi="仿宋" w:eastAsia="仿宋_GB2312"/>
        </w:rPr>
        <w:t>邑区人民政府办公室</w:t>
      </w:r>
    </w:p>
    <w:p>
      <w:pPr>
        <w:spacing w:line="600" w:lineRule="exact"/>
        <w:ind w:firstLine="4480" w:firstLineChars="1400"/>
        <w:textAlignment w:val="baseline"/>
        <w:rPr>
          <w:rFonts w:ascii="仿宋_GB2312" w:hAnsi="仿宋" w:eastAsia="仿宋_GB2312"/>
        </w:rPr>
      </w:pPr>
      <w:r>
        <w:rPr>
          <w:rFonts w:ascii="仿宋_GB2312" w:hAnsi="仿宋" w:eastAsia="仿宋_GB2312"/>
        </w:rPr>
        <w:t>2023</w:t>
      </w:r>
      <w:r>
        <w:rPr>
          <w:rFonts w:hint="eastAsia" w:ascii="仿宋_GB2312" w:hAnsi="仿宋" w:eastAsia="仿宋_GB2312"/>
        </w:rPr>
        <w:t>年</w:t>
      </w:r>
      <w:r>
        <w:rPr>
          <w:rFonts w:ascii="仿宋_GB2312" w:hAnsi="仿宋" w:eastAsia="仿宋_GB2312"/>
        </w:rPr>
        <w:t>3</w:t>
      </w:r>
      <w:r>
        <w:rPr>
          <w:rFonts w:hint="eastAsia" w:ascii="仿宋_GB2312" w:hAnsi="仿宋" w:eastAsia="仿宋_GB2312"/>
        </w:rPr>
        <w:t>月</w:t>
      </w:r>
      <w:r>
        <w:rPr>
          <w:rFonts w:ascii="仿宋_GB2312" w:hAnsi="仿宋" w:eastAsia="仿宋_GB2312"/>
        </w:rPr>
        <w:t>23</w:t>
      </w:r>
      <w:r>
        <w:rPr>
          <w:rFonts w:hint="eastAsia" w:ascii="仿宋_GB2312" w:hAnsi="仿宋" w:eastAsia="仿宋_GB2312"/>
        </w:rPr>
        <w:t>日</w:t>
      </w:r>
    </w:p>
    <w:p>
      <w:pPr>
        <w:spacing w:line="600" w:lineRule="exact"/>
        <w:ind w:firstLine="640" w:firstLineChars="200"/>
        <w:textAlignment w:val="baseline"/>
        <w:rPr>
          <w:rStyle w:val="13"/>
          <w:rFonts w:ascii="仿宋_GB2312" w:hAnsi="仿宋_GB2312" w:eastAsia="仿宋_GB2312"/>
          <w:color w:val="000000"/>
          <w:szCs w:val="32"/>
        </w:rPr>
      </w:pPr>
      <w:r>
        <w:rPr>
          <w:rStyle w:val="13"/>
          <w:rFonts w:hint="eastAsia" w:ascii="仿宋_GB2312" w:hAnsi="仿宋_GB2312" w:eastAsia="仿宋_GB2312"/>
          <w:color w:val="000000"/>
          <w:szCs w:val="32"/>
        </w:rPr>
        <w:t>（联系人：花旭茂</w:t>
      </w:r>
      <w:r>
        <w:rPr>
          <w:rStyle w:val="13"/>
          <w:rFonts w:ascii="仿宋_GB2312" w:hAnsi="仿宋_GB2312" w:eastAsia="仿宋_GB2312"/>
          <w:color w:val="000000"/>
          <w:szCs w:val="32"/>
        </w:rPr>
        <w:t xml:space="preserve">  </w:t>
      </w:r>
      <w:r>
        <w:rPr>
          <w:rStyle w:val="13"/>
          <w:rFonts w:hint="eastAsia" w:ascii="仿宋_GB2312" w:hAnsi="仿宋_GB2312" w:eastAsia="仿宋_GB2312"/>
          <w:color w:val="000000"/>
          <w:szCs w:val="32"/>
        </w:rPr>
        <w:t>电话：</w:t>
      </w:r>
      <w:r>
        <w:rPr>
          <w:rStyle w:val="13"/>
          <w:rFonts w:ascii="仿宋_GB2312" w:hAnsi="仿宋_GB2312" w:eastAsia="仿宋_GB2312"/>
          <w:color w:val="000000"/>
          <w:szCs w:val="32"/>
        </w:rPr>
        <w:t>84835250</w:t>
      </w:r>
      <w:r>
        <w:rPr>
          <w:rStyle w:val="13"/>
          <w:rFonts w:hint="eastAsia" w:ascii="仿宋_GB2312" w:hAnsi="仿宋_GB2312" w:eastAsia="仿宋_GB2312"/>
          <w:color w:val="000000"/>
          <w:szCs w:val="32"/>
        </w:rPr>
        <w:t>）</w:t>
      </w:r>
    </w:p>
    <w:p>
      <w:pPr>
        <w:spacing w:line="600" w:lineRule="exact"/>
        <w:ind w:firstLine="640" w:firstLineChars="200"/>
        <w:textAlignment w:val="baseline"/>
        <w:rPr>
          <w:rStyle w:val="13"/>
          <w:rFonts w:ascii="仿宋_GB2312" w:hAnsi="仿宋_GB2312" w:eastAsia="仿宋_GB2312"/>
          <w:color w:val="000000"/>
          <w:szCs w:val="32"/>
        </w:rPr>
      </w:pPr>
      <w:r>
        <w:rPr>
          <w:rStyle w:val="13"/>
          <w:rFonts w:hint="eastAsia" w:ascii="仿宋_GB2312" w:hAnsi="仿宋_GB2312" w:eastAsia="仿宋_GB2312"/>
          <w:color w:val="000000"/>
          <w:szCs w:val="32"/>
        </w:rPr>
        <w:t>（此件公开发布）</w:t>
      </w:r>
    </w:p>
    <w:bookmarkEnd w:id="0"/>
    <w:p>
      <w:pPr>
        <w:pStyle w:val="2"/>
        <w:spacing w:line="600" w:lineRule="exact"/>
        <w:ind w:firstLine="360" w:firstLineChars="200"/>
        <w:jc w:val="both"/>
      </w:pPr>
    </w:p>
    <w:p/>
    <w:p>
      <w:pPr>
        <w:pStyle w:val="2"/>
      </w:pPr>
    </w:p>
    <w:p/>
    <w:p>
      <w:pPr>
        <w:spacing w:line="600" w:lineRule="exact"/>
        <w:ind w:firstLine="880" w:firstLineChars="200"/>
        <w:jc w:val="center"/>
        <w:rPr>
          <w:rFonts w:ascii="方正小标宋_GBK" w:hAnsi="黑体" w:eastAsia="方正小标宋_GBK" w:cs="黑体"/>
          <w:color w:val="000000"/>
          <w:kern w:val="0"/>
          <w:sz w:val="44"/>
          <w:szCs w:val="44"/>
        </w:rPr>
      </w:pPr>
      <w:r>
        <w:rPr>
          <w:rFonts w:hint="eastAsia" w:ascii="方正小标宋_GBK" w:hAnsi="黑体" w:eastAsia="方正小标宋_GBK" w:cs="黑体"/>
          <w:color w:val="000000"/>
          <w:kern w:val="0"/>
          <w:sz w:val="44"/>
          <w:szCs w:val="44"/>
        </w:rPr>
        <w:t>西安市</w:t>
      </w:r>
      <w:r>
        <w:rPr>
          <w:rFonts w:hint="eastAsia" w:ascii="方正小标宋_GBK" w:hAnsi="宋体" w:eastAsia="方正小标宋_GBK" w:cs="宋体"/>
          <w:color w:val="000000"/>
          <w:kern w:val="0"/>
          <w:sz w:val="44"/>
          <w:szCs w:val="44"/>
        </w:rPr>
        <w:t>鄠</w:t>
      </w:r>
      <w:r>
        <w:rPr>
          <w:rFonts w:hint="eastAsia" w:ascii="方正小标宋_GBK" w:hAnsi="方正小标宋简体" w:eastAsia="方正小标宋_GBK" w:cs="方正小标宋简体"/>
          <w:color w:val="000000"/>
          <w:kern w:val="0"/>
          <w:sz w:val="44"/>
          <w:szCs w:val="44"/>
        </w:rPr>
        <w:t>邑区创建全国基层中医药</w:t>
      </w:r>
    </w:p>
    <w:p>
      <w:pPr>
        <w:spacing w:line="600" w:lineRule="exact"/>
        <w:ind w:firstLine="880" w:firstLineChars="200"/>
        <w:jc w:val="center"/>
        <w:rPr>
          <w:rFonts w:ascii="方正小标宋_GBK" w:hAnsi="黑体" w:eastAsia="方正小标宋_GBK" w:cs="黑体"/>
          <w:color w:val="000000"/>
          <w:kern w:val="0"/>
          <w:sz w:val="44"/>
          <w:szCs w:val="44"/>
        </w:rPr>
      </w:pPr>
      <w:r>
        <w:rPr>
          <w:rFonts w:hint="eastAsia" w:ascii="方正小标宋_GBK" w:hAnsi="黑体" w:eastAsia="方正小标宋_GBK" w:cs="黑体"/>
          <w:color w:val="000000"/>
          <w:kern w:val="0"/>
          <w:sz w:val="44"/>
          <w:szCs w:val="44"/>
        </w:rPr>
        <w:t>工作示范区（县）工作实施方案</w:t>
      </w:r>
    </w:p>
    <w:p>
      <w:pPr>
        <w:spacing w:line="600" w:lineRule="exact"/>
        <w:ind w:firstLine="880" w:firstLineChars="200"/>
        <w:jc w:val="center"/>
        <w:rPr>
          <w:rFonts w:ascii="方正小标宋_GBK" w:eastAsia="方正小标宋_GBK"/>
          <w:color w:val="000000"/>
          <w:kern w:val="0"/>
          <w:sz w:val="36"/>
          <w:szCs w:val="36"/>
        </w:rPr>
      </w:pPr>
      <w:r>
        <w:rPr>
          <w:rFonts w:hint="eastAsia" w:ascii="方正小标宋_GBK" w:eastAsia="方正小标宋_GBK"/>
          <w:color w:val="000000"/>
          <w:kern w:val="0"/>
          <w:sz w:val="44"/>
          <w:szCs w:val="44"/>
        </w:rPr>
        <w:t>（</w:t>
      </w:r>
      <w:r>
        <w:rPr>
          <w:rFonts w:ascii="方正小标宋_GBK" w:eastAsia="方正小标宋_GBK"/>
          <w:color w:val="000000"/>
          <w:kern w:val="0"/>
          <w:sz w:val="44"/>
          <w:szCs w:val="44"/>
        </w:rPr>
        <w:t>2022-2024</w:t>
      </w:r>
      <w:r>
        <w:rPr>
          <w:rFonts w:hint="eastAsia" w:ascii="方正小标宋_GBK" w:eastAsia="方正小标宋_GBK"/>
          <w:color w:val="000000"/>
          <w:kern w:val="0"/>
          <w:sz w:val="44"/>
          <w:szCs w:val="44"/>
        </w:rPr>
        <w:t>年）</w:t>
      </w:r>
    </w:p>
    <w:p>
      <w:pPr>
        <w:spacing w:line="600" w:lineRule="exact"/>
        <w:ind w:firstLine="640" w:firstLineChars="200"/>
        <w:rPr>
          <w:rFonts w:eastAsia="仿宋_GB2312"/>
          <w:color w:val="000000"/>
          <w:kern w:val="0"/>
          <w:szCs w:val="32"/>
        </w:rPr>
      </w:pPr>
    </w:p>
    <w:p>
      <w:pPr>
        <w:spacing w:line="600" w:lineRule="exact"/>
        <w:ind w:firstLine="640" w:firstLineChars="200"/>
        <w:rPr>
          <w:rFonts w:ascii="仿宋_GB2312" w:hAnsi="仿宋" w:eastAsia="仿宋_GB2312"/>
        </w:rPr>
      </w:pPr>
      <w:r>
        <w:rPr>
          <w:rFonts w:hint="eastAsia" w:ascii="仿宋_GB2312" w:hAnsi="仿宋" w:eastAsia="仿宋_GB2312"/>
        </w:rPr>
        <w:t>为确保顺利通过全国基层中医药工作示范区（县）创建工作，根据陕西省中医药管理局印发的《陕西省</w:t>
      </w:r>
      <w:r>
        <w:rPr>
          <w:rFonts w:ascii="仿宋_GB2312" w:hAnsi="仿宋" w:eastAsia="仿宋_GB2312"/>
        </w:rPr>
        <w:t>2022-2024</w:t>
      </w:r>
      <w:r>
        <w:rPr>
          <w:rFonts w:hint="eastAsia" w:ascii="仿宋_GB2312" w:hAnsi="仿宋" w:eastAsia="仿宋_GB2312"/>
        </w:rPr>
        <w:t>年创建周期全国基层中医药示范市（县）创建评审工作方案》（陕中医药函〔</w:t>
      </w:r>
      <w:r>
        <w:rPr>
          <w:rFonts w:ascii="仿宋_GB2312" w:hAnsi="仿宋" w:eastAsia="仿宋_GB2312"/>
        </w:rPr>
        <w:t>2022</w:t>
      </w:r>
      <w:r>
        <w:rPr>
          <w:rFonts w:hint="eastAsia" w:ascii="仿宋_GB2312" w:hAnsi="仿宋" w:eastAsia="仿宋_GB2312"/>
        </w:rPr>
        <w:t>〕</w:t>
      </w:r>
      <w:r>
        <w:rPr>
          <w:rFonts w:ascii="仿宋_GB2312" w:hAnsi="仿宋" w:eastAsia="仿宋_GB2312"/>
        </w:rPr>
        <w:t>48</w:t>
      </w:r>
      <w:r>
        <w:rPr>
          <w:rFonts w:hint="eastAsia" w:ascii="仿宋_GB2312" w:hAnsi="仿宋" w:eastAsia="仿宋_GB2312"/>
        </w:rPr>
        <w:t>号）和《西安市创建全国基层中医药工作示范市（县）工作实施方案（</w:t>
      </w:r>
      <w:r>
        <w:rPr>
          <w:rFonts w:ascii="仿宋_GB2312" w:hAnsi="仿宋" w:eastAsia="仿宋_GB2312"/>
        </w:rPr>
        <w:t>2022-2024</w:t>
      </w:r>
      <w:r>
        <w:rPr>
          <w:rFonts w:hint="eastAsia" w:ascii="仿宋_GB2312" w:hAnsi="仿宋" w:eastAsia="仿宋_GB2312"/>
        </w:rPr>
        <w:t>年）》（市政办函〔</w:t>
      </w:r>
      <w:r>
        <w:rPr>
          <w:rFonts w:ascii="仿宋_GB2312" w:hAnsi="仿宋" w:eastAsia="仿宋_GB2312"/>
        </w:rPr>
        <w:t>2022</w:t>
      </w:r>
      <w:r>
        <w:rPr>
          <w:rFonts w:hint="eastAsia" w:ascii="仿宋_GB2312" w:hAnsi="仿宋" w:eastAsia="仿宋_GB2312"/>
        </w:rPr>
        <w:t>〕</w:t>
      </w:r>
      <w:r>
        <w:rPr>
          <w:rFonts w:ascii="仿宋_GB2312" w:hAnsi="仿宋" w:eastAsia="仿宋_GB2312"/>
        </w:rPr>
        <w:t>80</w:t>
      </w:r>
      <w:r>
        <w:rPr>
          <w:rFonts w:hint="eastAsia" w:ascii="仿宋_GB2312" w:hAnsi="仿宋" w:eastAsia="仿宋_GB2312"/>
        </w:rPr>
        <w:t>号）精神，</w:t>
      </w:r>
      <w:r>
        <w:rPr>
          <w:rFonts w:ascii="仿宋_GB2312" w:hAnsi="仿宋" w:eastAsia="仿宋_GB2312"/>
        </w:rPr>
        <w:t xml:space="preserve"> </w:t>
      </w:r>
      <w:r>
        <w:rPr>
          <w:rFonts w:hint="eastAsia" w:ascii="仿宋_GB2312" w:hAnsi="仿宋" w:eastAsia="仿宋_GB2312"/>
        </w:rPr>
        <w:t>结合我区实际，特制定以下方案。</w:t>
      </w:r>
    </w:p>
    <w:p>
      <w:pPr>
        <w:spacing w:line="600" w:lineRule="exact"/>
        <w:ind w:firstLine="640" w:firstLineChars="200"/>
        <w:rPr>
          <w:rFonts w:ascii="黑体" w:hAnsi="黑体" w:eastAsia="黑体"/>
        </w:rPr>
      </w:pPr>
      <w:r>
        <w:rPr>
          <w:rFonts w:hint="eastAsia" w:ascii="黑体" w:hAnsi="黑体" w:eastAsia="黑体"/>
        </w:rPr>
        <w:t>一、创建目标</w:t>
      </w:r>
    </w:p>
    <w:p>
      <w:pPr>
        <w:spacing w:line="600" w:lineRule="exact"/>
        <w:ind w:firstLine="640" w:firstLineChars="200"/>
        <w:rPr>
          <w:rFonts w:ascii="仿宋_GB2312" w:hAnsi="仿宋" w:eastAsia="仿宋_GB2312"/>
        </w:rPr>
      </w:pPr>
      <w:r>
        <w:rPr>
          <w:rFonts w:hint="eastAsia" w:ascii="仿宋_GB2312" w:hAnsi="仿宋" w:eastAsia="仿宋_GB2312"/>
        </w:rPr>
        <w:t>贯彻落实国家、省级、市级有关中医药传承创新发展文件和中医药大会精神，以人人享有基本中医药服务为目标，坚持中西医并重、相互补充、协调发展，充分遵循中医药发展规律，建立符合中医药特点的管理体制和政策机制，形成有利于中医药传承创新发展的制度体系。通过示范创建，推动解决中医药事业发展面临的重点难点问题，总结工作中好的做法，形成可复制、可推广的创建成果，以点带面，促进全区中医药工作整体提升。</w:t>
      </w:r>
    </w:p>
    <w:p>
      <w:pPr>
        <w:spacing w:line="600" w:lineRule="exact"/>
        <w:ind w:firstLine="640" w:firstLineChars="200"/>
        <w:rPr>
          <w:rFonts w:ascii="黑体" w:hAnsi="黑体" w:eastAsia="黑体"/>
        </w:rPr>
      </w:pPr>
      <w:r>
        <w:rPr>
          <w:rFonts w:hint="eastAsia" w:ascii="黑体" w:hAnsi="黑体" w:eastAsia="黑体"/>
        </w:rPr>
        <w:t>二、工作原则</w:t>
      </w:r>
    </w:p>
    <w:p>
      <w:pPr>
        <w:spacing w:line="600" w:lineRule="exact"/>
        <w:ind w:firstLine="640" w:firstLineChars="200"/>
        <w:rPr>
          <w:rFonts w:ascii="仿宋_GB2312" w:hAnsi="仿宋" w:eastAsia="仿宋_GB2312"/>
        </w:rPr>
      </w:pPr>
      <w:r>
        <w:rPr>
          <w:rFonts w:hint="eastAsia" w:ascii="楷体_GB2312" w:hAnsi="仿宋" w:eastAsia="楷体_GB2312"/>
        </w:rPr>
        <w:t>（一）注重创建过程和效果评价，以评促改。</w:t>
      </w:r>
      <w:r>
        <w:rPr>
          <w:rFonts w:hint="eastAsia" w:ascii="仿宋_GB2312" w:hAnsi="仿宋" w:eastAsia="仿宋_GB2312"/>
        </w:rPr>
        <w:t>评审采取直接评审与间接评审相结合、信息化评审与现场评审相结合方式开展。现场评审开始前，全面开展自查自评，以检查评估发现问题为切入点，举一反三，补齐短板弱项。</w:t>
      </w:r>
    </w:p>
    <w:p>
      <w:pPr>
        <w:spacing w:line="600" w:lineRule="exact"/>
        <w:ind w:firstLine="640" w:firstLineChars="200"/>
        <w:rPr>
          <w:rFonts w:ascii="仿宋_GB2312" w:hAnsi="仿宋" w:eastAsia="仿宋_GB2312"/>
        </w:rPr>
      </w:pPr>
      <w:r>
        <w:rPr>
          <w:rFonts w:hint="eastAsia" w:ascii="楷体_GB2312" w:hAnsi="仿宋" w:eastAsia="楷体_GB2312"/>
        </w:rPr>
        <w:t>（二）坚持分级负责，分类实施。</w:t>
      </w:r>
      <w:r>
        <w:rPr>
          <w:rFonts w:hint="eastAsia" w:ascii="仿宋_GB2312" w:hAnsi="仿宋" w:eastAsia="仿宋_GB2312"/>
        </w:rPr>
        <w:t>对检查评估发现问题实行清单制管理，按照“一问题一措施”方式逐项抓好整改。属于由政府层面协调落实的，由创建工作办公室提请创建工作领导机构统筹安排；属于由部门落实的，由主管部门牵头，相关单位负责，明确职责分工，分解目标任务，合力抓好整改。</w:t>
      </w:r>
    </w:p>
    <w:p>
      <w:pPr>
        <w:spacing w:line="600" w:lineRule="exact"/>
        <w:ind w:firstLine="640" w:firstLineChars="200"/>
        <w:rPr>
          <w:rFonts w:ascii="仿宋_GB2312" w:hAnsi="仿宋" w:eastAsia="仿宋_GB2312"/>
        </w:rPr>
      </w:pPr>
      <w:r>
        <w:rPr>
          <w:rFonts w:hint="eastAsia" w:ascii="楷体_GB2312" w:hAnsi="仿宋" w:eastAsia="楷体_GB2312"/>
        </w:rPr>
        <w:t>（三）坚持以点带面，整体提升。</w:t>
      </w:r>
      <w:r>
        <w:rPr>
          <w:rFonts w:hint="eastAsia" w:ascii="仿宋_GB2312" w:hAnsi="仿宋" w:eastAsia="仿宋_GB2312"/>
        </w:rPr>
        <w:t>以示范创建为契机，集中力量解决一批中医药事业发展面临的困难和问题，推动建立长效机制。总结创建工作中好的做法和经验，培育工作亮点，推广创建成果，促进全区中医药事业持续健康发展。</w:t>
      </w:r>
    </w:p>
    <w:p>
      <w:pPr>
        <w:spacing w:line="600" w:lineRule="exact"/>
        <w:ind w:firstLine="640" w:firstLineChars="200"/>
        <w:rPr>
          <w:rFonts w:ascii="黑体" w:hAnsi="黑体" w:eastAsia="黑体"/>
        </w:rPr>
      </w:pPr>
      <w:r>
        <w:rPr>
          <w:rFonts w:hint="eastAsia" w:ascii="黑体" w:hAnsi="黑体" w:eastAsia="黑体"/>
        </w:rPr>
        <w:t>三、主要任务</w:t>
      </w:r>
    </w:p>
    <w:p>
      <w:pPr>
        <w:spacing w:line="600" w:lineRule="exact"/>
        <w:ind w:firstLine="640" w:firstLineChars="200"/>
        <w:rPr>
          <w:rFonts w:ascii="仿宋_GB2312" w:hAnsi="仿宋" w:eastAsia="仿宋_GB2312"/>
        </w:rPr>
      </w:pPr>
      <w:r>
        <w:rPr>
          <w:rFonts w:hint="eastAsia" w:ascii="楷体_GB2312" w:hAnsi="仿宋" w:eastAsia="楷体_GB2312"/>
        </w:rPr>
        <w:t>（一）健全管理体系。</w:t>
      </w:r>
      <w:r>
        <w:rPr>
          <w:rFonts w:hint="eastAsia" w:ascii="仿宋_GB2312" w:hAnsi="仿宋" w:eastAsia="仿宋_GB2312"/>
        </w:rPr>
        <w:t>将中医药工作纳入国民经济和社会发展规划，纳入政府年度工作目标。建立中医药工作联席会议制度，研究解决中医药发展相关事宜。加强全国基层中医药工作示范区（县）创建工作体系建设，成立创建工作办公室，形成常态化工作机制。畅通建议和投诉平台，解决群众反映问题，提高中医药服务满意率。（</w:t>
      </w:r>
      <w:r>
        <w:rPr>
          <w:rFonts w:hint="eastAsia" w:ascii="仿宋_GB2312" w:hAnsi="仿宋" w:eastAsia="仿宋_GB2312"/>
          <w:b/>
        </w:rPr>
        <w:t>牵头单位：</w:t>
      </w:r>
      <w:r>
        <w:rPr>
          <w:rFonts w:hint="eastAsia" w:ascii="仿宋_GB2312" w:hAnsi="仿宋" w:eastAsia="仿宋_GB2312"/>
        </w:rPr>
        <w:t>区卫健局，</w:t>
      </w:r>
      <w:r>
        <w:rPr>
          <w:rFonts w:hint="eastAsia" w:ascii="仿宋_GB2312" w:hAnsi="仿宋" w:eastAsia="仿宋_GB2312"/>
          <w:b/>
        </w:rPr>
        <w:t>涉及部门</w:t>
      </w:r>
      <w:r>
        <w:rPr>
          <w:rFonts w:hint="eastAsia" w:ascii="仿宋_GB2312" w:hAnsi="仿宋" w:eastAsia="仿宋_GB2312"/>
        </w:rPr>
        <w:t>：区发改委）</w:t>
      </w:r>
    </w:p>
    <w:p>
      <w:pPr>
        <w:spacing w:line="600" w:lineRule="exact"/>
        <w:ind w:firstLine="640" w:firstLineChars="200"/>
        <w:rPr>
          <w:rFonts w:ascii="仿宋_GB2312" w:hAnsi="仿宋" w:eastAsia="仿宋_GB2312"/>
        </w:rPr>
      </w:pPr>
      <w:r>
        <w:rPr>
          <w:rFonts w:hint="eastAsia" w:ascii="楷体_GB2312" w:hAnsi="仿宋" w:eastAsia="楷体_GB2312"/>
        </w:rPr>
        <w:t>（二）落实支持保障政策。</w:t>
      </w:r>
      <w:r>
        <w:rPr>
          <w:rFonts w:hint="eastAsia" w:ascii="仿宋_GB2312" w:hAnsi="仿宋" w:eastAsia="仿宋_GB2312"/>
        </w:rPr>
        <w:t>为中医药事业发展提供政策支持和条件保障。中医药工作联席会议制度成员单位职责明确，围绕经费保障、机构编制、人才队伍、医疗保障、科技发展、市场监管等内容，制定并落实促进中医药发展的相关政策措施。（</w:t>
      </w:r>
      <w:r>
        <w:rPr>
          <w:rFonts w:hint="eastAsia" w:ascii="仿宋_GB2312" w:hAnsi="仿宋" w:eastAsia="仿宋_GB2312"/>
          <w:b/>
        </w:rPr>
        <w:t>牵头单位：</w:t>
      </w:r>
      <w:r>
        <w:rPr>
          <w:rFonts w:hint="eastAsia" w:ascii="仿宋_GB2312" w:hAnsi="仿宋" w:eastAsia="仿宋_GB2312"/>
        </w:rPr>
        <w:t>区卫健局，</w:t>
      </w:r>
      <w:r>
        <w:rPr>
          <w:rFonts w:hint="eastAsia" w:ascii="仿宋_GB2312" w:hAnsi="仿宋" w:eastAsia="仿宋_GB2312"/>
          <w:b/>
        </w:rPr>
        <w:t>涉及部门：</w:t>
      </w:r>
      <w:r>
        <w:rPr>
          <w:rFonts w:hint="eastAsia" w:ascii="仿宋_GB2312" w:hAnsi="仿宋" w:eastAsia="仿宋_GB2312"/>
        </w:rPr>
        <w:t>区委编办、区发改委、区财政局、区人社局、区医保局、区教科局、区市场监管局）</w:t>
      </w:r>
    </w:p>
    <w:p>
      <w:pPr>
        <w:spacing w:line="600" w:lineRule="exact"/>
        <w:ind w:firstLine="640" w:firstLineChars="200"/>
        <w:rPr>
          <w:rFonts w:ascii="仿宋_GB2312" w:hAnsi="仿宋" w:eastAsia="仿宋_GB2312"/>
        </w:rPr>
      </w:pPr>
      <w:r>
        <w:rPr>
          <w:rFonts w:hint="eastAsia" w:ascii="楷体_GB2312" w:hAnsi="仿宋" w:eastAsia="楷体_GB2312"/>
        </w:rPr>
        <w:t>（三）健全医疗服务体系</w:t>
      </w:r>
      <w:r>
        <w:rPr>
          <w:rFonts w:hint="eastAsia" w:ascii="仿宋_GB2312" w:hAnsi="仿宋" w:eastAsia="仿宋_GB2312"/>
        </w:rPr>
        <w:t>。将中医医疗机构建设纳入医疗机构设置规划，确保区中医医院达到二级甲等以上中医医院标准。扶持有中医药特色和优势的医疗机构发展，综合医院和妇幼保健机构中医药科室达到国家标准。建立区中医医院与基层医疗卫生机构业务协作机制，成立基层指导科，负责中医药业务指导、人员培训、考核管理等工作。确保卫生院规范设置中医综合服务区，村卫生室能提供中医药服务。（</w:t>
      </w:r>
      <w:r>
        <w:rPr>
          <w:rFonts w:hint="eastAsia" w:ascii="仿宋_GB2312" w:hAnsi="仿宋" w:eastAsia="仿宋_GB2312"/>
          <w:b/>
        </w:rPr>
        <w:t>牵头单位：</w:t>
      </w:r>
      <w:r>
        <w:rPr>
          <w:rFonts w:hint="eastAsia" w:ascii="仿宋_GB2312" w:hAnsi="仿宋" w:eastAsia="仿宋_GB2312"/>
        </w:rPr>
        <w:t>区卫健局，</w:t>
      </w:r>
      <w:r>
        <w:rPr>
          <w:rFonts w:hint="eastAsia" w:ascii="仿宋_GB2312" w:hAnsi="仿宋" w:eastAsia="仿宋_GB2312"/>
          <w:b/>
        </w:rPr>
        <w:t>涉及部门：</w:t>
      </w:r>
      <w:r>
        <w:rPr>
          <w:rFonts w:hint="eastAsia" w:ascii="仿宋_GB2312" w:hAnsi="仿宋" w:eastAsia="仿宋_GB2312"/>
        </w:rPr>
        <w:t>区资源规划分局）</w:t>
      </w:r>
    </w:p>
    <w:p>
      <w:pPr>
        <w:spacing w:line="600" w:lineRule="exact"/>
        <w:ind w:firstLine="640" w:firstLineChars="200"/>
        <w:rPr>
          <w:rFonts w:ascii="仿宋_GB2312" w:hAnsi="仿宋" w:eastAsia="仿宋_GB2312"/>
        </w:rPr>
      </w:pPr>
      <w:r>
        <w:rPr>
          <w:rFonts w:hint="eastAsia" w:ascii="楷体_GB2312" w:hAnsi="仿宋" w:eastAsia="楷体_GB2312"/>
        </w:rPr>
        <w:t>（四）加强人才队伍建设。</w:t>
      </w:r>
      <w:r>
        <w:rPr>
          <w:rFonts w:hint="eastAsia" w:ascii="仿宋_GB2312" w:hAnsi="仿宋" w:eastAsia="仿宋_GB2312"/>
        </w:rPr>
        <w:t>完善人才培养模式，优化人才发展平台和评价激励机制，加大基层中医药人员招聘力度，建立一支规模适宜、结构合理的中医药人才队伍。开展中医药继续教育和师承教育，加强名中医师带徒工作，培养中医药骨干人才。建立“西学中”培训基地。加强基层医务人员中医药知识和技能培训，培养实用型基层中医药人才。确保各级医疗机构中医药人员配备达到国家规定标准。（</w:t>
      </w:r>
      <w:r>
        <w:rPr>
          <w:rFonts w:hint="eastAsia" w:ascii="仿宋_GB2312" w:hAnsi="仿宋" w:eastAsia="仿宋_GB2312"/>
          <w:b/>
        </w:rPr>
        <w:t>牵头单位：</w:t>
      </w:r>
      <w:r>
        <w:rPr>
          <w:rFonts w:hint="eastAsia" w:ascii="仿宋_GB2312" w:hAnsi="仿宋" w:eastAsia="仿宋_GB2312"/>
        </w:rPr>
        <w:t>区卫健局，</w:t>
      </w:r>
      <w:r>
        <w:rPr>
          <w:rFonts w:hint="eastAsia" w:ascii="仿宋_GB2312" w:hAnsi="仿宋" w:eastAsia="仿宋_GB2312"/>
          <w:b/>
        </w:rPr>
        <w:t>涉及部门：</w:t>
      </w:r>
      <w:r>
        <w:rPr>
          <w:rFonts w:hint="eastAsia" w:ascii="仿宋_GB2312" w:hAnsi="仿宋" w:eastAsia="仿宋_GB2312"/>
        </w:rPr>
        <w:t>区委组织部、区人社局）</w:t>
      </w:r>
    </w:p>
    <w:p>
      <w:pPr>
        <w:spacing w:line="600" w:lineRule="exact"/>
        <w:ind w:firstLine="640" w:firstLineChars="200"/>
        <w:rPr>
          <w:rFonts w:ascii="仿宋_GB2312" w:hAnsi="仿宋" w:eastAsia="仿宋_GB2312"/>
        </w:rPr>
      </w:pPr>
      <w:r>
        <w:rPr>
          <w:rFonts w:hint="eastAsia" w:ascii="楷体_GB2312" w:hAnsi="仿宋" w:eastAsia="楷体_GB2312"/>
        </w:rPr>
        <w:t>（五）提升医疗服务能力。</w:t>
      </w:r>
      <w:r>
        <w:rPr>
          <w:rFonts w:hint="eastAsia" w:ascii="仿宋_GB2312" w:hAnsi="仿宋" w:eastAsia="仿宋_GB2312"/>
        </w:rPr>
        <w:t>坚持以提供中医药服务为主的中医医院办院模式，提升中医优势病种诊疗能力和综合服务能力。推行县域医共体等医改模式，鼓励区中医医院开展对口帮扶工作，带动基层医疗机构均衡发展。实施中医治未病健康工程，落实国家基本公共卫生中医药项目，并将孕产妇、高血压、糖尿病、冠心病、慢阻肺患者等重点人群纳入中医药健康管理。确保基层医疗机构能提供的中医药技术方法、服务量均达到国家规定标准。（</w:t>
      </w:r>
      <w:r>
        <w:rPr>
          <w:rFonts w:hint="eastAsia" w:ascii="仿宋_GB2312" w:hAnsi="仿宋" w:eastAsia="仿宋_GB2312"/>
          <w:b/>
        </w:rPr>
        <w:t>牵头单位：</w:t>
      </w:r>
      <w:r>
        <w:rPr>
          <w:rFonts w:hint="eastAsia" w:ascii="仿宋_GB2312" w:hAnsi="仿宋" w:eastAsia="仿宋_GB2312"/>
        </w:rPr>
        <w:t>区卫健局，</w:t>
      </w:r>
      <w:r>
        <w:rPr>
          <w:rFonts w:hint="eastAsia" w:ascii="仿宋_GB2312" w:hAnsi="仿宋" w:eastAsia="仿宋_GB2312"/>
          <w:b/>
        </w:rPr>
        <w:t>涉及部门：</w:t>
      </w:r>
      <w:r>
        <w:rPr>
          <w:rFonts w:hint="eastAsia" w:ascii="仿宋_GB2312" w:hAnsi="仿宋" w:eastAsia="仿宋_GB2312"/>
        </w:rPr>
        <w:t>区医保局）</w:t>
      </w:r>
    </w:p>
    <w:p>
      <w:pPr>
        <w:spacing w:line="600" w:lineRule="exact"/>
        <w:ind w:firstLine="640" w:firstLineChars="200"/>
        <w:rPr>
          <w:rFonts w:ascii="仿宋_GB2312" w:hAnsi="仿宋" w:eastAsia="仿宋_GB2312"/>
        </w:rPr>
      </w:pPr>
      <w:r>
        <w:rPr>
          <w:rFonts w:hint="eastAsia" w:ascii="楷体_GB2312" w:hAnsi="仿宋" w:eastAsia="楷体_GB2312"/>
        </w:rPr>
        <w:t>（六）加强监管考核。</w:t>
      </w:r>
      <w:r>
        <w:rPr>
          <w:rFonts w:hint="eastAsia" w:ascii="仿宋_GB2312" w:hAnsi="仿宋" w:eastAsia="仿宋_GB2312"/>
        </w:rPr>
        <w:t>卫生监督部门建立中医药监督管理科室或专人负责中医药监管管理，对超范围执业活动、中医医疗广告发布等进行监督检查，落实基层医疗机构中医药服务管理规范要求。疾病预防控制部门有专人负责中医药疾病预防工作。建立中医医院和基层医疗卫生机构中医药服务工作考核机制，并将中医药内容纳入其年度工作考核目标。（</w:t>
      </w:r>
      <w:r>
        <w:rPr>
          <w:rFonts w:hint="eastAsia" w:ascii="仿宋_GB2312" w:hAnsi="仿宋" w:eastAsia="仿宋_GB2312"/>
          <w:b/>
        </w:rPr>
        <w:t>牵头单位：</w:t>
      </w:r>
      <w:r>
        <w:rPr>
          <w:rFonts w:hint="eastAsia" w:ascii="仿宋_GB2312" w:hAnsi="仿宋" w:eastAsia="仿宋_GB2312"/>
        </w:rPr>
        <w:t>区卫健局）</w:t>
      </w:r>
    </w:p>
    <w:p>
      <w:pPr>
        <w:spacing w:line="600" w:lineRule="exact"/>
        <w:ind w:firstLine="640" w:firstLineChars="200"/>
        <w:rPr>
          <w:rFonts w:ascii="仿宋_GB2312" w:hAnsi="仿宋" w:eastAsia="仿宋_GB2312"/>
        </w:rPr>
      </w:pPr>
      <w:r>
        <w:rPr>
          <w:rFonts w:hint="eastAsia" w:ascii="楷体_GB2312" w:hAnsi="仿宋" w:eastAsia="楷体_GB2312"/>
        </w:rPr>
        <w:t>（七）提高中医药知晓率和满意率。</w:t>
      </w:r>
      <w:r>
        <w:rPr>
          <w:rFonts w:hint="eastAsia" w:ascii="仿宋_GB2312" w:hAnsi="仿宋" w:eastAsia="仿宋_GB2312"/>
        </w:rPr>
        <w:t>开展中医药文化宣传和健康教育，城乡居民对中医医院和基层医疗卫生机构中医药服务满意率、城乡居民中医药知识知晓率及对中医医院和基层医疗卫生机构中医药服务内容知晓率、中医医院和基层医疗卫生机构中医药人员相关政策知晓率均达到国家规定标准。（</w:t>
      </w:r>
      <w:r>
        <w:rPr>
          <w:rFonts w:hint="eastAsia" w:ascii="仿宋_GB2312" w:hAnsi="仿宋" w:eastAsia="仿宋_GB2312"/>
          <w:b/>
        </w:rPr>
        <w:t>牵头单位：</w:t>
      </w:r>
      <w:r>
        <w:rPr>
          <w:rFonts w:hint="eastAsia" w:ascii="仿宋_GB2312" w:hAnsi="仿宋" w:eastAsia="仿宋_GB2312"/>
        </w:rPr>
        <w:t>区卫健局，</w:t>
      </w:r>
      <w:r>
        <w:rPr>
          <w:rFonts w:hint="eastAsia" w:ascii="仿宋_GB2312" w:hAnsi="仿宋" w:eastAsia="仿宋_GB2312"/>
          <w:b/>
        </w:rPr>
        <w:t>涉及部门：</w:t>
      </w:r>
      <w:r>
        <w:rPr>
          <w:rFonts w:hint="eastAsia" w:ascii="仿宋_GB2312" w:hAnsi="仿宋" w:eastAsia="仿宋_GB2312"/>
        </w:rPr>
        <w:t>区委宣传部、区教科局）</w:t>
      </w:r>
    </w:p>
    <w:p>
      <w:pPr>
        <w:spacing w:line="600" w:lineRule="exact"/>
        <w:ind w:firstLine="640" w:firstLineChars="200"/>
        <w:rPr>
          <w:rFonts w:ascii="黑体" w:hAnsi="黑体" w:eastAsia="黑体"/>
        </w:rPr>
      </w:pPr>
      <w:r>
        <w:rPr>
          <w:rFonts w:hint="eastAsia" w:ascii="黑体" w:hAnsi="黑体" w:eastAsia="黑体"/>
        </w:rPr>
        <w:t>四、实施步骤</w:t>
      </w:r>
    </w:p>
    <w:p>
      <w:pPr>
        <w:spacing w:line="600" w:lineRule="exact"/>
        <w:ind w:firstLine="640" w:firstLineChars="200"/>
        <w:rPr>
          <w:rFonts w:ascii="楷体_GB2312" w:hAnsi="仿宋" w:eastAsia="楷体_GB2312"/>
        </w:rPr>
      </w:pPr>
      <w:r>
        <w:rPr>
          <w:rFonts w:hint="eastAsia" w:ascii="楷体_GB2312" w:hAnsi="仿宋" w:eastAsia="楷体_GB2312"/>
        </w:rPr>
        <w:t>（一）部署动员阶段</w:t>
      </w:r>
      <w:r>
        <w:rPr>
          <w:rFonts w:ascii="楷体_GB2312" w:hAnsi="仿宋" w:eastAsia="楷体_GB2312"/>
        </w:rPr>
        <w:t>(2022</w:t>
      </w:r>
      <w:r>
        <w:rPr>
          <w:rFonts w:hint="eastAsia" w:ascii="楷体_GB2312" w:hAnsi="仿宋" w:eastAsia="楷体_GB2312"/>
        </w:rPr>
        <w:t>年</w:t>
      </w:r>
      <w:r>
        <w:rPr>
          <w:rFonts w:ascii="楷体_GB2312" w:hAnsi="仿宋" w:eastAsia="楷体_GB2312"/>
        </w:rPr>
        <w:t>11</w:t>
      </w:r>
      <w:r>
        <w:rPr>
          <w:rFonts w:hint="eastAsia" w:ascii="楷体_GB2312" w:hAnsi="仿宋" w:eastAsia="楷体_GB2312"/>
        </w:rPr>
        <w:t>月一</w:t>
      </w:r>
      <w:r>
        <w:rPr>
          <w:rFonts w:ascii="楷体_GB2312" w:hAnsi="仿宋" w:eastAsia="楷体_GB2312"/>
        </w:rPr>
        <w:t>12</w:t>
      </w:r>
      <w:r>
        <w:rPr>
          <w:rFonts w:hint="eastAsia" w:ascii="楷体_GB2312" w:hAnsi="仿宋" w:eastAsia="楷体_GB2312"/>
        </w:rPr>
        <w:t>月</w:t>
      </w:r>
      <w:r>
        <w:rPr>
          <w:rFonts w:ascii="楷体_GB2312" w:hAnsi="仿宋" w:eastAsia="楷体_GB2312"/>
        </w:rPr>
        <w:t>)</w:t>
      </w:r>
    </w:p>
    <w:p>
      <w:pPr>
        <w:spacing w:line="600" w:lineRule="exact"/>
        <w:ind w:firstLine="640" w:firstLineChars="200"/>
        <w:rPr>
          <w:rFonts w:ascii="仿宋_GB2312" w:hAnsi="仿宋" w:eastAsia="仿宋_GB2312"/>
        </w:rPr>
      </w:pPr>
      <w:r>
        <w:rPr>
          <w:rFonts w:hint="eastAsia" w:ascii="仿宋_GB2312" w:hAnsi="仿宋" w:eastAsia="仿宋_GB2312"/>
        </w:rPr>
        <w:t>制定创建全国基层中医药工作示范区（县）工作实施方案，明确各单位职责任务和工作目标；召开创建全国基层中医药工作示范区（县）工作启动会，启动全区创建工作。</w:t>
      </w:r>
    </w:p>
    <w:p>
      <w:pPr>
        <w:spacing w:line="600" w:lineRule="exact"/>
        <w:ind w:firstLine="640" w:firstLineChars="200"/>
        <w:rPr>
          <w:rFonts w:ascii="仿宋_GB2312" w:hAnsi="仿宋" w:eastAsia="仿宋_GB2312"/>
        </w:rPr>
      </w:pPr>
      <w:r>
        <w:rPr>
          <w:rFonts w:hint="eastAsia" w:ascii="仿宋_GB2312" w:hAnsi="仿宋" w:eastAsia="仿宋_GB2312"/>
        </w:rPr>
        <w:t>传达国家、省级、市级中医药管理部门有关创建工作要求，解读示范区（县）建设标准和评审指标。根据示范区（县）建设标准和评审指标要求，对创建工作进行再部署再动员，明确责任，分解任务，做好宣传动员，营造良好的创建工作氛围。</w:t>
      </w:r>
    </w:p>
    <w:p>
      <w:pPr>
        <w:spacing w:line="600" w:lineRule="exact"/>
        <w:ind w:firstLine="640" w:firstLineChars="200"/>
        <w:rPr>
          <w:rFonts w:ascii="楷体_GB2312" w:hAnsi="仿宋" w:eastAsia="楷体_GB2312"/>
        </w:rPr>
      </w:pPr>
      <w:r>
        <w:rPr>
          <w:rFonts w:hint="eastAsia" w:ascii="楷体_GB2312" w:hAnsi="仿宋" w:eastAsia="楷体_GB2312"/>
        </w:rPr>
        <w:t>（二）自查提升阶段（</w:t>
      </w:r>
      <w:r>
        <w:rPr>
          <w:rFonts w:ascii="楷体_GB2312" w:hAnsi="仿宋" w:eastAsia="楷体_GB2312"/>
        </w:rPr>
        <w:t>2022</w:t>
      </w:r>
      <w:r>
        <w:rPr>
          <w:rFonts w:hint="eastAsia" w:ascii="楷体_GB2312" w:hAnsi="仿宋" w:eastAsia="楷体_GB2312"/>
        </w:rPr>
        <w:t>年</w:t>
      </w:r>
      <w:r>
        <w:rPr>
          <w:rFonts w:ascii="楷体_GB2312" w:hAnsi="仿宋" w:eastAsia="楷体_GB2312"/>
        </w:rPr>
        <w:t>12</w:t>
      </w:r>
      <w:r>
        <w:rPr>
          <w:rFonts w:hint="eastAsia" w:ascii="楷体_GB2312" w:hAnsi="仿宋" w:eastAsia="楷体_GB2312"/>
        </w:rPr>
        <w:t>月</w:t>
      </w:r>
      <w:r>
        <w:rPr>
          <w:rFonts w:ascii="楷体_GB2312" w:hAnsi="仿宋" w:eastAsia="楷体_GB2312"/>
        </w:rPr>
        <w:t>-2023</w:t>
      </w:r>
      <w:r>
        <w:rPr>
          <w:rFonts w:hint="eastAsia" w:ascii="楷体_GB2312" w:hAnsi="仿宋" w:eastAsia="楷体_GB2312"/>
        </w:rPr>
        <w:t>年</w:t>
      </w:r>
      <w:r>
        <w:rPr>
          <w:rFonts w:ascii="楷体_GB2312" w:hAnsi="仿宋" w:eastAsia="楷体_GB2312"/>
        </w:rPr>
        <w:t>3</w:t>
      </w:r>
      <w:r>
        <w:rPr>
          <w:rFonts w:hint="eastAsia" w:ascii="楷体_GB2312" w:hAnsi="仿宋" w:eastAsia="楷体_GB2312"/>
        </w:rPr>
        <w:t>月）</w:t>
      </w:r>
    </w:p>
    <w:p>
      <w:pPr>
        <w:spacing w:line="600" w:lineRule="exact"/>
        <w:ind w:firstLine="640" w:firstLineChars="200"/>
        <w:rPr>
          <w:rFonts w:ascii="仿宋_GB2312" w:hAnsi="仿宋" w:eastAsia="仿宋_GB2312"/>
        </w:rPr>
      </w:pPr>
      <w:r>
        <w:rPr>
          <w:rFonts w:hint="eastAsia" w:ascii="仿宋_GB2312" w:hAnsi="仿宋" w:eastAsia="仿宋_GB2312"/>
        </w:rPr>
        <w:t>区级各相关部门对照示范区（县）建设标准和评审指标要求，完善支持中医药发展的政策措施，形成更加有力的政策保障体系，组织自查自评，对标对表做好查漏补缺工作，积极整理并完善迎检工作资料。</w:t>
      </w:r>
    </w:p>
    <w:p>
      <w:pPr>
        <w:spacing w:line="600" w:lineRule="exact"/>
        <w:ind w:firstLine="640" w:firstLineChars="200"/>
        <w:rPr>
          <w:rFonts w:ascii="仿宋_GB2312" w:hAnsi="仿宋" w:eastAsia="仿宋_GB2312"/>
        </w:rPr>
      </w:pPr>
      <w:r>
        <w:rPr>
          <w:rFonts w:hint="eastAsia" w:ascii="仿宋_GB2312" w:hAnsi="仿宋" w:eastAsia="仿宋_GB2312"/>
        </w:rPr>
        <w:t>区创建工作办公室对工作落实情况进行督导检查。经自查达标后，于</w:t>
      </w:r>
      <w:r>
        <w:rPr>
          <w:rFonts w:ascii="仿宋_GB2312" w:hAnsi="仿宋" w:eastAsia="仿宋_GB2312"/>
        </w:rPr>
        <w:t>2023</w:t>
      </w:r>
      <w:r>
        <w:rPr>
          <w:rFonts w:hint="eastAsia" w:ascii="仿宋_GB2312" w:hAnsi="仿宋" w:eastAsia="仿宋_GB2312"/>
        </w:rPr>
        <w:t>年</w:t>
      </w:r>
      <w:r>
        <w:rPr>
          <w:rFonts w:ascii="仿宋_GB2312" w:hAnsi="仿宋" w:eastAsia="仿宋_GB2312"/>
        </w:rPr>
        <w:t>3</w:t>
      </w:r>
      <w:r>
        <w:rPr>
          <w:rFonts w:hint="eastAsia" w:ascii="仿宋_GB2312" w:hAnsi="仿宋" w:eastAsia="仿宋_GB2312"/>
        </w:rPr>
        <w:t>月向市卫生健康委提交申报初评材料。</w:t>
      </w:r>
    </w:p>
    <w:p>
      <w:pPr>
        <w:spacing w:line="600" w:lineRule="exact"/>
        <w:ind w:firstLine="640" w:firstLineChars="200"/>
        <w:rPr>
          <w:rFonts w:ascii="楷体_GB2312" w:hAnsi="仿宋" w:eastAsia="楷体_GB2312"/>
        </w:rPr>
      </w:pPr>
      <w:r>
        <w:rPr>
          <w:rFonts w:hint="eastAsia" w:ascii="楷体_GB2312" w:hAnsi="仿宋" w:eastAsia="楷体_GB2312"/>
        </w:rPr>
        <w:t>（三）评审验收阶段（</w:t>
      </w:r>
      <w:r>
        <w:rPr>
          <w:rFonts w:ascii="楷体_GB2312" w:hAnsi="仿宋" w:eastAsia="楷体_GB2312"/>
        </w:rPr>
        <w:t>2023</w:t>
      </w:r>
      <w:r>
        <w:rPr>
          <w:rFonts w:hint="eastAsia" w:ascii="楷体_GB2312" w:hAnsi="仿宋" w:eastAsia="楷体_GB2312"/>
        </w:rPr>
        <w:t>年</w:t>
      </w:r>
      <w:r>
        <w:rPr>
          <w:rFonts w:ascii="楷体_GB2312" w:hAnsi="仿宋" w:eastAsia="楷体_GB2312"/>
        </w:rPr>
        <w:t>4</w:t>
      </w:r>
      <w:r>
        <w:rPr>
          <w:rFonts w:hint="eastAsia" w:ascii="楷体_GB2312" w:hAnsi="仿宋" w:eastAsia="楷体_GB2312"/>
        </w:rPr>
        <w:t>月</w:t>
      </w:r>
      <w:r>
        <w:rPr>
          <w:rFonts w:ascii="楷体_GB2312" w:hAnsi="仿宋" w:eastAsia="楷体_GB2312"/>
        </w:rPr>
        <w:t>-2024</w:t>
      </w:r>
      <w:r>
        <w:rPr>
          <w:rFonts w:hint="eastAsia" w:ascii="楷体_GB2312" w:hAnsi="仿宋" w:eastAsia="楷体_GB2312"/>
        </w:rPr>
        <w:t>年</w:t>
      </w:r>
      <w:r>
        <w:rPr>
          <w:rFonts w:ascii="楷体_GB2312" w:hAnsi="仿宋" w:eastAsia="楷体_GB2312"/>
        </w:rPr>
        <w:t>6</w:t>
      </w:r>
      <w:r>
        <w:rPr>
          <w:rFonts w:hint="eastAsia" w:ascii="楷体_GB2312" w:hAnsi="仿宋" w:eastAsia="楷体_GB2312"/>
        </w:rPr>
        <w:t>月）</w:t>
      </w:r>
    </w:p>
    <w:p>
      <w:pPr>
        <w:spacing w:line="600" w:lineRule="exact"/>
        <w:ind w:firstLine="640" w:firstLineChars="200"/>
        <w:rPr>
          <w:rFonts w:ascii="仿宋_GB2312" w:hAnsi="仿宋" w:eastAsia="仿宋_GB2312"/>
        </w:rPr>
      </w:pPr>
      <w:r>
        <w:rPr>
          <w:rFonts w:hint="eastAsia" w:ascii="仿宋_GB2312" w:hAnsi="仿宋" w:eastAsia="仿宋_GB2312"/>
        </w:rPr>
        <w:t>市卫生健康委组织专家对创建工作进行初步评估，同时将对我区创建成果巩固提升情况进行检查。</w:t>
      </w:r>
    </w:p>
    <w:p>
      <w:pPr>
        <w:spacing w:line="600" w:lineRule="exact"/>
        <w:ind w:firstLine="640" w:firstLineChars="200"/>
        <w:rPr>
          <w:rFonts w:ascii="仿宋_GB2312" w:hAnsi="仿宋" w:eastAsia="仿宋_GB2312"/>
        </w:rPr>
      </w:pPr>
      <w:r>
        <w:rPr>
          <w:rFonts w:hint="eastAsia" w:ascii="仿宋_GB2312" w:hAnsi="仿宋" w:eastAsia="仿宋_GB2312"/>
        </w:rPr>
        <w:t>通过市级初评，并将问题整改到位后，市卫生健康委于</w:t>
      </w:r>
      <w:r>
        <w:rPr>
          <w:rFonts w:ascii="仿宋_GB2312" w:hAnsi="仿宋" w:eastAsia="仿宋_GB2312"/>
        </w:rPr>
        <w:t>2023</w:t>
      </w:r>
      <w:r>
        <w:rPr>
          <w:rFonts w:hint="eastAsia" w:ascii="仿宋_GB2312" w:hAnsi="仿宋" w:eastAsia="仿宋_GB2312"/>
        </w:rPr>
        <w:t>年</w:t>
      </w:r>
      <w:r>
        <w:rPr>
          <w:rFonts w:ascii="仿宋_GB2312" w:hAnsi="仿宋" w:eastAsia="仿宋_GB2312"/>
        </w:rPr>
        <w:t>6</w:t>
      </w:r>
      <w:r>
        <w:rPr>
          <w:rFonts w:hint="eastAsia" w:ascii="仿宋_GB2312" w:hAnsi="仿宋" w:eastAsia="仿宋_GB2312"/>
        </w:rPr>
        <w:t>月底前统一向省中医药管理局递交申报材料，由省中医药管理局代国家中医药管理局评审验收。</w:t>
      </w:r>
    </w:p>
    <w:p>
      <w:pPr>
        <w:spacing w:line="600" w:lineRule="exact"/>
        <w:ind w:firstLine="640" w:firstLineChars="200"/>
        <w:rPr>
          <w:rFonts w:ascii="楷体_GB2312" w:hAnsi="仿宋" w:eastAsia="楷体_GB2312"/>
        </w:rPr>
      </w:pPr>
      <w:r>
        <w:rPr>
          <w:rFonts w:hint="eastAsia" w:ascii="楷体_GB2312" w:hAnsi="仿宋" w:eastAsia="楷体_GB2312"/>
        </w:rPr>
        <w:t>（四）问题整改阶段（现场评审结束</w:t>
      </w:r>
      <w:r>
        <w:rPr>
          <w:rFonts w:ascii="楷体_GB2312" w:hAnsi="仿宋" w:eastAsia="楷体_GB2312"/>
        </w:rPr>
        <w:t>)</w:t>
      </w:r>
    </w:p>
    <w:p>
      <w:pPr>
        <w:spacing w:line="600" w:lineRule="exact"/>
        <w:ind w:firstLine="640" w:firstLineChars="200"/>
        <w:rPr>
          <w:rFonts w:ascii="仿宋_GB2312" w:hAnsi="仿宋" w:eastAsia="仿宋_GB2312"/>
        </w:rPr>
      </w:pPr>
      <w:r>
        <w:rPr>
          <w:rFonts w:hint="eastAsia" w:ascii="仿宋_GB2312" w:hAnsi="仿宋" w:eastAsia="仿宋_GB2312"/>
        </w:rPr>
        <w:t>现场评审结束后，要做好专家组反馈问题整改清零工作，迎接国家中医药管理局的抽查和暗访。</w:t>
      </w:r>
      <w:r>
        <w:rPr>
          <w:rFonts w:ascii="仿宋_GB2312" w:hAnsi="仿宋" w:eastAsia="仿宋_GB2312"/>
        </w:rPr>
        <w:t>2024</w:t>
      </w:r>
      <w:r>
        <w:rPr>
          <w:rFonts w:hint="eastAsia" w:ascii="仿宋_GB2312" w:hAnsi="仿宋" w:eastAsia="仿宋_GB2312"/>
        </w:rPr>
        <w:t>年第四季度，国家中医药管理局将对</w:t>
      </w:r>
      <w:r>
        <w:rPr>
          <w:rFonts w:ascii="仿宋_GB2312" w:hAnsi="仿宋" w:eastAsia="仿宋_GB2312"/>
        </w:rPr>
        <w:t>2022-2024</w:t>
      </w:r>
      <w:r>
        <w:rPr>
          <w:rFonts w:hint="eastAsia" w:ascii="仿宋_GB2312" w:hAnsi="仿宋" w:eastAsia="仿宋_GB2312"/>
        </w:rPr>
        <w:t>年创建周期各申报市（区）进行集中命名。</w:t>
      </w:r>
    </w:p>
    <w:p>
      <w:pPr>
        <w:spacing w:line="600" w:lineRule="exact"/>
        <w:ind w:firstLine="640" w:firstLineChars="200"/>
        <w:rPr>
          <w:rFonts w:ascii="黑体" w:hAnsi="黑体" w:eastAsia="黑体"/>
        </w:rPr>
      </w:pPr>
      <w:r>
        <w:rPr>
          <w:rFonts w:hint="eastAsia" w:ascii="黑体" w:hAnsi="黑体" w:eastAsia="黑体"/>
        </w:rPr>
        <w:t>五、组织实施</w:t>
      </w:r>
    </w:p>
    <w:p>
      <w:pPr>
        <w:spacing w:line="600" w:lineRule="exact"/>
        <w:ind w:firstLine="640" w:firstLineChars="200"/>
        <w:rPr>
          <w:rFonts w:ascii="仿宋_GB2312" w:hAnsi="仿宋" w:eastAsia="仿宋_GB2312"/>
        </w:rPr>
      </w:pPr>
      <w:r>
        <w:rPr>
          <w:rFonts w:hint="eastAsia" w:ascii="楷体_GB2312" w:hAnsi="仿宋" w:eastAsia="楷体_GB2312"/>
        </w:rPr>
        <w:t>（一）加强组织领导。</w:t>
      </w:r>
      <w:r>
        <w:rPr>
          <w:rFonts w:hint="eastAsia" w:ascii="仿宋_GB2312" w:hAnsi="仿宋" w:eastAsia="仿宋_GB2312"/>
        </w:rPr>
        <w:t>区中医药工作联席会议负责全区“全国基层中医药工作示范区（县）”创建工作的组织实施，研究解释创建中遇到的困难和问题。成立区创建工作办公室，负责落实“全国基层中医药工作示范区（县）”创建日常工作。区创建工作办公室设在区卫生健康局，办公室主任由区卫生健康局主要领导兼任。</w:t>
      </w:r>
    </w:p>
    <w:p>
      <w:pPr>
        <w:spacing w:line="600" w:lineRule="exact"/>
        <w:ind w:firstLine="640" w:firstLineChars="200"/>
        <w:rPr>
          <w:rFonts w:ascii="仿宋_GB2312" w:hAnsi="仿宋" w:eastAsia="仿宋_GB2312"/>
        </w:rPr>
      </w:pPr>
      <w:r>
        <w:rPr>
          <w:rFonts w:hint="eastAsia" w:ascii="楷体_GB2312" w:hAnsi="仿宋" w:eastAsia="楷体_GB2312"/>
        </w:rPr>
        <w:t>（二）广泛开展宣传动员。</w:t>
      </w:r>
      <w:r>
        <w:rPr>
          <w:rFonts w:hint="eastAsia" w:ascii="仿宋_GB2312" w:hAnsi="仿宋" w:eastAsia="仿宋_GB2312"/>
        </w:rPr>
        <w:t>通过政府门户网站、微信公众号等平台，及时宣传创建工作情况。加强媒体宣传，全面展示创建工作进展和成效。结合实施中医药健康文化推进行动，开展常态化义诊、宣传等活动。制作视频短片、知识册等宣传资料，在公益广告栏、</w:t>
      </w:r>
      <w:r>
        <w:rPr>
          <w:rFonts w:ascii="仿宋_GB2312" w:hAnsi="仿宋" w:eastAsia="仿宋_GB2312"/>
        </w:rPr>
        <w:t>LED</w:t>
      </w:r>
      <w:r>
        <w:rPr>
          <w:rFonts w:hint="eastAsia" w:ascii="仿宋_GB2312" w:hAnsi="仿宋" w:eastAsia="仿宋_GB2312"/>
        </w:rPr>
        <w:t>屏、宣传橱窗等媒介反复投放，确保创建宣传深入群众日常生活，提高群众对中医药服务的满意率和中医药知识知晓率。</w:t>
      </w:r>
    </w:p>
    <w:p>
      <w:pPr>
        <w:spacing w:line="600" w:lineRule="exact"/>
        <w:ind w:firstLine="640" w:firstLineChars="200"/>
        <w:rPr>
          <w:rFonts w:ascii="仿宋_GB2312" w:hAnsi="仿宋" w:eastAsia="仿宋_GB2312"/>
        </w:rPr>
      </w:pPr>
      <w:r>
        <w:rPr>
          <w:rFonts w:hint="eastAsia" w:ascii="楷体_GB2312" w:hAnsi="仿宋" w:eastAsia="楷体_GB2312"/>
        </w:rPr>
        <w:t>（三）做好资料收集整理工作。</w:t>
      </w:r>
      <w:r>
        <w:rPr>
          <w:rFonts w:hint="eastAsia" w:ascii="仿宋_GB2312" w:hAnsi="仿宋" w:eastAsia="仿宋_GB2312"/>
        </w:rPr>
        <w:t>对照《西安市</w:t>
      </w:r>
      <w:r>
        <w:rPr>
          <w:rFonts w:hint="eastAsia" w:ascii="仿宋_GB2312" w:hAnsi="仿宋" w:eastAsia="仿宋" w:cs="宋体"/>
        </w:rPr>
        <w:t>鄠</w:t>
      </w:r>
      <w:r>
        <w:rPr>
          <w:rFonts w:hint="eastAsia" w:ascii="仿宋_GB2312" w:hAnsi="仿宋" w:eastAsia="仿宋_GB2312"/>
        </w:rPr>
        <w:t>邑区创建全国基层中医药工作示范区</w:t>
      </w:r>
      <w:r>
        <w:rPr>
          <w:rFonts w:ascii="仿宋_GB2312" w:hAnsi="仿宋" w:eastAsia="仿宋_GB2312"/>
        </w:rPr>
        <w:t>(</w:t>
      </w:r>
      <w:r>
        <w:rPr>
          <w:rFonts w:hint="eastAsia" w:ascii="仿宋_GB2312" w:hAnsi="仿宋" w:eastAsia="仿宋_GB2312"/>
        </w:rPr>
        <w:t>县</w:t>
      </w:r>
      <w:r>
        <w:rPr>
          <w:rFonts w:ascii="仿宋_GB2312" w:hAnsi="仿宋" w:eastAsia="仿宋_GB2312"/>
        </w:rPr>
        <w:t>)</w:t>
      </w:r>
      <w:r>
        <w:rPr>
          <w:rFonts w:hint="eastAsia" w:ascii="仿宋_GB2312" w:hAnsi="仿宋" w:eastAsia="仿宋_GB2312"/>
        </w:rPr>
        <w:t>任务分解表》（见附件</w:t>
      </w:r>
      <w:r>
        <w:rPr>
          <w:rFonts w:ascii="仿宋_GB2312" w:hAnsi="仿宋" w:eastAsia="仿宋_GB2312"/>
        </w:rPr>
        <w:t>2</w:t>
      </w:r>
      <w:r>
        <w:rPr>
          <w:rFonts w:hint="eastAsia" w:ascii="仿宋_GB2312" w:hAnsi="仿宋" w:eastAsia="仿宋_GB2312"/>
        </w:rPr>
        <w:t>），认真研究评审细则，细抠评分要点，收集相关工作支撑材料，做到工作资料完整、合理、精准，确保评审中多得分、少扣分。涉及各部门（单位）的工作资料，经区创建工作办公室审核后，由本部门（单位）资料解释人员提前带至评审现场。</w:t>
      </w:r>
    </w:p>
    <w:p>
      <w:pPr>
        <w:spacing w:line="600" w:lineRule="exact"/>
        <w:ind w:firstLine="640" w:firstLineChars="200"/>
        <w:rPr>
          <w:rFonts w:ascii="仿宋_GB2312" w:hAnsi="仿宋" w:eastAsia="仿宋_GB2312"/>
        </w:rPr>
      </w:pPr>
      <w:r>
        <w:rPr>
          <w:rFonts w:hint="eastAsia" w:ascii="楷体_GB2312" w:hAnsi="仿宋" w:eastAsia="楷体_GB2312"/>
        </w:rPr>
        <w:t>（四）扎实开展督导检查。</w:t>
      </w:r>
      <w:r>
        <w:rPr>
          <w:rFonts w:hint="eastAsia" w:ascii="仿宋_GB2312" w:hAnsi="仿宋" w:eastAsia="仿宋_GB2312"/>
        </w:rPr>
        <w:t>从</w:t>
      </w:r>
      <w:r>
        <w:rPr>
          <w:rFonts w:ascii="仿宋_GB2312" w:hAnsi="仿宋" w:eastAsia="仿宋_GB2312"/>
        </w:rPr>
        <w:t>2022</w:t>
      </w:r>
      <w:r>
        <w:rPr>
          <w:rFonts w:hint="eastAsia" w:ascii="仿宋_GB2312" w:hAnsi="仿宋" w:eastAsia="仿宋_GB2312"/>
        </w:rPr>
        <w:t>年</w:t>
      </w:r>
      <w:r>
        <w:rPr>
          <w:rFonts w:ascii="仿宋_GB2312" w:hAnsi="仿宋" w:eastAsia="仿宋_GB2312"/>
        </w:rPr>
        <w:t>12</w:t>
      </w:r>
      <w:r>
        <w:rPr>
          <w:rFonts w:hint="eastAsia" w:ascii="仿宋_GB2312" w:hAnsi="仿宋" w:eastAsia="仿宋_GB2312"/>
        </w:rPr>
        <w:t>月份开始，区创建工作办公室将根据创建工作阶段性任务，对各相关单位工作开展落实情况进行督导，并将主要任务推进结果报区中医药工作联席会议。</w:t>
      </w:r>
    </w:p>
    <w:p>
      <w:pPr>
        <w:spacing w:line="600" w:lineRule="exact"/>
        <w:ind w:left="1760" w:leftChars="200" w:hanging="1120" w:hangingChars="350"/>
        <w:rPr>
          <w:rFonts w:ascii="仿宋_GB2312" w:hAnsi="仿宋" w:eastAsia="仿宋_GB2312"/>
        </w:rPr>
      </w:pPr>
      <w:r>
        <w:rPr>
          <w:rFonts w:hint="eastAsia" w:ascii="仿宋_GB2312" w:hAnsi="仿宋" w:eastAsia="仿宋_GB2312"/>
        </w:rPr>
        <w:t>附件：</w:t>
      </w:r>
      <w:r>
        <w:rPr>
          <w:rFonts w:ascii="仿宋_GB2312" w:hAnsi="仿宋" w:eastAsia="仿宋_GB2312"/>
        </w:rPr>
        <w:t>1.</w:t>
      </w:r>
      <w:r>
        <w:rPr>
          <w:rFonts w:hint="eastAsia" w:ascii="仿宋_GB2312" w:hAnsi="仿宋" w:eastAsia="仿宋_GB2312"/>
        </w:rPr>
        <w:t>西安市</w:t>
      </w:r>
      <w:r>
        <w:rPr>
          <w:rFonts w:hint="eastAsia" w:ascii="仿宋_GB2312" w:hAnsi="仿宋" w:eastAsia="仿宋" w:cs="宋体"/>
        </w:rPr>
        <w:t>鄠</w:t>
      </w:r>
      <w:r>
        <w:rPr>
          <w:rFonts w:hint="eastAsia" w:ascii="仿宋_GB2312" w:hAnsi="仿宋" w:eastAsia="仿宋_GB2312"/>
        </w:rPr>
        <w:t>邑区创建全国基层中医药工作示范区</w:t>
      </w:r>
      <w:r>
        <w:rPr>
          <w:rFonts w:ascii="仿宋_GB2312" w:hAnsi="仿宋" w:eastAsia="仿宋_GB2312"/>
        </w:rPr>
        <w:t>(</w:t>
      </w:r>
      <w:r>
        <w:rPr>
          <w:rFonts w:hint="eastAsia" w:ascii="仿宋_GB2312" w:hAnsi="仿宋" w:eastAsia="仿宋_GB2312"/>
        </w:rPr>
        <w:t>县</w:t>
      </w:r>
      <w:r>
        <w:rPr>
          <w:rFonts w:ascii="仿宋_GB2312" w:hAnsi="仿宋" w:eastAsia="仿宋_GB2312"/>
        </w:rPr>
        <w:t>)</w:t>
      </w:r>
      <w:r>
        <w:rPr>
          <w:rFonts w:hint="eastAsia" w:ascii="仿宋_GB2312" w:hAnsi="仿宋" w:eastAsia="仿宋_GB2312"/>
        </w:rPr>
        <w:t>工作领导小组名单</w:t>
      </w:r>
    </w:p>
    <w:p>
      <w:pPr>
        <w:spacing w:line="600" w:lineRule="exact"/>
        <w:ind w:left="1920" w:leftChars="450" w:hanging="480" w:hangingChars="150"/>
        <w:rPr>
          <w:rFonts w:ascii="仿宋_GB2312" w:hAnsi="仿宋" w:eastAsia="仿宋_GB2312"/>
        </w:rPr>
      </w:pPr>
      <w:r>
        <w:rPr>
          <w:rFonts w:ascii="仿宋_GB2312" w:hAnsi="仿宋" w:eastAsia="仿宋_GB2312"/>
        </w:rPr>
        <w:t>2.</w:t>
      </w:r>
      <w:r>
        <w:rPr>
          <w:rFonts w:hint="eastAsia" w:ascii="仿宋_GB2312" w:hAnsi="仿宋" w:eastAsia="仿宋_GB2312"/>
        </w:rPr>
        <w:t>西安市</w:t>
      </w:r>
      <w:r>
        <w:rPr>
          <w:rFonts w:hint="eastAsia" w:ascii="仿宋_GB2312" w:hAnsi="仿宋" w:eastAsia="仿宋" w:cs="宋体"/>
        </w:rPr>
        <w:t>鄠</w:t>
      </w:r>
      <w:r>
        <w:rPr>
          <w:rFonts w:hint="eastAsia" w:ascii="仿宋_GB2312" w:hAnsi="仿宋" w:eastAsia="仿宋_GB2312"/>
        </w:rPr>
        <w:t>邑区创建全国基层中医药工作示范区</w:t>
      </w:r>
      <w:r>
        <w:rPr>
          <w:rFonts w:ascii="仿宋_GB2312" w:hAnsi="仿宋" w:eastAsia="仿宋_GB2312"/>
        </w:rPr>
        <w:t>(</w:t>
      </w:r>
      <w:r>
        <w:rPr>
          <w:rFonts w:hint="eastAsia" w:ascii="仿宋_GB2312" w:hAnsi="仿宋" w:eastAsia="仿宋_GB2312"/>
        </w:rPr>
        <w:t>县</w:t>
      </w:r>
      <w:r>
        <w:rPr>
          <w:rFonts w:ascii="仿宋_GB2312" w:hAnsi="仿宋" w:eastAsia="仿宋_GB2312"/>
        </w:rPr>
        <w:t>)</w:t>
      </w:r>
      <w:r>
        <w:rPr>
          <w:rFonts w:hint="eastAsia" w:ascii="仿宋_GB2312" w:hAnsi="仿宋" w:eastAsia="仿宋_GB2312"/>
        </w:rPr>
        <w:t>任务分解表</w:t>
      </w:r>
    </w:p>
    <w:p>
      <w:pPr>
        <w:pBdr>
          <w:bottom w:val="single" w:color="FFFFFF" w:sz="4" w:space="31"/>
        </w:pBdr>
        <w:tabs>
          <w:tab w:val="left" w:pos="1440"/>
        </w:tabs>
        <w:kinsoku w:val="0"/>
        <w:overflowPunct w:val="0"/>
        <w:autoSpaceDE w:val="0"/>
        <w:autoSpaceDN w:val="0"/>
        <w:adjustRightInd w:val="0"/>
        <w:snapToGrid w:val="0"/>
        <w:spacing w:line="600" w:lineRule="exact"/>
        <w:ind w:firstLine="640" w:firstLineChars="200"/>
        <w:rPr>
          <w:rFonts w:ascii="仿宋_GB2312" w:hAnsi="仿宋" w:eastAsia="仿宋_GB2312"/>
          <w:kern w:val="0"/>
        </w:rPr>
      </w:pPr>
    </w:p>
    <w:p>
      <w:pPr>
        <w:pBdr>
          <w:bottom w:val="single" w:color="FFFFFF" w:sz="4" w:space="31"/>
        </w:pBdr>
        <w:tabs>
          <w:tab w:val="left" w:pos="1440"/>
        </w:tabs>
        <w:overflowPunct w:val="0"/>
        <w:autoSpaceDN w:val="0"/>
        <w:adjustRightInd w:val="0"/>
        <w:snapToGrid w:val="0"/>
        <w:spacing w:line="600" w:lineRule="exact"/>
        <w:ind w:firstLine="640" w:firstLineChars="200"/>
        <w:rPr>
          <w:rFonts w:ascii="仿宋_GB2312" w:hAnsi="仿宋" w:eastAsia="仿宋_GB2312" w:cs="仿宋"/>
          <w:color w:val="000000"/>
          <w:kern w:val="0"/>
          <w:szCs w:val="32"/>
        </w:rPr>
      </w:pPr>
    </w:p>
    <w:p>
      <w:pPr>
        <w:pBdr>
          <w:bottom w:val="single" w:color="FFFFFF" w:sz="4" w:space="31"/>
        </w:pBdr>
        <w:tabs>
          <w:tab w:val="left" w:pos="1440"/>
        </w:tabs>
        <w:overflowPunct w:val="0"/>
        <w:autoSpaceDN w:val="0"/>
        <w:adjustRightInd w:val="0"/>
        <w:snapToGrid w:val="0"/>
        <w:spacing w:line="600" w:lineRule="exact"/>
        <w:ind w:firstLine="640" w:firstLineChars="200"/>
        <w:rPr>
          <w:rFonts w:ascii="仿宋" w:hAnsi="仿宋" w:eastAsia="仿宋" w:cs="仿宋"/>
          <w:color w:val="000000"/>
          <w:kern w:val="0"/>
          <w:szCs w:val="32"/>
        </w:rPr>
      </w:pPr>
    </w:p>
    <w:p>
      <w:pPr>
        <w:pBdr>
          <w:bottom w:val="single" w:color="FFFFFF" w:sz="4" w:space="31"/>
        </w:pBdr>
        <w:tabs>
          <w:tab w:val="left" w:pos="1440"/>
        </w:tabs>
        <w:overflowPunct w:val="0"/>
        <w:autoSpaceDN w:val="0"/>
        <w:adjustRightInd w:val="0"/>
        <w:snapToGrid w:val="0"/>
        <w:spacing w:line="600" w:lineRule="exact"/>
        <w:ind w:firstLine="640" w:firstLineChars="200"/>
        <w:rPr>
          <w:rFonts w:ascii="仿宋" w:hAnsi="仿宋" w:eastAsia="仿宋" w:cs="仿宋"/>
          <w:color w:val="000000"/>
          <w:kern w:val="0"/>
          <w:szCs w:val="32"/>
        </w:rPr>
      </w:pPr>
    </w:p>
    <w:p>
      <w:pPr>
        <w:pBdr>
          <w:bottom w:val="single" w:color="FFFFFF" w:sz="4" w:space="31"/>
        </w:pBdr>
        <w:tabs>
          <w:tab w:val="left" w:pos="1440"/>
        </w:tabs>
        <w:overflowPunct w:val="0"/>
        <w:autoSpaceDN w:val="0"/>
        <w:spacing w:line="600" w:lineRule="exact"/>
        <w:ind w:firstLine="640" w:firstLineChars="200"/>
        <w:rPr>
          <w:rFonts w:ascii="仿宋" w:hAnsi="仿宋" w:eastAsia="仿宋" w:cs="仿宋"/>
          <w:color w:val="000000"/>
          <w:kern w:val="0"/>
          <w:szCs w:val="32"/>
        </w:rPr>
      </w:pPr>
    </w:p>
    <w:p>
      <w:pPr>
        <w:pBdr>
          <w:bottom w:val="single" w:color="FFFFFF" w:sz="4" w:space="31"/>
        </w:pBdr>
        <w:tabs>
          <w:tab w:val="left" w:pos="1440"/>
        </w:tabs>
        <w:overflowPunct w:val="0"/>
        <w:autoSpaceDN w:val="0"/>
        <w:spacing w:line="600" w:lineRule="exact"/>
        <w:ind w:firstLine="640" w:firstLineChars="200"/>
        <w:rPr>
          <w:rFonts w:ascii="黑体" w:hAnsi="黑体" w:eastAsia="黑体" w:cs="仿宋"/>
          <w:color w:val="000000"/>
          <w:kern w:val="0"/>
          <w:szCs w:val="32"/>
        </w:rPr>
      </w:pPr>
    </w:p>
    <w:p>
      <w:pPr>
        <w:pStyle w:val="2"/>
        <w:spacing w:line="600" w:lineRule="exact"/>
      </w:pPr>
    </w:p>
    <w:p>
      <w:pPr>
        <w:spacing w:line="600" w:lineRule="exact"/>
      </w:pPr>
    </w:p>
    <w:p>
      <w:pPr>
        <w:pStyle w:val="2"/>
        <w:spacing w:line="600" w:lineRule="exact"/>
      </w:pPr>
    </w:p>
    <w:p>
      <w:pPr>
        <w:spacing w:line="600" w:lineRule="exact"/>
      </w:pPr>
    </w:p>
    <w:p>
      <w:pPr>
        <w:pStyle w:val="2"/>
        <w:spacing w:line="600" w:lineRule="exact"/>
      </w:pPr>
    </w:p>
    <w:p>
      <w:pPr>
        <w:spacing w:line="600" w:lineRule="exact"/>
      </w:pPr>
    </w:p>
    <w:p>
      <w:pPr>
        <w:pStyle w:val="2"/>
        <w:spacing w:line="600" w:lineRule="exact"/>
      </w:pPr>
    </w:p>
    <w:p>
      <w:pPr>
        <w:spacing w:line="600" w:lineRule="exact"/>
      </w:pPr>
    </w:p>
    <w:p>
      <w:pPr>
        <w:pStyle w:val="2"/>
        <w:spacing w:line="600" w:lineRule="exact"/>
      </w:pPr>
    </w:p>
    <w:p>
      <w:pPr>
        <w:spacing w:line="600" w:lineRule="exact"/>
      </w:pPr>
    </w:p>
    <w:p>
      <w:pPr>
        <w:spacing w:line="600" w:lineRule="exact"/>
      </w:pPr>
    </w:p>
    <w:p>
      <w:pPr>
        <w:pBdr>
          <w:bottom w:val="single" w:color="FFFFFF" w:sz="4" w:space="31"/>
        </w:pBdr>
        <w:tabs>
          <w:tab w:val="left" w:pos="1440"/>
        </w:tabs>
        <w:overflowPunct w:val="0"/>
        <w:autoSpaceDN w:val="0"/>
        <w:spacing w:line="600" w:lineRule="exact"/>
        <w:rPr>
          <w:rFonts w:ascii="黑体" w:hAnsi="黑体" w:eastAsia="黑体" w:cs="仿宋"/>
          <w:color w:val="000000"/>
          <w:kern w:val="0"/>
          <w:szCs w:val="32"/>
        </w:rPr>
      </w:pPr>
      <w:r>
        <w:rPr>
          <w:rFonts w:hint="eastAsia" w:ascii="黑体" w:hAnsi="黑体" w:eastAsia="黑体" w:cs="仿宋"/>
          <w:color w:val="000000"/>
          <w:kern w:val="0"/>
          <w:szCs w:val="32"/>
        </w:rPr>
        <w:t>附件</w:t>
      </w:r>
      <w:r>
        <w:rPr>
          <w:rFonts w:ascii="黑体" w:hAnsi="黑体" w:eastAsia="黑体" w:cs="仿宋"/>
          <w:color w:val="000000"/>
          <w:kern w:val="0"/>
          <w:szCs w:val="32"/>
        </w:rPr>
        <w:t>1</w:t>
      </w:r>
    </w:p>
    <w:p>
      <w:pPr>
        <w:pBdr>
          <w:bottom w:val="single" w:color="FFFFFF" w:sz="4" w:space="31"/>
        </w:pBdr>
        <w:tabs>
          <w:tab w:val="left" w:pos="1440"/>
        </w:tabs>
        <w:overflowPunct w:val="0"/>
        <w:autoSpaceDN w:val="0"/>
        <w:spacing w:line="600" w:lineRule="exact"/>
        <w:ind w:firstLine="720" w:firstLineChars="200"/>
        <w:jc w:val="center"/>
        <w:rPr>
          <w:rFonts w:ascii="方正小标宋_GBK" w:hAnsi="方正小标宋简体" w:eastAsia="方正小标宋_GBK" w:cs="方正小标宋简体"/>
          <w:color w:val="000000"/>
          <w:kern w:val="0"/>
          <w:sz w:val="36"/>
          <w:szCs w:val="36"/>
        </w:rPr>
      </w:pPr>
      <w:r>
        <w:rPr>
          <w:rFonts w:hint="eastAsia" w:ascii="方正小标宋_GBK" w:hAnsi="方正小标宋简体" w:eastAsia="方正小标宋_GBK" w:cs="方正小标宋简体"/>
          <w:color w:val="000000"/>
          <w:kern w:val="0"/>
          <w:sz w:val="36"/>
          <w:szCs w:val="36"/>
        </w:rPr>
        <w:t>西安市</w:t>
      </w:r>
      <w:r>
        <w:rPr>
          <w:rFonts w:hint="eastAsia" w:ascii="方正小标宋_GBK" w:hAnsi="方正小标宋简体" w:eastAsia="方正小标宋_GBK" w:cs="方正小标宋简体"/>
          <w:bCs/>
          <w:color w:val="000000"/>
          <w:kern w:val="0"/>
          <w:sz w:val="36"/>
          <w:szCs w:val="36"/>
        </w:rPr>
        <w:t>鄠</w:t>
      </w:r>
      <w:r>
        <w:rPr>
          <w:rFonts w:hint="eastAsia" w:ascii="方正小标宋_GBK" w:hAnsi="方正小标宋简体" w:eastAsia="方正小标宋_GBK" w:cs="方正小标宋简体"/>
          <w:color w:val="000000"/>
          <w:kern w:val="0"/>
          <w:sz w:val="36"/>
          <w:szCs w:val="36"/>
        </w:rPr>
        <w:t>邑区创建全国基层中医药工作</w:t>
      </w:r>
    </w:p>
    <w:p>
      <w:pPr>
        <w:pBdr>
          <w:bottom w:val="single" w:color="FFFFFF" w:sz="4" w:space="31"/>
        </w:pBdr>
        <w:tabs>
          <w:tab w:val="left" w:pos="1440"/>
        </w:tabs>
        <w:overflowPunct w:val="0"/>
        <w:autoSpaceDN w:val="0"/>
        <w:spacing w:line="600" w:lineRule="exact"/>
        <w:ind w:firstLine="720" w:firstLineChars="200"/>
        <w:jc w:val="center"/>
        <w:rPr>
          <w:rFonts w:ascii="方正小标宋_GBK" w:hAnsi="方正小标宋简体" w:eastAsia="方正小标宋_GBK" w:cs="方正小标宋简体"/>
          <w:color w:val="000000"/>
          <w:kern w:val="0"/>
          <w:sz w:val="44"/>
          <w:szCs w:val="44"/>
        </w:rPr>
      </w:pPr>
      <w:r>
        <w:rPr>
          <w:rFonts w:hint="eastAsia" w:ascii="方正小标宋_GBK" w:hAnsi="方正小标宋简体" w:eastAsia="方正小标宋_GBK" w:cs="方正小标宋简体"/>
          <w:color w:val="000000"/>
          <w:kern w:val="0"/>
          <w:sz w:val="36"/>
          <w:szCs w:val="36"/>
        </w:rPr>
        <w:t>示范区</w:t>
      </w:r>
      <w:r>
        <w:rPr>
          <w:rFonts w:ascii="方正小标宋_GBK" w:hAnsi="方正小标宋简体" w:eastAsia="方正小标宋_GBK" w:cs="方正小标宋简体"/>
          <w:color w:val="000000"/>
          <w:kern w:val="0"/>
          <w:sz w:val="36"/>
          <w:szCs w:val="36"/>
        </w:rPr>
        <w:t>(</w:t>
      </w:r>
      <w:r>
        <w:rPr>
          <w:rFonts w:hint="eastAsia" w:ascii="方正小标宋_GBK" w:hAnsi="方正小标宋简体" w:eastAsia="方正小标宋_GBK" w:cs="方正小标宋简体"/>
          <w:color w:val="000000"/>
          <w:kern w:val="0"/>
          <w:sz w:val="36"/>
          <w:szCs w:val="36"/>
        </w:rPr>
        <w:t>县</w:t>
      </w:r>
      <w:r>
        <w:rPr>
          <w:rFonts w:ascii="方正小标宋_GBK" w:hAnsi="方正小标宋简体" w:eastAsia="方正小标宋_GBK" w:cs="方正小标宋简体"/>
          <w:color w:val="000000"/>
          <w:kern w:val="0"/>
          <w:sz w:val="36"/>
          <w:szCs w:val="36"/>
        </w:rPr>
        <w:t>)</w:t>
      </w:r>
      <w:r>
        <w:rPr>
          <w:rFonts w:hint="eastAsia" w:ascii="方正小标宋_GBK" w:hAnsi="方正小标宋简体" w:eastAsia="方正小标宋_GBK" w:cs="方正小标宋简体"/>
          <w:color w:val="000000"/>
          <w:kern w:val="0"/>
          <w:sz w:val="36"/>
          <w:szCs w:val="36"/>
        </w:rPr>
        <w:t>工作领导小组名单</w:t>
      </w:r>
    </w:p>
    <w:p>
      <w:pPr>
        <w:pBdr>
          <w:bottom w:val="single" w:color="FFFFFF" w:sz="4" w:space="31"/>
        </w:pBdr>
        <w:tabs>
          <w:tab w:val="left" w:pos="1440"/>
        </w:tabs>
        <w:overflowPunct w:val="0"/>
        <w:autoSpaceDN w:val="0"/>
        <w:spacing w:line="600" w:lineRule="exact"/>
        <w:ind w:firstLine="880" w:firstLineChars="200"/>
        <w:rPr>
          <w:rFonts w:ascii="方正小标宋简体" w:hAnsi="方正小标宋简体" w:eastAsia="方正小标宋简体" w:cs="方正小标宋简体"/>
          <w:color w:val="000000"/>
          <w:kern w:val="0"/>
          <w:sz w:val="44"/>
          <w:szCs w:val="44"/>
        </w:rPr>
      </w:pPr>
    </w:p>
    <w:p>
      <w:pPr>
        <w:pBdr>
          <w:bottom w:val="single" w:color="FFFFFF" w:sz="4" w:space="31"/>
        </w:pBdr>
        <w:tabs>
          <w:tab w:val="left" w:pos="1440"/>
        </w:tabs>
        <w:kinsoku w:val="0"/>
        <w:overflowPunct w:val="0"/>
        <w:autoSpaceDE w:val="0"/>
        <w:autoSpaceDN w:val="0"/>
        <w:spacing w:line="600" w:lineRule="exact"/>
        <w:ind w:firstLine="640" w:firstLineChars="200"/>
        <w:rPr>
          <w:rFonts w:ascii="仿宋_GB2312" w:hAnsi="仿宋" w:eastAsia="仿宋_GB2312"/>
          <w:color w:val="000000"/>
          <w:kern w:val="0"/>
          <w:szCs w:val="32"/>
        </w:rPr>
      </w:pPr>
      <w:r>
        <w:rPr>
          <w:rFonts w:hint="eastAsia" w:ascii="仿宋_GB2312" w:hAnsi="仿宋" w:eastAsia="仿宋_GB2312"/>
          <w:color w:val="000000"/>
          <w:kern w:val="0"/>
          <w:szCs w:val="32"/>
        </w:rPr>
        <w:t>根据创建全国基层中医药工作示范区</w:t>
      </w:r>
      <w:r>
        <w:rPr>
          <w:rFonts w:ascii="仿宋_GB2312" w:hAnsi="仿宋" w:eastAsia="仿宋_GB2312"/>
          <w:color w:val="000000"/>
          <w:kern w:val="0"/>
          <w:szCs w:val="32"/>
        </w:rPr>
        <w:t>(</w:t>
      </w:r>
      <w:r>
        <w:rPr>
          <w:rFonts w:hint="eastAsia" w:ascii="仿宋_GB2312" w:hAnsi="仿宋" w:eastAsia="仿宋_GB2312"/>
          <w:color w:val="000000"/>
          <w:kern w:val="0"/>
          <w:szCs w:val="32"/>
        </w:rPr>
        <w:t>县</w:t>
      </w:r>
      <w:r>
        <w:rPr>
          <w:rFonts w:ascii="仿宋_GB2312" w:hAnsi="仿宋" w:eastAsia="仿宋_GB2312"/>
          <w:color w:val="000000"/>
          <w:kern w:val="0"/>
          <w:szCs w:val="32"/>
        </w:rPr>
        <w:t>)</w:t>
      </w:r>
      <w:r>
        <w:rPr>
          <w:rFonts w:hint="eastAsia" w:ascii="仿宋_GB2312" w:hAnsi="仿宋" w:eastAsia="仿宋_GB2312"/>
          <w:color w:val="000000"/>
          <w:kern w:val="0"/>
          <w:szCs w:val="32"/>
        </w:rPr>
        <w:t>工作要求，成立西安市</w:t>
      </w:r>
      <w:r>
        <w:rPr>
          <w:rFonts w:hint="eastAsia" w:ascii="仿宋_GB2312" w:hAnsi="仿宋" w:eastAsia="仿宋"/>
          <w:color w:val="000000"/>
          <w:kern w:val="0"/>
          <w:szCs w:val="32"/>
        </w:rPr>
        <w:t>鄠</w:t>
      </w:r>
      <w:r>
        <w:rPr>
          <w:rFonts w:hint="eastAsia" w:ascii="仿宋_GB2312" w:hAnsi="仿宋" w:eastAsia="仿宋_GB2312"/>
          <w:color w:val="000000"/>
          <w:kern w:val="0"/>
          <w:szCs w:val="32"/>
        </w:rPr>
        <w:t>邑区创建全国基层中医药工作示范区</w:t>
      </w:r>
      <w:r>
        <w:rPr>
          <w:rFonts w:ascii="仿宋_GB2312" w:hAnsi="仿宋" w:eastAsia="仿宋_GB2312"/>
          <w:color w:val="000000"/>
          <w:kern w:val="0"/>
          <w:szCs w:val="32"/>
        </w:rPr>
        <w:t>(</w:t>
      </w:r>
      <w:r>
        <w:rPr>
          <w:rFonts w:hint="eastAsia" w:ascii="仿宋_GB2312" w:hAnsi="仿宋" w:eastAsia="仿宋_GB2312"/>
          <w:color w:val="000000"/>
          <w:kern w:val="0"/>
          <w:szCs w:val="32"/>
        </w:rPr>
        <w:t>县</w:t>
      </w:r>
      <w:r>
        <w:rPr>
          <w:rFonts w:ascii="仿宋_GB2312" w:hAnsi="仿宋" w:eastAsia="仿宋_GB2312"/>
          <w:color w:val="000000"/>
          <w:kern w:val="0"/>
          <w:szCs w:val="32"/>
        </w:rPr>
        <w:t>)</w:t>
      </w:r>
      <w:r>
        <w:rPr>
          <w:rFonts w:hint="eastAsia" w:ascii="仿宋_GB2312" w:hAnsi="仿宋" w:eastAsia="仿宋_GB2312"/>
          <w:color w:val="000000"/>
          <w:kern w:val="0"/>
          <w:szCs w:val="32"/>
        </w:rPr>
        <w:t>工作领导小组，领导小组成员名单如下：</w:t>
      </w:r>
    </w:p>
    <w:p>
      <w:pPr>
        <w:pBdr>
          <w:bottom w:val="single" w:color="FFFFFF" w:sz="4" w:space="31"/>
        </w:pBdr>
        <w:tabs>
          <w:tab w:val="left" w:pos="1440"/>
        </w:tabs>
        <w:kinsoku w:val="0"/>
        <w:overflowPunct w:val="0"/>
        <w:autoSpaceDE w:val="0"/>
        <w:autoSpaceDN w:val="0"/>
        <w:spacing w:line="600" w:lineRule="exact"/>
        <w:ind w:firstLine="640" w:firstLineChars="200"/>
        <w:rPr>
          <w:rFonts w:ascii="仿宋_GB2312" w:hAnsi="仿宋" w:eastAsia="仿宋_GB2312"/>
          <w:color w:val="000000"/>
          <w:szCs w:val="32"/>
        </w:rPr>
      </w:pPr>
      <w:r>
        <w:rPr>
          <w:rFonts w:hint="eastAsia" w:ascii="仿宋_GB2312" w:hAnsi="仿宋" w:eastAsia="仿宋_GB2312"/>
          <w:color w:val="000000"/>
          <w:kern w:val="0"/>
          <w:szCs w:val="32"/>
        </w:rPr>
        <w:t>组</w:t>
      </w:r>
      <w:r>
        <w:rPr>
          <w:rFonts w:ascii="仿宋_GB2312" w:hAnsi="仿宋" w:eastAsia="仿宋_GB2312"/>
          <w:color w:val="000000"/>
          <w:kern w:val="0"/>
          <w:szCs w:val="32"/>
        </w:rPr>
        <w:t xml:space="preserve">  </w:t>
      </w:r>
      <w:r>
        <w:rPr>
          <w:rFonts w:hint="eastAsia" w:ascii="仿宋_GB2312" w:hAnsi="仿宋" w:eastAsia="仿宋_GB2312"/>
          <w:color w:val="000000"/>
          <w:kern w:val="0"/>
          <w:szCs w:val="32"/>
        </w:rPr>
        <w:t>长：崔科峰</w:t>
      </w:r>
      <w:r>
        <w:rPr>
          <w:rFonts w:ascii="仿宋_GB2312" w:hAnsi="仿宋" w:eastAsia="仿宋_GB2312"/>
          <w:color w:val="000000"/>
          <w:kern w:val="0"/>
          <w:szCs w:val="32"/>
        </w:rPr>
        <w:t xml:space="preserve">  </w:t>
      </w:r>
      <w:r>
        <w:rPr>
          <w:rFonts w:hint="eastAsia" w:ascii="仿宋_GB2312" w:hAnsi="仿宋" w:eastAsia="仿宋_GB2312"/>
          <w:color w:val="000000"/>
          <w:szCs w:val="32"/>
        </w:rPr>
        <w:t>副区长</w:t>
      </w:r>
    </w:p>
    <w:p>
      <w:pPr>
        <w:pBdr>
          <w:bottom w:val="single" w:color="FFFFFF" w:sz="4" w:space="31"/>
        </w:pBdr>
        <w:tabs>
          <w:tab w:val="left" w:pos="1440"/>
        </w:tabs>
        <w:kinsoku w:val="0"/>
        <w:overflowPunct w:val="0"/>
        <w:autoSpaceDE w:val="0"/>
        <w:autoSpaceDN w:val="0"/>
        <w:spacing w:line="600" w:lineRule="exact"/>
        <w:ind w:firstLine="640" w:firstLineChars="200"/>
        <w:rPr>
          <w:rFonts w:ascii="仿宋_GB2312" w:hAnsi="仿宋" w:eastAsia="仿宋_GB2312"/>
          <w:color w:val="000000"/>
          <w:kern w:val="0"/>
          <w:szCs w:val="32"/>
        </w:rPr>
      </w:pPr>
      <w:r>
        <w:rPr>
          <w:rFonts w:hint="eastAsia" w:ascii="仿宋_GB2312" w:hAnsi="仿宋" w:eastAsia="仿宋_GB2312"/>
          <w:color w:val="000000"/>
          <w:kern w:val="0"/>
          <w:szCs w:val="32"/>
        </w:rPr>
        <w:t>副组长：马彦平</w:t>
      </w:r>
      <w:r>
        <w:rPr>
          <w:rFonts w:ascii="仿宋_GB2312" w:hAnsi="仿宋" w:eastAsia="仿宋_GB2312"/>
          <w:color w:val="000000"/>
          <w:kern w:val="0"/>
          <w:szCs w:val="32"/>
        </w:rPr>
        <w:t xml:space="preserve">  </w:t>
      </w:r>
      <w:r>
        <w:rPr>
          <w:rFonts w:hint="eastAsia" w:ascii="仿宋_GB2312" w:hAnsi="仿宋" w:eastAsia="仿宋_GB2312"/>
          <w:color w:val="000000"/>
          <w:kern w:val="0"/>
          <w:szCs w:val="32"/>
        </w:rPr>
        <w:t>区卫健局局长</w:t>
      </w:r>
    </w:p>
    <w:p>
      <w:pPr>
        <w:pBdr>
          <w:bottom w:val="single" w:color="FFFFFF" w:sz="4" w:space="31"/>
        </w:pBdr>
        <w:tabs>
          <w:tab w:val="left" w:pos="1440"/>
        </w:tabs>
        <w:kinsoku w:val="0"/>
        <w:overflowPunct w:val="0"/>
        <w:autoSpaceDE w:val="0"/>
        <w:autoSpaceDN w:val="0"/>
        <w:spacing w:line="600" w:lineRule="exact"/>
        <w:ind w:firstLine="1920" w:firstLineChars="600"/>
        <w:rPr>
          <w:rFonts w:ascii="仿宋_GB2312" w:hAnsi="仿宋" w:eastAsia="仿宋_GB2312"/>
          <w:color w:val="000000"/>
          <w:kern w:val="0"/>
          <w:szCs w:val="32"/>
        </w:rPr>
      </w:pPr>
      <w:r>
        <w:rPr>
          <w:rFonts w:hint="eastAsia" w:ascii="仿宋_GB2312" w:hAnsi="仿宋" w:eastAsia="仿宋_GB2312"/>
          <w:color w:val="000000"/>
          <w:kern w:val="0"/>
          <w:szCs w:val="32"/>
        </w:rPr>
        <w:t>葛</w:t>
      </w:r>
      <w:r>
        <w:rPr>
          <w:rFonts w:ascii="仿宋_GB2312" w:hAnsi="仿宋" w:eastAsia="仿宋_GB2312"/>
          <w:color w:val="000000"/>
          <w:kern w:val="0"/>
          <w:szCs w:val="32"/>
        </w:rPr>
        <w:t xml:space="preserve">  </w:t>
      </w:r>
      <w:r>
        <w:rPr>
          <w:rFonts w:hint="eastAsia" w:ascii="仿宋_GB2312" w:hAnsi="仿宋" w:eastAsia="仿宋_GB2312"/>
          <w:color w:val="000000"/>
          <w:kern w:val="0"/>
          <w:szCs w:val="32"/>
        </w:rPr>
        <w:t>敏</w:t>
      </w:r>
      <w:r>
        <w:rPr>
          <w:rFonts w:ascii="仿宋_GB2312" w:hAnsi="仿宋" w:eastAsia="仿宋_GB2312"/>
          <w:color w:val="000000"/>
          <w:kern w:val="0"/>
          <w:szCs w:val="32"/>
        </w:rPr>
        <w:t xml:space="preserve">  </w:t>
      </w:r>
      <w:r>
        <w:rPr>
          <w:rFonts w:hint="eastAsia" w:ascii="仿宋_GB2312" w:hAnsi="仿宋" w:eastAsia="仿宋_GB2312"/>
          <w:color w:val="000000"/>
          <w:kern w:val="0"/>
          <w:szCs w:val="32"/>
        </w:rPr>
        <w:t>区卫健局副局长</w:t>
      </w:r>
    </w:p>
    <w:p>
      <w:pPr>
        <w:pBdr>
          <w:bottom w:val="single" w:color="FFFFFF" w:sz="4" w:space="31"/>
        </w:pBdr>
        <w:tabs>
          <w:tab w:val="left" w:pos="1440"/>
        </w:tabs>
        <w:kinsoku w:val="0"/>
        <w:overflowPunct w:val="0"/>
        <w:autoSpaceDE w:val="0"/>
        <w:autoSpaceDN w:val="0"/>
        <w:spacing w:line="600" w:lineRule="exact"/>
        <w:ind w:firstLine="640" w:firstLineChars="200"/>
        <w:rPr>
          <w:rFonts w:ascii="仿宋_GB2312" w:hAnsi="仿宋" w:eastAsia="仿宋_GB2312"/>
          <w:color w:val="000000"/>
          <w:kern w:val="0"/>
          <w:szCs w:val="32"/>
        </w:rPr>
      </w:pPr>
      <w:r>
        <w:rPr>
          <w:rFonts w:hint="eastAsia" w:ascii="仿宋_GB2312" w:hAnsi="仿宋" w:eastAsia="仿宋_GB2312"/>
          <w:color w:val="000000"/>
          <w:kern w:val="0"/>
          <w:szCs w:val="32"/>
        </w:rPr>
        <w:t>成</w:t>
      </w:r>
      <w:r>
        <w:rPr>
          <w:rFonts w:ascii="仿宋_GB2312" w:hAnsi="仿宋" w:eastAsia="仿宋_GB2312"/>
          <w:color w:val="000000"/>
          <w:kern w:val="0"/>
          <w:szCs w:val="32"/>
        </w:rPr>
        <w:t xml:space="preserve">  </w:t>
      </w:r>
      <w:r>
        <w:rPr>
          <w:rFonts w:hint="eastAsia" w:ascii="仿宋_GB2312" w:hAnsi="仿宋" w:eastAsia="仿宋_GB2312"/>
          <w:color w:val="000000"/>
          <w:kern w:val="0"/>
          <w:szCs w:val="32"/>
        </w:rPr>
        <w:t>员：周</w:t>
      </w:r>
      <w:r>
        <w:rPr>
          <w:rFonts w:ascii="仿宋_GB2312" w:hAnsi="仿宋" w:eastAsia="仿宋_GB2312"/>
          <w:color w:val="000000"/>
          <w:kern w:val="0"/>
          <w:szCs w:val="32"/>
        </w:rPr>
        <w:t xml:space="preserve">  </w:t>
      </w:r>
      <w:r>
        <w:rPr>
          <w:rFonts w:hint="eastAsia" w:ascii="仿宋_GB2312" w:hAnsi="仿宋" w:eastAsia="仿宋_GB2312"/>
          <w:color w:val="000000"/>
          <w:kern w:val="0"/>
          <w:szCs w:val="32"/>
        </w:rPr>
        <w:t>鑫</w:t>
      </w:r>
      <w:r>
        <w:rPr>
          <w:rFonts w:ascii="仿宋_GB2312" w:hAnsi="仿宋" w:eastAsia="仿宋_GB2312"/>
          <w:color w:val="000000"/>
          <w:kern w:val="0"/>
          <w:szCs w:val="32"/>
        </w:rPr>
        <w:t xml:space="preserve">  </w:t>
      </w:r>
      <w:r>
        <w:rPr>
          <w:rFonts w:hint="eastAsia" w:ascii="仿宋_GB2312" w:hAnsi="仿宋" w:eastAsia="仿宋_GB2312"/>
          <w:color w:val="000000"/>
          <w:kern w:val="0"/>
          <w:szCs w:val="32"/>
        </w:rPr>
        <w:t>区委组织部部务委员</w:t>
      </w:r>
    </w:p>
    <w:p>
      <w:pPr>
        <w:pBdr>
          <w:bottom w:val="single" w:color="FFFFFF" w:sz="4" w:space="31"/>
        </w:pBdr>
        <w:tabs>
          <w:tab w:val="left" w:pos="1440"/>
        </w:tabs>
        <w:kinsoku w:val="0"/>
        <w:overflowPunct w:val="0"/>
        <w:autoSpaceDE w:val="0"/>
        <w:autoSpaceDN w:val="0"/>
        <w:spacing w:line="600" w:lineRule="exact"/>
        <w:ind w:firstLine="640" w:firstLineChars="200"/>
        <w:rPr>
          <w:rFonts w:ascii="仿宋_GB2312" w:hAnsi="仿宋" w:eastAsia="仿宋_GB2312"/>
          <w:color w:val="000000"/>
          <w:kern w:val="0"/>
          <w:szCs w:val="32"/>
        </w:rPr>
      </w:pPr>
      <w:r>
        <w:rPr>
          <w:rFonts w:ascii="仿宋_GB2312" w:hAnsi="仿宋" w:eastAsia="仿宋_GB2312"/>
          <w:color w:val="000000"/>
          <w:kern w:val="0"/>
          <w:szCs w:val="32"/>
        </w:rPr>
        <w:t xml:space="preserve">        </w:t>
      </w:r>
      <w:r>
        <w:rPr>
          <w:rFonts w:hint="eastAsia" w:ascii="仿宋_GB2312" w:hAnsi="仿宋" w:eastAsia="仿宋_GB2312"/>
          <w:color w:val="000000"/>
          <w:kern w:val="0"/>
          <w:szCs w:val="32"/>
        </w:rPr>
        <w:t>张相恒</w:t>
      </w:r>
      <w:r>
        <w:rPr>
          <w:rFonts w:ascii="仿宋_GB2312" w:hAnsi="仿宋" w:eastAsia="仿宋_GB2312"/>
          <w:color w:val="000000"/>
          <w:kern w:val="0"/>
          <w:szCs w:val="32"/>
        </w:rPr>
        <w:t xml:space="preserve">  </w:t>
      </w:r>
      <w:r>
        <w:rPr>
          <w:rFonts w:hint="eastAsia" w:ascii="仿宋_GB2312" w:hAnsi="仿宋" w:eastAsia="仿宋_GB2312"/>
          <w:color w:val="000000"/>
          <w:kern w:val="0"/>
          <w:szCs w:val="32"/>
        </w:rPr>
        <w:t>区委宣传部副部长</w:t>
      </w:r>
    </w:p>
    <w:p>
      <w:pPr>
        <w:pBdr>
          <w:bottom w:val="single" w:color="FFFFFF" w:sz="4" w:space="31"/>
        </w:pBdr>
        <w:tabs>
          <w:tab w:val="left" w:pos="1440"/>
        </w:tabs>
        <w:kinsoku w:val="0"/>
        <w:overflowPunct w:val="0"/>
        <w:autoSpaceDE w:val="0"/>
        <w:autoSpaceDN w:val="0"/>
        <w:spacing w:line="600" w:lineRule="exact"/>
        <w:ind w:firstLine="1920" w:firstLineChars="600"/>
        <w:rPr>
          <w:rFonts w:ascii="仿宋_GB2312" w:hAnsi="仿宋" w:eastAsia="仿宋_GB2312"/>
          <w:color w:val="000000"/>
          <w:kern w:val="0"/>
          <w:szCs w:val="32"/>
        </w:rPr>
      </w:pPr>
      <w:r>
        <w:rPr>
          <w:rFonts w:hint="eastAsia" w:ascii="仿宋_GB2312" w:hAnsi="仿宋" w:eastAsia="仿宋_GB2312"/>
          <w:color w:val="000000"/>
          <w:kern w:val="0"/>
          <w:szCs w:val="32"/>
        </w:rPr>
        <w:t>李</w:t>
      </w:r>
      <w:r>
        <w:rPr>
          <w:rFonts w:ascii="仿宋_GB2312" w:hAnsi="仿宋" w:eastAsia="仿宋_GB2312"/>
          <w:color w:val="000000"/>
          <w:kern w:val="0"/>
          <w:szCs w:val="32"/>
        </w:rPr>
        <w:t xml:space="preserve">  </w:t>
      </w:r>
      <w:r>
        <w:rPr>
          <w:rFonts w:hint="eastAsia" w:ascii="仿宋_GB2312" w:hAnsi="仿宋" w:eastAsia="仿宋_GB2312"/>
          <w:color w:val="000000"/>
          <w:kern w:val="0"/>
          <w:szCs w:val="32"/>
        </w:rPr>
        <w:t>刚</w:t>
      </w:r>
      <w:r>
        <w:rPr>
          <w:rFonts w:ascii="仿宋_GB2312" w:hAnsi="仿宋" w:eastAsia="仿宋_GB2312"/>
          <w:color w:val="000000"/>
          <w:kern w:val="0"/>
          <w:szCs w:val="32"/>
        </w:rPr>
        <w:t xml:space="preserve">  </w:t>
      </w:r>
      <w:r>
        <w:rPr>
          <w:rFonts w:hint="eastAsia" w:ascii="仿宋_GB2312" w:hAnsi="仿宋" w:eastAsia="仿宋_GB2312"/>
          <w:color w:val="000000"/>
          <w:kern w:val="0"/>
          <w:szCs w:val="32"/>
        </w:rPr>
        <w:t>区委编办副主任</w:t>
      </w:r>
    </w:p>
    <w:p>
      <w:pPr>
        <w:pBdr>
          <w:bottom w:val="single" w:color="FFFFFF" w:sz="4" w:space="31"/>
        </w:pBdr>
        <w:tabs>
          <w:tab w:val="left" w:pos="1440"/>
        </w:tabs>
        <w:kinsoku w:val="0"/>
        <w:overflowPunct w:val="0"/>
        <w:autoSpaceDE w:val="0"/>
        <w:autoSpaceDN w:val="0"/>
        <w:spacing w:line="600" w:lineRule="exact"/>
        <w:ind w:firstLine="1920" w:firstLineChars="600"/>
        <w:rPr>
          <w:rFonts w:ascii="仿宋_GB2312" w:hAnsi="仿宋" w:eastAsia="仿宋_GB2312"/>
          <w:color w:val="000000"/>
          <w:kern w:val="0"/>
          <w:szCs w:val="32"/>
        </w:rPr>
      </w:pPr>
      <w:r>
        <w:rPr>
          <w:rFonts w:hint="eastAsia" w:ascii="仿宋_GB2312" w:hAnsi="仿宋" w:eastAsia="仿宋_GB2312"/>
          <w:color w:val="000000"/>
          <w:kern w:val="0"/>
          <w:szCs w:val="32"/>
        </w:rPr>
        <w:t>张宏斌</w:t>
      </w:r>
      <w:r>
        <w:rPr>
          <w:rFonts w:ascii="仿宋_GB2312" w:hAnsi="仿宋" w:eastAsia="仿宋_GB2312"/>
          <w:color w:val="000000"/>
          <w:kern w:val="0"/>
          <w:szCs w:val="32"/>
        </w:rPr>
        <w:t xml:space="preserve">  </w:t>
      </w:r>
      <w:r>
        <w:rPr>
          <w:rFonts w:hint="eastAsia" w:ascii="仿宋_GB2312" w:hAnsi="仿宋" w:eastAsia="仿宋_GB2312"/>
          <w:color w:val="000000"/>
          <w:kern w:val="0"/>
          <w:szCs w:val="32"/>
        </w:rPr>
        <w:t>区发改委副主任</w:t>
      </w:r>
    </w:p>
    <w:p>
      <w:pPr>
        <w:pBdr>
          <w:bottom w:val="single" w:color="FFFFFF" w:sz="4" w:space="31"/>
        </w:pBdr>
        <w:tabs>
          <w:tab w:val="left" w:pos="1440"/>
        </w:tabs>
        <w:kinsoku w:val="0"/>
        <w:overflowPunct w:val="0"/>
        <w:autoSpaceDE w:val="0"/>
        <w:autoSpaceDN w:val="0"/>
        <w:spacing w:line="600" w:lineRule="exact"/>
        <w:ind w:firstLine="1920" w:firstLineChars="600"/>
        <w:rPr>
          <w:rFonts w:ascii="仿宋_GB2312" w:hAnsi="仿宋" w:eastAsia="仿宋_GB2312"/>
          <w:color w:val="000000"/>
          <w:kern w:val="0"/>
          <w:szCs w:val="32"/>
        </w:rPr>
      </w:pPr>
      <w:r>
        <w:rPr>
          <w:rFonts w:hint="eastAsia" w:ascii="仿宋_GB2312" w:hAnsi="仿宋" w:eastAsia="仿宋_GB2312"/>
          <w:color w:val="000000"/>
          <w:kern w:val="0"/>
          <w:szCs w:val="32"/>
        </w:rPr>
        <w:t>仝展儒</w:t>
      </w:r>
      <w:r>
        <w:rPr>
          <w:rFonts w:ascii="仿宋_GB2312" w:hAnsi="仿宋" w:eastAsia="仿宋_GB2312"/>
          <w:color w:val="000000"/>
          <w:kern w:val="0"/>
          <w:szCs w:val="32"/>
        </w:rPr>
        <w:t xml:space="preserve">  </w:t>
      </w:r>
      <w:r>
        <w:rPr>
          <w:rFonts w:hint="eastAsia" w:ascii="仿宋_GB2312" w:hAnsi="仿宋" w:eastAsia="仿宋_GB2312"/>
          <w:color w:val="000000"/>
          <w:kern w:val="0"/>
          <w:szCs w:val="32"/>
        </w:rPr>
        <w:t>区教科局副局长</w:t>
      </w:r>
    </w:p>
    <w:p>
      <w:pPr>
        <w:pBdr>
          <w:bottom w:val="single" w:color="FFFFFF" w:sz="4" w:space="31"/>
        </w:pBdr>
        <w:tabs>
          <w:tab w:val="left" w:pos="1440"/>
        </w:tabs>
        <w:kinsoku w:val="0"/>
        <w:overflowPunct w:val="0"/>
        <w:autoSpaceDE w:val="0"/>
        <w:autoSpaceDN w:val="0"/>
        <w:spacing w:line="600" w:lineRule="exact"/>
        <w:ind w:firstLine="1920" w:firstLineChars="600"/>
        <w:rPr>
          <w:rFonts w:ascii="仿宋_GB2312" w:hAnsi="仿宋" w:eastAsia="仿宋_GB2312"/>
          <w:color w:val="000000"/>
          <w:kern w:val="0"/>
          <w:szCs w:val="32"/>
        </w:rPr>
      </w:pPr>
      <w:r>
        <w:rPr>
          <w:rFonts w:hint="eastAsia" w:ascii="仿宋_GB2312" w:hAnsi="仿宋" w:eastAsia="仿宋_GB2312"/>
          <w:color w:val="000000"/>
          <w:kern w:val="0"/>
          <w:szCs w:val="32"/>
        </w:rPr>
        <w:t>张培昭</w:t>
      </w:r>
      <w:r>
        <w:rPr>
          <w:rFonts w:ascii="仿宋_GB2312" w:hAnsi="仿宋" w:eastAsia="仿宋_GB2312"/>
          <w:color w:val="000000"/>
          <w:kern w:val="0"/>
          <w:szCs w:val="32"/>
        </w:rPr>
        <w:t xml:space="preserve">  </w:t>
      </w:r>
      <w:r>
        <w:rPr>
          <w:rFonts w:hint="eastAsia" w:ascii="仿宋_GB2312" w:hAnsi="仿宋" w:eastAsia="仿宋_GB2312"/>
          <w:color w:val="000000"/>
          <w:kern w:val="0"/>
          <w:szCs w:val="32"/>
        </w:rPr>
        <w:t>区投资工信局副书记</w:t>
      </w:r>
      <w:r>
        <w:rPr>
          <w:rFonts w:ascii="仿宋_GB2312" w:hAnsi="仿宋" w:eastAsia="仿宋_GB2312"/>
          <w:color w:val="000000"/>
          <w:kern w:val="0"/>
          <w:szCs w:val="32"/>
        </w:rPr>
        <w:t xml:space="preserve"> </w:t>
      </w:r>
    </w:p>
    <w:p>
      <w:pPr>
        <w:pBdr>
          <w:bottom w:val="single" w:color="FFFFFF" w:sz="4" w:space="31"/>
        </w:pBdr>
        <w:tabs>
          <w:tab w:val="left" w:pos="1440"/>
        </w:tabs>
        <w:kinsoku w:val="0"/>
        <w:overflowPunct w:val="0"/>
        <w:autoSpaceDE w:val="0"/>
        <w:autoSpaceDN w:val="0"/>
        <w:spacing w:line="600" w:lineRule="exact"/>
        <w:ind w:firstLine="1920" w:firstLineChars="600"/>
        <w:rPr>
          <w:rFonts w:ascii="仿宋_GB2312" w:hAnsi="仿宋" w:eastAsia="仿宋_GB2312"/>
          <w:color w:val="000000"/>
          <w:kern w:val="0"/>
          <w:szCs w:val="32"/>
        </w:rPr>
      </w:pPr>
      <w:r>
        <w:rPr>
          <w:rFonts w:hint="eastAsia" w:ascii="仿宋_GB2312" w:hAnsi="仿宋" w:eastAsia="仿宋_GB2312"/>
          <w:color w:val="000000"/>
          <w:kern w:val="0"/>
          <w:szCs w:val="32"/>
        </w:rPr>
        <w:t>詹文远</w:t>
      </w:r>
      <w:r>
        <w:rPr>
          <w:rFonts w:ascii="仿宋_GB2312" w:hAnsi="仿宋" w:eastAsia="仿宋_GB2312"/>
          <w:color w:val="000000"/>
          <w:kern w:val="0"/>
          <w:szCs w:val="32"/>
        </w:rPr>
        <w:t xml:space="preserve">  </w:t>
      </w:r>
      <w:r>
        <w:rPr>
          <w:rFonts w:hint="eastAsia" w:ascii="仿宋_GB2312" w:hAnsi="仿宋" w:eastAsia="仿宋_GB2312"/>
          <w:color w:val="000000"/>
          <w:kern w:val="0"/>
          <w:szCs w:val="32"/>
        </w:rPr>
        <w:t>区财政局副局长</w:t>
      </w:r>
      <w:r>
        <w:rPr>
          <w:rFonts w:ascii="仿宋_GB2312" w:hAnsi="仿宋" w:eastAsia="仿宋_GB2312"/>
          <w:color w:val="000000"/>
          <w:kern w:val="0"/>
          <w:szCs w:val="32"/>
        </w:rPr>
        <w:t xml:space="preserve">  </w:t>
      </w:r>
    </w:p>
    <w:p>
      <w:pPr>
        <w:pBdr>
          <w:bottom w:val="single" w:color="FFFFFF" w:sz="4" w:space="31"/>
        </w:pBdr>
        <w:tabs>
          <w:tab w:val="left" w:pos="1440"/>
        </w:tabs>
        <w:kinsoku w:val="0"/>
        <w:overflowPunct w:val="0"/>
        <w:autoSpaceDE w:val="0"/>
        <w:autoSpaceDN w:val="0"/>
        <w:spacing w:line="600" w:lineRule="exact"/>
        <w:ind w:firstLine="1920" w:firstLineChars="600"/>
        <w:rPr>
          <w:rFonts w:ascii="仿宋_GB2312" w:hAnsi="仿宋" w:eastAsia="仿宋_GB2312"/>
          <w:color w:val="000000"/>
          <w:kern w:val="0"/>
          <w:szCs w:val="32"/>
        </w:rPr>
      </w:pPr>
      <w:r>
        <w:rPr>
          <w:rFonts w:hint="eastAsia" w:ascii="仿宋_GB2312" w:hAnsi="仿宋" w:eastAsia="仿宋_GB2312"/>
          <w:color w:val="000000"/>
          <w:kern w:val="0"/>
          <w:szCs w:val="32"/>
        </w:rPr>
        <w:t>陈美丽</w:t>
      </w:r>
      <w:r>
        <w:rPr>
          <w:rFonts w:ascii="仿宋_GB2312" w:hAnsi="仿宋" w:eastAsia="仿宋_GB2312"/>
          <w:color w:val="000000"/>
          <w:kern w:val="0"/>
          <w:szCs w:val="32"/>
        </w:rPr>
        <w:t xml:space="preserve">  </w:t>
      </w:r>
      <w:r>
        <w:rPr>
          <w:rFonts w:hint="eastAsia" w:ascii="仿宋_GB2312" w:hAnsi="仿宋" w:eastAsia="仿宋_GB2312"/>
          <w:color w:val="000000"/>
          <w:kern w:val="0"/>
          <w:szCs w:val="32"/>
        </w:rPr>
        <w:t>区人社局副局长</w:t>
      </w:r>
    </w:p>
    <w:p>
      <w:pPr>
        <w:pBdr>
          <w:bottom w:val="single" w:color="FFFFFF" w:sz="4" w:space="31"/>
        </w:pBdr>
        <w:tabs>
          <w:tab w:val="left" w:pos="1440"/>
        </w:tabs>
        <w:kinsoku w:val="0"/>
        <w:overflowPunct w:val="0"/>
        <w:autoSpaceDE w:val="0"/>
        <w:autoSpaceDN w:val="0"/>
        <w:spacing w:line="600" w:lineRule="exact"/>
        <w:ind w:firstLine="1920" w:firstLineChars="600"/>
        <w:rPr>
          <w:rFonts w:ascii="仿宋_GB2312" w:hAnsi="仿宋" w:eastAsia="仿宋_GB2312"/>
          <w:color w:val="000000"/>
          <w:kern w:val="0"/>
          <w:szCs w:val="32"/>
        </w:rPr>
      </w:pPr>
      <w:r>
        <w:rPr>
          <w:rFonts w:hint="eastAsia" w:ascii="仿宋_GB2312" w:hAnsi="仿宋" w:eastAsia="仿宋_GB2312"/>
          <w:color w:val="000000"/>
          <w:kern w:val="0"/>
          <w:szCs w:val="32"/>
        </w:rPr>
        <w:t>张建锋</w:t>
      </w:r>
      <w:r>
        <w:rPr>
          <w:rFonts w:ascii="仿宋_GB2312" w:hAnsi="仿宋" w:eastAsia="仿宋_GB2312"/>
          <w:color w:val="000000"/>
          <w:kern w:val="0"/>
          <w:szCs w:val="32"/>
        </w:rPr>
        <w:t xml:space="preserve">  </w:t>
      </w:r>
      <w:r>
        <w:rPr>
          <w:rFonts w:hint="eastAsia" w:ascii="仿宋_GB2312" w:hAnsi="仿宋" w:eastAsia="仿宋_GB2312"/>
          <w:color w:val="000000"/>
          <w:kern w:val="0"/>
          <w:szCs w:val="32"/>
        </w:rPr>
        <w:t>区市场监管局副局长</w:t>
      </w:r>
    </w:p>
    <w:p>
      <w:pPr>
        <w:pBdr>
          <w:bottom w:val="single" w:color="FFFFFF" w:sz="4" w:space="31"/>
        </w:pBdr>
        <w:tabs>
          <w:tab w:val="left" w:pos="1440"/>
        </w:tabs>
        <w:kinsoku w:val="0"/>
        <w:overflowPunct w:val="0"/>
        <w:autoSpaceDE w:val="0"/>
        <w:autoSpaceDN w:val="0"/>
        <w:spacing w:line="600" w:lineRule="exact"/>
        <w:ind w:firstLine="1920" w:firstLineChars="600"/>
        <w:rPr>
          <w:rFonts w:ascii="仿宋_GB2312" w:hAnsi="仿宋" w:eastAsia="仿宋_GB2312"/>
          <w:color w:val="000000"/>
          <w:w w:val="95"/>
          <w:kern w:val="0"/>
          <w:szCs w:val="32"/>
        </w:rPr>
      </w:pPr>
      <w:r>
        <w:rPr>
          <w:rFonts w:hint="eastAsia" w:ascii="仿宋_GB2312" w:hAnsi="仿宋" w:eastAsia="仿宋_GB2312"/>
          <w:color w:val="000000"/>
          <w:kern w:val="0"/>
          <w:szCs w:val="32"/>
        </w:rPr>
        <w:t>陈</w:t>
      </w:r>
      <w:r>
        <w:rPr>
          <w:rFonts w:ascii="仿宋_GB2312" w:hAnsi="仿宋" w:eastAsia="仿宋_GB2312"/>
          <w:color w:val="000000"/>
          <w:kern w:val="0"/>
          <w:szCs w:val="32"/>
        </w:rPr>
        <w:t xml:space="preserve">  </w:t>
      </w:r>
      <w:r>
        <w:rPr>
          <w:rFonts w:hint="eastAsia" w:ascii="仿宋_GB2312" w:hAnsi="仿宋" w:eastAsia="仿宋_GB2312"/>
          <w:color w:val="000000"/>
          <w:kern w:val="0"/>
          <w:szCs w:val="32"/>
        </w:rPr>
        <w:t>忠</w:t>
      </w:r>
      <w:r>
        <w:rPr>
          <w:rFonts w:ascii="仿宋_GB2312" w:hAnsi="仿宋" w:eastAsia="仿宋_GB2312"/>
          <w:color w:val="000000"/>
          <w:kern w:val="0"/>
          <w:szCs w:val="32"/>
        </w:rPr>
        <w:t xml:space="preserve">  </w:t>
      </w:r>
      <w:r>
        <w:rPr>
          <w:rFonts w:hint="eastAsia" w:ascii="仿宋_GB2312" w:hAnsi="仿宋" w:eastAsia="仿宋_GB2312"/>
          <w:color w:val="000000"/>
          <w:kern w:val="0"/>
          <w:szCs w:val="32"/>
        </w:rPr>
        <w:t>区</w:t>
      </w:r>
      <w:r>
        <w:rPr>
          <w:rFonts w:hint="eastAsia" w:ascii="仿宋_GB2312" w:hAnsi="仿宋" w:eastAsia="仿宋_GB2312"/>
          <w:color w:val="000000"/>
          <w:w w:val="95"/>
          <w:kern w:val="0"/>
          <w:szCs w:val="32"/>
        </w:rPr>
        <w:t>资源规划分局副局长</w:t>
      </w:r>
    </w:p>
    <w:p>
      <w:pPr>
        <w:pBdr>
          <w:bottom w:val="single" w:color="FFFFFF" w:sz="4" w:space="31"/>
        </w:pBdr>
        <w:tabs>
          <w:tab w:val="left" w:pos="1440"/>
        </w:tabs>
        <w:kinsoku w:val="0"/>
        <w:overflowPunct w:val="0"/>
        <w:autoSpaceDE w:val="0"/>
        <w:autoSpaceDN w:val="0"/>
        <w:spacing w:line="600" w:lineRule="exact"/>
        <w:ind w:firstLine="1920" w:firstLineChars="600"/>
        <w:rPr>
          <w:rFonts w:ascii="仿宋_GB2312" w:hAnsi="仿宋" w:eastAsia="仿宋_GB2312"/>
          <w:color w:val="000000"/>
          <w:kern w:val="0"/>
          <w:szCs w:val="32"/>
        </w:rPr>
      </w:pPr>
      <w:r>
        <w:rPr>
          <w:rFonts w:hint="eastAsia" w:ascii="仿宋_GB2312" w:hAnsi="仿宋" w:eastAsia="仿宋_GB2312"/>
          <w:color w:val="000000"/>
          <w:kern w:val="0"/>
          <w:szCs w:val="32"/>
        </w:rPr>
        <w:t>周红艳</w:t>
      </w:r>
      <w:r>
        <w:rPr>
          <w:rFonts w:ascii="仿宋_GB2312" w:hAnsi="仿宋" w:eastAsia="仿宋_GB2312"/>
          <w:color w:val="000000"/>
          <w:kern w:val="0"/>
          <w:szCs w:val="32"/>
        </w:rPr>
        <w:t xml:space="preserve">  </w:t>
      </w:r>
      <w:r>
        <w:rPr>
          <w:rFonts w:hint="eastAsia" w:ascii="仿宋_GB2312" w:hAnsi="仿宋" w:eastAsia="仿宋_GB2312"/>
          <w:color w:val="000000"/>
          <w:kern w:val="0"/>
          <w:szCs w:val="32"/>
        </w:rPr>
        <w:t>区农业农村局副局长</w:t>
      </w:r>
    </w:p>
    <w:p>
      <w:pPr>
        <w:pBdr>
          <w:bottom w:val="single" w:color="FFFFFF" w:sz="4" w:space="31"/>
        </w:pBdr>
        <w:tabs>
          <w:tab w:val="left" w:pos="1440"/>
        </w:tabs>
        <w:kinsoku w:val="0"/>
        <w:overflowPunct w:val="0"/>
        <w:autoSpaceDE w:val="0"/>
        <w:autoSpaceDN w:val="0"/>
        <w:spacing w:line="600" w:lineRule="exact"/>
        <w:ind w:firstLine="1920" w:firstLineChars="600"/>
        <w:rPr>
          <w:rFonts w:ascii="仿宋_GB2312" w:hAnsi="仿宋" w:eastAsia="仿宋_GB2312"/>
          <w:color w:val="000000"/>
          <w:kern w:val="0"/>
          <w:szCs w:val="32"/>
        </w:rPr>
      </w:pPr>
      <w:r>
        <w:rPr>
          <w:rFonts w:hint="eastAsia" w:ascii="仿宋_GB2312" w:hAnsi="仿宋" w:eastAsia="仿宋_GB2312"/>
          <w:color w:val="000000"/>
          <w:kern w:val="0"/>
          <w:szCs w:val="32"/>
        </w:rPr>
        <w:t>王</w:t>
      </w:r>
      <w:r>
        <w:rPr>
          <w:rFonts w:ascii="仿宋_GB2312" w:hAnsi="仿宋" w:eastAsia="仿宋_GB2312"/>
          <w:color w:val="000000"/>
          <w:kern w:val="0"/>
          <w:szCs w:val="32"/>
        </w:rPr>
        <w:t xml:space="preserve">  </w:t>
      </w:r>
      <w:r>
        <w:rPr>
          <w:rFonts w:hint="eastAsia" w:ascii="仿宋_GB2312" w:hAnsi="仿宋" w:eastAsia="仿宋_GB2312"/>
          <w:color w:val="000000"/>
          <w:kern w:val="0"/>
          <w:szCs w:val="32"/>
        </w:rPr>
        <w:t>飞</w:t>
      </w:r>
      <w:r>
        <w:rPr>
          <w:rFonts w:ascii="仿宋_GB2312" w:hAnsi="仿宋" w:eastAsia="仿宋_GB2312"/>
          <w:color w:val="000000"/>
          <w:kern w:val="0"/>
          <w:szCs w:val="32"/>
        </w:rPr>
        <w:t xml:space="preserve">  </w:t>
      </w:r>
      <w:r>
        <w:rPr>
          <w:rFonts w:hint="eastAsia" w:ascii="仿宋_GB2312" w:hAnsi="仿宋" w:eastAsia="仿宋_GB2312"/>
          <w:color w:val="000000"/>
          <w:kern w:val="0"/>
          <w:szCs w:val="32"/>
        </w:rPr>
        <w:t>区乡村振兴局副局长</w:t>
      </w:r>
    </w:p>
    <w:p>
      <w:pPr>
        <w:pBdr>
          <w:bottom w:val="single" w:color="FFFFFF" w:sz="4" w:space="31"/>
        </w:pBdr>
        <w:tabs>
          <w:tab w:val="left" w:pos="1440"/>
        </w:tabs>
        <w:kinsoku w:val="0"/>
        <w:overflowPunct w:val="0"/>
        <w:autoSpaceDE w:val="0"/>
        <w:autoSpaceDN w:val="0"/>
        <w:spacing w:line="600" w:lineRule="exact"/>
        <w:ind w:firstLine="1920" w:firstLineChars="600"/>
        <w:rPr>
          <w:rFonts w:ascii="仿宋_GB2312" w:hAnsi="仿宋" w:eastAsia="仿宋_GB2312"/>
          <w:color w:val="000000"/>
          <w:kern w:val="0"/>
          <w:szCs w:val="32"/>
        </w:rPr>
      </w:pPr>
      <w:r>
        <w:rPr>
          <w:rFonts w:hint="eastAsia" w:ascii="仿宋_GB2312" w:hAnsi="仿宋" w:eastAsia="仿宋_GB2312"/>
          <w:color w:val="000000"/>
          <w:kern w:val="0"/>
          <w:szCs w:val="32"/>
        </w:rPr>
        <w:t>付</w:t>
      </w:r>
      <w:r>
        <w:rPr>
          <w:rFonts w:ascii="仿宋_GB2312" w:hAnsi="仿宋" w:eastAsia="仿宋_GB2312"/>
          <w:color w:val="000000"/>
          <w:kern w:val="0"/>
          <w:szCs w:val="32"/>
        </w:rPr>
        <w:t xml:space="preserve">  </w:t>
      </w:r>
      <w:r>
        <w:rPr>
          <w:rFonts w:hint="eastAsia" w:ascii="仿宋_GB2312" w:hAnsi="仿宋" w:eastAsia="仿宋_GB2312"/>
          <w:color w:val="000000"/>
          <w:kern w:val="0"/>
          <w:szCs w:val="32"/>
        </w:rPr>
        <w:t>文</w:t>
      </w:r>
      <w:r>
        <w:rPr>
          <w:rFonts w:ascii="仿宋_GB2312" w:hAnsi="仿宋" w:eastAsia="仿宋_GB2312"/>
          <w:color w:val="000000"/>
          <w:kern w:val="0"/>
          <w:szCs w:val="32"/>
        </w:rPr>
        <w:t xml:space="preserve">  </w:t>
      </w:r>
      <w:r>
        <w:rPr>
          <w:rFonts w:hint="eastAsia" w:ascii="仿宋_GB2312" w:hAnsi="仿宋" w:eastAsia="仿宋_GB2312"/>
          <w:color w:val="000000"/>
          <w:kern w:val="0"/>
          <w:szCs w:val="32"/>
        </w:rPr>
        <w:t>区文旅局副局长</w:t>
      </w:r>
    </w:p>
    <w:p>
      <w:pPr>
        <w:pBdr>
          <w:bottom w:val="single" w:color="FFFFFF" w:sz="4" w:space="31"/>
        </w:pBdr>
        <w:tabs>
          <w:tab w:val="left" w:pos="1440"/>
        </w:tabs>
        <w:kinsoku w:val="0"/>
        <w:overflowPunct w:val="0"/>
        <w:autoSpaceDE w:val="0"/>
        <w:autoSpaceDN w:val="0"/>
        <w:spacing w:line="600" w:lineRule="exact"/>
        <w:ind w:firstLine="1920" w:firstLineChars="600"/>
        <w:rPr>
          <w:rFonts w:ascii="仿宋_GB2312" w:hAnsi="仿宋" w:eastAsia="仿宋_GB2312"/>
          <w:color w:val="000000"/>
          <w:kern w:val="0"/>
          <w:szCs w:val="32"/>
        </w:rPr>
      </w:pPr>
      <w:r>
        <w:rPr>
          <w:rFonts w:hint="eastAsia" w:ascii="仿宋_GB2312" w:hAnsi="仿宋" w:eastAsia="仿宋_GB2312"/>
          <w:color w:val="000000"/>
          <w:kern w:val="0"/>
          <w:szCs w:val="32"/>
        </w:rPr>
        <w:t>程</w:t>
      </w:r>
      <w:r>
        <w:rPr>
          <w:rFonts w:ascii="仿宋_GB2312" w:hAnsi="仿宋" w:eastAsia="仿宋_GB2312"/>
          <w:color w:val="000000"/>
          <w:kern w:val="0"/>
          <w:szCs w:val="32"/>
        </w:rPr>
        <w:t xml:space="preserve">  </w:t>
      </w:r>
      <w:r>
        <w:rPr>
          <w:rFonts w:hint="eastAsia" w:ascii="仿宋_GB2312" w:hAnsi="仿宋" w:eastAsia="仿宋_GB2312"/>
          <w:color w:val="000000"/>
          <w:kern w:val="0"/>
          <w:szCs w:val="32"/>
        </w:rPr>
        <w:t>辉</w:t>
      </w:r>
      <w:r>
        <w:rPr>
          <w:rFonts w:ascii="仿宋_GB2312" w:hAnsi="仿宋" w:eastAsia="仿宋_GB2312"/>
          <w:color w:val="000000"/>
          <w:kern w:val="0"/>
          <w:szCs w:val="32"/>
        </w:rPr>
        <w:t xml:space="preserve">  </w:t>
      </w:r>
      <w:r>
        <w:rPr>
          <w:rFonts w:hint="eastAsia" w:ascii="仿宋_GB2312" w:hAnsi="仿宋" w:eastAsia="仿宋_GB2312"/>
          <w:color w:val="000000"/>
          <w:kern w:val="0"/>
          <w:szCs w:val="32"/>
        </w:rPr>
        <w:t>区医疗保障局副局长</w:t>
      </w:r>
    </w:p>
    <w:p>
      <w:pPr>
        <w:pBdr>
          <w:bottom w:val="single" w:color="FFFFFF" w:sz="4" w:space="31"/>
        </w:pBdr>
        <w:tabs>
          <w:tab w:val="left" w:pos="1440"/>
        </w:tabs>
        <w:kinsoku w:val="0"/>
        <w:overflowPunct w:val="0"/>
        <w:autoSpaceDE w:val="0"/>
        <w:autoSpaceDN w:val="0"/>
        <w:spacing w:line="600" w:lineRule="exact"/>
        <w:ind w:firstLine="1920" w:firstLineChars="600"/>
        <w:rPr>
          <w:rFonts w:ascii="仿宋_GB2312" w:hAnsi="仿宋" w:eastAsia="仿宋_GB2312"/>
          <w:color w:val="000000"/>
          <w:kern w:val="0"/>
          <w:szCs w:val="32"/>
        </w:rPr>
      </w:pPr>
      <w:r>
        <w:rPr>
          <w:rFonts w:hint="eastAsia" w:ascii="仿宋_GB2312" w:hAnsi="仿宋" w:eastAsia="仿宋_GB2312"/>
          <w:color w:val="000000"/>
          <w:kern w:val="0"/>
          <w:szCs w:val="32"/>
        </w:rPr>
        <w:t>张勇涛</w:t>
      </w:r>
      <w:r>
        <w:rPr>
          <w:rFonts w:ascii="仿宋_GB2312" w:hAnsi="仿宋" w:eastAsia="仿宋_GB2312"/>
          <w:color w:val="000000"/>
          <w:kern w:val="0"/>
          <w:szCs w:val="32"/>
        </w:rPr>
        <w:t xml:space="preserve">  </w:t>
      </w:r>
      <w:r>
        <w:rPr>
          <w:rFonts w:hint="eastAsia" w:ascii="仿宋_GB2312" w:hAnsi="仿宋" w:eastAsia="仿宋_GB2312"/>
          <w:color w:val="000000"/>
          <w:kern w:val="0"/>
          <w:szCs w:val="32"/>
        </w:rPr>
        <w:t>区大数据服务中心副主任</w:t>
      </w:r>
    </w:p>
    <w:p>
      <w:pPr>
        <w:pBdr>
          <w:bottom w:val="single" w:color="FFFFFF" w:sz="4" w:space="31"/>
        </w:pBdr>
        <w:tabs>
          <w:tab w:val="left" w:pos="1440"/>
        </w:tabs>
        <w:kinsoku w:val="0"/>
        <w:overflowPunct w:val="0"/>
        <w:autoSpaceDE w:val="0"/>
        <w:autoSpaceDN w:val="0"/>
        <w:spacing w:line="600" w:lineRule="exact"/>
        <w:ind w:firstLine="640" w:firstLineChars="200"/>
        <w:rPr>
          <w:rFonts w:ascii="仿宋_GB2312" w:hAnsi="仿宋" w:eastAsia="仿宋_GB2312"/>
          <w:color w:val="000000"/>
          <w:kern w:val="0"/>
          <w:szCs w:val="32"/>
        </w:rPr>
      </w:pPr>
      <w:r>
        <w:rPr>
          <w:rFonts w:hint="eastAsia" w:ascii="仿宋_GB2312" w:hAnsi="仿宋" w:eastAsia="仿宋_GB2312"/>
          <w:color w:val="000000"/>
          <w:kern w:val="0"/>
          <w:szCs w:val="32"/>
        </w:rPr>
        <w:t>领导小组办公室设在区卫健局，办公室主任由区卫健局局长马彦平兼任，负责日常工作。以上分管领导及兼职人员，如因工作变动调整，则由变动调整后相应岗位的领导及工作人员自动接递，不再行文。迎审工作结束后，领导小组及办公室自动撤销。</w:t>
      </w:r>
    </w:p>
    <w:p>
      <w:pPr>
        <w:pStyle w:val="2"/>
        <w:sectPr>
          <w:footerReference r:id="rId3" w:type="default"/>
          <w:footerReference r:id="rId4" w:type="even"/>
          <w:pgSz w:w="11906" w:h="16838"/>
          <w:pgMar w:top="1701" w:right="1418" w:bottom="1701" w:left="1588" w:header="851" w:footer="992" w:gutter="0"/>
          <w:pgNumType w:start="1"/>
          <w:cols w:space="720" w:num="1"/>
          <w:titlePg/>
          <w:docGrid w:linePitch="579" w:charSpace="-842"/>
        </w:sectPr>
      </w:pPr>
    </w:p>
    <w:p>
      <w:pPr>
        <w:spacing w:line="580" w:lineRule="exact"/>
        <w:rPr>
          <w:rFonts w:ascii="黑体" w:hAnsi="黑体" w:eastAsia="黑体" w:cs="黑体"/>
          <w:szCs w:val="32"/>
        </w:rPr>
      </w:pPr>
      <w:r>
        <w:rPr>
          <w:rFonts w:hint="eastAsia" w:ascii="黑体" w:hAnsi="黑体" w:eastAsia="黑体" w:cs="黑体"/>
          <w:szCs w:val="32"/>
        </w:rPr>
        <w:t>附件</w:t>
      </w:r>
      <w:r>
        <w:rPr>
          <w:rFonts w:ascii="黑体" w:hAnsi="黑体" w:eastAsia="黑体" w:cs="黑体"/>
          <w:szCs w:val="32"/>
        </w:rPr>
        <w:t>2</w:t>
      </w:r>
    </w:p>
    <w:p>
      <w:pPr>
        <w:spacing w:afterLines="25" w:line="580" w:lineRule="exact"/>
        <w:ind w:firstLine="2160" w:firstLineChars="600"/>
        <w:rPr>
          <w:rFonts w:ascii="方正小标宋_GBK" w:eastAsia="方正小标宋_GBK"/>
          <w:color w:val="000000"/>
          <w:sz w:val="36"/>
          <w:szCs w:val="44"/>
        </w:rPr>
      </w:pPr>
      <w:r>
        <w:rPr>
          <w:rFonts w:hint="eastAsia" w:ascii="方正小标宋_GBK" w:eastAsia="方正小标宋_GBK"/>
          <w:color w:val="000000"/>
          <w:sz w:val="36"/>
          <w:szCs w:val="44"/>
        </w:rPr>
        <w:t>西安市</w:t>
      </w:r>
      <w:r>
        <w:rPr>
          <w:rFonts w:hint="eastAsia" w:ascii="方正小标宋_GBK" w:hAnsi="宋体" w:eastAsia="方正小标宋_GBK" w:cs="宋体"/>
          <w:color w:val="000000"/>
          <w:sz w:val="36"/>
          <w:szCs w:val="44"/>
        </w:rPr>
        <w:t>鄠</w:t>
      </w:r>
      <w:r>
        <w:rPr>
          <w:rFonts w:hint="eastAsia" w:ascii="方正小标宋_GBK" w:eastAsia="方正小标宋_GBK"/>
          <w:color w:val="000000"/>
          <w:sz w:val="36"/>
          <w:szCs w:val="44"/>
        </w:rPr>
        <w:t>邑区创建全国基层中医药工作示范区（县）任务分解表</w:t>
      </w:r>
    </w:p>
    <w:tbl>
      <w:tblPr>
        <w:tblStyle w:val="6"/>
        <w:tblW w:w="14024"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57" w:type="dxa"/>
          <w:bottom w:w="0" w:type="dxa"/>
          <w:right w:w="57" w:type="dxa"/>
        </w:tblCellMar>
      </w:tblPr>
      <w:tblGrid>
        <w:gridCol w:w="699"/>
        <w:gridCol w:w="625"/>
        <w:gridCol w:w="9723"/>
        <w:gridCol w:w="1276"/>
        <w:gridCol w:w="1701"/>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522" w:hRule="atLeast"/>
          <w:tblHeader/>
          <w:jc w:val="center"/>
        </w:trPr>
        <w:tc>
          <w:tcPr>
            <w:tcW w:w="699" w:type="dxa"/>
            <w:tcBorders>
              <w:top w:val="single" w:color="auto" w:sz="8" w:space="0"/>
            </w:tcBorders>
            <w:vAlign w:val="center"/>
          </w:tcPr>
          <w:p>
            <w:pPr>
              <w:widowControl/>
              <w:spacing w:line="280" w:lineRule="exact"/>
              <w:jc w:val="center"/>
              <w:rPr>
                <w:rFonts w:ascii="仿宋_GB2312" w:hAnsi="宋体" w:eastAsia="仿宋_GB2312" w:cs="宋体"/>
                <w:bCs/>
                <w:color w:val="000000"/>
                <w:kern w:val="0"/>
                <w:sz w:val="24"/>
                <w:szCs w:val="24"/>
              </w:rPr>
            </w:pPr>
            <w:r>
              <w:rPr>
                <w:rFonts w:hint="eastAsia" w:ascii="仿宋_GB2312" w:hAnsi="宋体" w:eastAsia="仿宋_GB2312" w:cs="宋体"/>
                <w:bCs/>
                <w:color w:val="000000"/>
                <w:kern w:val="0"/>
                <w:sz w:val="24"/>
                <w:szCs w:val="24"/>
              </w:rPr>
              <w:t>序号</w:t>
            </w:r>
          </w:p>
        </w:tc>
        <w:tc>
          <w:tcPr>
            <w:tcW w:w="10348" w:type="dxa"/>
            <w:gridSpan w:val="2"/>
            <w:tcBorders>
              <w:top w:val="single" w:color="auto" w:sz="8" w:space="0"/>
            </w:tcBorders>
            <w:vAlign w:val="center"/>
          </w:tcPr>
          <w:p>
            <w:pPr>
              <w:widowControl/>
              <w:spacing w:line="280" w:lineRule="exact"/>
              <w:jc w:val="center"/>
              <w:rPr>
                <w:rFonts w:ascii="仿宋_GB2312" w:hAnsi="宋体" w:eastAsia="仿宋_GB2312" w:cs="宋体"/>
                <w:bCs/>
                <w:color w:val="000000"/>
                <w:kern w:val="0"/>
                <w:sz w:val="24"/>
                <w:szCs w:val="24"/>
              </w:rPr>
            </w:pPr>
            <w:r>
              <w:rPr>
                <w:rFonts w:hint="eastAsia" w:ascii="仿宋_GB2312" w:hAnsi="宋体" w:eastAsia="仿宋_GB2312" w:cs="宋体"/>
                <w:bCs/>
                <w:color w:val="000000"/>
                <w:kern w:val="0"/>
                <w:sz w:val="24"/>
                <w:szCs w:val="24"/>
              </w:rPr>
              <w:t>主</w:t>
            </w:r>
            <w:r>
              <w:rPr>
                <w:rFonts w:ascii="仿宋_GB2312" w:hAnsi="宋体" w:eastAsia="仿宋_GB2312" w:cs="宋体"/>
                <w:bCs/>
                <w:color w:val="000000"/>
                <w:kern w:val="0"/>
                <w:sz w:val="24"/>
                <w:szCs w:val="24"/>
              </w:rPr>
              <w:t xml:space="preserve">  </w:t>
            </w:r>
            <w:r>
              <w:rPr>
                <w:rFonts w:hint="eastAsia" w:ascii="仿宋_GB2312" w:hAnsi="宋体" w:eastAsia="仿宋_GB2312" w:cs="宋体"/>
                <w:bCs/>
                <w:color w:val="000000"/>
                <w:kern w:val="0"/>
                <w:sz w:val="24"/>
                <w:szCs w:val="24"/>
              </w:rPr>
              <w:t>要</w:t>
            </w:r>
            <w:r>
              <w:rPr>
                <w:rFonts w:ascii="仿宋_GB2312" w:hAnsi="宋体" w:eastAsia="仿宋_GB2312" w:cs="宋体"/>
                <w:bCs/>
                <w:color w:val="000000"/>
                <w:kern w:val="0"/>
                <w:sz w:val="24"/>
                <w:szCs w:val="24"/>
              </w:rPr>
              <w:t xml:space="preserve">  </w:t>
            </w:r>
            <w:r>
              <w:rPr>
                <w:rFonts w:hint="eastAsia" w:ascii="仿宋_GB2312" w:hAnsi="宋体" w:eastAsia="仿宋_GB2312" w:cs="宋体"/>
                <w:bCs/>
                <w:color w:val="000000"/>
                <w:kern w:val="0"/>
                <w:sz w:val="24"/>
                <w:szCs w:val="24"/>
              </w:rPr>
              <w:t>任</w:t>
            </w:r>
            <w:r>
              <w:rPr>
                <w:rFonts w:ascii="仿宋_GB2312" w:hAnsi="宋体" w:eastAsia="仿宋_GB2312" w:cs="宋体"/>
                <w:bCs/>
                <w:color w:val="000000"/>
                <w:kern w:val="0"/>
                <w:sz w:val="24"/>
                <w:szCs w:val="24"/>
              </w:rPr>
              <w:t xml:space="preserve">  </w:t>
            </w:r>
            <w:r>
              <w:rPr>
                <w:rFonts w:hint="eastAsia" w:ascii="仿宋_GB2312" w:hAnsi="宋体" w:eastAsia="仿宋_GB2312" w:cs="宋体"/>
                <w:bCs/>
                <w:color w:val="000000"/>
                <w:kern w:val="0"/>
                <w:sz w:val="24"/>
                <w:szCs w:val="24"/>
              </w:rPr>
              <w:t>务</w:t>
            </w:r>
          </w:p>
        </w:tc>
        <w:tc>
          <w:tcPr>
            <w:tcW w:w="1276" w:type="dxa"/>
            <w:tcBorders>
              <w:top w:val="single" w:color="auto" w:sz="8" w:space="0"/>
            </w:tcBorders>
            <w:vAlign w:val="center"/>
          </w:tcPr>
          <w:p>
            <w:pPr>
              <w:widowControl/>
              <w:spacing w:line="280" w:lineRule="exact"/>
              <w:jc w:val="center"/>
              <w:rPr>
                <w:rFonts w:ascii="仿宋_GB2312" w:hAnsi="宋体" w:eastAsia="仿宋_GB2312" w:cs="宋体"/>
                <w:bCs/>
                <w:color w:val="000000"/>
                <w:kern w:val="0"/>
                <w:sz w:val="24"/>
                <w:szCs w:val="24"/>
              </w:rPr>
            </w:pPr>
            <w:r>
              <w:rPr>
                <w:rFonts w:hint="eastAsia" w:ascii="仿宋_GB2312" w:hAnsi="宋体" w:eastAsia="仿宋_GB2312" w:cs="宋体"/>
                <w:bCs/>
                <w:color w:val="000000"/>
                <w:kern w:val="0"/>
                <w:sz w:val="24"/>
                <w:szCs w:val="24"/>
              </w:rPr>
              <w:t>牵头单位</w:t>
            </w:r>
          </w:p>
        </w:tc>
        <w:tc>
          <w:tcPr>
            <w:tcW w:w="1701" w:type="dxa"/>
            <w:tcBorders>
              <w:top w:val="single" w:color="auto" w:sz="8" w:space="0"/>
              <w:right w:val="single" w:color="auto" w:sz="4" w:space="0"/>
            </w:tcBorders>
            <w:vAlign w:val="center"/>
          </w:tcPr>
          <w:p>
            <w:pPr>
              <w:widowControl/>
              <w:spacing w:line="280" w:lineRule="exact"/>
              <w:jc w:val="center"/>
              <w:rPr>
                <w:rFonts w:ascii="仿宋_GB2312" w:hAnsi="宋体" w:eastAsia="仿宋_GB2312" w:cs="宋体"/>
                <w:bCs/>
                <w:color w:val="000000"/>
                <w:kern w:val="0"/>
                <w:sz w:val="24"/>
                <w:szCs w:val="24"/>
              </w:rPr>
            </w:pPr>
            <w:r>
              <w:rPr>
                <w:rFonts w:hint="eastAsia" w:ascii="仿宋_GB2312" w:hAnsi="宋体" w:eastAsia="仿宋_GB2312" w:cs="宋体"/>
                <w:bCs/>
                <w:color w:val="000000"/>
                <w:kern w:val="0"/>
                <w:sz w:val="24"/>
                <w:szCs w:val="24"/>
              </w:rPr>
              <w:t>涉及部门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73"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1</w:t>
            </w:r>
          </w:p>
        </w:tc>
        <w:tc>
          <w:tcPr>
            <w:tcW w:w="625" w:type="dxa"/>
            <w:vMerge w:val="restart"/>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组织管理</w:t>
            </w: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充分发挥党委在中医药工作中的核心领导作用，将中医药工作纳入政府议事日程，制定出台中医药发展政策文件。传达学习习近平总书记关于中医药工作的重要论述，《中华人民共和国中医药法》</w:t>
            </w:r>
            <w:r>
              <w:rPr>
                <w:rFonts w:ascii="仿宋_GB2312" w:hAnsi="宋体" w:eastAsia="仿宋_GB2312" w:cs="宋体"/>
                <w:color w:val="000000"/>
                <w:kern w:val="0"/>
                <w:sz w:val="21"/>
                <w:szCs w:val="21"/>
              </w:rPr>
              <w:t xml:space="preserve"> </w:t>
            </w:r>
            <w:r>
              <w:rPr>
                <w:rFonts w:hint="eastAsia" w:ascii="仿宋_GB2312" w:hAnsi="宋体" w:eastAsia="仿宋_GB2312" w:cs="宋体"/>
                <w:color w:val="000000"/>
                <w:kern w:val="0"/>
                <w:sz w:val="21"/>
                <w:szCs w:val="21"/>
              </w:rPr>
              <w:t>《中共中央国务院关于促进中医药传承创新发展的意见》及其他相关政策文件等。</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区政府办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28"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2</w:t>
            </w:r>
          </w:p>
        </w:tc>
        <w:tc>
          <w:tcPr>
            <w:tcW w:w="625" w:type="dxa"/>
            <w:vMerge w:val="continue"/>
            <w:vAlign w:val="center"/>
          </w:tcPr>
          <w:p>
            <w:pPr>
              <w:widowControl/>
              <w:spacing w:line="280" w:lineRule="exact"/>
              <w:jc w:val="center"/>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将中医药工作纳入国民经济和社会发展规则、卫生健康事业发展规划和政府年度工作目标。制定中医药中长期发展规划并组织实施。</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区发改委</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38"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3</w:t>
            </w:r>
          </w:p>
        </w:tc>
        <w:tc>
          <w:tcPr>
            <w:tcW w:w="625" w:type="dxa"/>
            <w:vMerge w:val="continue"/>
            <w:vAlign w:val="center"/>
          </w:tcPr>
          <w:p>
            <w:pPr>
              <w:widowControl/>
              <w:spacing w:line="280" w:lineRule="exact"/>
              <w:jc w:val="center"/>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区政府建立中医药工作部门联席会议制度或中医药工作领导小组，定期召开会议，研究协调解决中医药发展相关事宜，统筹推进中医药事业发展。</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8"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4</w:t>
            </w:r>
          </w:p>
        </w:tc>
        <w:tc>
          <w:tcPr>
            <w:tcW w:w="625" w:type="dxa"/>
            <w:vMerge w:val="continue"/>
            <w:vAlign w:val="center"/>
          </w:tcPr>
          <w:p>
            <w:pPr>
              <w:widowControl/>
              <w:spacing w:line="280" w:lineRule="exact"/>
              <w:jc w:val="center"/>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加强全国基层中医药工作示范区（县）创建工作体系建设，制定创建工作实施方案，组织健全，成员单位分工明确、职责落实。基层中医药工作年度有计划、有部署、有检查、有考核、有总结。</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8"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5</w:t>
            </w:r>
          </w:p>
        </w:tc>
        <w:tc>
          <w:tcPr>
            <w:tcW w:w="625" w:type="dxa"/>
            <w:vMerge w:val="continue"/>
            <w:vAlign w:val="center"/>
          </w:tcPr>
          <w:p>
            <w:pPr>
              <w:widowControl/>
              <w:spacing w:line="280" w:lineRule="exact"/>
              <w:jc w:val="center"/>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b/>
                <w:bCs/>
                <w:color w:val="000000"/>
                <w:kern w:val="0"/>
                <w:sz w:val="21"/>
                <w:szCs w:val="21"/>
              </w:rPr>
            </w:pPr>
            <w:r>
              <w:rPr>
                <w:rFonts w:hint="eastAsia" w:ascii="仿宋_GB2312" w:hAnsi="宋体" w:eastAsia="仿宋_GB2312" w:cs="宋体"/>
                <w:color w:val="000000"/>
                <w:kern w:val="0"/>
                <w:sz w:val="21"/>
                <w:szCs w:val="21"/>
              </w:rPr>
              <w:t>畅通全国基层中医药工作示范区（县）建议和投诉平台，认真核实和解决群众反映的问题。群众对中医药服务满意率≥</w:t>
            </w:r>
            <w:r>
              <w:rPr>
                <w:rFonts w:ascii="仿宋_GB2312" w:hAnsi="宋体" w:eastAsia="仿宋_GB2312" w:cs="宋体"/>
                <w:color w:val="000000"/>
                <w:kern w:val="0"/>
                <w:sz w:val="21"/>
                <w:szCs w:val="21"/>
              </w:rPr>
              <w:t>90%</w:t>
            </w:r>
            <w:r>
              <w:rPr>
                <w:rFonts w:hint="eastAsia" w:ascii="仿宋_GB2312" w:hAnsi="宋体" w:eastAsia="仿宋_GB2312" w:cs="宋体"/>
                <w:color w:val="000000"/>
                <w:kern w:val="0"/>
                <w:sz w:val="21"/>
                <w:szCs w:val="21"/>
              </w:rPr>
              <w:t>。</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80"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6</w:t>
            </w:r>
          </w:p>
        </w:tc>
        <w:tc>
          <w:tcPr>
            <w:tcW w:w="625" w:type="dxa"/>
            <w:vMerge w:val="restart"/>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促进发展</w:t>
            </w: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区卫生健康部门设立中医药工作管理机构，配备专职干部；分管领导和专职干部熟悉中医药政策，组织并协调各相关部门落实基层中医药工作。</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区委编办</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87"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7</w:t>
            </w:r>
          </w:p>
        </w:tc>
        <w:tc>
          <w:tcPr>
            <w:tcW w:w="625" w:type="dxa"/>
            <w:vMerge w:val="continue"/>
            <w:vAlign w:val="center"/>
          </w:tcPr>
          <w:p>
            <w:pPr>
              <w:widowControl/>
              <w:spacing w:line="280" w:lineRule="exact"/>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加大中医药宣传推广力度，将《中国公民中医养生保健素养》《健康教育中医药基本内容》和中医药科普知识作为健康教育重要内容加以推广。加大新闻媒体对中医药宣传力度，加强和规范中医药养生保健知识传播，营造本区城乡居民知中医、信中医、用中医、爱中医的社会氛围。</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区委宣传部</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82" w:hRule="exact"/>
          <w:jc w:val="center"/>
        </w:trPr>
        <w:tc>
          <w:tcPr>
            <w:tcW w:w="699" w:type="dxa"/>
            <w:tcBorders>
              <w:bottom w:val="single" w:color="auto" w:sz="8" w:space="0"/>
            </w:tcBorders>
            <w:vAlign w:val="center"/>
          </w:tcPr>
          <w:p>
            <w:pPr>
              <w:widowControl/>
              <w:spacing w:line="280" w:lineRule="exact"/>
              <w:rPr>
                <w:rFonts w:ascii="仿宋_GB2312" w:hAnsi="宋体" w:eastAsia="仿宋_GB2312" w:cs="宋体"/>
                <w:color w:val="000000"/>
                <w:kern w:val="0"/>
                <w:sz w:val="21"/>
                <w:szCs w:val="21"/>
              </w:rPr>
            </w:pPr>
          </w:p>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8</w:t>
            </w:r>
          </w:p>
        </w:tc>
        <w:tc>
          <w:tcPr>
            <w:tcW w:w="625" w:type="dxa"/>
            <w:vMerge w:val="continue"/>
            <w:tcBorders>
              <w:bottom w:val="single" w:color="auto" w:sz="8" w:space="0"/>
            </w:tcBorders>
            <w:vAlign w:val="center"/>
          </w:tcPr>
          <w:p>
            <w:pPr>
              <w:widowControl/>
              <w:spacing w:line="280" w:lineRule="exact"/>
              <w:rPr>
                <w:rFonts w:ascii="仿宋_GB2312" w:hAnsi="宋体" w:eastAsia="仿宋_GB2312" w:cs="宋体"/>
                <w:color w:val="000000"/>
                <w:kern w:val="0"/>
                <w:sz w:val="21"/>
                <w:szCs w:val="21"/>
              </w:rPr>
            </w:pPr>
          </w:p>
        </w:tc>
        <w:tc>
          <w:tcPr>
            <w:tcW w:w="9723" w:type="dxa"/>
            <w:tcBorders>
              <w:bottom w:val="single" w:color="auto" w:sz="8" w:space="0"/>
            </w:tcBorders>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制定支持引进和培养中医药高端人才的政策。对长期服务基层的中医医师职称晋升有倾斜政策。建立本地区中医师承培养制度，与职称评审、评优评先等挂钩。完善公立中医医疗机构薪酬制度。鼓励退休中医医师到基层服务。</w:t>
            </w:r>
          </w:p>
        </w:tc>
        <w:tc>
          <w:tcPr>
            <w:tcW w:w="1276" w:type="dxa"/>
            <w:tcBorders>
              <w:bottom w:val="single" w:color="auto" w:sz="8" w:space="0"/>
            </w:tcBorders>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bottom w:val="single" w:color="auto" w:sz="8" w:space="0"/>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区委组织部</w:t>
            </w:r>
          </w:p>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区人社局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225" w:hRule="exact"/>
          <w:jc w:val="center"/>
        </w:trPr>
        <w:tc>
          <w:tcPr>
            <w:tcW w:w="699" w:type="dxa"/>
            <w:tcBorders>
              <w:top w:val="single" w:color="auto" w:sz="8" w:space="0"/>
            </w:tcBorders>
            <w:vAlign w:val="center"/>
          </w:tcPr>
          <w:p>
            <w:pPr>
              <w:widowControl/>
              <w:spacing w:line="280" w:lineRule="exact"/>
              <w:rPr>
                <w:rFonts w:ascii="仿宋_GB2312" w:hAnsi="宋体" w:eastAsia="仿宋_GB2312" w:cs="宋体"/>
                <w:color w:val="000000"/>
                <w:kern w:val="0"/>
                <w:sz w:val="21"/>
                <w:szCs w:val="21"/>
              </w:rPr>
            </w:pPr>
          </w:p>
          <w:p>
            <w:pPr>
              <w:widowControl/>
              <w:spacing w:line="280" w:lineRule="exact"/>
              <w:ind w:firstLine="210" w:firstLineChars="100"/>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9</w:t>
            </w:r>
          </w:p>
        </w:tc>
        <w:tc>
          <w:tcPr>
            <w:tcW w:w="625" w:type="dxa"/>
            <w:vMerge w:val="restart"/>
            <w:tcBorders>
              <w:top w:val="single" w:color="auto" w:sz="8" w:space="0"/>
            </w:tcBorders>
            <w:vAlign w:val="center"/>
          </w:tcPr>
          <w:p>
            <w:pPr>
              <w:widowControl/>
              <w:spacing w:line="280" w:lineRule="exact"/>
              <w:rPr>
                <w:rFonts w:ascii="仿宋_GB2312" w:hAnsi="宋体" w:eastAsia="仿宋_GB2312" w:cs="宋体"/>
                <w:color w:val="000000"/>
                <w:kern w:val="0"/>
                <w:sz w:val="21"/>
                <w:szCs w:val="21"/>
              </w:rPr>
            </w:pPr>
          </w:p>
          <w:p>
            <w:pPr>
              <w:rPr>
                <w:rFonts w:ascii="仿宋_GB2312" w:hAnsi="宋体" w:eastAsia="仿宋_GB2312" w:cs="宋体"/>
                <w:sz w:val="21"/>
                <w:szCs w:val="21"/>
              </w:rPr>
            </w:pPr>
          </w:p>
          <w:p>
            <w:pPr>
              <w:rPr>
                <w:rFonts w:ascii="仿宋_GB2312" w:hAnsi="宋体" w:eastAsia="仿宋_GB2312" w:cs="宋体"/>
                <w:sz w:val="21"/>
                <w:szCs w:val="21"/>
              </w:rPr>
            </w:pPr>
          </w:p>
          <w:p>
            <w:pPr>
              <w:rPr>
                <w:rFonts w:ascii="仿宋_GB2312" w:hAnsi="宋体" w:eastAsia="仿宋_GB2312" w:cs="宋体"/>
                <w:sz w:val="21"/>
                <w:szCs w:val="21"/>
              </w:rPr>
            </w:pPr>
          </w:p>
          <w:p>
            <w:pPr>
              <w:rPr>
                <w:rFonts w:ascii="仿宋_GB2312" w:hAnsi="宋体" w:eastAsia="仿宋_GB2312" w:cs="宋体"/>
                <w:sz w:val="21"/>
                <w:szCs w:val="21"/>
              </w:rPr>
            </w:pPr>
          </w:p>
          <w:p>
            <w:pPr>
              <w:rPr>
                <w:rFonts w:ascii="仿宋_GB2312" w:hAnsi="宋体" w:eastAsia="仿宋_GB2312" w:cs="宋体"/>
                <w:sz w:val="21"/>
                <w:szCs w:val="21"/>
              </w:rPr>
            </w:pPr>
          </w:p>
          <w:p>
            <w:pPr>
              <w:rPr>
                <w:rFonts w:ascii="仿宋_GB2312" w:hAnsi="宋体" w:eastAsia="仿宋_GB2312" w:cs="宋体"/>
                <w:sz w:val="21"/>
                <w:szCs w:val="21"/>
              </w:rPr>
            </w:pPr>
          </w:p>
          <w:p>
            <w:pPr>
              <w:rPr>
                <w:rFonts w:ascii="仿宋_GB2312" w:hAnsi="宋体" w:eastAsia="仿宋_GB2312" w:cs="宋体"/>
                <w:sz w:val="21"/>
                <w:szCs w:val="21"/>
              </w:rPr>
            </w:pPr>
          </w:p>
          <w:p>
            <w:pPr>
              <w:rPr>
                <w:rFonts w:ascii="仿宋_GB2312" w:hAnsi="宋体" w:eastAsia="仿宋_GB2312" w:cs="宋体"/>
                <w:sz w:val="21"/>
                <w:szCs w:val="21"/>
              </w:rPr>
            </w:pPr>
          </w:p>
          <w:p>
            <w:pPr>
              <w:rPr>
                <w:rFonts w:ascii="仿宋_GB2312" w:hAnsi="宋体" w:eastAsia="仿宋_GB2312" w:cs="宋体"/>
                <w:sz w:val="21"/>
                <w:szCs w:val="21"/>
              </w:rPr>
            </w:pPr>
          </w:p>
          <w:p>
            <w:pPr>
              <w:rPr>
                <w:rFonts w:ascii="仿宋_GB2312" w:hAnsi="宋体" w:eastAsia="仿宋_GB2312" w:cs="宋体"/>
                <w:sz w:val="21"/>
                <w:szCs w:val="21"/>
              </w:rPr>
            </w:pPr>
          </w:p>
          <w:p>
            <w:pPr>
              <w:rPr>
                <w:rFonts w:ascii="仿宋_GB2312" w:hAnsi="宋体" w:eastAsia="仿宋_GB2312" w:cs="宋体"/>
                <w:sz w:val="21"/>
                <w:szCs w:val="21"/>
              </w:rPr>
            </w:pPr>
          </w:p>
          <w:p>
            <w:pPr>
              <w:rPr>
                <w:rFonts w:ascii="仿宋_GB2312" w:hAnsi="宋体" w:eastAsia="仿宋_GB2312" w:cs="宋体"/>
                <w:sz w:val="21"/>
                <w:szCs w:val="21"/>
              </w:rPr>
            </w:pPr>
          </w:p>
          <w:p>
            <w:pPr>
              <w:rPr>
                <w:rFonts w:ascii="仿宋_GB2312" w:hAnsi="宋体" w:eastAsia="仿宋_GB2312" w:cs="宋体"/>
                <w:sz w:val="21"/>
                <w:szCs w:val="21"/>
              </w:rPr>
            </w:pPr>
          </w:p>
          <w:p>
            <w:pPr>
              <w:rPr>
                <w:rFonts w:ascii="仿宋_GB2312" w:hAnsi="宋体" w:eastAsia="仿宋_GB2312" w:cs="宋体"/>
                <w:sz w:val="21"/>
                <w:szCs w:val="21"/>
              </w:rPr>
            </w:pPr>
          </w:p>
        </w:tc>
        <w:tc>
          <w:tcPr>
            <w:tcW w:w="9723" w:type="dxa"/>
            <w:tcBorders>
              <w:top w:val="single" w:color="auto" w:sz="8" w:space="0"/>
            </w:tcBorders>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加大财政支持力度，设立中医药财政专项，保障本区中医药事业发展。建立持续稳定的中医药发展多元投入机制。督促区财政部门落实中医药发展财政投入政策。除国家基本公共卫生服务项目经费之外，应有用于其它中医药健康管理服务项目的经费。在区级公立医院综合改革中，落实政府对公立中医医院的投入倾斜政策，完善有利于中医药特色优势发挥的补偿机制。</w:t>
            </w:r>
          </w:p>
        </w:tc>
        <w:tc>
          <w:tcPr>
            <w:tcW w:w="1276" w:type="dxa"/>
            <w:tcBorders>
              <w:top w:val="single" w:color="auto" w:sz="8" w:space="0"/>
            </w:tcBorders>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top w:val="single" w:color="auto" w:sz="8" w:space="0"/>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69"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10</w:t>
            </w:r>
          </w:p>
        </w:tc>
        <w:tc>
          <w:tcPr>
            <w:tcW w:w="625" w:type="dxa"/>
            <w:vMerge w:val="continue"/>
            <w:vAlign w:val="center"/>
          </w:tcPr>
          <w:p>
            <w:pPr>
              <w:widowControl/>
              <w:spacing w:line="280" w:lineRule="exact"/>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加大对中医药发展投资力度，保障本区域中医医疗机构的立项、建设和政府投入，改善中医医院办院条件，扩大优质服务供给。切实保障区域公立中医类医院、基层医疗卫生机构中医科室、村卫生室建设及设施设备的投入责任落实。</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区发改委</w:t>
            </w:r>
          </w:p>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区财政局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19"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11</w:t>
            </w:r>
          </w:p>
        </w:tc>
        <w:tc>
          <w:tcPr>
            <w:tcW w:w="625" w:type="dxa"/>
            <w:vMerge w:val="continue"/>
            <w:vAlign w:val="center"/>
          </w:tcPr>
          <w:p>
            <w:pPr>
              <w:widowControl/>
              <w:spacing w:line="280" w:lineRule="exact"/>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根据本区的医疗服务规划，监督和保障本区域中医诊疗中心和公立中医医疗机构用地的规划、审批。</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1"/>
                <w:szCs w:val="21"/>
              </w:rPr>
              <w:t>区资源规划分局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72"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12</w:t>
            </w:r>
          </w:p>
        </w:tc>
        <w:tc>
          <w:tcPr>
            <w:tcW w:w="625" w:type="dxa"/>
            <w:vMerge w:val="continue"/>
            <w:vAlign w:val="center"/>
          </w:tcPr>
          <w:p>
            <w:pPr>
              <w:widowControl/>
              <w:spacing w:line="280" w:lineRule="exact"/>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完善医疗保障支持中医药发展政策，建立以临床价值和技术劳务价值为主要依据的中医医疗服务技术评估体系，定期调整优化中医医疗服务项目及服务价格。组织制定适宜的中医药诊疗支付方式，推动地市级医保对中医药服务的优惠政策。</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区医保局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4"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13</w:t>
            </w:r>
          </w:p>
        </w:tc>
        <w:tc>
          <w:tcPr>
            <w:tcW w:w="625" w:type="dxa"/>
            <w:vMerge w:val="continue"/>
            <w:vAlign w:val="center"/>
          </w:tcPr>
          <w:p>
            <w:pPr>
              <w:widowControl/>
              <w:spacing w:line="280" w:lineRule="exact"/>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贯彻落实中医药医疗保障相关政策。定期调研，听取区医保局反映的基层中医医疗机构需求，将疗效和成本有优势的中医医疗服务项目、费用和价格等调整事项。向省级医保部门报请批准。审批医保单位时简化申请程序，开辟绿色通道，优先考虑中医医疗机构。</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区医保局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9"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14</w:t>
            </w:r>
          </w:p>
        </w:tc>
        <w:tc>
          <w:tcPr>
            <w:tcW w:w="625" w:type="dxa"/>
            <w:vMerge w:val="continue"/>
            <w:vAlign w:val="center"/>
          </w:tcPr>
          <w:p>
            <w:pPr>
              <w:widowControl/>
              <w:spacing w:line="280" w:lineRule="exact"/>
              <w:ind w:firstLine="420" w:firstLineChars="200"/>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加强中药质量安全监管。支持本区院内中药制剂发展，制定推广使用标准，并进行质量监管。支持有条件的街道和村自采、自种、自用中药材，并制定相关标准进行规范的质量管理。</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区市场监管局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41"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15</w:t>
            </w:r>
          </w:p>
        </w:tc>
        <w:tc>
          <w:tcPr>
            <w:tcW w:w="625" w:type="dxa"/>
            <w:vMerge w:val="continue"/>
            <w:vAlign w:val="center"/>
          </w:tcPr>
          <w:p>
            <w:pPr>
              <w:widowControl/>
              <w:spacing w:line="280" w:lineRule="exact"/>
              <w:ind w:firstLine="420" w:firstLineChars="200"/>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支持中医药信息化建设，改善各级医疗卫生机构信息化基础条件。推进基层中医药信息建设，加快基层医疗卫生机构中医药信息规范化进程。</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区大数据服务中心</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85"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16</w:t>
            </w:r>
          </w:p>
        </w:tc>
        <w:tc>
          <w:tcPr>
            <w:tcW w:w="625" w:type="dxa"/>
            <w:vMerge w:val="continue"/>
            <w:vAlign w:val="center"/>
          </w:tcPr>
          <w:p>
            <w:pPr>
              <w:widowControl/>
              <w:spacing w:line="280" w:lineRule="exact"/>
              <w:ind w:firstLine="420" w:firstLineChars="200"/>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将中医药科技发展纳入本区域科技发展的总体规划。制定支持促进中医药科技发展的政策措施和科研规划。组织本区域内重大中医药科研项目，促进本区域中医药科技发展。建立科技主管部门与中医药主管部门协同联动的管理机制。</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区教科局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41"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p>
          <w:p>
            <w:pPr>
              <w:widowControl/>
              <w:spacing w:line="280" w:lineRule="exact"/>
              <w:jc w:val="center"/>
              <w:rPr>
                <w:rFonts w:ascii="仿宋_GB2312" w:hAnsi="宋体" w:eastAsia="仿宋_GB2312" w:cs="宋体"/>
                <w:sz w:val="21"/>
                <w:szCs w:val="21"/>
              </w:rPr>
            </w:pPr>
            <w:r>
              <w:rPr>
                <w:rFonts w:ascii="仿宋_GB2312" w:hAnsi="宋体" w:eastAsia="仿宋_GB2312" w:cs="宋体"/>
                <w:color w:val="000000"/>
                <w:kern w:val="0"/>
                <w:sz w:val="21"/>
                <w:szCs w:val="21"/>
              </w:rPr>
              <w:t>17</w:t>
            </w:r>
          </w:p>
        </w:tc>
        <w:tc>
          <w:tcPr>
            <w:tcW w:w="625" w:type="dxa"/>
            <w:vMerge w:val="continue"/>
            <w:vAlign w:val="center"/>
          </w:tcPr>
          <w:p>
            <w:pPr>
              <w:widowControl/>
              <w:spacing w:line="280" w:lineRule="exact"/>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将中药制造纳入本区域工业发展的总体规划，加速构建中医药现代产业链，发展中医药加工制造业。</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区投资工信局</w:t>
            </w:r>
          </w:p>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区市场监管局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06"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18</w:t>
            </w:r>
          </w:p>
        </w:tc>
        <w:tc>
          <w:tcPr>
            <w:tcW w:w="625" w:type="dxa"/>
            <w:vMerge w:val="continue"/>
            <w:vAlign w:val="center"/>
          </w:tcPr>
          <w:p>
            <w:pPr>
              <w:widowControl/>
              <w:spacing w:line="280" w:lineRule="exact"/>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将中药商贸流通纳入本区域商贸流通体系建设总体规划，支持中药生产企业构建多形态商贸体系，发展中医药服务贸易。</w:t>
            </w:r>
          </w:p>
        </w:tc>
        <w:tc>
          <w:tcPr>
            <w:tcW w:w="1276" w:type="dxa"/>
            <w:vAlign w:val="center"/>
          </w:tcPr>
          <w:p>
            <w:pPr>
              <w:widowControl/>
              <w:spacing w:line="280" w:lineRule="exact"/>
              <w:jc w:val="center"/>
              <w:rPr>
                <w:rFonts w:ascii="仿宋_GB2312" w:hAnsi="宋体" w:eastAsia="仿宋_GB2312" w:cs="宋体"/>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区投资工信局</w:t>
            </w:r>
          </w:p>
          <w:p>
            <w:pPr>
              <w:widowControl/>
              <w:spacing w:line="280" w:lineRule="exact"/>
              <w:jc w:val="center"/>
              <w:rPr>
                <w:rFonts w:ascii="仿宋_GB2312" w:hAnsi="宋体" w:eastAsia="仿宋_GB2312" w:cs="宋体"/>
                <w:kern w:val="0"/>
                <w:sz w:val="21"/>
                <w:szCs w:val="21"/>
              </w:rPr>
            </w:pPr>
            <w:r>
              <w:rPr>
                <w:rFonts w:hint="eastAsia" w:ascii="仿宋_GB2312" w:hAnsi="宋体" w:eastAsia="仿宋_GB2312" w:cs="宋体"/>
                <w:kern w:val="0"/>
                <w:sz w:val="21"/>
                <w:szCs w:val="21"/>
              </w:rPr>
              <w:t>区市场监管局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19"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19</w:t>
            </w:r>
          </w:p>
        </w:tc>
        <w:tc>
          <w:tcPr>
            <w:tcW w:w="625" w:type="dxa"/>
            <w:vMerge w:val="continue"/>
            <w:vAlign w:val="center"/>
          </w:tcPr>
          <w:p>
            <w:pPr>
              <w:widowControl/>
              <w:spacing w:line="280" w:lineRule="exact"/>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推进中医药科普教育，丰富中医药文化教育内容和活动形式，组织本区中医药文化进校园工作。把中医药文化纳入中华传统文化课程。促进青少年了解中医药养生保健知识，促进身心健康。在本区内开设中医药职业教育，为当地乡村培养用得上、留得住的中医药人员或能中会西的乡村医生。</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p>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区教科局</w:t>
            </w:r>
          </w:p>
          <w:p>
            <w:pPr>
              <w:widowControl/>
              <w:spacing w:line="280" w:lineRule="exact"/>
              <w:jc w:val="center"/>
              <w:rPr>
                <w:rFonts w:ascii="仿宋_GB2312" w:hAnsi="宋体" w:eastAsia="仿宋_GB2312" w:cs="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94"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20</w:t>
            </w:r>
          </w:p>
        </w:tc>
        <w:tc>
          <w:tcPr>
            <w:tcW w:w="625" w:type="dxa"/>
            <w:vMerge w:val="continue"/>
            <w:vAlign w:val="center"/>
          </w:tcPr>
          <w:p>
            <w:pPr>
              <w:widowControl/>
              <w:spacing w:line="280" w:lineRule="exact"/>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制定本区中医药文化旅游计划，组织和指导开展本区域中医药文化旅游项目，作为促进本区域旅游产业特色优势和组成部分，推动本区的中医药文旅产业融合发展。</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区文旅局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224"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21</w:t>
            </w:r>
          </w:p>
        </w:tc>
        <w:tc>
          <w:tcPr>
            <w:tcW w:w="625" w:type="dxa"/>
            <w:vMerge w:val="continue"/>
            <w:vAlign w:val="center"/>
          </w:tcPr>
          <w:p>
            <w:pPr>
              <w:widowControl/>
              <w:spacing w:line="280" w:lineRule="exact"/>
              <w:ind w:firstLine="420" w:firstLineChars="200"/>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制定和指导本区把中医药产业发展作为乡村振兴的重要内容。鼓励有条件的街道开展中药材基地建设，生态化、规范化种植与当地相适应的中药材。开发药材深加工等产业，深入实施中药材产业乡村振兴行动。</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区农业农村局</w:t>
            </w:r>
          </w:p>
          <w:p>
            <w:pPr>
              <w:widowControl/>
              <w:spacing w:line="280" w:lineRule="exact"/>
              <w:jc w:val="center"/>
              <w:rPr>
                <w:rFonts w:ascii="仿宋_GB2312" w:hAnsi="宋体" w:eastAsia="仿宋_GB2312" w:cs="宋体"/>
                <w:color w:val="000000"/>
                <w:kern w:val="0"/>
                <w:sz w:val="20"/>
              </w:rPr>
            </w:pPr>
            <w:r>
              <w:rPr>
                <w:rFonts w:hint="eastAsia" w:ascii="仿宋_GB2312" w:hAnsi="宋体" w:eastAsia="仿宋_GB2312" w:cs="宋体"/>
                <w:color w:val="000000"/>
                <w:kern w:val="0"/>
                <w:sz w:val="21"/>
                <w:szCs w:val="21"/>
              </w:rPr>
              <w:t>区资源规划分局</w:t>
            </w:r>
          </w:p>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区乡村振兴局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79"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22</w:t>
            </w:r>
          </w:p>
        </w:tc>
        <w:tc>
          <w:tcPr>
            <w:tcW w:w="625" w:type="dxa"/>
            <w:vMerge w:val="continue"/>
            <w:vAlign w:val="center"/>
          </w:tcPr>
          <w:p>
            <w:pPr>
              <w:widowControl/>
              <w:spacing w:line="280" w:lineRule="exact"/>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仿宋" w:eastAsia="仿宋_GB2312" w:cs="仿宋"/>
                <w:sz w:val="21"/>
                <w:szCs w:val="21"/>
              </w:rPr>
            </w:pPr>
            <w:r>
              <w:rPr>
                <w:rFonts w:hint="eastAsia" w:ascii="仿宋_GB2312" w:hAnsi="宋体" w:eastAsia="仿宋_GB2312" w:cs="宋体"/>
                <w:color w:val="000000"/>
                <w:kern w:val="0"/>
                <w:sz w:val="21"/>
                <w:szCs w:val="21"/>
              </w:rPr>
              <w:t>制定开展传统健身活动计划，普及和推广太极拳、八段锦等养生保健方法。督导和推动各街道、村、开展中医体育活动。</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区文旅局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824"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23</w:t>
            </w:r>
          </w:p>
        </w:tc>
        <w:tc>
          <w:tcPr>
            <w:tcW w:w="625" w:type="dxa"/>
            <w:vMerge w:val="restart"/>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服务体系</w:t>
            </w: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将中医医疗机构建设纳入医疗机构设置规划，区中医医院达到二级甲等及以上标准。区中医医院成立“治未病”科和康复科，设置感染性疾病科，配置相关设施设备，开展相应工作。</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19"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24</w:t>
            </w:r>
          </w:p>
        </w:tc>
        <w:tc>
          <w:tcPr>
            <w:tcW w:w="625" w:type="dxa"/>
            <w:vMerge w:val="continue"/>
            <w:vAlign w:val="center"/>
          </w:tcPr>
          <w:p>
            <w:pPr>
              <w:widowControl/>
              <w:spacing w:line="280" w:lineRule="exact"/>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扶持有中医药特点和优势的医疗机构发展。政府举办的综合医院、妇幼保健机构等非中医类医疗机构设置的中医药科室要进行标准化建设，提升中医临床科室、中药房、煎药室等设施设备配置。</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64"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25</w:t>
            </w:r>
          </w:p>
        </w:tc>
        <w:tc>
          <w:tcPr>
            <w:tcW w:w="625" w:type="dxa"/>
            <w:vMerge w:val="continue"/>
            <w:vAlign w:val="center"/>
          </w:tcPr>
          <w:p>
            <w:pPr>
              <w:widowControl/>
              <w:spacing w:line="280" w:lineRule="exact"/>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中医医院发挥辐射带动作用，成立基层中医药指导科室，设置专人负责本区域中医医院和基层医疗卫生机构的中医药业务指导、人员培训等。区中医医院发挥龙头带动作用，成立基层中医药指导科室，设置专人负责本区域基层医疗卫生机构的中医药业务指导、人员培训等。</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34"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26</w:t>
            </w:r>
          </w:p>
        </w:tc>
        <w:tc>
          <w:tcPr>
            <w:tcW w:w="625" w:type="dxa"/>
            <w:vMerge w:val="continue"/>
            <w:vAlign w:val="center"/>
          </w:tcPr>
          <w:p>
            <w:pPr>
              <w:widowControl/>
              <w:spacing w:line="280" w:lineRule="exact"/>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区中医类医院牵头组建各种形式的医共体，医共体建设覆盖所有街道。区中医医院在医共体建设中充分发挥中医药辐射作用，力争覆盖人口不低于</w:t>
            </w:r>
            <w:r>
              <w:rPr>
                <w:rFonts w:ascii="仿宋_GB2312" w:hAnsi="宋体" w:eastAsia="仿宋_GB2312" w:cs="宋体"/>
                <w:color w:val="000000"/>
                <w:kern w:val="0"/>
                <w:sz w:val="21"/>
                <w:szCs w:val="21"/>
              </w:rPr>
              <w:t>30%</w:t>
            </w:r>
            <w:r>
              <w:rPr>
                <w:rFonts w:hint="eastAsia" w:ascii="仿宋_GB2312" w:hAnsi="宋体" w:eastAsia="仿宋_GB2312" w:cs="宋体"/>
                <w:color w:val="000000"/>
                <w:kern w:val="0"/>
                <w:sz w:val="21"/>
                <w:szCs w:val="21"/>
              </w:rPr>
              <w:t>。与基层医疗卫生机构建立对口支援关系的综合医院，应将中医药作为技术帮扶的重要内容。将符合条件的中医诊所纳入到医共体建设。</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99"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27</w:t>
            </w:r>
          </w:p>
        </w:tc>
        <w:tc>
          <w:tcPr>
            <w:tcW w:w="625" w:type="dxa"/>
            <w:vMerge w:val="continue"/>
            <w:vAlign w:val="center"/>
          </w:tcPr>
          <w:p>
            <w:pPr>
              <w:widowControl/>
              <w:spacing w:line="280" w:lineRule="exact"/>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卫生院</w:t>
            </w:r>
            <w:r>
              <w:rPr>
                <w:rFonts w:ascii="仿宋_GB2312" w:hAnsi="宋体" w:eastAsia="仿宋_GB2312" w:cs="宋体"/>
                <w:color w:val="000000"/>
                <w:kern w:val="0"/>
                <w:sz w:val="21"/>
                <w:szCs w:val="21"/>
              </w:rPr>
              <w:t>100%</w:t>
            </w:r>
            <w:r>
              <w:rPr>
                <w:rFonts w:hint="eastAsia" w:ascii="仿宋_GB2312" w:hAnsi="宋体" w:eastAsia="仿宋_GB2312" w:cs="宋体"/>
                <w:color w:val="000000"/>
                <w:kern w:val="0"/>
                <w:sz w:val="21"/>
                <w:szCs w:val="21"/>
              </w:rPr>
              <w:t>规范设置中医科、中药房、煎药室，配备中医诊疗设备，和卫生院</w:t>
            </w:r>
            <w:r>
              <w:rPr>
                <w:rFonts w:ascii="仿宋_GB2312" w:hAnsi="宋体" w:eastAsia="仿宋_GB2312" w:cs="宋体"/>
                <w:color w:val="000000"/>
                <w:kern w:val="0"/>
                <w:sz w:val="21"/>
                <w:szCs w:val="21"/>
              </w:rPr>
              <w:t>100%</w:t>
            </w:r>
            <w:r>
              <w:rPr>
                <w:rFonts w:hint="eastAsia" w:ascii="仿宋_GB2312" w:hAnsi="宋体" w:eastAsia="仿宋_GB2312" w:cs="宋体"/>
                <w:color w:val="000000"/>
                <w:kern w:val="0"/>
                <w:sz w:val="21"/>
                <w:szCs w:val="21"/>
              </w:rPr>
              <w:t>规范设置中医馆，设立康复科室。经信息化评审和现场抽查，基础设施和中医设备、药品配备达到国家标准。</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99"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28</w:t>
            </w:r>
          </w:p>
        </w:tc>
        <w:tc>
          <w:tcPr>
            <w:tcW w:w="625" w:type="dxa"/>
            <w:vMerge w:val="continue"/>
            <w:vAlign w:val="center"/>
          </w:tcPr>
          <w:p>
            <w:pPr>
              <w:widowControl/>
              <w:spacing w:line="280" w:lineRule="exact"/>
              <w:ind w:firstLine="420" w:firstLineChars="200"/>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村卫生室</w:t>
            </w:r>
            <w:r>
              <w:rPr>
                <w:rFonts w:ascii="仿宋_GB2312" w:hAnsi="宋体" w:eastAsia="仿宋_GB2312" w:cs="宋体"/>
                <w:color w:val="000000"/>
                <w:kern w:val="0"/>
                <w:sz w:val="21"/>
                <w:szCs w:val="21"/>
              </w:rPr>
              <w:t>100%</w:t>
            </w:r>
            <w:r>
              <w:rPr>
                <w:rFonts w:hint="eastAsia" w:ascii="仿宋_GB2312" w:hAnsi="宋体" w:eastAsia="仿宋_GB2312" w:cs="宋体"/>
                <w:color w:val="000000"/>
                <w:kern w:val="0"/>
                <w:sz w:val="21"/>
                <w:szCs w:val="21"/>
              </w:rPr>
              <w:t>具备提供中医药服务的场所和设施设备。推进“中医阁”建设，至少有</w:t>
            </w:r>
            <w:r>
              <w:rPr>
                <w:rFonts w:ascii="仿宋_GB2312" w:hAnsi="宋体" w:eastAsia="仿宋_GB2312" w:cs="宋体"/>
                <w:color w:val="000000"/>
                <w:kern w:val="0"/>
                <w:sz w:val="21"/>
                <w:szCs w:val="21"/>
              </w:rPr>
              <w:t>10%</w:t>
            </w:r>
            <w:r>
              <w:rPr>
                <w:rFonts w:hint="eastAsia" w:ascii="仿宋_GB2312" w:hAnsi="宋体" w:eastAsia="仿宋_GB2312" w:cs="宋体"/>
                <w:color w:val="000000"/>
                <w:kern w:val="0"/>
                <w:sz w:val="21"/>
                <w:szCs w:val="21"/>
              </w:rPr>
              <w:t>的村卫生室设置“中医阁”。经信息化评审和现场抽查，基础设施和中医设备、药品配备均达到评审指标要求。</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64"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29</w:t>
            </w:r>
          </w:p>
        </w:tc>
        <w:tc>
          <w:tcPr>
            <w:tcW w:w="625" w:type="dxa"/>
            <w:vMerge w:val="continue"/>
            <w:vAlign w:val="center"/>
          </w:tcPr>
          <w:p>
            <w:pPr>
              <w:widowControl/>
              <w:spacing w:line="280" w:lineRule="exact"/>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仿宋" w:eastAsia="仿宋_GB2312" w:cs="仿宋"/>
                <w:sz w:val="21"/>
                <w:szCs w:val="21"/>
              </w:rPr>
            </w:pPr>
            <w:r>
              <w:rPr>
                <w:rFonts w:hint="eastAsia" w:ascii="仿宋_GB2312" w:hAnsi="宋体" w:eastAsia="仿宋_GB2312" w:cs="宋体"/>
                <w:color w:val="000000"/>
                <w:kern w:val="0"/>
                <w:sz w:val="21"/>
                <w:szCs w:val="21"/>
              </w:rPr>
              <w:t>加强区中医医院及基层医疗卫生机构信息化建设。区中医医院电子病历达</w:t>
            </w:r>
            <w:r>
              <w:rPr>
                <w:rFonts w:ascii="仿宋_GB2312" w:hAnsi="宋体" w:eastAsia="仿宋_GB2312" w:cs="宋体"/>
                <w:color w:val="000000"/>
                <w:kern w:val="0"/>
                <w:sz w:val="21"/>
                <w:szCs w:val="21"/>
              </w:rPr>
              <w:t>4</w:t>
            </w:r>
            <w:r>
              <w:rPr>
                <w:rFonts w:hint="eastAsia" w:ascii="仿宋_GB2312" w:hAnsi="宋体" w:eastAsia="仿宋_GB2312" w:cs="宋体"/>
                <w:color w:val="000000"/>
                <w:kern w:val="0"/>
                <w:sz w:val="21"/>
                <w:szCs w:val="21"/>
              </w:rPr>
              <w:t>级水平，基层医疗卫生机构中医馆全部接入中医馆健康信息平台。实现区中医医院牵头的医联体内信息互通、共享。能按照国家卫生健康委和国家中医药管理局要求及时准确上报相关信息及统计数据。</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09"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30</w:t>
            </w:r>
          </w:p>
        </w:tc>
        <w:tc>
          <w:tcPr>
            <w:tcW w:w="625" w:type="dxa"/>
            <w:vMerge w:val="restart"/>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人才队伍建设</w:t>
            </w: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全区医疗卫生服务体系健全，机构设置、千人口医疗卫生机构床位数、每千常住人口执业（助理）医师数和注册护士数、每千常住人口公共卫生人员数、每万常住人口全科医生数、医护比、中医药人员占比等指标符合所在地区域卫生规划要求。达到城乡每万名居民有</w:t>
            </w:r>
            <w:r>
              <w:rPr>
                <w:rFonts w:ascii="仿宋_GB2312" w:hAnsi="宋体" w:eastAsia="仿宋_GB2312" w:cs="宋体"/>
                <w:color w:val="000000"/>
                <w:kern w:val="0"/>
                <w:sz w:val="21"/>
                <w:szCs w:val="21"/>
              </w:rPr>
              <w:t>0.6-0.8</w:t>
            </w:r>
            <w:r>
              <w:rPr>
                <w:rFonts w:hint="eastAsia" w:ascii="仿宋_GB2312" w:hAnsi="宋体" w:eastAsia="仿宋_GB2312" w:cs="宋体"/>
                <w:color w:val="000000"/>
                <w:kern w:val="0"/>
                <w:sz w:val="21"/>
                <w:szCs w:val="21"/>
              </w:rPr>
              <w:t>名合格的中医类别全科医生。</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区委编办</w:t>
            </w:r>
            <w:r>
              <w:rPr>
                <w:rFonts w:ascii="仿宋_GB2312" w:hAnsi="宋体" w:eastAsia="仿宋_GB2312" w:cs="宋体"/>
                <w:color w:val="000000"/>
                <w:kern w:val="0"/>
                <w:sz w:val="21"/>
                <w:szCs w:val="21"/>
              </w:rPr>
              <w:t xml:space="preserve"> </w:t>
            </w:r>
          </w:p>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区人社局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64"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31</w:t>
            </w:r>
          </w:p>
        </w:tc>
        <w:tc>
          <w:tcPr>
            <w:tcW w:w="625" w:type="dxa"/>
            <w:vMerge w:val="continue"/>
            <w:vAlign w:val="center"/>
          </w:tcPr>
          <w:p>
            <w:pPr>
              <w:widowControl/>
              <w:spacing w:line="280" w:lineRule="exact"/>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100%</w:t>
            </w:r>
            <w:r>
              <w:rPr>
                <w:rFonts w:hint="eastAsia" w:ascii="仿宋_GB2312" w:hAnsi="宋体" w:eastAsia="仿宋_GB2312" w:cs="宋体"/>
                <w:color w:val="000000"/>
                <w:kern w:val="0"/>
                <w:sz w:val="21"/>
                <w:szCs w:val="21"/>
              </w:rPr>
              <w:t>区中医医院中医类别医师占本机构医师总数的比例达到</w:t>
            </w:r>
            <w:r>
              <w:rPr>
                <w:rFonts w:ascii="仿宋_GB2312" w:hAnsi="宋体" w:eastAsia="仿宋_GB2312" w:cs="宋体"/>
                <w:color w:val="000000"/>
                <w:kern w:val="0"/>
                <w:sz w:val="21"/>
                <w:szCs w:val="21"/>
              </w:rPr>
              <w:t>60%</w:t>
            </w:r>
            <w:r>
              <w:rPr>
                <w:rFonts w:hint="eastAsia" w:ascii="仿宋_GB2312" w:hAnsi="宋体" w:eastAsia="仿宋_GB2312" w:cs="宋体"/>
                <w:color w:val="000000"/>
                <w:kern w:val="0"/>
                <w:sz w:val="21"/>
                <w:szCs w:val="21"/>
              </w:rPr>
              <w:t>以上。</w:t>
            </w:r>
            <w:r>
              <w:rPr>
                <w:rFonts w:ascii="仿宋_GB2312" w:hAnsi="宋体" w:eastAsia="仿宋_GB2312" w:cs="宋体"/>
                <w:color w:val="000000"/>
                <w:kern w:val="0"/>
                <w:sz w:val="21"/>
                <w:szCs w:val="21"/>
              </w:rPr>
              <w:t>100%</w:t>
            </w:r>
            <w:r>
              <w:rPr>
                <w:rFonts w:hint="eastAsia" w:ascii="仿宋_GB2312" w:hAnsi="宋体" w:eastAsia="仿宋_GB2312" w:cs="宋体"/>
                <w:color w:val="000000"/>
                <w:kern w:val="0"/>
                <w:sz w:val="21"/>
                <w:szCs w:val="21"/>
              </w:rPr>
              <w:t>的卫生院中医类别医师（包括执业注册在卫生院的其他医疗机构在职和退休中医人员）占本机构医师总数的比例达到</w:t>
            </w:r>
            <w:r>
              <w:rPr>
                <w:rFonts w:ascii="仿宋_GB2312" w:hAnsi="宋体" w:eastAsia="仿宋_GB2312" w:cs="宋体"/>
                <w:color w:val="000000"/>
                <w:kern w:val="0"/>
                <w:sz w:val="21"/>
                <w:szCs w:val="21"/>
              </w:rPr>
              <w:t>25%</w:t>
            </w:r>
            <w:r>
              <w:rPr>
                <w:rFonts w:hint="eastAsia" w:ascii="仿宋_GB2312" w:hAnsi="宋体" w:eastAsia="仿宋_GB2312" w:cs="宋体"/>
                <w:color w:val="000000"/>
                <w:kern w:val="0"/>
                <w:sz w:val="21"/>
                <w:szCs w:val="21"/>
              </w:rPr>
              <w:t>以上；其中每个卫生院至少有</w:t>
            </w:r>
            <w:r>
              <w:rPr>
                <w:rFonts w:ascii="仿宋_GB2312" w:hAnsi="宋体" w:eastAsia="仿宋_GB2312" w:cs="宋体"/>
                <w:color w:val="000000"/>
                <w:kern w:val="0"/>
                <w:sz w:val="21"/>
                <w:szCs w:val="21"/>
              </w:rPr>
              <w:t>1</w:t>
            </w:r>
            <w:r>
              <w:rPr>
                <w:rFonts w:hint="eastAsia" w:ascii="仿宋_GB2312" w:hAnsi="宋体" w:eastAsia="仿宋_GB2312" w:cs="宋体"/>
                <w:color w:val="000000"/>
                <w:kern w:val="0"/>
                <w:sz w:val="21"/>
                <w:szCs w:val="21"/>
              </w:rPr>
              <w:t>名中级以上专业技术职务任职资格的中医类别医师。经信息化评审和现场抽查，人员配备均达到标准。</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区委编办</w:t>
            </w:r>
            <w:r>
              <w:rPr>
                <w:rFonts w:ascii="仿宋_GB2312" w:hAnsi="宋体" w:eastAsia="仿宋_GB2312" w:cs="宋体"/>
                <w:color w:val="000000"/>
                <w:kern w:val="0"/>
                <w:sz w:val="21"/>
                <w:szCs w:val="21"/>
              </w:rPr>
              <w:t xml:space="preserve"> </w:t>
            </w:r>
          </w:p>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区人社局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74"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32</w:t>
            </w:r>
          </w:p>
        </w:tc>
        <w:tc>
          <w:tcPr>
            <w:tcW w:w="625" w:type="dxa"/>
            <w:vMerge w:val="continue"/>
            <w:vAlign w:val="center"/>
          </w:tcPr>
          <w:p>
            <w:pPr>
              <w:widowControl/>
              <w:spacing w:line="280" w:lineRule="exact"/>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100%</w:t>
            </w:r>
            <w:r>
              <w:rPr>
                <w:rFonts w:hint="eastAsia" w:ascii="仿宋_GB2312" w:hAnsi="宋体" w:eastAsia="仿宋_GB2312" w:cs="宋体"/>
                <w:color w:val="000000"/>
                <w:kern w:val="0"/>
                <w:sz w:val="21"/>
                <w:szCs w:val="21"/>
              </w:rPr>
              <w:t>村卫生室至少配备</w:t>
            </w:r>
            <w:r>
              <w:rPr>
                <w:rFonts w:ascii="仿宋_GB2312" w:hAnsi="宋体" w:eastAsia="仿宋_GB2312" w:cs="宋体"/>
                <w:color w:val="000000"/>
                <w:kern w:val="0"/>
                <w:sz w:val="21"/>
                <w:szCs w:val="21"/>
              </w:rPr>
              <w:t>1</w:t>
            </w:r>
            <w:r>
              <w:rPr>
                <w:rFonts w:hint="eastAsia" w:ascii="仿宋_GB2312" w:hAnsi="宋体" w:eastAsia="仿宋_GB2312" w:cs="宋体"/>
                <w:color w:val="000000"/>
                <w:kern w:val="0"/>
                <w:sz w:val="21"/>
                <w:szCs w:val="21"/>
              </w:rPr>
              <w:t>名中医类医师或能够提供中医药服务的乡村医生或中医类别（临床类别）医师或乡村全科执业助理医师。经信息化评审和现场抽查，人员配备均达到标准。</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p>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区人社局</w:t>
            </w:r>
          </w:p>
          <w:p>
            <w:pPr>
              <w:widowControl/>
              <w:spacing w:line="280" w:lineRule="exact"/>
              <w:jc w:val="center"/>
              <w:rPr>
                <w:rFonts w:ascii="仿宋_GB2312" w:hAnsi="宋体" w:eastAsia="仿宋_GB2312" w:cs="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44" w:hRule="atLeas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33</w:t>
            </w:r>
          </w:p>
        </w:tc>
        <w:tc>
          <w:tcPr>
            <w:tcW w:w="625" w:type="dxa"/>
            <w:vMerge w:val="continue"/>
            <w:vAlign w:val="center"/>
          </w:tcPr>
          <w:p>
            <w:pPr>
              <w:widowControl/>
              <w:spacing w:line="280" w:lineRule="exact"/>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FF0000"/>
                <w:kern w:val="0"/>
                <w:sz w:val="21"/>
                <w:szCs w:val="21"/>
              </w:rPr>
            </w:pPr>
            <w:r>
              <w:rPr>
                <w:rFonts w:hint="eastAsia" w:ascii="仿宋_GB2312" w:hAnsi="宋体" w:eastAsia="仿宋_GB2312" w:cs="宋体"/>
                <w:color w:val="000000"/>
                <w:kern w:val="0"/>
                <w:sz w:val="21"/>
                <w:szCs w:val="21"/>
              </w:rPr>
              <w:t>区中医药主管部门组织开展中医药继续教育和师承教育，加强本区域基层医务人员（含乡村医生）中医药基本知识和技能培训，提升基层医务人员中医药服务能力。区中医医院及有条件的综合医院开展师承教育和基层名老中医药专家师带徒工作，并建立考核管理制度。</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29" w:hRule="atLeas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p>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34</w:t>
            </w:r>
          </w:p>
        </w:tc>
        <w:tc>
          <w:tcPr>
            <w:tcW w:w="625" w:type="dxa"/>
            <w:vMerge w:val="continue"/>
            <w:vAlign w:val="center"/>
          </w:tcPr>
          <w:p>
            <w:pPr>
              <w:widowControl/>
              <w:spacing w:line="280" w:lineRule="exact"/>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基层医疗卫生机构的中医类别医师接受过省级以上中医药管理部门组织的中医类别全科医生岗位培训、转岗培训或规范化培训，并考核合格；中医类别全科医生占基层全科医生的比例达到</w:t>
            </w:r>
            <w:r>
              <w:rPr>
                <w:rFonts w:ascii="仿宋_GB2312" w:hAnsi="宋体" w:eastAsia="仿宋_GB2312" w:cs="宋体"/>
                <w:color w:val="000000"/>
                <w:kern w:val="0"/>
                <w:sz w:val="21"/>
                <w:szCs w:val="21"/>
              </w:rPr>
              <w:t>20%</w:t>
            </w:r>
            <w:r>
              <w:rPr>
                <w:rFonts w:hint="eastAsia" w:ascii="仿宋_GB2312" w:hAnsi="宋体" w:eastAsia="仿宋_GB2312" w:cs="宋体"/>
                <w:color w:val="000000"/>
                <w:kern w:val="0"/>
                <w:sz w:val="21"/>
                <w:szCs w:val="21"/>
              </w:rPr>
              <w:t>以上，中医类别全科医生占基层中医类别医师比例达到</w:t>
            </w:r>
            <w:r>
              <w:rPr>
                <w:rFonts w:ascii="仿宋_GB2312" w:hAnsi="宋体" w:eastAsia="仿宋_GB2312" w:cs="宋体"/>
                <w:color w:val="000000"/>
                <w:kern w:val="0"/>
                <w:sz w:val="21"/>
                <w:szCs w:val="21"/>
              </w:rPr>
              <w:t>50%</w:t>
            </w:r>
            <w:r>
              <w:rPr>
                <w:rFonts w:hint="eastAsia" w:ascii="仿宋_GB2312" w:hAnsi="宋体" w:eastAsia="仿宋_GB2312" w:cs="宋体"/>
                <w:color w:val="000000"/>
                <w:kern w:val="0"/>
                <w:sz w:val="21"/>
                <w:szCs w:val="21"/>
              </w:rPr>
              <w:t>以上。</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59" w:hRule="atLeas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35</w:t>
            </w:r>
          </w:p>
        </w:tc>
        <w:tc>
          <w:tcPr>
            <w:tcW w:w="625" w:type="dxa"/>
            <w:vMerge w:val="continue"/>
            <w:vAlign w:val="center"/>
          </w:tcPr>
          <w:p>
            <w:pPr>
              <w:widowControl/>
              <w:spacing w:line="280" w:lineRule="exact"/>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基层在职在岗中医药人员参加中医药继续教育或专业学历教育，培训率达到</w:t>
            </w:r>
            <w:r>
              <w:rPr>
                <w:rFonts w:ascii="仿宋_GB2312" w:hAnsi="宋体" w:eastAsia="仿宋_GB2312" w:cs="宋体"/>
                <w:color w:val="000000"/>
                <w:kern w:val="0"/>
                <w:sz w:val="21"/>
                <w:szCs w:val="21"/>
              </w:rPr>
              <w:t>100%</w:t>
            </w:r>
            <w:r>
              <w:rPr>
                <w:rFonts w:hint="eastAsia" w:ascii="仿宋_GB2312" w:hAnsi="宋体" w:eastAsia="仿宋_GB2312" w:cs="宋体"/>
                <w:color w:val="000000"/>
                <w:kern w:val="0"/>
                <w:sz w:val="21"/>
                <w:szCs w:val="21"/>
              </w:rPr>
              <w:t>。推进基层医疗卫生机构相关人员的西学中培训。区级及以上中医类医院建立西学中培训基地，组织基层医疗卫生机构非中医类别医师参加西学中培训。组织乡村医生定期参加中医药基础知识、基本技能及适宜技术等培训，达到全覆盖。</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09" w:hRule="atLeas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36</w:t>
            </w:r>
          </w:p>
        </w:tc>
        <w:tc>
          <w:tcPr>
            <w:tcW w:w="625" w:type="dxa"/>
            <w:vMerge w:val="restart"/>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中医药服务</w:t>
            </w: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中医医院主要提供中医药综合服务。完善中医特色专科和临床、医技科室的服务功能，提高中医优势病种的诊疗能力和综合服务能力。区中医医院中医药诊疗人次占总诊疗人次的比例达</w:t>
            </w:r>
            <w:r>
              <w:rPr>
                <w:rFonts w:ascii="仿宋_GB2312" w:hAnsi="宋体" w:eastAsia="仿宋_GB2312" w:cs="宋体"/>
                <w:color w:val="000000"/>
                <w:kern w:val="0"/>
                <w:sz w:val="21"/>
                <w:szCs w:val="21"/>
              </w:rPr>
              <w:t>60%</w:t>
            </w:r>
            <w:r>
              <w:rPr>
                <w:rFonts w:hint="eastAsia" w:ascii="仿宋_GB2312" w:hAnsi="宋体" w:eastAsia="仿宋_GB2312" w:cs="宋体"/>
                <w:color w:val="000000"/>
                <w:kern w:val="0"/>
                <w:sz w:val="21"/>
                <w:szCs w:val="21"/>
              </w:rPr>
              <w:t>以上。经信息化评审和现场抽查，中医药诊疗人次均达到标准。</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94" w:hRule="atLeas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37</w:t>
            </w:r>
          </w:p>
        </w:tc>
        <w:tc>
          <w:tcPr>
            <w:tcW w:w="625" w:type="dxa"/>
            <w:vMerge w:val="continue"/>
            <w:vAlign w:val="center"/>
          </w:tcPr>
          <w:p>
            <w:pPr>
              <w:widowControl/>
              <w:spacing w:line="280" w:lineRule="exact"/>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中医医院积极开展对基层医疗机构中医诊疗业务指导，不断提高基层的中医诊疗能力。拓展基层中医药服务范围，下辖卫生院中医诊疗人次占总诊疗人次的比例达</w:t>
            </w:r>
            <w:r>
              <w:rPr>
                <w:rFonts w:ascii="仿宋_GB2312" w:hAnsi="宋体" w:eastAsia="仿宋_GB2312" w:cs="宋体"/>
                <w:color w:val="000000"/>
                <w:kern w:val="0"/>
                <w:sz w:val="21"/>
                <w:szCs w:val="21"/>
              </w:rPr>
              <w:t>35%</w:t>
            </w:r>
            <w:r>
              <w:rPr>
                <w:rFonts w:hint="eastAsia" w:ascii="仿宋_GB2312" w:hAnsi="宋体" w:eastAsia="仿宋_GB2312" w:cs="宋体"/>
                <w:color w:val="000000"/>
                <w:kern w:val="0"/>
                <w:sz w:val="21"/>
                <w:szCs w:val="21"/>
              </w:rPr>
              <w:t>以上。经信息化评审和现场抽查，中医药诊疗人次均达到标准。</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39" w:hRule="atLeas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38</w:t>
            </w:r>
          </w:p>
        </w:tc>
        <w:tc>
          <w:tcPr>
            <w:tcW w:w="625" w:type="dxa"/>
            <w:vMerge w:val="continue"/>
            <w:vAlign w:val="center"/>
          </w:tcPr>
          <w:p>
            <w:pPr>
              <w:widowControl/>
              <w:spacing w:line="280" w:lineRule="exact"/>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提高基层医务人员的中医药服务能力。</w:t>
            </w:r>
            <w:r>
              <w:rPr>
                <w:rFonts w:ascii="仿宋_GB2312" w:hAnsi="宋体" w:eastAsia="仿宋_GB2312" w:cs="宋体"/>
                <w:color w:val="000000"/>
                <w:kern w:val="0"/>
                <w:sz w:val="21"/>
                <w:szCs w:val="21"/>
              </w:rPr>
              <w:t>100%</w:t>
            </w:r>
            <w:r>
              <w:rPr>
                <w:rFonts w:hint="eastAsia" w:ascii="仿宋_GB2312" w:hAnsi="宋体" w:eastAsia="仿宋_GB2312" w:cs="宋体"/>
                <w:color w:val="000000"/>
                <w:kern w:val="0"/>
                <w:sz w:val="21"/>
                <w:szCs w:val="21"/>
              </w:rPr>
              <w:t>的卫生院能够按照中医药技术操作规范开展</w:t>
            </w:r>
            <w:r>
              <w:rPr>
                <w:rFonts w:ascii="仿宋_GB2312" w:hAnsi="宋体" w:eastAsia="仿宋_GB2312" w:cs="宋体"/>
                <w:color w:val="000000"/>
                <w:kern w:val="0"/>
                <w:sz w:val="21"/>
                <w:szCs w:val="21"/>
              </w:rPr>
              <w:t>6</w:t>
            </w:r>
            <w:r>
              <w:rPr>
                <w:rFonts w:hint="eastAsia" w:ascii="仿宋_GB2312" w:hAnsi="宋体" w:eastAsia="仿宋_GB2312" w:cs="宋体"/>
                <w:color w:val="000000"/>
                <w:kern w:val="0"/>
                <w:sz w:val="21"/>
                <w:szCs w:val="21"/>
              </w:rPr>
              <w:t>类</w:t>
            </w:r>
            <w:r>
              <w:rPr>
                <w:rFonts w:ascii="仿宋_GB2312" w:hAnsi="宋体" w:eastAsia="仿宋_GB2312" w:cs="宋体"/>
                <w:color w:val="000000"/>
                <w:kern w:val="0"/>
                <w:sz w:val="21"/>
                <w:szCs w:val="21"/>
              </w:rPr>
              <w:t>10</w:t>
            </w:r>
            <w:r>
              <w:rPr>
                <w:rFonts w:hint="eastAsia" w:ascii="仿宋_GB2312" w:hAnsi="宋体" w:eastAsia="仿宋_GB2312" w:cs="宋体"/>
                <w:color w:val="000000"/>
                <w:kern w:val="0"/>
                <w:sz w:val="21"/>
                <w:szCs w:val="21"/>
              </w:rPr>
              <w:t>项以上的中医药适宜技术，能提供康复服务。</w:t>
            </w:r>
            <w:r>
              <w:rPr>
                <w:rFonts w:ascii="仿宋_GB2312" w:hAnsi="宋体" w:eastAsia="仿宋_GB2312" w:cs="宋体"/>
                <w:color w:val="000000"/>
                <w:kern w:val="0"/>
                <w:sz w:val="21"/>
                <w:szCs w:val="21"/>
              </w:rPr>
              <w:t>100%</w:t>
            </w:r>
            <w:r>
              <w:rPr>
                <w:rFonts w:hint="eastAsia" w:ascii="仿宋_GB2312" w:hAnsi="宋体" w:eastAsia="仿宋_GB2312" w:cs="宋体"/>
                <w:color w:val="000000"/>
                <w:kern w:val="0"/>
                <w:sz w:val="21"/>
                <w:szCs w:val="21"/>
              </w:rPr>
              <w:t>的村卫生室按照中医药技术操作规范开展</w:t>
            </w:r>
            <w:r>
              <w:rPr>
                <w:rFonts w:ascii="仿宋_GB2312" w:hAnsi="宋体" w:eastAsia="仿宋_GB2312" w:cs="宋体"/>
                <w:color w:val="000000"/>
                <w:kern w:val="0"/>
                <w:sz w:val="21"/>
                <w:szCs w:val="21"/>
              </w:rPr>
              <w:t>4</w:t>
            </w:r>
            <w:r>
              <w:rPr>
                <w:rFonts w:hint="eastAsia" w:ascii="仿宋_GB2312" w:hAnsi="宋体" w:eastAsia="仿宋_GB2312" w:cs="宋体"/>
                <w:color w:val="000000"/>
                <w:kern w:val="0"/>
                <w:sz w:val="21"/>
                <w:szCs w:val="21"/>
              </w:rPr>
              <w:t>类</w:t>
            </w:r>
            <w:r>
              <w:rPr>
                <w:rFonts w:ascii="仿宋_GB2312" w:hAnsi="宋体" w:eastAsia="仿宋_GB2312" w:cs="宋体"/>
                <w:color w:val="000000"/>
                <w:kern w:val="0"/>
                <w:sz w:val="21"/>
                <w:szCs w:val="21"/>
              </w:rPr>
              <w:t>6</w:t>
            </w:r>
            <w:r>
              <w:rPr>
                <w:rFonts w:hint="eastAsia" w:ascii="仿宋_GB2312" w:hAnsi="宋体" w:eastAsia="仿宋_GB2312" w:cs="宋体"/>
                <w:color w:val="000000"/>
                <w:kern w:val="0"/>
                <w:sz w:val="21"/>
                <w:szCs w:val="21"/>
              </w:rPr>
              <w:t>项以上的中医药适宜技术。</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159"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39</w:t>
            </w:r>
          </w:p>
        </w:tc>
        <w:tc>
          <w:tcPr>
            <w:tcW w:w="625" w:type="dxa"/>
            <w:vMerge w:val="continue"/>
            <w:vAlign w:val="center"/>
          </w:tcPr>
          <w:p>
            <w:pPr>
              <w:widowControl/>
              <w:spacing w:line="280" w:lineRule="exact"/>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落实国家基本公共卫生服务中医药健康管理项目，开展老年人和儿童等人群的中医药健康管理，年度中医药健康管理目标人群达到国家要求。在孕产妇、高血压、糖尿病、冠心病、慢阻肺患者等人群中至少选择</w:t>
            </w:r>
            <w:r>
              <w:rPr>
                <w:rFonts w:ascii="仿宋_GB2312" w:hAnsi="宋体" w:eastAsia="仿宋_GB2312" w:cs="宋体"/>
                <w:color w:val="000000"/>
                <w:kern w:val="0"/>
                <w:sz w:val="21"/>
                <w:szCs w:val="21"/>
              </w:rPr>
              <w:t>3</w:t>
            </w:r>
            <w:r>
              <w:rPr>
                <w:rFonts w:hint="eastAsia" w:ascii="仿宋_GB2312" w:hAnsi="宋体" w:eastAsia="仿宋_GB2312" w:cs="宋体"/>
                <w:color w:val="000000"/>
                <w:kern w:val="0"/>
                <w:sz w:val="21"/>
                <w:szCs w:val="21"/>
              </w:rPr>
              <w:t>类开展中医药健康管理工作。</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45"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40</w:t>
            </w:r>
          </w:p>
        </w:tc>
        <w:tc>
          <w:tcPr>
            <w:tcW w:w="625" w:type="dxa"/>
            <w:vMerge w:val="continue"/>
            <w:vAlign w:val="center"/>
          </w:tcPr>
          <w:p>
            <w:pPr>
              <w:widowControl/>
              <w:spacing w:line="280" w:lineRule="exact"/>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在推进家庭医生签约服务中注重发挥中医药特色优势，逐步实现每个家庭医生团队都有能够提供中医药服务的医师或乡村医生。</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77"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41</w:t>
            </w:r>
          </w:p>
        </w:tc>
        <w:tc>
          <w:tcPr>
            <w:tcW w:w="625" w:type="dxa"/>
            <w:vMerge w:val="continue"/>
            <w:vAlign w:val="center"/>
          </w:tcPr>
          <w:p>
            <w:pPr>
              <w:widowControl/>
              <w:spacing w:line="280" w:lineRule="exact"/>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大力推广中医药适宜技术。区中医医院建立中医药适宜技术推广中心或培训基地，有场地、有师资、有设施设备、有推广方案、有工作制度，考核监督等。推广以《基层中医药适宜技术手册》和国家中医药管理局通告适宜技术目录为重点的中医药适宜技术。</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07"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42</w:t>
            </w:r>
          </w:p>
        </w:tc>
        <w:tc>
          <w:tcPr>
            <w:tcW w:w="625" w:type="dxa"/>
            <w:vMerge w:val="continue"/>
            <w:vAlign w:val="center"/>
          </w:tcPr>
          <w:p>
            <w:pPr>
              <w:widowControl/>
              <w:spacing w:line="280" w:lineRule="exact"/>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充分发挥中医药在传染病防治中的作用，制定中医药宣传、预防、诊治传染病工作方案，培训和指导基层医务人员规范开展传染病中医药宣传、预防和诊治工作。</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662"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43</w:t>
            </w:r>
          </w:p>
        </w:tc>
        <w:tc>
          <w:tcPr>
            <w:tcW w:w="625" w:type="dxa"/>
            <w:vMerge w:val="continue"/>
            <w:vAlign w:val="center"/>
          </w:tcPr>
          <w:p>
            <w:pPr>
              <w:widowControl/>
              <w:spacing w:line="280" w:lineRule="exact"/>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制定中医药参与医养结合、康复、长期照护、安宁疗护等工作计划，指导中医医院、基层医疗卫生机构和养老机构，采用中医药方法开展相关工作。</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60" w:hRule="exac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p>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44</w:t>
            </w:r>
          </w:p>
        </w:tc>
        <w:tc>
          <w:tcPr>
            <w:tcW w:w="625" w:type="dxa"/>
            <w:vMerge w:val="continue"/>
            <w:vAlign w:val="center"/>
          </w:tcPr>
          <w:p>
            <w:pPr>
              <w:widowControl/>
              <w:spacing w:line="280" w:lineRule="exact"/>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加强中医药文化宣传，普及中医药健康知识，推动基层医疗机构开展中医药文化宣传活动。扩大中医药科普内容的覆盖面，基层医疗卫生机构健康教育宣传中中医药内容占比达</w:t>
            </w:r>
            <w:r>
              <w:rPr>
                <w:rFonts w:ascii="仿宋_GB2312" w:hAnsi="宋体" w:eastAsia="仿宋_GB2312" w:cs="宋体"/>
                <w:color w:val="000000"/>
                <w:kern w:val="0"/>
                <w:sz w:val="21"/>
                <w:szCs w:val="21"/>
              </w:rPr>
              <w:t>50%</w:t>
            </w:r>
            <w:r>
              <w:rPr>
                <w:rFonts w:hint="eastAsia" w:ascii="仿宋_GB2312" w:hAnsi="宋体" w:eastAsia="仿宋_GB2312" w:cs="宋体"/>
                <w:color w:val="000000"/>
                <w:kern w:val="0"/>
                <w:sz w:val="21"/>
                <w:szCs w:val="21"/>
              </w:rPr>
              <w:t>以上，接受教育人次占比达</w:t>
            </w:r>
            <w:r>
              <w:rPr>
                <w:rFonts w:ascii="仿宋_GB2312" w:hAnsi="宋体" w:eastAsia="仿宋_GB2312" w:cs="宋体"/>
                <w:color w:val="000000"/>
                <w:kern w:val="0"/>
                <w:sz w:val="21"/>
                <w:szCs w:val="21"/>
              </w:rPr>
              <w:t>50%</w:t>
            </w:r>
            <w:r>
              <w:rPr>
                <w:rFonts w:hint="eastAsia" w:ascii="仿宋_GB2312" w:hAnsi="宋体" w:eastAsia="仿宋_GB2312" w:cs="宋体"/>
                <w:color w:val="000000"/>
                <w:kern w:val="0"/>
                <w:sz w:val="21"/>
                <w:szCs w:val="21"/>
              </w:rPr>
              <w:t>以上。</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47" w:hRule="atLeas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45</w:t>
            </w:r>
          </w:p>
        </w:tc>
        <w:tc>
          <w:tcPr>
            <w:tcW w:w="625" w:type="dxa"/>
            <w:vMerge w:val="restart"/>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监督考核</w:t>
            </w: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建立区中医医院以及基层医疗卫生机构中医药服务工作考核机制，并纳入其年度工作考核目标。在区中医医院及综合医院中医科的绩效考核中将中医门诊占总门诊人次比例、中药处方、中医非药物处方比例作为重要指标。在卫生院、绩效考核中，中医药内容分值占比不低于</w:t>
            </w:r>
            <w:r>
              <w:rPr>
                <w:rFonts w:ascii="仿宋_GB2312" w:hAnsi="宋体" w:eastAsia="仿宋_GB2312" w:cs="宋体"/>
                <w:color w:val="000000"/>
                <w:kern w:val="0"/>
                <w:sz w:val="21"/>
                <w:szCs w:val="21"/>
              </w:rPr>
              <w:t>15%</w:t>
            </w:r>
            <w:r>
              <w:rPr>
                <w:rFonts w:hint="eastAsia" w:ascii="仿宋_GB2312" w:hAnsi="宋体" w:eastAsia="仿宋_GB2312" w:cs="宋体"/>
                <w:color w:val="000000"/>
                <w:kern w:val="0"/>
                <w:sz w:val="21"/>
                <w:szCs w:val="21"/>
              </w:rPr>
              <w:t>。</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1046" w:hRule="atLeas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46</w:t>
            </w:r>
          </w:p>
        </w:tc>
        <w:tc>
          <w:tcPr>
            <w:tcW w:w="625" w:type="dxa"/>
            <w:vMerge w:val="continue"/>
            <w:vAlign w:val="center"/>
          </w:tcPr>
          <w:p>
            <w:pPr>
              <w:widowControl/>
              <w:spacing w:line="280" w:lineRule="exact"/>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卫生监督部门建立中医药监督管理科室，或有专人负责本区域内医疗卫生机构中医药监督管理工作，监督内容包括本区域上年度中医医疗秩序、中医医疗案件查办、发布虚假违法中医医疗广告的医疗机构监管情况，落实中医药主管部门相关监督检查要求。</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47</w:t>
            </w:r>
          </w:p>
        </w:tc>
        <w:tc>
          <w:tcPr>
            <w:tcW w:w="625" w:type="dxa"/>
            <w:vMerge w:val="continue"/>
            <w:vAlign w:val="center"/>
          </w:tcPr>
          <w:p>
            <w:pPr>
              <w:widowControl/>
              <w:spacing w:line="280" w:lineRule="exact"/>
              <w:ind w:firstLine="420" w:firstLineChars="200"/>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疾病预防控制部门有专人负责中医药疾病预防工作，将中医药内容纳入到本区疾病预防、慢病管理、健康教育相关工作中。</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35" w:hRule="atLeas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48</w:t>
            </w:r>
          </w:p>
        </w:tc>
        <w:tc>
          <w:tcPr>
            <w:tcW w:w="625" w:type="dxa"/>
            <w:vMerge w:val="continue"/>
            <w:vAlign w:val="center"/>
          </w:tcPr>
          <w:p>
            <w:pPr>
              <w:widowControl/>
              <w:spacing w:line="280" w:lineRule="exact"/>
              <w:ind w:firstLine="420" w:firstLineChars="200"/>
              <w:rPr>
                <w:rFonts w:ascii="仿宋_GB2312" w:hAnsi="宋体" w:eastAsia="仿宋_GB2312" w:cs="宋体"/>
                <w:color w:val="000000"/>
                <w:kern w:val="0"/>
                <w:sz w:val="21"/>
                <w:szCs w:val="21"/>
              </w:rPr>
            </w:pP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加强对中医药服务质量的评估和监管，对执行中医药行业标准和技术规范、合理用药、落实核心制度等进行监督检查，督促基层医疗机构规范服务行为，提高服务质量，保证医疗安全。对乡村中医药技术人员自采、自种、自用、民间习用中草药加强管理，规范服务行为。</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区市场监管局</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907" w:hRule="atLeast"/>
          <w:jc w:val="center"/>
        </w:trPr>
        <w:tc>
          <w:tcPr>
            <w:tcW w:w="699" w:type="dxa"/>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49</w:t>
            </w:r>
          </w:p>
        </w:tc>
        <w:tc>
          <w:tcPr>
            <w:tcW w:w="625" w:type="dxa"/>
            <w:vMerge w:val="restart"/>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满意率和知晓率</w:t>
            </w:r>
          </w:p>
        </w:tc>
        <w:tc>
          <w:tcPr>
            <w:tcW w:w="9723" w:type="dxa"/>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城乡居民对区中医医院和基层医疗卫生机构中医药服务满意率不低于</w:t>
            </w:r>
            <w:r>
              <w:rPr>
                <w:rFonts w:ascii="仿宋_GB2312" w:hAnsi="宋体" w:eastAsia="仿宋_GB2312" w:cs="宋体"/>
                <w:color w:val="000000"/>
                <w:kern w:val="0"/>
                <w:sz w:val="21"/>
                <w:szCs w:val="21"/>
              </w:rPr>
              <w:t>90%</w:t>
            </w:r>
            <w:r>
              <w:rPr>
                <w:rFonts w:hint="eastAsia" w:ascii="仿宋_GB2312" w:hAnsi="宋体" w:eastAsia="仿宋_GB2312" w:cs="宋体"/>
                <w:color w:val="000000"/>
                <w:kern w:val="0"/>
                <w:sz w:val="21"/>
                <w:szCs w:val="21"/>
              </w:rPr>
              <w:t>。城乡居民中医药常识知晓率不低于</w:t>
            </w:r>
            <w:r>
              <w:rPr>
                <w:rFonts w:ascii="仿宋_GB2312" w:hAnsi="宋体" w:eastAsia="仿宋_GB2312" w:cs="宋体"/>
                <w:color w:val="000000"/>
                <w:kern w:val="0"/>
                <w:sz w:val="21"/>
                <w:szCs w:val="21"/>
              </w:rPr>
              <w:t>90%</w:t>
            </w:r>
            <w:r>
              <w:rPr>
                <w:rFonts w:hint="eastAsia" w:ascii="仿宋_GB2312" w:hAnsi="宋体" w:eastAsia="仿宋_GB2312" w:cs="宋体"/>
                <w:color w:val="000000"/>
                <w:kern w:val="0"/>
                <w:sz w:val="21"/>
                <w:szCs w:val="21"/>
              </w:rPr>
              <w:t>，对区中医医院和基层医疗卫生机构中医药服务内容知晓率不低于</w:t>
            </w:r>
            <w:r>
              <w:rPr>
                <w:rFonts w:ascii="仿宋_GB2312" w:hAnsi="宋体" w:eastAsia="仿宋_GB2312" w:cs="宋体"/>
                <w:color w:val="000000"/>
                <w:kern w:val="0"/>
                <w:sz w:val="21"/>
                <w:szCs w:val="21"/>
              </w:rPr>
              <w:t>85%</w:t>
            </w:r>
            <w:r>
              <w:rPr>
                <w:rFonts w:hint="eastAsia" w:ascii="仿宋_GB2312" w:hAnsi="宋体" w:eastAsia="仿宋_GB2312" w:cs="宋体"/>
                <w:color w:val="000000"/>
                <w:kern w:val="0"/>
                <w:sz w:val="21"/>
                <w:szCs w:val="21"/>
              </w:rPr>
              <w:t>。</w:t>
            </w:r>
          </w:p>
        </w:tc>
        <w:tc>
          <w:tcPr>
            <w:tcW w:w="1276" w:type="dxa"/>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57" w:type="dxa"/>
            <w:bottom w:w="0" w:type="dxa"/>
            <w:right w:w="57" w:type="dxa"/>
          </w:tblCellMar>
        </w:tblPrEx>
        <w:trPr>
          <w:trHeight w:val="735" w:hRule="atLeast"/>
          <w:jc w:val="center"/>
        </w:trPr>
        <w:tc>
          <w:tcPr>
            <w:tcW w:w="699" w:type="dxa"/>
            <w:tcBorders>
              <w:bottom w:val="single" w:color="auto" w:sz="8" w:space="0"/>
            </w:tcBorders>
            <w:vAlign w:val="center"/>
          </w:tcPr>
          <w:p>
            <w:pPr>
              <w:widowControl/>
              <w:spacing w:line="280" w:lineRule="exact"/>
              <w:jc w:val="center"/>
              <w:rPr>
                <w:rFonts w:ascii="仿宋_GB2312" w:hAnsi="宋体" w:eastAsia="仿宋_GB2312" w:cs="宋体"/>
                <w:color w:val="000000"/>
                <w:kern w:val="0"/>
                <w:sz w:val="21"/>
                <w:szCs w:val="21"/>
              </w:rPr>
            </w:pPr>
            <w:r>
              <w:rPr>
                <w:rFonts w:ascii="仿宋_GB2312" w:hAnsi="宋体" w:eastAsia="仿宋_GB2312" w:cs="宋体"/>
                <w:color w:val="000000"/>
                <w:kern w:val="0"/>
                <w:sz w:val="21"/>
                <w:szCs w:val="21"/>
              </w:rPr>
              <w:t>50</w:t>
            </w:r>
          </w:p>
        </w:tc>
        <w:tc>
          <w:tcPr>
            <w:tcW w:w="625" w:type="dxa"/>
            <w:vMerge w:val="continue"/>
            <w:tcBorders>
              <w:bottom w:val="single" w:color="auto" w:sz="8" w:space="0"/>
            </w:tcBorders>
            <w:vAlign w:val="center"/>
          </w:tcPr>
          <w:p>
            <w:pPr>
              <w:widowControl/>
              <w:spacing w:line="280" w:lineRule="exact"/>
              <w:rPr>
                <w:rFonts w:ascii="仿宋_GB2312" w:hAnsi="宋体" w:eastAsia="仿宋_GB2312" w:cs="宋体"/>
                <w:color w:val="000000"/>
                <w:kern w:val="0"/>
                <w:sz w:val="21"/>
                <w:szCs w:val="21"/>
              </w:rPr>
            </w:pPr>
          </w:p>
        </w:tc>
        <w:tc>
          <w:tcPr>
            <w:tcW w:w="9723" w:type="dxa"/>
            <w:tcBorders>
              <w:bottom w:val="single" w:color="auto" w:sz="8" w:space="0"/>
            </w:tcBorders>
            <w:vAlign w:val="center"/>
          </w:tcPr>
          <w:p>
            <w:pPr>
              <w:widowControl/>
              <w:spacing w:line="280" w:lineRule="exact"/>
              <w:ind w:firstLine="420" w:firstLineChars="200"/>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区中医医院和基层医疗卫生机构中医药人员对中医药相关政策知晓率不低于</w:t>
            </w:r>
            <w:r>
              <w:rPr>
                <w:rFonts w:ascii="仿宋_GB2312" w:hAnsi="宋体" w:eastAsia="仿宋_GB2312" w:cs="宋体"/>
                <w:color w:val="000000"/>
                <w:kern w:val="0"/>
                <w:sz w:val="21"/>
                <w:szCs w:val="21"/>
              </w:rPr>
              <w:t>85%</w:t>
            </w:r>
            <w:r>
              <w:rPr>
                <w:rFonts w:hint="eastAsia" w:ascii="仿宋_GB2312" w:hAnsi="宋体" w:eastAsia="仿宋_GB2312" w:cs="宋体"/>
                <w:color w:val="000000"/>
                <w:kern w:val="0"/>
                <w:sz w:val="21"/>
                <w:szCs w:val="21"/>
              </w:rPr>
              <w:t>。</w:t>
            </w:r>
          </w:p>
        </w:tc>
        <w:tc>
          <w:tcPr>
            <w:tcW w:w="1276" w:type="dxa"/>
            <w:tcBorders>
              <w:bottom w:val="single" w:color="auto" w:sz="8" w:space="0"/>
            </w:tcBorders>
            <w:vAlign w:val="center"/>
          </w:tcPr>
          <w:p>
            <w:pPr>
              <w:widowControl/>
              <w:spacing w:line="280" w:lineRule="exact"/>
              <w:jc w:val="center"/>
              <w:rPr>
                <w:rFonts w:ascii="仿宋_GB2312" w:hAnsi="宋体" w:eastAsia="仿宋_GB2312" w:cs="宋体"/>
                <w:color w:val="000000"/>
                <w:kern w:val="0"/>
                <w:sz w:val="21"/>
                <w:szCs w:val="21"/>
              </w:rPr>
            </w:pPr>
            <w:r>
              <w:rPr>
                <w:rFonts w:hint="eastAsia" w:ascii="仿宋_GB2312" w:hAnsi="宋体" w:eastAsia="仿宋_GB2312" w:cs="宋体"/>
                <w:color w:val="000000"/>
                <w:kern w:val="0"/>
                <w:sz w:val="21"/>
                <w:szCs w:val="21"/>
              </w:rPr>
              <w:t>区卫健局</w:t>
            </w:r>
          </w:p>
        </w:tc>
        <w:tc>
          <w:tcPr>
            <w:tcW w:w="1701" w:type="dxa"/>
            <w:tcBorders>
              <w:bottom w:val="single" w:color="auto" w:sz="8" w:space="0"/>
              <w:right w:val="single" w:color="auto" w:sz="4" w:space="0"/>
            </w:tcBorders>
            <w:vAlign w:val="center"/>
          </w:tcPr>
          <w:p>
            <w:pPr>
              <w:widowControl/>
              <w:spacing w:line="280" w:lineRule="exact"/>
              <w:jc w:val="center"/>
              <w:rPr>
                <w:rFonts w:ascii="仿宋_GB2312" w:hAnsi="宋体" w:eastAsia="仿宋_GB2312" w:cs="宋体"/>
                <w:color w:val="000000"/>
                <w:kern w:val="0"/>
                <w:sz w:val="21"/>
                <w:szCs w:val="21"/>
              </w:rPr>
            </w:pPr>
          </w:p>
        </w:tc>
      </w:tr>
    </w:tbl>
    <w:p/>
    <w:p>
      <w:pPr>
        <w:pStyle w:val="2"/>
      </w:pPr>
    </w:p>
    <w:p>
      <w:pPr>
        <w:spacing w:line="600" w:lineRule="exact"/>
        <w:ind w:firstLine="640" w:firstLineChars="200"/>
        <w:rPr>
          <w:rFonts w:ascii="仿宋_GB2312" w:hAnsi="仿宋" w:eastAsia="仿宋_GB2312"/>
          <w:color w:val="000000"/>
          <w:kern w:val="0"/>
          <w:szCs w:val="32"/>
        </w:rPr>
        <w:sectPr>
          <w:footerReference r:id="rId5" w:type="default"/>
          <w:footerReference r:id="rId6" w:type="even"/>
          <w:pgSz w:w="16838" w:h="11906" w:orient="landscape"/>
          <w:pgMar w:top="1588" w:right="1701" w:bottom="1418" w:left="1701" w:header="851" w:footer="992" w:gutter="0"/>
          <w:pgNumType w:start="11"/>
          <w:cols w:space="720" w:num="1"/>
          <w:docGrid w:linePitch="579" w:charSpace="-842"/>
        </w:sectPr>
      </w:pPr>
    </w:p>
    <w:p>
      <w:pPr>
        <w:spacing w:line="580" w:lineRule="exact"/>
      </w:pPr>
    </w:p>
    <w:p>
      <w:pPr>
        <w:pStyle w:val="2"/>
      </w:pPr>
    </w:p>
    <w:p/>
    <w:p>
      <w:pPr>
        <w:pStyle w:val="2"/>
      </w:pPr>
    </w:p>
    <w:p/>
    <w:p>
      <w:pPr>
        <w:pStyle w:val="2"/>
      </w:pPr>
    </w:p>
    <w:p/>
    <w:p>
      <w:pPr>
        <w:pStyle w:val="2"/>
      </w:pPr>
    </w:p>
    <w:p/>
    <w:p>
      <w:pPr>
        <w:pStyle w:val="2"/>
      </w:pPr>
    </w:p>
    <w:p/>
    <w:p>
      <w:pPr>
        <w:pStyle w:val="2"/>
      </w:pPr>
    </w:p>
    <w:p/>
    <w:p>
      <w:pPr>
        <w:pStyle w:val="2"/>
      </w:pPr>
    </w:p>
    <w:p/>
    <w:p>
      <w:pPr>
        <w:pStyle w:val="2"/>
      </w:pPr>
    </w:p>
    <w:p>
      <w:pPr>
        <w:pStyle w:val="2"/>
      </w:pPr>
    </w:p>
    <w:p/>
    <w:p/>
    <w:p>
      <w:pPr>
        <w:pStyle w:val="2"/>
      </w:pPr>
    </w:p>
    <w:p>
      <w:pPr>
        <w:pStyle w:val="2"/>
      </w:pPr>
    </w:p>
    <w:p/>
    <w:p>
      <w:pPr>
        <w:pStyle w:val="2"/>
      </w:pPr>
    </w:p>
    <w:p/>
    <w:p>
      <w:pPr>
        <w:pStyle w:val="2"/>
      </w:pPr>
    </w:p>
    <w:p>
      <w:pPr>
        <w:pStyle w:val="2"/>
      </w:pPr>
    </w:p>
    <w:p/>
    <w:p>
      <w:pPr>
        <w:pStyle w:val="2"/>
      </w:pPr>
    </w:p>
    <w:p/>
    <w:p>
      <w:pPr>
        <w:pStyle w:val="2"/>
      </w:pPr>
    </w:p>
    <w:p/>
    <w:p>
      <w:pPr>
        <w:pStyle w:val="2"/>
      </w:pPr>
    </w:p>
    <w:p>
      <w:pPr>
        <w:widowControl/>
        <w:adjustRightInd w:val="0"/>
        <w:snapToGrid w:val="0"/>
        <w:spacing w:line="440" w:lineRule="exact"/>
        <w:ind w:right="-306"/>
        <w:rPr>
          <w:rFonts w:ascii="仿宋_GB2312" w:eastAsia="仿宋_GB2312"/>
          <w:sz w:val="28"/>
          <w:szCs w:val="28"/>
        </w:rPr>
      </w:pPr>
      <w:r>
        <mc:AlternateContent>
          <mc:Choice Requires="wps">
            <w:drawing>
              <wp:anchor distT="0" distB="0" distL="114300" distR="114300" simplePos="0" relativeHeight="251659264" behindDoc="0" locked="0" layoutInCell="1" allowOverlap="1">
                <wp:simplePos x="0" y="0"/>
                <wp:positionH relativeFrom="column">
                  <wp:posOffset>-683895</wp:posOffset>
                </wp:positionH>
                <wp:positionV relativeFrom="paragraph">
                  <wp:posOffset>205105</wp:posOffset>
                </wp:positionV>
                <wp:extent cx="457200" cy="1089660"/>
                <wp:effectExtent l="0" t="0" r="0" b="15240"/>
                <wp:wrapNone/>
                <wp:docPr id="1" name="Text Box 5"/>
                <wp:cNvGraphicFramePr/>
                <a:graphic xmlns:a="http://schemas.openxmlformats.org/drawingml/2006/main">
                  <a:graphicData uri="http://schemas.microsoft.com/office/word/2010/wordprocessingShape">
                    <wps:wsp>
                      <wps:cNvSpPr txBox="1">
                        <a:spLocks noChangeArrowheads="1"/>
                      </wps:cNvSpPr>
                      <wps:spPr bwMode="auto">
                        <a:xfrm>
                          <a:off x="0" y="0"/>
                          <a:ext cx="457200" cy="1089660"/>
                        </a:xfrm>
                        <a:prstGeom prst="rect">
                          <a:avLst/>
                        </a:prstGeom>
                        <a:solidFill>
                          <a:srgbClr val="FFFFFF"/>
                        </a:solidFill>
                        <a:ln>
                          <a:noFill/>
                        </a:ln>
                        <a:effectLst/>
                      </wps:spPr>
                      <wps:txbx>
                        <w:txbxContent>
                          <w:p/>
                        </w:txbxContent>
                      </wps:txbx>
                      <wps:bodyPr rot="0" vert="eaVert" wrap="square" lIns="91440" tIns="45720" rIns="91440" bIns="45720" anchor="t" anchorCtr="0" upright="1">
                        <a:noAutofit/>
                      </wps:bodyPr>
                    </wps:wsp>
                  </a:graphicData>
                </a:graphic>
              </wp:anchor>
            </w:drawing>
          </mc:Choice>
          <mc:Fallback>
            <w:pict>
              <v:shape id="Text Box 5" o:spid="_x0000_s1026" o:spt="202" type="#_x0000_t202" style="position:absolute;left:0pt;margin-left:-53.85pt;margin-top:16.15pt;height:85.8pt;width:36pt;z-index:251659264;mso-width-relative:page;mso-height-relative:page;" fillcolor="#FFFFFF" filled="t" stroked="f" coordsize="21600,21600" o:gfxdata="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">
                <v:fill on="t" focussize="0,0"/>
                <v:stroke on="f"/>
                <v:imagedata o:title=""/>
                <o:lock v:ext="edit" aspectratio="f"/>
                <v:textbox style="layout-flow:vertical-ideographic;">
                  <w:txbxContent>
                    <w:p/>
                  </w:txbxContent>
                </v:textbox>
              </v:shape>
            </w:pict>
          </mc:Fallback>
        </mc:AlternateContent>
      </w:r>
    </w:p>
    <w:p>
      <w:pPr>
        <w:widowControl/>
        <w:adjustRightInd w:val="0"/>
        <w:snapToGrid w:val="0"/>
        <w:spacing w:line="600" w:lineRule="exact"/>
        <w:ind w:right="-306" w:firstLine="276" w:firstLineChars="100"/>
        <w:rPr>
          <w:rFonts w:ascii="仿宋_GB2312" w:eastAsia="仿宋_GB2312"/>
          <w:sz w:val="28"/>
          <w:szCs w:val="28"/>
        </w:rPr>
      </w:pPr>
      <w:r>
        <w:rPr>
          <w:rFonts w:hint="eastAsia" w:ascii="仿宋_GB2312" w:eastAsia="仿宋_GB2312"/>
          <w:sz w:val="28"/>
          <w:szCs w:val="28"/>
        </w:rPr>
        <w:t>抄送：区委办，区人大常委会办公室，区政协办公室，区委组织部，</w:t>
      </w:r>
    </w:p>
    <w:p>
      <w:pPr>
        <w:widowControl/>
        <w:adjustRightInd w:val="0"/>
        <w:snapToGrid w:val="0"/>
        <w:spacing w:line="600" w:lineRule="exact"/>
        <w:ind w:right="-306" w:firstLine="1104" w:firstLineChars="400"/>
        <w:rPr>
          <w:rFonts w:ascii="仿宋_GB2312" w:eastAsia="仿宋_GB2312"/>
          <w:sz w:val="28"/>
          <w:szCs w:val="28"/>
        </w:rPr>
      </w:pPr>
      <w:r>
        <w:rPr>
          <w:rFonts w:hint="eastAsia" w:ascii="仿宋_GB2312" w:eastAsia="仿宋_GB2312"/>
          <w:sz w:val="28"/>
          <w:szCs w:val="28"/>
        </w:rPr>
        <w:t>区委宣传部，区委编办。</w:t>
      </w:r>
    </w:p>
    <w:sectPr>
      <w:footerReference r:id="rId7" w:type="even"/>
      <w:pgSz w:w="11906" w:h="16838"/>
      <w:pgMar w:top="1418" w:right="1531" w:bottom="1418" w:left="1531" w:header="851" w:footer="1021" w:gutter="0"/>
      <w:cols w:space="720" w:num="1"/>
      <w:titlePg/>
      <w:docGrid w:type="linesAndChars" w:linePitch="579" w:charSpace="-84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仿宋简体">
    <w:altName w:val="微软雅黑"/>
    <w:panose1 w:val="02010601030101010101"/>
    <w:charset w:val="86"/>
    <w:family w:val="auto"/>
    <w:pitch w:val="default"/>
    <w:sig w:usb0="00000000" w:usb1="00000000" w:usb2="00000010" w:usb3="00000000" w:csb0="00040000" w:csb1="00000000"/>
  </w:font>
  <w:font w:name="仿宋_GB2312">
    <w:panose1 w:val="02010609030101010101"/>
    <w:charset w:val="86"/>
    <w:family w:val="modern"/>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方正小标宋_GBK">
    <w:altName w:val="Microsoft YaHei UI"/>
    <w:panose1 w:val="03000509000000000000"/>
    <w:charset w:val="86"/>
    <w:family w:val="script"/>
    <w:pitch w:val="default"/>
    <w:sig w:usb0="00000000" w:usb1="00000000" w:usb2="00000010" w:usb3="00000000" w:csb0="00040000" w:csb1="00000000"/>
  </w:font>
  <w:font w:name="方正小标宋简体">
    <w:panose1 w:val="03000509000000000000"/>
    <w:charset w:val="86"/>
    <w:family w:val="auto"/>
    <w:pitch w:val="default"/>
    <w:sig w:usb0="00000001" w:usb1="080E0000" w:usb2="00000000" w:usb3="00000000" w:csb0="00040000" w:csb1="00000000"/>
  </w:font>
  <w:font w:name="楷体_GB2312">
    <w:panose1 w:val="02010609030101010101"/>
    <w:charset w:val="86"/>
    <w:family w:val="modern"/>
    <w:pitch w:val="default"/>
    <w:sig w:usb0="00000001" w:usb1="080E0000" w:usb2="00000000" w:usb3="00000000" w:csb0="00040000" w:csb1="00000000"/>
  </w:font>
  <w:font w:name="Microsoft YaHei UI">
    <w:panose1 w:val="020B0503020204020204"/>
    <w:charset w:val="86"/>
    <w:family w:val="auto"/>
    <w:pitch w:val="default"/>
    <w:sig w:usb0="80000287" w:usb1="2ACF3C50" w:usb2="00000016" w:usb3="00000000" w:csb0="0004001F"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9256" w:y="-473"/>
      <w:rPr>
        <w:rStyle w:val="8"/>
        <w:rFonts w:ascii="宋体" w:hAnsi="宋体" w:eastAsia="宋体"/>
        <w:sz w:val="28"/>
        <w:szCs w:val="28"/>
      </w:rPr>
    </w:pPr>
    <w:r>
      <w:rPr>
        <w:rStyle w:val="8"/>
        <w:rFonts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7</w:t>
    </w:r>
    <w:r>
      <w:rPr>
        <w:rStyle w:val="8"/>
        <w:rFonts w:ascii="宋体" w:hAnsi="宋体" w:eastAsia="宋体"/>
        <w:sz w:val="28"/>
        <w:szCs w:val="28"/>
      </w:rPr>
      <w:fldChar w:fldCharType="end"/>
    </w:r>
    <w:r>
      <w:rPr>
        <w:rStyle w:val="8"/>
        <w:rFonts w:ascii="宋体" w:hAnsi="宋体" w:eastAsia="宋体"/>
        <w:sz w:val="28"/>
        <w:szCs w:val="28"/>
      </w:rPr>
      <w:t xml:space="preserve"> —</w:t>
    </w:r>
  </w:p>
  <w:p>
    <w:pPr>
      <w:pStyle w:val="2"/>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696" w:y="-458"/>
      <w:rPr>
        <w:rStyle w:val="8"/>
        <w:rFonts w:ascii="宋体" w:hAnsi="宋体" w:eastAsia="宋体"/>
        <w:sz w:val="28"/>
        <w:szCs w:val="28"/>
      </w:rPr>
    </w:pPr>
    <w:r>
      <w:rPr>
        <w:rStyle w:val="8"/>
        <w:rFonts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8</w:t>
    </w:r>
    <w:r>
      <w:rPr>
        <w:rStyle w:val="8"/>
        <w:rFonts w:ascii="宋体" w:hAnsi="宋体" w:eastAsia="宋体"/>
        <w:sz w:val="28"/>
        <w:szCs w:val="28"/>
      </w:rPr>
      <w:fldChar w:fldCharType="end"/>
    </w:r>
    <w:r>
      <w:rPr>
        <w:rStyle w:val="8"/>
        <w:rFonts w:ascii="宋体" w:hAnsi="宋体" w:eastAsia="宋体"/>
        <w:sz w:val="28"/>
        <w:szCs w:val="28"/>
      </w:rPr>
      <w:t xml:space="preserve"> —</w:t>
    </w:r>
  </w:p>
  <w:p>
    <w:pPr>
      <w:pStyle w:val="2"/>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713" w:y="-1322"/>
      <w:rPr>
        <w:rStyle w:val="8"/>
        <w:rFonts w:ascii="宋体" w:hAnsi="宋体" w:eastAsia="宋体"/>
        <w:sz w:val="28"/>
        <w:szCs w:val="28"/>
      </w:rPr>
    </w:pPr>
    <w:r>
      <w:rPr>
        <w:rStyle w:val="8"/>
        <w:rFonts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17</w:t>
    </w:r>
    <w:r>
      <w:rPr>
        <w:rStyle w:val="8"/>
        <w:rFonts w:ascii="宋体" w:hAnsi="宋体" w:eastAsia="宋体"/>
        <w:sz w:val="28"/>
        <w:szCs w:val="28"/>
      </w:rPr>
      <w:fldChar w:fldCharType="end"/>
    </w:r>
    <w:r>
      <w:rPr>
        <w:rStyle w:val="8"/>
        <w:rFonts w:ascii="宋体" w:hAnsi="宋体" w:eastAsia="宋体"/>
        <w:sz w:val="28"/>
        <w:szCs w:val="28"/>
      </w:rPr>
      <w:t xml:space="preserve"> —</w:t>
    </w:r>
  </w:p>
  <w:p>
    <w:pPr>
      <w:pStyle w:val="2"/>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777" w:y="-1354"/>
      <w:rPr>
        <w:rStyle w:val="8"/>
        <w:rFonts w:ascii="宋体" w:hAnsi="宋体" w:eastAsia="宋体"/>
        <w:sz w:val="28"/>
        <w:szCs w:val="28"/>
      </w:rPr>
    </w:pPr>
    <w:r>
      <w:rPr>
        <w:rStyle w:val="8"/>
        <w:rFonts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16</w:t>
    </w:r>
    <w:r>
      <w:rPr>
        <w:rStyle w:val="8"/>
        <w:rFonts w:ascii="宋体" w:hAnsi="宋体" w:eastAsia="宋体"/>
        <w:sz w:val="28"/>
        <w:szCs w:val="28"/>
      </w:rPr>
      <w:fldChar w:fldCharType="end"/>
    </w:r>
    <w:r>
      <w:rPr>
        <w:rStyle w:val="8"/>
        <w:rFonts w:ascii="宋体" w:hAnsi="宋体" w:eastAsia="宋体"/>
        <w:sz w:val="28"/>
        <w:szCs w:val="28"/>
      </w:rPr>
      <w:t xml:space="preserve"> —</w:t>
    </w:r>
  </w:p>
  <w:p>
    <w:pPr>
      <w:pStyle w:val="2"/>
      <w:ind w:right="360" w:firstLine="360"/>
    </w:pP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framePr w:wrap="around" w:vAnchor="text" w:hAnchor="page" w:x="1831" w:y="-86"/>
      <w:rPr>
        <w:rStyle w:val="8"/>
        <w:rFonts w:ascii="宋体" w:hAnsi="宋体" w:eastAsia="宋体"/>
        <w:sz w:val="28"/>
        <w:szCs w:val="28"/>
      </w:rPr>
    </w:pPr>
    <w:r>
      <w:rPr>
        <w:rStyle w:val="8"/>
        <w:rFonts w:ascii="宋体" w:hAnsi="宋体" w:eastAsia="宋体"/>
        <w:sz w:val="28"/>
        <w:szCs w:val="28"/>
      </w:rPr>
      <w:t xml:space="preserve">— </w:t>
    </w:r>
    <w:r>
      <w:rPr>
        <w:rStyle w:val="8"/>
        <w:rFonts w:ascii="宋体" w:hAnsi="宋体" w:eastAsia="宋体"/>
        <w:sz w:val="28"/>
        <w:szCs w:val="28"/>
      </w:rPr>
      <w:fldChar w:fldCharType="begin"/>
    </w:r>
    <w:r>
      <w:rPr>
        <w:rStyle w:val="8"/>
        <w:rFonts w:ascii="宋体" w:hAnsi="宋体" w:eastAsia="宋体"/>
        <w:sz w:val="28"/>
        <w:szCs w:val="28"/>
      </w:rPr>
      <w:instrText xml:space="preserve">PAGE  </w:instrText>
    </w:r>
    <w:r>
      <w:rPr>
        <w:rStyle w:val="8"/>
        <w:rFonts w:ascii="宋体" w:hAnsi="宋体" w:eastAsia="宋体"/>
        <w:sz w:val="28"/>
        <w:szCs w:val="28"/>
      </w:rPr>
      <w:fldChar w:fldCharType="separate"/>
    </w:r>
    <w:r>
      <w:rPr>
        <w:rStyle w:val="8"/>
        <w:rFonts w:ascii="宋体" w:hAnsi="宋体" w:eastAsia="宋体"/>
        <w:sz w:val="28"/>
        <w:szCs w:val="28"/>
      </w:rPr>
      <w:t>12</w:t>
    </w:r>
    <w:r>
      <w:rPr>
        <w:rStyle w:val="8"/>
        <w:rFonts w:ascii="宋体" w:hAnsi="宋体" w:eastAsia="宋体"/>
        <w:sz w:val="28"/>
        <w:szCs w:val="28"/>
      </w:rPr>
      <w:fldChar w:fldCharType="end"/>
    </w:r>
    <w:r>
      <w:rPr>
        <w:rStyle w:val="8"/>
        <w:rFonts w:ascii="宋体" w:hAnsi="宋体" w:eastAsia="宋体"/>
        <w:sz w:val="28"/>
        <w:szCs w:val="28"/>
      </w:rPr>
      <w:t xml:space="preserve"> —</w:t>
    </w:r>
  </w:p>
  <w:p>
    <w:pPr>
      <w:pStyle w:val="2"/>
      <w:ind w:right="360" w:firstLine="360"/>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mirrorMargins w:val="1"/>
  <w:bordersDoNotSurroundHeader w:val="1"/>
  <w:bordersDoNotSurroundFooter w:val="1"/>
  <w:documentProtection w:enforcement="0"/>
  <w:defaultTabStop w:val="420"/>
  <w:evenAndOddHeaders w:val="1"/>
  <w:drawingGridVerticalSpacing w:val="156"/>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jNlNDdmZGFkOGY1ZGRjMDgwNTM5ZjZlMDJmNjczMDcifQ=="/>
  </w:docVars>
  <w:rsids>
    <w:rsidRoot w:val="4D8B420A"/>
    <w:rsid w:val="00004C95"/>
    <w:rsid w:val="0001767F"/>
    <w:rsid w:val="00032E65"/>
    <w:rsid w:val="000761F0"/>
    <w:rsid w:val="0008046E"/>
    <w:rsid w:val="00096CB1"/>
    <w:rsid w:val="000A2CE4"/>
    <w:rsid w:val="000B2A60"/>
    <w:rsid w:val="000C3BB2"/>
    <w:rsid w:val="000D2DD3"/>
    <w:rsid w:val="000D5A2F"/>
    <w:rsid w:val="000E118F"/>
    <w:rsid w:val="000F5D7E"/>
    <w:rsid w:val="00123097"/>
    <w:rsid w:val="001265E6"/>
    <w:rsid w:val="00140672"/>
    <w:rsid w:val="00187CEE"/>
    <w:rsid w:val="001926E3"/>
    <w:rsid w:val="001A5B1A"/>
    <w:rsid w:val="001A6F0F"/>
    <w:rsid w:val="001A721C"/>
    <w:rsid w:val="001C0898"/>
    <w:rsid w:val="001D09AB"/>
    <w:rsid w:val="00226FE6"/>
    <w:rsid w:val="00250188"/>
    <w:rsid w:val="00273674"/>
    <w:rsid w:val="00274052"/>
    <w:rsid w:val="00276FCF"/>
    <w:rsid w:val="00292056"/>
    <w:rsid w:val="002937CD"/>
    <w:rsid w:val="002A5B77"/>
    <w:rsid w:val="002B6B71"/>
    <w:rsid w:val="002D25C9"/>
    <w:rsid w:val="003958C9"/>
    <w:rsid w:val="00397ED5"/>
    <w:rsid w:val="003B24F6"/>
    <w:rsid w:val="004101F9"/>
    <w:rsid w:val="00435914"/>
    <w:rsid w:val="004408EC"/>
    <w:rsid w:val="004437A1"/>
    <w:rsid w:val="004472CB"/>
    <w:rsid w:val="00481D52"/>
    <w:rsid w:val="004A0196"/>
    <w:rsid w:val="004A6FBD"/>
    <w:rsid w:val="004A7924"/>
    <w:rsid w:val="004B54FA"/>
    <w:rsid w:val="004C0B18"/>
    <w:rsid w:val="004F19E0"/>
    <w:rsid w:val="00550E1A"/>
    <w:rsid w:val="0056061C"/>
    <w:rsid w:val="005732E6"/>
    <w:rsid w:val="0058714C"/>
    <w:rsid w:val="005901FE"/>
    <w:rsid w:val="0059059A"/>
    <w:rsid w:val="005A2186"/>
    <w:rsid w:val="005D4CA8"/>
    <w:rsid w:val="005E6011"/>
    <w:rsid w:val="005F1D19"/>
    <w:rsid w:val="005F2792"/>
    <w:rsid w:val="0060053F"/>
    <w:rsid w:val="006256AD"/>
    <w:rsid w:val="006340B1"/>
    <w:rsid w:val="0064535F"/>
    <w:rsid w:val="00665D6E"/>
    <w:rsid w:val="00685481"/>
    <w:rsid w:val="006A745C"/>
    <w:rsid w:val="006B19A7"/>
    <w:rsid w:val="006B3FA7"/>
    <w:rsid w:val="006D1BA4"/>
    <w:rsid w:val="006E527E"/>
    <w:rsid w:val="006E5C3C"/>
    <w:rsid w:val="006F4BEF"/>
    <w:rsid w:val="00705D9A"/>
    <w:rsid w:val="00706467"/>
    <w:rsid w:val="00713FC0"/>
    <w:rsid w:val="007408C0"/>
    <w:rsid w:val="007416EA"/>
    <w:rsid w:val="00747C69"/>
    <w:rsid w:val="00756F95"/>
    <w:rsid w:val="007612BF"/>
    <w:rsid w:val="007A1B61"/>
    <w:rsid w:val="007E4A96"/>
    <w:rsid w:val="007F253F"/>
    <w:rsid w:val="00801C7A"/>
    <w:rsid w:val="008069B6"/>
    <w:rsid w:val="00845EB9"/>
    <w:rsid w:val="00865F69"/>
    <w:rsid w:val="00882947"/>
    <w:rsid w:val="00886AD1"/>
    <w:rsid w:val="00894A3B"/>
    <w:rsid w:val="008A027C"/>
    <w:rsid w:val="008A259A"/>
    <w:rsid w:val="008D3DE7"/>
    <w:rsid w:val="008D5935"/>
    <w:rsid w:val="008D6F9B"/>
    <w:rsid w:val="00915F13"/>
    <w:rsid w:val="00967830"/>
    <w:rsid w:val="00970443"/>
    <w:rsid w:val="009834CA"/>
    <w:rsid w:val="00983A92"/>
    <w:rsid w:val="009A36C7"/>
    <w:rsid w:val="009A4F15"/>
    <w:rsid w:val="009A592C"/>
    <w:rsid w:val="009A7D9A"/>
    <w:rsid w:val="009B4A0F"/>
    <w:rsid w:val="009D7C62"/>
    <w:rsid w:val="009E1137"/>
    <w:rsid w:val="009F4484"/>
    <w:rsid w:val="00A06813"/>
    <w:rsid w:val="00A151D4"/>
    <w:rsid w:val="00A42841"/>
    <w:rsid w:val="00A60147"/>
    <w:rsid w:val="00A60753"/>
    <w:rsid w:val="00A63663"/>
    <w:rsid w:val="00A65D90"/>
    <w:rsid w:val="00A71E5A"/>
    <w:rsid w:val="00AA7664"/>
    <w:rsid w:val="00AD2683"/>
    <w:rsid w:val="00B11DD9"/>
    <w:rsid w:val="00B32DDF"/>
    <w:rsid w:val="00B4284F"/>
    <w:rsid w:val="00B60774"/>
    <w:rsid w:val="00B61920"/>
    <w:rsid w:val="00B77A20"/>
    <w:rsid w:val="00B87D09"/>
    <w:rsid w:val="00BA4275"/>
    <w:rsid w:val="00BC5272"/>
    <w:rsid w:val="00BF57B1"/>
    <w:rsid w:val="00C05A2C"/>
    <w:rsid w:val="00C11F13"/>
    <w:rsid w:val="00C14D28"/>
    <w:rsid w:val="00C33BCC"/>
    <w:rsid w:val="00C43FCA"/>
    <w:rsid w:val="00C9203D"/>
    <w:rsid w:val="00CF2232"/>
    <w:rsid w:val="00CF55C9"/>
    <w:rsid w:val="00D013B6"/>
    <w:rsid w:val="00D12A13"/>
    <w:rsid w:val="00D23C6D"/>
    <w:rsid w:val="00D546E8"/>
    <w:rsid w:val="00D73DBE"/>
    <w:rsid w:val="00D740C0"/>
    <w:rsid w:val="00DE2E27"/>
    <w:rsid w:val="00E23A2E"/>
    <w:rsid w:val="00E41A2E"/>
    <w:rsid w:val="00E43AEA"/>
    <w:rsid w:val="00E51456"/>
    <w:rsid w:val="00E52E51"/>
    <w:rsid w:val="00E57935"/>
    <w:rsid w:val="00E65DD2"/>
    <w:rsid w:val="00E74EBE"/>
    <w:rsid w:val="00E933D3"/>
    <w:rsid w:val="00E961EF"/>
    <w:rsid w:val="00EA0343"/>
    <w:rsid w:val="00EA29F3"/>
    <w:rsid w:val="00EB39AA"/>
    <w:rsid w:val="00ED1346"/>
    <w:rsid w:val="00ED62FD"/>
    <w:rsid w:val="00EE1137"/>
    <w:rsid w:val="00F10CBC"/>
    <w:rsid w:val="00F27AB0"/>
    <w:rsid w:val="00F3133A"/>
    <w:rsid w:val="00F32208"/>
    <w:rsid w:val="00F352F4"/>
    <w:rsid w:val="00F35D29"/>
    <w:rsid w:val="00F75B0A"/>
    <w:rsid w:val="00F918D5"/>
    <w:rsid w:val="00FB08A8"/>
    <w:rsid w:val="00FB56C1"/>
    <w:rsid w:val="00FF2C46"/>
    <w:rsid w:val="047D34C5"/>
    <w:rsid w:val="04CE3D21"/>
    <w:rsid w:val="06930D7E"/>
    <w:rsid w:val="069F5975"/>
    <w:rsid w:val="06AB431A"/>
    <w:rsid w:val="084B79DF"/>
    <w:rsid w:val="09D43B87"/>
    <w:rsid w:val="09E32CC4"/>
    <w:rsid w:val="0A040C55"/>
    <w:rsid w:val="0C6A32FC"/>
    <w:rsid w:val="0CCA1C47"/>
    <w:rsid w:val="0D9C736C"/>
    <w:rsid w:val="134E2D25"/>
    <w:rsid w:val="13545D39"/>
    <w:rsid w:val="192835A8"/>
    <w:rsid w:val="1A1678A4"/>
    <w:rsid w:val="1BB13D28"/>
    <w:rsid w:val="1C085913"/>
    <w:rsid w:val="1E000010"/>
    <w:rsid w:val="1E25455A"/>
    <w:rsid w:val="1EA5569B"/>
    <w:rsid w:val="1EEC32CA"/>
    <w:rsid w:val="1F2C682A"/>
    <w:rsid w:val="205D783A"/>
    <w:rsid w:val="221B014E"/>
    <w:rsid w:val="23C2284B"/>
    <w:rsid w:val="255120D8"/>
    <w:rsid w:val="275D4D64"/>
    <w:rsid w:val="277E3499"/>
    <w:rsid w:val="27E2170E"/>
    <w:rsid w:val="282B09BF"/>
    <w:rsid w:val="29A7676B"/>
    <w:rsid w:val="29C97866"/>
    <w:rsid w:val="2ACA0963"/>
    <w:rsid w:val="2B836D64"/>
    <w:rsid w:val="2D181A11"/>
    <w:rsid w:val="2DA8567E"/>
    <w:rsid w:val="2EAE40F8"/>
    <w:rsid w:val="2FD26BB8"/>
    <w:rsid w:val="31D26556"/>
    <w:rsid w:val="32E77BD8"/>
    <w:rsid w:val="33446DD8"/>
    <w:rsid w:val="354D1DB2"/>
    <w:rsid w:val="3575596F"/>
    <w:rsid w:val="35DC779C"/>
    <w:rsid w:val="361B3EDC"/>
    <w:rsid w:val="385B52F0"/>
    <w:rsid w:val="39396CB4"/>
    <w:rsid w:val="3AEF1149"/>
    <w:rsid w:val="3D5347E8"/>
    <w:rsid w:val="42051E29"/>
    <w:rsid w:val="4436451B"/>
    <w:rsid w:val="44A91191"/>
    <w:rsid w:val="45097E82"/>
    <w:rsid w:val="456F4189"/>
    <w:rsid w:val="45C049E4"/>
    <w:rsid w:val="46905DAD"/>
    <w:rsid w:val="49D00589"/>
    <w:rsid w:val="4A2F2139"/>
    <w:rsid w:val="4A4831FA"/>
    <w:rsid w:val="4A873D23"/>
    <w:rsid w:val="4B9E66AF"/>
    <w:rsid w:val="4CD46FC7"/>
    <w:rsid w:val="4D8B420A"/>
    <w:rsid w:val="4F706FD1"/>
    <w:rsid w:val="4F7F6C87"/>
    <w:rsid w:val="4F8627FB"/>
    <w:rsid w:val="573E1C0D"/>
    <w:rsid w:val="57E04364"/>
    <w:rsid w:val="58005114"/>
    <w:rsid w:val="58337298"/>
    <w:rsid w:val="5A7A6A7D"/>
    <w:rsid w:val="5ABC3575"/>
    <w:rsid w:val="5B6065F6"/>
    <w:rsid w:val="5D312716"/>
    <w:rsid w:val="5DB5455D"/>
    <w:rsid w:val="5E1C432A"/>
    <w:rsid w:val="5F8B79B9"/>
    <w:rsid w:val="60D40EEC"/>
    <w:rsid w:val="6129748A"/>
    <w:rsid w:val="6142054C"/>
    <w:rsid w:val="639826A5"/>
    <w:rsid w:val="641A755E"/>
    <w:rsid w:val="643948AD"/>
    <w:rsid w:val="65B23EF2"/>
    <w:rsid w:val="65C37254"/>
    <w:rsid w:val="694849C4"/>
    <w:rsid w:val="6A694D9B"/>
    <w:rsid w:val="6B6833F8"/>
    <w:rsid w:val="6B7B4D86"/>
    <w:rsid w:val="6D9A7D47"/>
    <w:rsid w:val="6DC742B3"/>
    <w:rsid w:val="6DE54739"/>
    <w:rsid w:val="73075151"/>
    <w:rsid w:val="73816CB2"/>
    <w:rsid w:val="7632494A"/>
    <w:rsid w:val="78CE2999"/>
    <w:rsid w:val="78E44431"/>
    <w:rsid w:val="79E41D48"/>
    <w:rsid w:val="7A6C3702"/>
    <w:rsid w:val="7AC14926"/>
    <w:rsid w:val="7B5B24DE"/>
    <w:rsid w:val="7C684EB3"/>
    <w:rsid w:val="7CB165B8"/>
    <w:rsid w:val="7D956055"/>
    <w:rsid w:val="7DAE2D99"/>
    <w:rsid w:val="7FF54CAF"/>
  </w:rsids>
  <m:mathPr>
    <m:mathFont m:val="Cambria Math"/>
    <m:brkBin m:val="before"/>
    <m:brkBinSub m:val="--"/>
    <m:smallFrac m:val="0"/>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99"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nhideWhenUsed="0"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nhideWhenUsed="0" w:uiPriority="99" w:name="Default Paragraph Font"/>
    <w:lsdException w:unhideWhenUsed="0" w:uiPriority="99" w:semiHidden="0"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nhideWhenUsed="0"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方正仿宋简体" w:cs="Times New Roman"/>
      <w:kern w:val="2"/>
      <w:sz w:val="32"/>
      <w:szCs w:val="20"/>
      <w:lang w:val="en-US" w:eastAsia="zh-CN" w:bidi="ar-SA"/>
    </w:rPr>
  </w:style>
  <w:style w:type="character" w:default="1" w:styleId="7">
    <w:name w:val="Default Paragraph Font"/>
    <w:semiHidden/>
    <w:uiPriority w:val="99"/>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2">
    <w:name w:val="footer"/>
    <w:basedOn w:val="1"/>
    <w:next w:val="1"/>
    <w:link w:val="9"/>
    <w:uiPriority w:val="99"/>
    <w:pPr>
      <w:tabs>
        <w:tab w:val="center" w:pos="4153"/>
        <w:tab w:val="right" w:pos="8306"/>
      </w:tabs>
      <w:snapToGrid w:val="0"/>
      <w:jc w:val="left"/>
    </w:pPr>
    <w:rPr>
      <w:kern w:val="0"/>
      <w:sz w:val="18"/>
      <w:szCs w:val="18"/>
    </w:rPr>
  </w:style>
  <w:style w:type="paragraph" w:styleId="3">
    <w:name w:val="Body Text"/>
    <w:basedOn w:val="1"/>
    <w:link w:val="10"/>
    <w:uiPriority w:val="99"/>
    <w:rPr>
      <w:kern w:val="0"/>
      <w:sz w:val="20"/>
    </w:rPr>
  </w:style>
  <w:style w:type="paragraph" w:styleId="4">
    <w:name w:val="Balloon Text"/>
    <w:basedOn w:val="1"/>
    <w:link w:val="11"/>
    <w:semiHidden/>
    <w:uiPriority w:val="99"/>
    <w:rPr>
      <w:kern w:val="0"/>
      <w:sz w:val="18"/>
      <w:szCs w:val="18"/>
    </w:rPr>
  </w:style>
  <w:style w:type="paragraph" w:styleId="5">
    <w:name w:val="header"/>
    <w:basedOn w:val="1"/>
    <w:link w:val="12"/>
    <w:uiPriority w:val="99"/>
    <w:pPr>
      <w:pBdr>
        <w:bottom w:val="single" w:color="auto" w:sz="6" w:space="1"/>
      </w:pBdr>
      <w:tabs>
        <w:tab w:val="center" w:pos="4153"/>
        <w:tab w:val="right" w:pos="8306"/>
      </w:tabs>
      <w:snapToGrid w:val="0"/>
      <w:jc w:val="center"/>
    </w:pPr>
    <w:rPr>
      <w:kern w:val="0"/>
      <w:sz w:val="18"/>
      <w:szCs w:val="18"/>
    </w:rPr>
  </w:style>
  <w:style w:type="character" w:styleId="8">
    <w:name w:val="page number"/>
    <w:basedOn w:val="7"/>
    <w:uiPriority w:val="99"/>
    <w:rPr>
      <w:rFonts w:cs="Times New Roman"/>
    </w:rPr>
  </w:style>
  <w:style w:type="character" w:customStyle="1" w:styleId="9">
    <w:name w:val="Footer Char"/>
    <w:basedOn w:val="7"/>
    <w:link w:val="2"/>
    <w:semiHidden/>
    <w:locked/>
    <w:uiPriority w:val="99"/>
    <w:rPr>
      <w:rFonts w:ascii="Times New Roman" w:hAnsi="Times New Roman" w:eastAsia="方正仿宋简体" w:cs="Times New Roman"/>
      <w:sz w:val="18"/>
    </w:rPr>
  </w:style>
  <w:style w:type="character" w:customStyle="1" w:styleId="10">
    <w:name w:val="Body Text Char"/>
    <w:basedOn w:val="7"/>
    <w:link w:val="3"/>
    <w:semiHidden/>
    <w:locked/>
    <w:uiPriority w:val="99"/>
    <w:rPr>
      <w:rFonts w:ascii="Times New Roman" w:hAnsi="Times New Roman" w:eastAsia="方正仿宋简体" w:cs="Times New Roman"/>
      <w:sz w:val="20"/>
    </w:rPr>
  </w:style>
  <w:style w:type="character" w:customStyle="1" w:styleId="11">
    <w:name w:val="Balloon Text Char"/>
    <w:basedOn w:val="7"/>
    <w:link w:val="4"/>
    <w:semiHidden/>
    <w:locked/>
    <w:uiPriority w:val="99"/>
    <w:rPr>
      <w:rFonts w:ascii="Times New Roman" w:hAnsi="Times New Roman" w:eastAsia="方正仿宋简体" w:cs="Times New Roman"/>
      <w:sz w:val="18"/>
    </w:rPr>
  </w:style>
  <w:style w:type="character" w:customStyle="1" w:styleId="12">
    <w:name w:val="Header Char"/>
    <w:basedOn w:val="7"/>
    <w:link w:val="5"/>
    <w:semiHidden/>
    <w:locked/>
    <w:uiPriority w:val="99"/>
    <w:rPr>
      <w:rFonts w:ascii="Times New Roman" w:hAnsi="Times New Roman" w:eastAsia="方正仿宋简体" w:cs="Times New Roman"/>
      <w:sz w:val="18"/>
    </w:rPr>
  </w:style>
  <w:style w:type="character" w:customStyle="1" w:styleId="13">
    <w:name w:val="NormalCharacter"/>
    <w:semiHidden/>
    <w:uiPriority w:val="99"/>
    <w:rPr>
      <w:rFonts w:eastAsia="方正仿宋简体"/>
      <w:kern w:val="2"/>
      <w:sz w:val="32"/>
      <w:lang w:val="en-US" w:eastAsia="zh-CN"/>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1.xml"/><Relationship Id="rId8" Type="http://schemas.openxmlformats.org/officeDocument/2006/relationships/theme" Target="theme/theme1.xml"/><Relationship Id="rId7" Type="http://schemas.openxmlformats.org/officeDocument/2006/relationships/footer" Target="footer5.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Normal_Wordconv</Template>
  <Company>Organization</Company>
  <Pages>18</Pages>
  <Words>8973</Words>
  <Characters>9191</Characters>
  <Lines>0</Lines>
  <Paragraphs>0</Paragraphs>
  <TotalTime>5</TotalTime>
  <ScaleCrop>false</ScaleCrop>
  <LinksUpToDate>false</LinksUpToDate>
  <CharactersWithSpaces>9268</CharactersWithSpaces>
  <Application>WPS Office_11.1.0.13703_F1E327BC-269C-435d-A152-05C5408002CA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2023-03-24T02:27:00Z</dcterms:created>
  <dc:creator>Administrator</dc:creator>
  <cp:lastModifiedBy>手心</cp:lastModifiedBy>
  <cp:lastPrinted>2023-03-24T07:54:00Z</cp:lastPrinted>
  <dcterms:modified xsi:type="dcterms:W3CDTF">2023-03-28T02:47:45Z</dcterms:modified>
  <dc:title>鄠政办函〔2023〕4号</dc:title>
  <cp:revision>11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46C911CC4650407E8F0F85F9D620FAA2</vt:lpwstr>
  </property>
</Properties>
</file>