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default" w:eastAsiaTheme="minorEastAsia"/>
          <w:b/>
          <w:bCs/>
          <w:sz w:val="28"/>
          <w:szCs w:val="36"/>
          <w:lang w:val="en-US" w:eastAsia="zh-CN"/>
        </w:rPr>
      </w:pPr>
      <w:r>
        <w:rPr>
          <w:rFonts w:hint="eastAsia"/>
          <w:b/>
          <w:bCs/>
          <w:sz w:val="28"/>
          <w:szCs w:val="36"/>
          <w:lang w:val="en-US" w:eastAsia="zh-CN"/>
        </w:rPr>
        <w:t>第一次征求意见</w:t>
      </w:r>
    </w:p>
    <w:p>
      <w:pPr>
        <w:ind w:firstLine="560" w:firstLineChars="200"/>
        <w:rPr>
          <w:rFonts w:hint="eastAsia"/>
          <w:sz w:val="28"/>
          <w:szCs w:val="36"/>
          <w:lang w:val="en-US" w:eastAsia="zh-CN"/>
        </w:rPr>
      </w:pPr>
      <w:bookmarkStart w:id="0" w:name="_GoBack"/>
      <w:bookmarkEnd w:id="0"/>
    </w:p>
    <w:p>
      <w:pPr>
        <w:ind w:firstLine="560" w:firstLineChars="200"/>
        <w:rPr>
          <w:rFonts w:hint="eastAsia"/>
          <w:sz w:val="28"/>
          <w:szCs w:val="36"/>
          <w:lang w:val="en-US" w:eastAsia="zh-CN"/>
        </w:rPr>
      </w:pPr>
      <w:r>
        <w:rPr>
          <w:rFonts w:hint="eastAsia"/>
          <w:sz w:val="28"/>
          <w:szCs w:val="36"/>
          <w:lang w:val="en-US" w:eastAsia="zh-CN"/>
        </w:rPr>
        <w:t>2022年10月17日，鄠邑区气象局向92家单位征求《西安市鄠邑区气象灾害应急预案(征求意见稿)》的意见。至反馈截止时间,共收到13家单位反馈，其中有4条反馈意见。</w:t>
      </w:r>
    </w:p>
    <w:tbl>
      <w:tblPr>
        <w:tblStyle w:val="3"/>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3262"/>
        <w:gridCol w:w="1875"/>
        <w:gridCol w:w="3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pPr>
              <w:jc w:val="center"/>
              <w:rPr>
                <w:rFonts w:hint="eastAsia" w:eastAsiaTheme="minorEastAsia"/>
                <w:b/>
                <w:bCs/>
                <w:sz w:val="28"/>
                <w:szCs w:val="36"/>
                <w:vertAlign w:val="baseline"/>
                <w:lang w:val="en-US" w:eastAsia="zh-CN"/>
              </w:rPr>
            </w:pPr>
            <w:r>
              <w:rPr>
                <w:rFonts w:hint="eastAsia"/>
                <w:b/>
                <w:bCs/>
                <w:sz w:val="28"/>
                <w:szCs w:val="36"/>
                <w:vertAlign w:val="baseline"/>
                <w:lang w:val="en-US" w:eastAsia="zh-CN"/>
              </w:rPr>
              <w:t>序号</w:t>
            </w:r>
          </w:p>
        </w:tc>
        <w:tc>
          <w:tcPr>
            <w:tcW w:w="3262"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具体意见</w:t>
            </w:r>
          </w:p>
        </w:tc>
        <w:tc>
          <w:tcPr>
            <w:tcW w:w="1875"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反馈单位</w:t>
            </w:r>
          </w:p>
        </w:tc>
        <w:tc>
          <w:tcPr>
            <w:tcW w:w="3501"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jc w:val="center"/>
              <w:rPr>
                <w:rFonts w:hint="eastAsia" w:eastAsiaTheme="minorEastAsia"/>
                <w:sz w:val="28"/>
                <w:szCs w:val="36"/>
                <w:vertAlign w:val="baseline"/>
                <w:lang w:val="en-US" w:eastAsia="zh-CN"/>
              </w:rPr>
            </w:pPr>
            <w:r>
              <w:rPr>
                <w:rFonts w:hint="eastAsia"/>
                <w:sz w:val="28"/>
                <w:szCs w:val="36"/>
                <w:vertAlign w:val="baseline"/>
                <w:lang w:val="en-US" w:eastAsia="zh-CN"/>
              </w:rPr>
              <w:t>1</w:t>
            </w:r>
          </w:p>
        </w:tc>
        <w:tc>
          <w:tcPr>
            <w:tcW w:w="326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4.3.3.6 高温部分，将“区民政局:指导各社区做好高温预防工作，注意防暑降温，对特殊群体采取必要的防暑应对措施”。</w:t>
            </w:r>
            <w:r>
              <w:rPr>
                <w:rFonts w:hint="eastAsia"/>
                <w:b/>
                <w:bCs/>
                <w:sz w:val="28"/>
                <w:szCs w:val="36"/>
                <w:vertAlign w:val="baseline"/>
                <w:lang w:val="en-US" w:eastAsia="zh-CN"/>
              </w:rPr>
              <w:t>建议修改为:</w:t>
            </w:r>
            <w:r>
              <w:rPr>
                <w:rFonts w:hint="eastAsia"/>
                <w:sz w:val="28"/>
                <w:szCs w:val="36"/>
                <w:vertAlign w:val="baseline"/>
                <w:lang w:val="en-US" w:eastAsia="zh-CN"/>
              </w:rPr>
              <w:t>“指导各街道做好社区高温预防工作，注意防暑降温，对特殊群体采取必要的防暑应对措施。</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sz w:val="32"/>
                <w:szCs w:val="40"/>
                <w:vertAlign w:val="baseline"/>
                <w:lang w:val="en-US" w:eastAsia="zh-CN"/>
              </w:rPr>
            </w:pPr>
            <w:r>
              <w:rPr>
                <w:rFonts w:hint="eastAsia"/>
                <w:sz w:val="28"/>
                <w:szCs w:val="36"/>
                <w:vertAlign w:val="baseline"/>
                <w:lang w:val="en-US" w:eastAsia="zh-CN"/>
              </w:rPr>
              <w:t>西安市鄠邑区民政局</w:t>
            </w:r>
          </w:p>
        </w:tc>
        <w:tc>
          <w:tcPr>
            <w:tcW w:w="350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予以采纳。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2</w:t>
            </w:r>
          </w:p>
        </w:tc>
        <w:tc>
          <w:tcPr>
            <w:tcW w:w="326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本方案第10页原文：区资源规划分局:负责气象因素诱发的地质灾害防治工作；组织指导协调和监督地质灾害调查评价及隐患的普查、排查，组织指导开展群测群防、专业监测和预报预警工作。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default"/>
                <w:sz w:val="28"/>
                <w:szCs w:val="36"/>
                <w:vertAlign w:val="baseline"/>
                <w:lang w:val="en-US" w:eastAsia="zh-CN"/>
              </w:rPr>
              <w:t>建议</w:t>
            </w:r>
            <w:r>
              <w:rPr>
                <w:rFonts w:hint="eastAsia"/>
                <w:sz w:val="28"/>
                <w:szCs w:val="36"/>
                <w:vertAlign w:val="baseline"/>
                <w:lang w:val="en-US" w:eastAsia="zh-CN"/>
              </w:rPr>
              <w:t>修</w:t>
            </w:r>
            <w:r>
              <w:rPr>
                <w:rFonts w:hint="default"/>
                <w:sz w:val="28"/>
                <w:szCs w:val="36"/>
                <w:vertAlign w:val="baseline"/>
                <w:lang w:val="en-US" w:eastAsia="zh-CN"/>
              </w:rPr>
              <w:t>改为:区资源规划分局:负责气象因素诱发的地质灾害防治的组织、协调、指导和监督工作。做好突发地质灾害的应急调查技术支撑的工作。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default"/>
                <w:sz w:val="28"/>
                <w:szCs w:val="36"/>
                <w:vertAlign w:val="baseline"/>
                <w:lang w:val="en-US" w:eastAsia="zh-CN"/>
              </w:rPr>
              <w:t>第 20页原文:区资源规划分局:组织做好地质灾害风险预警、防范工作。建议改为:区资源规划分局:负责暴雨诱发的地质灾害防治的组织、协调、指导和监督工作。</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西安市自然资源和规划局鄠邑分局</w:t>
            </w:r>
          </w:p>
        </w:tc>
        <w:tc>
          <w:tcPr>
            <w:tcW w:w="350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按照《地质灾害防治条例》相关规定及有关要求，资源规划鄠邑分局负责本行政区域内地质灾害防治的组织、协调、指导和监督工作。住建、水务、交通、应急管理、气象等行政主管部门，按照各自职责负责有关地质灾害防治工作。街办(景区局)负责本辖区地质灾害防治工作，予以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jc w:val="center"/>
              <w:rPr>
                <w:rFonts w:hint="default"/>
                <w:sz w:val="28"/>
                <w:szCs w:val="36"/>
                <w:vertAlign w:val="baseline"/>
                <w:lang w:val="en-US" w:eastAsia="zh-CN"/>
              </w:rPr>
            </w:pPr>
            <w:r>
              <w:rPr>
                <w:rFonts w:hint="eastAsia"/>
                <w:sz w:val="28"/>
                <w:szCs w:val="36"/>
                <w:vertAlign w:val="baseline"/>
                <w:lang w:val="en-US" w:eastAsia="zh-CN"/>
              </w:rPr>
              <w:t>3</w:t>
            </w:r>
          </w:p>
        </w:tc>
        <w:tc>
          <w:tcPr>
            <w:tcW w:w="326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建议将:1.负责做好气象灾害损毁设施修复、区域气象灾害风险评估等相关项目的立项审批工作，责任单位变更为区行政审批服务局。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2.按照区政府要求协调资金计划下达。责任单位变更为西安市鄠邑区财政局。</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西安市鄠邑区发展和改革委员会</w:t>
            </w:r>
          </w:p>
        </w:tc>
        <w:tc>
          <w:tcPr>
            <w:tcW w:w="350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根据《西安市鄠邑区人民政府办公室关于印发&lt;西安市鄠邑区相对集中行政许可权改革事项划转工作实施方案&gt;和“审管联动制度”的通知》(鄠政办发〔2020〕5号)文件要求，区发改委受理的项目审批、备案等12项业务于2020年12月31 日划转至西安市鄠邑区行政审批服务局。同时，结合我区实际，项目资金计划的协调下达工作职能为西安市鄠邑区财政局，予以采纳。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4</w:t>
            </w:r>
          </w:p>
        </w:tc>
        <w:tc>
          <w:tcPr>
            <w:tcW w:w="326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建议删除《西安市鄠邑区气象灾害应急预案(征求意见稿)》中“督导秦岭沿山各街办(景区管理局)做好气象防灾减灾相关工作”。</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西安市鄠邑区秦岭生态环境保护和综合执法局</w:t>
            </w:r>
          </w:p>
        </w:tc>
        <w:tc>
          <w:tcPr>
            <w:tcW w:w="350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一、依据《西安市秦岭生态环境保护条例》第六条，“区县秦岭生态环境保护管理部门对本辖区秦岭生态环境保护工作实施综合监督管理。有关部门依照有关法律、法规，在各自职责范围内，对有关行业、领域的秦岭生态环境保护工作实施监督管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二、依据《西安市秦岭生态环境保护条例》第十二条，“市人民政府有关部门应当依法履行监督管理和行政执法职责，重点做好下列秦岭生态环境保护工作。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财政、审计、气象、民政、应急等部门在各自职责范围内，共同做好秦岭生态环境保护工作。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予以采纳</w:t>
            </w:r>
          </w:p>
        </w:tc>
      </w:tr>
    </w:tbl>
    <w:p>
      <w:pPr>
        <w:ind w:firstLine="562" w:firstLineChars="200"/>
        <w:jc w:val="center"/>
        <w:rPr>
          <w:rFonts w:hint="eastAsia"/>
          <w:b/>
          <w:bCs/>
          <w:sz w:val="28"/>
          <w:szCs w:val="36"/>
          <w:lang w:val="en-US" w:eastAsia="zh-CN"/>
        </w:rPr>
      </w:pPr>
    </w:p>
    <w:p>
      <w:pPr>
        <w:ind w:firstLine="562" w:firstLineChars="200"/>
        <w:jc w:val="center"/>
        <w:rPr>
          <w:rFonts w:hint="eastAsia"/>
          <w:b/>
          <w:bCs/>
          <w:sz w:val="28"/>
          <w:szCs w:val="36"/>
          <w:lang w:val="en-US" w:eastAsia="zh-CN"/>
        </w:rPr>
      </w:pPr>
    </w:p>
    <w:p>
      <w:pPr>
        <w:ind w:firstLine="562" w:firstLineChars="200"/>
        <w:jc w:val="center"/>
        <w:rPr>
          <w:rFonts w:hint="eastAsia"/>
          <w:b/>
          <w:bCs/>
          <w:sz w:val="28"/>
          <w:szCs w:val="36"/>
          <w:lang w:val="en-US" w:eastAsia="zh-CN"/>
        </w:rPr>
      </w:pPr>
    </w:p>
    <w:p>
      <w:pPr>
        <w:ind w:firstLine="562" w:firstLineChars="200"/>
        <w:jc w:val="center"/>
        <w:rPr>
          <w:rFonts w:hint="eastAsia"/>
          <w:b/>
          <w:bCs/>
          <w:sz w:val="28"/>
          <w:szCs w:val="36"/>
          <w:lang w:val="en-US" w:eastAsia="zh-CN"/>
        </w:rPr>
      </w:pPr>
    </w:p>
    <w:p>
      <w:pPr>
        <w:ind w:firstLine="562" w:firstLineChars="200"/>
        <w:jc w:val="center"/>
        <w:rPr>
          <w:rFonts w:hint="eastAsia"/>
          <w:b/>
          <w:bCs/>
          <w:sz w:val="28"/>
          <w:szCs w:val="36"/>
          <w:lang w:val="en-US" w:eastAsia="zh-CN"/>
        </w:rPr>
      </w:pPr>
    </w:p>
    <w:p>
      <w:pPr>
        <w:ind w:firstLine="562" w:firstLineChars="200"/>
        <w:jc w:val="center"/>
        <w:rPr>
          <w:rFonts w:hint="eastAsia"/>
          <w:b/>
          <w:bCs/>
          <w:sz w:val="28"/>
          <w:szCs w:val="36"/>
          <w:lang w:val="en-US" w:eastAsia="zh-CN"/>
        </w:rPr>
      </w:pPr>
    </w:p>
    <w:p>
      <w:pPr>
        <w:ind w:firstLine="562" w:firstLineChars="200"/>
        <w:jc w:val="center"/>
        <w:rPr>
          <w:rFonts w:hint="eastAsia"/>
          <w:sz w:val="28"/>
          <w:szCs w:val="36"/>
        </w:rPr>
      </w:pPr>
      <w:r>
        <w:rPr>
          <w:rFonts w:hint="eastAsia"/>
          <w:b/>
          <w:bCs/>
          <w:sz w:val="28"/>
          <w:szCs w:val="36"/>
          <w:lang w:val="en-US" w:eastAsia="zh-CN"/>
        </w:rPr>
        <w:t>第二次征求意见</w:t>
      </w:r>
    </w:p>
    <w:p>
      <w:pPr>
        <w:ind w:firstLine="560" w:firstLineChars="200"/>
        <w:rPr>
          <w:rFonts w:hint="eastAsia"/>
          <w:sz w:val="28"/>
          <w:szCs w:val="36"/>
          <w:lang w:val="en-US" w:eastAsia="zh-CN"/>
        </w:rPr>
      </w:pPr>
    </w:p>
    <w:p>
      <w:pPr>
        <w:ind w:firstLine="560" w:firstLineChars="200"/>
        <w:rPr>
          <w:rFonts w:hint="eastAsia"/>
          <w:sz w:val="28"/>
          <w:szCs w:val="36"/>
          <w:lang w:val="en-US" w:eastAsia="zh-CN"/>
        </w:rPr>
      </w:pPr>
      <w:r>
        <w:rPr>
          <w:rFonts w:hint="eastAsia"/>
          <w:sz w:val="28"/>
          <w:szCs w:val="36"/>
          <w:lang w:val="en-US" w:eastAsia="zh-CN"/>
        </w:rPr>
        <w:t>2022年10月25日，鄠邑区气象局向5家单位征求《西安市鄠邑区气象灾害应急预案(二次征求意见稿)》的意见。至反馈截止时间,共收到2家单位反馈，其中有1条反馈意见。</w:t>
      </w:r>
    </w:p>
    <w:tbl>
      <w:tblPr>
        <w:tblStyle w:val="3"/>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3600"/>
        <w:gridCol w:w="2250"/>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pPr>
              <w:jc w:val="center"/>
              <w:rPr>
                <w:rFonts w:hint="eastAsia" w:eastAsiaTheme="minorEastAsia"/>
                <w:b/>
                <w:bCs/>
                <w:sz w:val="28"/>
                <w:szCs w:val="36"/>
                <w:vertAlign w:val="baseline"/>
                <w:lang w:val="en-US" w:eastAsia="zh-CN"/>
              </w:rPr>
            </w:pPr>
            <w:r>
              <w:rPr>
                <w:rFonts w:hint="eastAsia"/>
                <w:b/>
                <w:bCs/>
                <w:sz w:val="28"/>
                <w:szCs w:val="36"/>
                <w:vertAlign w:val="baseline"/>
                <w:lang w:val="en-US" w:eastAsia="zh-CN"/>
              </w:rPr>
              <w:t>序号</w:t>
            </w:r>
          </w:p>
        </w:tc>
        <w:tc>
          <w:tcPr>
            <w:tcW w:w="3600"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具体意见</w:t>
            </w:r>
          </w:p>
        </w:tc>
        <w:tc>
          <w:tcPr>
            <w:tcW w:w="2250"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反馈单位</w:t>
            </w:r>
          </w:p>
        </w:tc>
        <w:tc>
          <w:tcPr>
            <w:tcW w:w="2788"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jc w:val="center"/>
              <w:rPr>
                <w:rFonts w:hint="eastAsia" w:eastAsiaTheme="minorEastAsia"/>
                <w:sz w:val="28"/>
                <w:szCs w:val="36"/>
                <w:vertAlign w:val="baseline"/>
                <w:lang w:val="en-US" w:eastAsia="zh-CN"/>
              </w:rPr>
            </w:pPr>
            <w:r>
              <w:rPr>
                <w:rFonts w:hint="eastAsia"/>
                <w:sz w:val="28"/>
                <w:szCs w:val="36"/>
                <w:vertAlign w:val="baseline"/>
                <w:lang w:val="en-US" w:eastAsia="zh-CN"/>
              </w:rPr>
              <w:t>1</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建议本方案中2.2成员单位及其职责：区秦岭保护局：负责组织协调做好气象因素印发的森林火灾相关防御工作。现建议修改为：负责指导各森林防火责任单位做好气象因素引发的森林火灾相关防御工作。</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西安市鄠邑区秦岭生态环境保护和综合执法局</w:t>
            </w:r>
          </w:p>
        </w:tc>
        <w:tc>
          <w:tcPr>
            <w:tcW w:w="278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按照中共西安市鄠邑区委办公室下发的鄠办字【2019】57号文件，区秦岭保护局和区应急管理局关于森林防火方面职责分工相关内容，予以采纳。</w:t>
            </w:r>
          </w:p>
        </w:tc>
      </w:tr>
    </w:tbl>
    <w:p>
      <w:pPr>
        <w:ind w:firstLine="560" w:firstLineChars="200"/>
        <w:rPr>
          <w:rFonts w:hint="eastAsia"/>
          <w:sz w:val="28"/>
          <w:szCs w:val="36"/>
        </w:rPr>
      </w:pPr>
    </w:p>
    <w:p>
      <w:pPr>
        <w:ind w:firstLine="560" w:firstLineChars="200"/>
        <w:rPr>
          <w:rFonts w:hint="eastAsia"/>
          <w:sz w:val="28"/>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OWEwMzdhZmZhOTVhMGUwM2MzYWQ4NTAzYTQ2MWMifQ=="/>
  </w:docVars>
  <w:rsids>
    <w:rsidRoot w:val="00000000"/>
    <w:rsid w:val="47FE2FF6"/>
    <w:rsid w:val="572C1BE0"/>
    <w:rsid w:val="6E06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1422</Words>
  <Characters>1460</Characters>
  <Lines>0</Lines>
  <Paragraphs>0</Paragraphs>
  <TotalTime>11</TotalTime>
  <ScaleCrop>false</ScaleCrop>
  <LinksUpToDate>false</LinksUpToDate>
  <CharactersWithSpaces>1463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2023-01-01T03:56:00Z</dcterms:created>
  <dc:creator>Liu</dc:creator>
  <cp:lastModifiedBy>lenovo</cp:lastModifiedBy>
  <dcterms:modified xsi:type="dcterms:W3CDTF">2023-01-04T07:31:37Z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2A75BD083F00493CA18E6794DF858DD5</vt:lpwstr>
  </property>
</Properties>
</file>