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FFFFFF" w:sz="4" w:space="0"/>
        </w:pBdr>
        <w:shd w:val="solid" w:color="FFFFFF" w:fill="auto"/>
        <w:tabs>
          <w:tab w:val="left" w:pos="1440"/>
        </w:tabs>
        <w:autoSpaceDN w:val="0"/>
        <w:spacing w:line="560" w:lineRule="exact"/>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rPr>
        <w:t>附件</w:t>
      </w:r>
    </w:p>
    <w:p>
      <w:pPr>
        <w:widowControl/>
        <w:spacing w:beforeLines="10" w:afterLines="25" w:line="579" w:lineRule="exact"/>
        <w:jc w:val="center"/>
        <w:rPr>
          <w:rFonts w:ascii="方正小标宋简体" w:hAnsi="Calibri" w:eastAsia="方正小标宋简体" w:cs="Times New Roman"/>
          <w:color w:val="000000"/>
          <w:sz w:val="36"/>
          <w:szCs w:val="36"/>
        </w:rPr>
      </w:pPr>
      <w:r>
        <w:rPr>
          <w:rFonts w:hint="eastAsia" w:ascii="方正小标宋简体" w:hAnsi="Calibri" w:eastAsia="方正小标宋简体" w:cs="Times New Roman"/>
          <w:color w:val="000000"/>
          <w:sz w:val="36"/>
          <w:szCs w:val="36"/>
        </w:rPr>
        <w:t>健康</w:t>
      </w:r>
      <w:r>
        <w:rPr>
          <w:rFonts w:hint="eastAsia" w:ascii="黑体" w:hAnsi="黑体" w:eastAsia="黑体" w:cs="Times New Roman"/>
          <w:color w:val="000000"/>
          <w:sz w:val="36"/>
          <w:szCs w:val="36"/>
        </w:rPr>
        <w:t>鄠</w:t>
      </w:r>
      <w:r>
        <w:rPr>
          <w:rFonts w:hint="eastAsia" w:ascii="方正小标宋简体" w:hAnsi="Calibri" w:eastAsia="方正小标宋简体" w:cs="Times New Roman"/>
          <w:color w:val="000000"/>
          <w:sz w:val="36"/>
          <w:szCs w:val="36"/>
        </w:rPr>
        <w:t>邑行动主要指标</w:t>
      </w:r>
    </w:p>
    <w:tbl>
      <w:tblPr>
        <w:tblStyle w:val="2"/>
        <w:tblW w:w="88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57" w:type="dxa"/>
          <w:right w:w="57" w:type="dxa"/>
        </w:tblCellMar>
      </w:tblPr>
      <w:tblGrid>
        <w:gridCol w:w="1199"/>
        <w:gridCol w:w="699"/>
        <w:gridCol w:w="3769"/>
        <w:gridCol w:w="1042"/>
        <w:gridCol w:w="1121"/>
        <w:gridCol w:w="7"/>
        <w:gridCol w:w="10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1199" w:type="dxa"/>
            <w:vMerge w:val="restart"/>
            <w:tcBorders>
              <w:top w:val="single" w:color="auto" w:sz="8" w:space="0"/>
              <w:left w:val="single" w:color="auto" w:sz="8" w:space="0"/>
              <w:bottom w:val="single" w:color="auto" w:sz="4" w:space="0"/>
              <w:right w:val="single" w:color="auto" w:sz="4" w:space="0"/>
            </w:tcBorders>
            <w:vAlign w:val="center"/>
          </w:tcPr>
          <w:p>
            <w:pPr>
              <w:widowControl/>
              <w:spacing w:line="280" w:lineRule="exact"/>
              <w:jc w:val="center"/>
              <w:textAlignment w:val="center"/>
              <w:rPr>
                <w:rFonts w:ascii="方正黑体简体" w:hAnsi="黑体" w:eastAsia="方正黑体简体" w:cs="宋体"/>
                <w:color w:val="000000"/>
                <w:szCs w:val="21"/>
              </w:rPr>
            </w:pPr>
            <w:r>
              <w:rPr>
                <w:rFonts w:hint="eastAsia" w:ascii="方正黑体简体" w:hAnsi="黑体" w:eastAsia="方正黑体简体" w:cs="宋体"/>
                <w:color w:val="000000"/>
                <w:kern w:val="0"/>
                <w:szCs w:val="21"/>
              </w:rPr>
              <w:t>领 域</w:t>
            </w:r>
          </w:p>
        </w:tc>
        <w:tc>
          <w:tcPr>
            <w:tcW w:w="699" w:type="dxa"/>
            <w:vMerge w:val="restart"/>
            <w:tcBorders>
              <w:top w:val="single" w:color="auto" w:sz="8"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黑体简体" w:hAnsi="黑体" w:eastAsia="方正黑体简体" w:cs="宋体"/>
                <w:color w:val="000000"/>
                <w:szCs w:val="21"/>
              </w:rPr>
            </w:pPr>
            <w:r>
              <w:rPr>
                <w:rFonts w:hint="eastAsia" w:ascii="方正黑体简体" w:hAnsi="黑体" w:eastAsia="方正黑体简体" w:cs="宋体"/>
                <w:bCs/>
                <w:color w:val="000000"/>
                <w:kern w:val="0"/>
                <w:szCs w:val="21"/>
              </w:rPr>
              <w:t>序号</w:t>
            </w:r>
          </w:p>
        </w:tc>
        <w:tc>
          <w:tcPr>
            <w:tcW w:w="3769" w:type="dxa"/>
            <w:vMerge w:val="restart"/>
            <w:tcBorders>
              <w:top w:val="single" w:color="auto" w:sz="8"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黑体简体" w:hAnsi="黑体" w:eastAsia="方正黑体简体" w:cs="宋体"/>
                <w:color w:val="000000"/>
                <w:szCs w:val="21"/>
              </w:rPr>
            </w:pPr>
            <w:r>
              <w:rPr>
                <w:rFonts w:hint="eastAsia" w:ascii="方正黑体简体" w:hAnsi="黑体" w:eastAsia="方正黑体简体" w:cs="宋体"/>
                <w:color w:val="000000"/>
                <w:kern w:val="0"/>
                <w:szCs w:val="21"/>
              </w:rPr>
              <w:t>指    标</w:t>
            </w:r>
          </w:p>
        </w:tc>
        <w:tc>
          <w:tcPr>
            <w:tcW w:w="1042" w:type="dxa"/>
            <w:vMerge w:val="restart"/>
            <w:tcBorders>
              <w:top w:val="single" w:color="auto" w:sz="8"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黑体简体" w:hAnsi="黑体" w:eastAsia="方正黑体简体" w:cs="宋体"/>
                <w:color w:val="000000"/>
                <w:szCs w:val="21"/>
              </w:rPr>
            </w:pPr>
            <w:r>
              <w:rPr>
                <w:rFonts w:hint="eastAsia" w:ascii="方正黑体简体" w:hAnsi="黑体" w:eastAsia="方正黑体简体" w:cs="宋体"/>
                <w:color w:val="000000"/>
                <w:kern w:val="0"/>
                <w:szCs w:val="21"/>
              </w:rPr>
              <w:t>指标性质</w:t>
            </w:r>
          </w:p>
        </w:tc>
        <w:tc>
          <w:tcPr>
            <w:tcW w:w="2141" w:type="dxa"/>
            <w:gridSpan w:val="3"/>
            <w:tcBorders>
              <w:top w:val="single" w:color="auto" w:sz="8"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黑体简体" w:hAnsi="黑体" w:eastAsia="方正黑体简体" w:cs="宋体"/>
                <w:color w:val="000000"/>
                <w:szCs w:val="21"/>
              </w:rPr>
            </w:pPr>
            <w:r>
              <w:rPr>
                <w:rFonts w:hint="eastAsia" w:ascii="方正黑体简体" w:hAnsi="黑体" w:eastAsia="方正黑体简体" w:cs="宋体"/>
                <w:color w:val="000000"/>
                <w:kern w:val="0"/>
                <w:szCs w:val="21"/>
              </w:rPr>
              <w:t>健康鄠邑行动目标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119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方正黑体简体" w:hAnsi="黑体" w:eastAsia="方正黑体简体" w:cs="宋体"/>
                <w:color w:val="000000"/>
                <w:szCs w:val="21"/>
              </w:rPr>
            </w:pPr>
          </w:p>
        </w:tc>
        <w:tc>
          <w:tcPr>
            <w:tcW w:w="69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方正黑体简体" w:hAnsi="黑体" w:eastAsia="方正黑体简体" w:cs="宋体"/>
                <w:color w:val="000000"/>
                <w:szCs w:val="21"/>
              </w:rPr>
            </w:pPr>
          </w:p>
        </w:tc>
        <w:tc>
          <w:tcPr>
            <w:tcW w:w="376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方正黑体简体" w:hAnsi="黑体" w:eastAsia="方正黑体简体" w:cs="宋体"/>
                <w:color w:val="000000"/>
                <w:szCs w:val="21"/>
              </w:rPr>
            </w:pPr>
          </w:p>
        </w:tc>
        <w:tc>
          <w:tcPr>
            <w:tcW w:w="1042"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方正黑体简体" w:hAnsi="黑体" w:eastAsia="方正黑体简体" w:cs="宋体"/>
                <w:color w:val="000000"/>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黑体简体" w:hAnsi="黑体" w:eastAsia="方正黑体简体" w:cs="宋体"/>
                <w:color w:val="000000"/>
                <w:szCs w:val="21"/>
              </w:rPr>
            </w:pPr>
            <w:r>
              <w:rPr>
                <w:rFonts w:hint="eastAsia" w:ascii="方正黑体简体" w:hAnsi="黑体" w:eastAsia="方正黑体简体" w:cs="宋体"/>
                <w:color w:val="000000"/>
                <w:kern w:val="0"/>
                <w:szCs w:val="21"/>
              </w:rPr>
              <w:t>2022年</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黑体简体" w:hAnsi="黑体" w:eastAsia="方正黑体简体" w:cs="宋体"/>
                <w:color w:val="000000"/>
                <w:szCs w:val="21"/>
              </w:rPr>
            </w:pPr>
            <w:r>
              <w:rPr>
                <w:rFonts w:hint="eastAsia" w:ascii="方正黑体简体" w:hAnsi="黑体" w:eastAsia="方正黑体简体" w:cs="宋体"/>
                <w:color w:val="000000"/>
                <w:kern w:val="0"/>
                <w:szCs w:val="21"/>
              </w:rPr>
              <w:t>2030年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restart"/>
            <w:tcBorders>
              <w:top w:val="single" w:color="auto" w:sz="4" w:space="0"/>
              <w:left w:val="single" w:color="auto" w:sz="8" w:space="0"/>
              <w:bottom w:val="single" w:color="auto" w:sz="4" w:space="0"/>
              <w:right w:val="single" w:color="auto" w:sz="4" w:space="0"/>
            </w:tcBorders>
            <w:vAlign w:val="center"/>
          </w:tcPr>
          <w:p>
            <w:pPr>
              <w:widowControl/>
              <w:spacing w:line="280" w:lineRule="exact"/>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（一）健康知识普及行动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居民健康素养水平（%）</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≥19</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个人定期记录身心健康状况</w:t>
            </w:r>
          </w:p>
        </w:tc>
        <w:tc>
          <w:tcPr>
            <w:tcW w:w="10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个人了解掌握基本中医药健康知识</w:t>
            </w:r>
          </w:p>
        </w:tc>
        <w:tc>
          <w:tcPr>
            <w:tcW w:w="10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4</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居民掌握基本急救知识和技能</w:t>
            </w:r>
          </w:p>
        </w:tc>
        <w:tc>
          <w:tcPr>
            <w:tcW w:w="10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医务人员掌握与岗位相适应的健康科普知识，并在诊疗过程中主动提供健康指导</w:t>
            </w:r>
          </w:p>
        </w:tc>
        <w:tc>
          <w:tcPr>
            <w:tcW w:w="10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6</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建立并完善健康科普专家库和资源库，构建健康科普知识发布和传播机制</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约束性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实现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建立医疗机构和医务人员开展健康教育和健康促进的绩效考核机制</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约束性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实现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restart"/>
            <w:tcBorders>
              <w:top w:val="single" w:color="auto" w:sz="4" w:space="0"/>
              <w:left w:val="single" w:color="auto" w:sz="8" w:space="0"/>
              <w:bottom w:val="single" w:color="auto" w:sz="4" w:space="0"/>
              <w:right w:val="single" w:color="auto" w:sz="4" w:space="0"/>
            </w:tcBorders>
            <w:vAlign w:val="center"/>
          </w:tcPr>
          <w:p>
            <w:pPr>
              <w:widowControl/>
              <w:spacing w:line="280" w:lineRule="exact"/>
              <w:textAlignment w:val="center"/>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（二）合理膳食行动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8</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成人肥胖增长率（%）</w:t>
            </w:r>
          </w:p>
        </w:tc>
        <w:tc>
          <w:tcPr>
            <w:tcW w:w="10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持续减缓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居民营养健康知识知晓率（%）</w:t>
            </w:r>
          </w:p>
        </w:tc>
        <w:tc>
          <w:tcPr>
            <w:tcW w:w="10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比2019年提高10%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lef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比2022年提高10%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孕妇贫血率（%）</w:t>
            </w:r>
          </w:p>
        </w:tc>
        <w:tc>
          <w:tcPr>
            <w:tcW w:w="10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＜14</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11</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5岁以下儿童生长迟缓率（%）</w:t>
            </w:r>
          </w:p>
        </w:tc>
        <w:tc>
          <w:tcPr>
            <w:tcW w:w="10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12</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人均每日食盐摄入量（g）</w:t>
            </w:r>
          </w:p>
        </w:tc>
        <w:tc>
          <w:tcPr>
            <w:tcW w:w="10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13</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成人人均每日食用油摄入量（g）</w:t>
            </w:r>
          </w:p>
        </w:tc>
        <w:tc>
          <w:tcPr>
            <w:tcW w:w="10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szCs w:val="21"/>
              </w:rPr>
            </w:pP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25—30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14</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人均每日添加糖摄入量（g）</w:t>
            </w:r>
          </w:p>
        </w:tc>
        <w:tc>
          <w:tcPr>
            <w:tcW w:w="10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szCs w:val="21"/>
              </w:rPr>
            </w:pP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15</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蔬菜和水果每日摄入量（g）</w:t>
            </w:r>
          </w:p>
        </w:tc>
        <w:tc>
          <w:tcPr>
            <w:tcW w:w="10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szCs w:val="21"/>
              </w:rPr>
            </w:pP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16</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每日摄入食物种类（种）</w:t>
            </w:r>
          </w:p>
        </w:tc>
        <w:tc>
          <w:tcPr>
            <w:tcW w:w="10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17</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成人维持健康体重</w:t>
            </w:r>
          </w:p>
        </w:tc>
        <w:tc>
          <w:tcPr>
            <w:tcW w:w="10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szCs w:val="21"/>
              </w:rPr>
            </w:pP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18.5≤BMI&lt;24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18</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每万人拥有营养指导员（名）</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restart"/>
            <w:tcBorders>
              <w:top w:val="single" w:color="auto" w:sz="4" w:space="0"/>
              <w:left w:val="single" w:color="auto" w:sz="8" w:space="0"/>
              <w:bottom w:val="single" w:color="auto" w:sz="4" w:space="0"/>
              <w:right w:val="single" w:color="auto" w:sz="4" w:space="0"/>
            </w:tcBorders>
            <w:vAlign w:val="center"/>
          </w:tcPr>
          <w:p>
            <w:pPr>
              <w:widowControl/>
              <w:spacing w:line="280" w:lineRule="exact"/>
              <w:textAlignment w:val="center"/>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（三）全民健身行动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19</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城乡居民达到《国民体质测定标准》合格以上的人数比例（%）</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kern w:val="0"/>
                <w:szCs w:val="21"/>
              </w:rPr>
            </w:pPr>
            <w:r>
              <w:rPr>
                <w:rFonts w:hint="eastAsia" w:ascii="方正书宋简体" w:hAnsi="宋体" w:eastAsia="方正书宋简体" w:cs="仿宋_GB2312"/>
                <w:color w:val="000000"/>
                <w:kern w:val="0"/>
                <w:szCs w:val="21"/>
              </w:rPr>
              <w:t>≥91</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kern w:val="0"/>
                <w:szCs w:val="21"/>
              </w:rPr>
            </w:pPr>
            <w:r>
              <w:rPr>
                <w:rFonts w:hint="eastAsia" w:ascii="方正书宋简体" w:hAnsi="宋体" w:eastAsia="方正书宋简体" w:cs="仿宋_GB2312"/>
                <w:color w:val="000000"/>
                <w:kern w:val="0"/>
                <w:szCs w:val="21"/>
              </w:rPr>
              <w:t>≥92.5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20</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经常参加体育锻炼人数比例（%）</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kern w:val="0"/>
                <w:szCs w:val="21"/>
              </w:rPr>
            </w:pPr>
            <w:r>
              <w:rPr>
                <w:rFonts w:hint="eastAsia" w:ascii="方正书宋简体" w:hAnsi="宋体" w:eastAsia="方正书宋简体" w:cs="仿宋_GB2312"/>
                <w:color w:val="000000"/>
                <w:kern w:val="0"/>
                <w:szCs w:val="21"/>
              </w:rPr>
              <w:t>≥50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kern w:val="0"/>
                <w:szCs w:val="21"/>
              </w:rPr>
            </w:pPr>
            <w:r>
              <w:rPr>
                <w:rFonts w:hint="eastAsia" w:ascii="方正书宋简体" w:hAnsi="宋体" w:eastAsia="方正书宋简体" w:cs="仿宋_GB2312"/>
                <w:color w:val="000000"/>
                <w:kern w:val="0"/>
                <w:szCs w:val="21"/>
              </w:rPr>
              <w:t>≥51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21</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机关企事业单位积极开展工间操</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方正书宋简体" w:hAnsi="宋体" w:eastAsia="方正书宋简体" w:cs="仿宋_GB2312"/>
                <w:color w:val="000000"/>
                <w:kern w:val="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rPr>
                <w:rFonts w:ascii="方正书宋简体" w:hAnsi="宋体" w:eastAsia="方正书宋简体" w:cs="仿宋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245"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22</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鼓励个人至少有1项运动爱好或者掌握一项传统运动项目，参加至少1个健身组织，每天进行中等强度运动至少半小时</w:t>
            </w:r>
          </w:p>
        </w:tc>
        <w:tc>
          <w:tcPr>
            <w:tcW w:w="10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231"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23</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鼓励医疗机构提供运动促进健康的指导服务，鼓励引导社会体育指导员在健身场所等地方为群众提供科学健身指导服务，提高健身效果，预防运动损伤</w:t>
            </w:r>
          </w:p>
        </w:tc>
        <w:tc>
          <w:tcPr>
            <w:tcW w:w="10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994"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24</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鼓励公共体育场地设施更多更好地提供免费或低收费开放服务，符合条件的企事业单位体育场地设施全部向社会开放</w:t>
            </w:r>
          </w:p>
        </w:tc>
        <w:tc>
          <w:tcPr>
            <w:tcW w:w="10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644"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25</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kern w:val="0"/>
                <w:szCs w:val="21"/>
              </w:rPr>
            </w:pPr>
            <w:r>
              <w:rPr>
                <w:rFonts w:hint="eastAsia" w:ascii="方正书宋简体" w:hAnsi="宋体" w:eastAsia="方正书宋简体" w:cs="仿宋_GB2312"/>
                <w:color w:val="000000"/>
                <w:kern w:val="0"/>
                <w:szCs w:val="21"/>
              </w:rPr>
              <w:t>城市慢跑步行道绿道的人均长度</w:t>
            </w:r>
          </w:p>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（m/万人）</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持续提升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26</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每千人拥有社会体育指导员（人）</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2.5</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27</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农村行政村体育设施覆盖率（%）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kern w:val="0"/>
                <w:szCs w:val="21"/>
              </w:rPr>
            </w:pPr>
            <w:r>
              <w:rPr>
                <w:rFonts w:hint="eastAsia" w:ascii="方正书宋简体" w:hAnsi="宋体" w:eastAsia="方正书宋简体" w:cs="仿宋_GB2312"/>
                <w:color w:val="000000"/>
                <w:kern w:val="0"/>
                <w:szCs w:val="21"/>
              </w:rPr>
              <w:t>基本</w:t>
            </w:r>
          </w:p>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全覆盖</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restart"/>
            <w:tcBorders>
              <w:top w:val="single" w:color="auto" w:sz="4" w:space="0"/>
              <w:left w:val="single" w:color="auto" w:sz="8" w:space="0"/>
              <w:bottom w:val="single" w:color="auto" w:sz="4" w:space="0"/>
              <w:right w:val="single" w:color="auto" w:sz="4" w:space="0"/>
            </w:tcBorders>
            <w:vAlign w:val="center"/>
          </w:tcPr>
          <w:p>
            <w:pPr>
              <w:widowControl/>
              <w:spacing w:line="280" w:lineRule="exact"/>
              <w:textAlignment w:val="center"/>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（四）控烟行动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28</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15岁以上人群吸烟率（%）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＜24.5</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29</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全面无烟法规保护人口比例（%）</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658"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30</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个人戒烟，创建无烟家庭，保护家人免受二手烟危害</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31</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领导干部、医务人员和教师发挥在控烟方面的引领作用</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923"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32</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鼓励企业、单位出台室内全面无烟政策，为员工营造无烟工作环境，为吸烟员工戒烟提供必要的帮助</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33</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建成无烟党政机关</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约束性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基本实现</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持续保持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exact"/>
          <w:jc w:val="center"/>
        </w:trPr>
        <w:tc>
          <w:tcPr>
            <w:tcW w:w="1199" w:type="dxa"/>
            <w:vMerge w:val="restart"/>
            <w:tcBorders>
              <w:top w:val="single" w:color="auto" w:sz="4" w:space="0"/>
              <w:left w:val="single" w:color="auto" w:sz="8" w:space="0"/>
              <w:bottom w:val="single" w:color="auto" w:sz="4" w:space="0"/>
              <w:right w:val="single" w:color="auto" w:sz="4" w:space="0"/>
            </w:tcBorders>
            <w:vAlign w:val="center"/>
          </w:tcPr>
          <w:p>
            <w:pPr>
              <w:widowControl/>
              <w:spacing w:line="280" w:lineRule="exact"/>
              <w:textAlignment w:val="center"/>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（五）心理健康促进行动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34</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居民心理健康素养水平（%）</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35</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失眠现患率（%）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vMerge w:val="restart"/>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上升趋势减缓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exac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36</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焦虑障碍患病率（%）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exac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37</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抑郁症患病率（%）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exac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38</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成人每日平均睡眠时间（小时）</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980"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39</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鼓励个人正确认识抑郁和焦虑症状，掌握基本的情绪管理、压力管理等自我心理调适方法</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672"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40</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各类临床医务人员主动掌握心理健康知识和技能，应用于临床诊疗活动中</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exac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41</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精神科执业（助理）医师（名/10万人）</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3.3</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exact"/>
          <w:jc w:val="center"/>
        </w:trPr>
        <w:tc>
          <w:tcPr>
            <w:tcW w:w="1199" w:type="dxa"/>
            <w:vMerge w:val="restart"/>
            <w:tcBorders>
              <w:top w:val="single" w:color="auto" w:sz="4" w:space="0"/>
              <w:left w:val="single" w:color="auto" w:sz="8" w:space="0"/>
              <w:bottom w:val="single" w:color="auto" w:sz="4" w:space="0"/>
              <w:right w:val="single" w:color="auto" w:sz="4" w:space="0"/>
            </w:tcBorders>
            <w:vAlign w:val="center"/>
          </w:tcPr>
          <w:p>
            <w:pPr>
              <w:widowControl/>
              <w:spacing w:line="280" w:lineRule="exact"/>
              <w:textAlignment w:val="center"/>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（六）健康环境促进行动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42</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居民饮用水水质达标情况</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明显改善</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持续改善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exac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43</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居民环境与健康素养水平（%）</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≥15</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32"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44</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积极实施垃圾分类并及时清理，将固体废弃物主动投放到相应的回收地点及设施中</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19"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45</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防治室内空气污染，提倡简约绿色装饰，做好室内油烟排风，提高家居环境水平</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93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46</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学校、医院、车站、大型商场、电影院等人员密集的地方应定期开展火灾、地震等自然灾害及突发事件的应急演练</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951"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47</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提高自身健康防护意识和能力，学会识别常见的危险标识、化学品安全标签及环境保护图形标志</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824" w:hRule="exact"/>
          <w:jc w:val="center"/>
        </w:trPr>
        <w:tc>
          <w:tcPr>
            <w:tcW w:w="1199" w:type="dxa"/>
            <w:vMerge w:val="restart"/>
            <w:tcBorders>
              <w:top w:val="single" w:color="auto" w:sz="4" w:space="0"/>
              <w:left w:val="single" w:color="auto" w:sz="8" w:space="0"/>
              <w:bottom w:val="single" w:color="auto" w:sz="4" w:space="0"/>
              <w:right w:val="single" w:color="auto" w:sz="4" w:space="0"/>
            </w:tcBorders>
            <w:vAlign w:val="center"/>
          </w:tcPr>
          <w:p>
            <w:pPr>
              <w:widowControl/>
              <w:spacing w:line="280" w:lineRule="exact"/>
              <w:textAlignment w:val="center"/>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（七）中医药健康促进行动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48</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中医医院设置治未病科室（%）</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32"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kern w:val="0"/>
                <w:szCs w:val="21"/>
              </w:rPr>
            </w:pPr>
            <w:r>
              <w:rPr>
                <w:rFonts w:hint="eastAsia" w:ascii="方正书宋简体" w:hAnsi="宋体" w:eastAsia="方正书宋简体" w:cs="仿宋_GB2312"/>
                <w:color w:val="000000"/>
                <w:kern w:val="0"/>
                <w:szCs w:val="21"/>
              </w:rPr>
              <w:t>49</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kern w:val="0"/>
                <w:szCs w:val="21"/>
              </w:rPr>
            </w:pPr>
            <w:r>
              <w:rPr>
                <w:rFonts w:hint="eastAsia" w:ascii="方正书宋简体" w:hAnsi="宋体" w:eastAsia="方正书宋简体" w:cs="仿宋_GB2312"/>
                <w:color w:val="000000"/>
                <w:kern w:val="0"/>
                <w:szCs w:val="21"/>
              </w:rPr>
              <w:t>卫生院、社区卫生服务中心提供中医非药物疗法的比例（%）</w:t>
            </w:r>
          </w:p>
        </w:tc>
        <w:tc>
          <w:tcPr>
            <w:tcW w:w="10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kern w:val="0"/>
                <w:szCs w:val="21"/>
              </w:rPr>
            </w:pPr>
            <w:r>
              <w:rPr>
                <w:rFonts w:hint="eastAsia" w:ascii="方正书宋简体" w:hAnsi="宋体" w:eastAsia="方正书宋简体" w:cs="仿宋_GB2312"/>
                <w:color w:val="000000"/>
                <w:kern w:val="0"/>
                <w:szCs w:val="21"/>
              </w:rPr>
              <w:t>约束性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kern w:val="0"/>
                <w:szCs w:val="21"/>
              </w:rPr>
            </w:pPr>
            <w:r>
              <w:rPr>
                <w:rFonts w:hint="eastAsia" w:ascii="方正书宋简体" w:hAnsi="宋体" w:eastAsia="方正书宋简体" w:cs="仿宋_GB2312"/>
                <w:color w:val="000000"/>
                <w:kern w:val="0"/>
                <w:szCs w:val="21"/>
              </w:rPr>
              <w:t>100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kern w:val="0"/>
                <w:szCs w:val="21"/>
              </w:rPr>
            </w:pPr>
            <w:r>
              <w:rPr>
                <w:rFonts w:hint="eastAsia" w:ascii="方正书宋简体" w:hAnsi="宋体" w:eastAsia="方正书宋简体" w:cs="仿宋_GB2312"/>
                <w:color w:val="000000"/>
                <w:kern w:val="0"/>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644"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kern w:val="0"/>
                <w:szCs w:val="21"/>
              </w:rPr>
            </w:pP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Calibri" w:eastAsia="方正书宋简体" w:cs="Times New Roman"/>
                <w:color w:val="000000"/>
                <w:szCs w:val="21"/>
              </w:rPr>
            </w:pPr>
            <w:r>
              <w:rPr>
                <w:rFonts w:hint="eastAsia" w:ascii="方正书宋简体" w:hAnsi="宋体" w:eastAsia="方正书宋简体" w:cs="仿宋_GB2312"/>
                <w:color w:val="000000"/>
                <w:kern w:val="0"/>
                <w:szCs w:val="21"/>
              </w:rPr>
              <w:t>村卫生室提供中医非药物疗法的比例（%）</w:t>
            </w:r>
          </w:p>
        </w:tc>
        <w:tc>
          <w:tcPr>
            <w:tcW w:w="10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kern w:val="0"/>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kern w:val="0"/>
                <w:szCs w:val="21"/>
              </w:rPr>
            </w:pPr>
            <w:r>
              <w:rPr>
                <w:rFonts w:hint="eastAsia" w:ascii="方正书宋简体" w:hAnsi="宋体" w:eastAsia="方正书宋简体" w:cs="仿宋_GB2312"/>
                <w:color w:val="000000"/>
                <w:kern w:val="0"/>
                <w:szCs w:val="21"/>
              </w:rPr>
              <w:t>70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kern w:val="0"/>
                <w:szCs w:val="21"/>
              </w:rPr>
            </w:pPr>
            <w:r>
              <w:rPr>
                <w:rFonts w:hint="eastAsia" w:ascii="方正书宋简体" w:hAnsi="宋体" w:eastAsia="方正书宋简体" w:cs="仿宋_GB2312"/>
                <w:color w:val="000000"/>
                <w:kern w:val="0"/>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restart"/>
            <w:tcBorders>
              <w:top w:val="single" w:color="auto" w:sz="4" w:space="0"/>
              <w:left w:val="single" w:color="auto" w:sz="8" w:space="0"/>
              <w:bottom w:val="single" w:color="auto" w:sz="4" w:space="0"/>
              <w:right w:val="single" w:color="auto" w:sz="4" w:space="0"/>
            </w:tcBorders>
            <w:vAlign w:val="center"/>
          </w:tcPr>
          <w:p>
            <w:pPr>
              <w:widowControl/>
              <w:spacing w:line="280" w:lineRule="exact"/>
              <w:textAlignment w:val="center"/>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（八）妇幼健康促进行动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50</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婴儿死亡率（‰）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51</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5岁以下儿童死亡率（‰）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52</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孕产妇死亡率（1/10万）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≤13</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672"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53</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主动学习掌握出生缺陷防治和儿童早期发展知识</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644"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54</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主动接受婚前医学检查和孕前优生健康检查</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686"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55</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倡导0—6个月婴儿纯母乳喂养，为6个月以上婴儿适时合理添加辅食</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56</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产前筛查率（%）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 xml:space="preserve">≥95 </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57</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新生儿遗传代谢性疾病筛查率（%）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58</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新生儿听力筛查率（%）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szCs w:val="21"/>
              </w:rPr>
              <w:t>59</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农村适龄妇女宫颈癌和乳腺癌筛查覆盖率（%）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 xml:space="preserve">≥80 </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722" w:hRule="atLeast"/>
          <w:jc w:val="center"/>
        </w:trPr>
        <w:tc>
          <w:tcPr>
            <w:tcW w:w="1199" w:type="dxa"/>
            <w:vMerge w:val="restart"/>
            <w:tcBorders>
              <w:top w:val="single" w:color="auto" w:sz="4" w:space="0"/>
              <w:left w:val="single" w:color="auto" w:sz="8" w:space="0"/>
              <w:bottom w:val="single" w:color="auto" w:sz="4" w:space="0"/>
              <w:right w:val="single" w:color="auto" w:sz="4" w:space="0"/>
            </w:tcBorders>
            <w:vAlign w:val="center"/>
          </w:tcPr>
          <w:p>
            <w:pPr>
              <w:widowControl/>
              <w:spacing w:line="280" w:lineRule="exact"/>
              <w:textAlignment w:val="center"/>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（九）青少年健康促进行动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60</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国家学生体质健康标准达标优良率（%）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61</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全区儿童青少年总体近视率（%）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约束性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力争每年降低1个百分点以上</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ind w:right="-17" w:rightChars="-8"/>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新发率明显下降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798"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62</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中小学生每天在校外接触自然光时间1小时以上</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63</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小学生、初中生、高中生每天睡眠时间分别不少于10、9、8个小时</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64</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中小学生非学习目的使用电子屏幕产品单次不宜超过15分钟，每天累计不宜超过1小时</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700"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65</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学校鼓励引导学生达到《国家学生体质健康标准》良好及以上水平</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71"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66</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符合要求的中小学体育与健康课程开课率（%）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约束性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restart"/>
            <w:tcBorders>
              <w:top w:val="single" w:color="auto" w:sz="4" w:space="0"/>
              <w:left w:val="single" w:color="auto" w:sz="8" w:space="0"/>
              <w:bottom w:val="single" w:color="auto" w:sz="4" w:space="0"/>
              <w:right w:val="single" w:color="auto" w:sz="4" w:space="0"/>
            </w:tcBorders>
            <w:vAlign w:val="center"/>
          </w:tcPr>
          <w:p>
            <w:pPr>
              <w:widowControl/>
              <w:spacing w:line="280" w:lineRule="exact"/>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（九）青少年健康促进行动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67</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中小学生每天校内体育活动时间（小时）</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约束性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 xml:space="preserve">≥1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68</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学生眼保健操普及率（%）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约束性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539"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szCs w:val="21"/>
              </w:rPr>
              <w:t>69</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寄宿制中小学校或600名学生以上的非寄宿制中小学校配备专职卫生专业技术人员、600名学生以下的非寄宿制中小学校配备专兼职保健教师或卫生专业技术人员的比例（%）</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约束性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686"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70</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配备专兼职心理健康工作人员的中小学校比例（%）</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约束性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80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restart"/>
            <w:tcBorders>
              <w:top w:val="single" w:color="auto" w:sz="4" w:space="0"/>
              <w:left w:val="single" w:color="auto" w:sz="8" w:space="0"/>
              <w:bottom w:val="single" w:color="auto" w:sz="4" w:space="0"/>
              <w:right w:val="single" w:color="auto" w:sz="4" w:space="0"/>
            </w:tcBorders>
            <w:vAlign w:val="center"/>
          </w:tcPr>
          <w:p>
            <w:pPr>
              <w:widowControl/>
              <w:spacing w:line="280" w:lineRule="exact"/>
              <w:textAlignment w:val="center"/>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（十）职业健康保护行动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71</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工伤保险参保人数</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稳步提升</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实现工伤保险法定人群参保全覆盖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72</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接尘工龄不足5年的劳动者新发尘肺病报告病例数占年度报告总例数比例（%）</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21" w:rightChars="-10"/>
              <w:textAlignment w:val="center"/>
              <w:rPr>
                <w:rFonts w:ascii="方正书宋简体" w:hAnsi="宋体" w:eastAsia="方正书宋简体" w:cs="仿宋_GB2312"/>
                <w:color w:val="000000"/>
                <w:kern w:val="0"/>
                <w:szCs w:val="21"/>
              </w:rPr>
            </w:pPr>
            <w:r>
              <w:rPr>
                <w:rFonts w:hint="eastAsia" w:ascii="方正书宋简体" w:hAnsi="宋体" w:eastAsia="方正书宋简体" w:cs="仿宋_GB2312"/>
                <w:color w:val="000000"/>
                <w:spacing w:val="-4"/>
                <w:kern w:val="0"/>
                <w:szCs w:val="21"/>
              </w:rPr>
              <w:t>2019—2022</w:t>
            </w:r>
            <w:r>
              <w:rPr>
                <w:rFonts w:hint="eastAsia" w:ascii="方正书宋简体" w:hAnsi="宋体" w:eastAsia="方正书宋简体" w:cs="仿宋_GB2312"/>
                <w:color w:val="000000"/>
                <w:kern w:val="0"/>
                <w:szCs w:val="21"/>
              </w:rPr>
              <w:t>年平均值</w:t>
            </w:r>
            <w:r>
              <w:rPr>
                <w:rFonts w:hint="eastAsia" w:ascii="方正书宋简体" w:hAnsi="宋体" w:eastAsia="方正书宋简体" w:cs="仿宋_GB2312"/>
                <w:color w:val="000000"/>
                <w:spacing w:val="12"/>
                <w:kern w:val="0"/>
                <w:szCs w:val="21"/>
              </w:rPr>
              <w:t>较2015—</w:t>
            </w:r>
          </w:p>
          <w:p>
            <w:pPr>
              <w:widowControl/>
              <w:spacing w:line="280" w:lineRule="exact"/>
              <w:ind w:right="-21" w:rightChars="-10"/>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2018年平均值明显下降</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持续下降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73</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重点行业劳动者对本岗位主要危害及防护知识知晓率（%）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持续保持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259"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74</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鼓励各用人单位做好员工健康管理，评选“健康达人”，国家机关、学校、医疗卫生机构、国有企业等用人单位应支持员工率先树立健康形象，并予以奖励</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56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75</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对从事长时间、高强度重复用力、快速移动等作业方式以及视屏作业人员，采取推广先进工艺技术、调整作息时间等措施，预防和控制过度疲劳和工作相关肌肉骨骼系统疾病发生</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76</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采取综合措施降低或消除工作压力</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714"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77</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辖区职业健康检查和职业病诊断服务覆盖率（%）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 xml:space="preserve">≥80 </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86" w:hRule="exact"/>
          <w:jc w:val="center"/>
        </w:trPr>
        <w:tc>
          <w:tcPr>
            <w:tcW w:w="1199" w:type="dxa"/>
            <w:vMerge w:val="restart"/>
            <w:tcBorders>
              <w:top w:val="single" w:color="auto" w:sz="4" w:space="0"/>
              <w:left w:val="single" w:color="auto" w:sz="8" w:space="0"/>
              <w:bottom w:val="single" w:color="auto" w:sz="4" w:space="0"/>
              <w:right w:val="single" w:color="auto" w:sz="4" w:space="0"/>
            </w:tcBorders>
            <w:vAlign w:val="center"/>
          </w:tcPr>
          <w:p>
            <w:pPr>
              <w:widowControl/>
              <w:spacing w:line="280" w:lineRule="exact"/>
              <w:textAlignment w:val="center"/>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（十一）老年健康促进行动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78</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65—74岁老年人失能发生率（%）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有所下降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86" w:hRule="exac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szCs w:val="21"/>
              </w:rPr>
              <w:t>79</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65岁及以上人群老年期痴呆患病率（%）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增速下降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86" w:hRule="exac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80</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老年健康核心信息知晓率（%）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不断提高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34"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81</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提倡老年人参加定期体检，经常监测呼吸、脉搏、血压、大小便情况，接受家庭医生团队的健康指导</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49"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82</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鼓励和支持老年大学、老年活动中心、基层老年协会、有资质的社会组织等为老年人组织开展健康活动</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34"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83</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鼓励和支持社会力量参与、兴办居家养老服务机构</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21"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84</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szCs w:val="21"/>
              </w:rPr>
            </w:pPr>
            <w:r>
              <w:rPr>
                <w:rFonts w:hint="eastAsia" w:ascii="方正书宋简体" w:hAnsi="宋体" w:eastAsia="方正书宋简体" w:cs="仿宋_GB2312"/>
                <w:kern w:val="0"/>
                <w:szCs w:val="21"/>
              </w:rPr>
              <w:t>二级及以上综合性医院设老年医学科比例（%）</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szCs w:val="21"/>
              </w:rPr>
            </w:pPr>
            <w:r>
              <w:rPr>
                <w:rFonts w:hint="eastAsia" w:ascii="方正书宋简体" w:hAnsi="宋体" w:eastAsia="方正书宋简体" w:cs="仿宋_GB2312"/>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szCs w:val="21"/>
              </w:rPr>
            </w:pPr>
            <w:r>
              <w:rPr>
                <w:rFonts w:hint="eastAsia" w:ascii="方正书宋简体" w:hAnsi="宋体" w:eastAsia="方正书宋简体" w:cs="仿宋_GB2312"/>
                <w:kern w:val="0"/>
                <w:szCs w:val="21"/>
              </w:rPr>
              <w:t>≥75</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szCs w:val="21"/>
              </w:rPr>
            </w:pPr>
            <w:r>
              <w:rPr>
                <w:rFonts w:hint="eastAsia" w:ascii="方正书宋简体" w:hAnsi="宋体" w:eastAsia="方正书宋简体" w:cs="仿宋_GB2312"/>
                <w:kern w:val="0"/>
                <w:szCs w:val="21"/>
              </w:rPr>
              <w:t xml:space="preserve">100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21"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85</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szCs w:val="21"/>
              </w:rPr>
            </w:pPr>
            <w:r>
              <w:rPr>
                <w:rFonts w:hint="eastAsia" w:ascii="方正书宋简体" w:hAnsi="宋体" w:eastAsia="方正书宋简体" w:cs="仿宋_GB2312"/>
                <w:kern w:val="0"/>
                <w:szCs w:val="21"/>
              </w:rPr>
              <w:t>养老机构以不同形式为入住老年人提供医疗卫生服务比例（%）</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szCs w:val="21"/>
              </w:rPr>
            </w:pPr>
            <w:r>
              <w:rPr>
                <w:rFonts w:hint="eastAsia" w:ascii="方正书宋简体" w:hAnsi="宋体" w:eastAsia="方正书宋简体" w:cs="仿宋_GB2312"/>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szCs w:val="21"/>
              </w:rPr>
            </w:pPr>
            <w:r>
              <w:rPr>
                <w:rFonts w:hint="eastAsia" w:ascii="方正书宋简体" w:hAnsi="宋体" w:eastAsia="方正书宋简体" w:cs="仿宋_GB2312"/>
                <w:kern w:val="0"/>
                <w:szCs w:val="21"/>
              </w:rPr>
              <w:t>100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szCs w:val="21"/>
              </w:rPr>
            </w:pPr>
            <w:r>
              <w:rPr>
                <w:rFonts w:hint="eastAsia" w:ascii="方正书宋简体" w:hAnsi="宋体" w:eastAsia="方正书宋简体" w:cs="仿宋_GB2312"/>
                <w:kern w:val="0"/>
                <w:szCs w:val="21"/>
              </w:rPr>
              <w:t>持续改善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20" w:hRule="atLeast"/>
          <w:jc w:val="center"/>
        </w:trPr>
        <w:tc>
          <w:tcPr>
            <w:tcW w:w="1199" w:type="dxa"/>
            <w:tcBorders>
              <w:top w:val="single" w:color="auto" w:sz="4" w:space="0"/>
              <w:left w:val="single" w:color="auto" w:sz="8" w:space="0"/>
              <w:bottom w:val="single" w:color="auto" w:sz="4" w:space="0"/>
              <w:right w:val="single" w:color="auto" w:sz="4" w:space="0"/>
            </w:tcBorders>
            <w:vAlign w:val="center"/>
          </w:tcPr>
          <w:p>
            <w:pPr>
              <w:widowControl/>
              <w:spacing w:line="280" w:lineRule="exact"/>
              <w:textAlignment w:val="center"/>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（十二）残疾预防健康行动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86</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szCs w:val="21"/>
              </w:rPr>
            </w:pPr>
            <w:r>
              <w:rPr>
                <w:rFonts w:hint="eastAsia" w:ascii="方正书宋简体" w:hAnsi="宋体" w:eastAsia="方正书宋简体" w:cs="仿宋_GB2312"/>
                <w:kern w:val="0"/>
                <w:szCs w:val="21"/>
              </w:rPr>
              <w:t>二级及以上医疗机构设置康复医学科比例（%）</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szCs w:val="21"/>
              </w:rPr>
            </w:pPr>
            <w:r>
              <w:rPr>
                <w:rFonts w:hint="eastAsia" w:ascii="方正书宋简体" w:hAnsi="宋体" w:eastAsia="方正书宋简体" w:cs="仿宋_GB2312"/>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szCs w:val="21"/>
              </w:rPr>
            </w:pPr>
            <w:r>
              <w:rPr>
                <w:rFonts w:hint="eastAsia" w:ascii="方正书宋简体" w:hAnsi="宋体" w:eastAsia="方正书宋简体" w:cs="仿宋_GB2312"/>
                <w:kern w:val="0"/>
                <w:szCs w:val="21"/>
              </w:rPr>
              <w:t>100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szCs w:val="21"/>
              </w:rPr>
            </w:pPr>
            <w:r>
              <w:rPr>
                <w:rFonts w:hint="eastAsia" w:ascii="方正书宋简体" w:hAnsi="宋体" w:eastAsia="方正书宋简体" w:cs="仿宋_GB2312"/>
                <w:kern w:val="0"/>
                <w:szCs w:val="21"/>
              </w:rPr>
              <w:t>持续提升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86" w:hRule="exact"/>
          <w:jc w:val="center"/>
        </w:trPr>
        <w:tc>
          <w:tcPr>
            <w:tcW w:w="1199" w:type="dxa"/>
            <w:vMerge w:val="restart"/>
            <w:tcBorders>
              <w:top w:val="single" w:color="auto" w:sz="4" w:space="0"/>
              <w:left w:val="single" w:color="auto" w:sz="8" w:space="0"/>
              <w:bottom w:val="single" w:color="auto" w:sz="4" w:space="0"/>
              <w:right w:val="single" w:color="auto" w:sz="4" w:space="0"/>
            </w:tcBorders>
            <w:vAlign w:val="center"/>
          </w:tcPr>
          <w:p>
            <w:pPr>
              <w:widowControl/>
              <w:spacing w:line="280" w:lineRule="exact"/>
              <w:textAlignment w:val="center"/>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（十三）重点慢性病防治行动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87</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心脑血管疾病死亡率（1/10万）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 xml:space="preserve">≤291.7 </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 xml:space="preserve">≤265.2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86" w:hRule="exac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88</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总体癌症5年生存率（%）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 xml:space="preserve">≥43.3 </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 xml:space="preserve">≥46.6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20"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szCs w:val="21"/>
              </w:rPr>
              <w:t>89</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70岁及以下人群慢性呼吸系统疾病死亡率（1/10万）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48"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90</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30—70岁人群因心脑血管疾病、癌症、慢性呼吸系统疾病和糖尿病导致的过早死亡率（%）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≤15.9</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exac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91</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人群健康体检率（%）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持续提高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924"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92</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18岁及以上成人定期自我监测血压，血压正常高值人群和其他高危人群经常测量血压</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21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93</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40岁以下血脂正常人群每2—5年检测1次血脂，40岁及以上人群至少每年检测1次血脂，心脑血管疾病高危人群每6个月检测1次血脂</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36" w:hRule="atLeast"/>
          <w:jc w:val="center"/>
        </w:trPr>
        <w:tc>
          <w:tcPr>
            <w:tcW w:w="1199" w:type="dxa"/>
            <w:vMerge w:val="restart"/>
            <w:tcBorders>
              <w:top w:val="single" w:color="auto" w:sz="4" w:space="0"/>
              <w:left w:val="single" w:color="auto" w:sz="8" w:space="0"/>
              <w:bottom w:val="single" w:color="auto" w:sz="4" w:space="0"/>
              <w:right w:val="single" w:color="auto" w:sz="4" w:space="0"/>
            </w:tcBorders>
            <w:vAlign w:val="center"/>
          </w:tcPr>
          <w:p>
            <w:pPr>
              <w:spacing w:line="280" w:lineRule="exact"/>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（十三）重点慢性病防治行动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94</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基本实现40岁及以上人群每年至少检测1次空腹血糖，糖尿病前期人群每6个月检测1次空腹或餐后2小时血糖</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4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95</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基本实现癌症高危人群定期参加防癌体检</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21"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96</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40岁及以上人群或慢性呼吸系统疾病高危人群每年检查肺功能1次</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69" w:hRule="exac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97</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30岁及以上居民高血压知晓率（%）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≥55</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69" w:hRule="exac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98</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高血压患者规范管理率（%）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≥60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69" w:hRule="exac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szCs w:val="21"/>
              </w:rPr>
              <w:t>99</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高血压治疗率（%）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持续提高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69" w:hRule="exac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100</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高血压控制率（%）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持续提高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896"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101</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静脉溶栓技术开展情况</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所有二级及以上综合公立医院卒中中心均开展</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lef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所有二级及以上医院卒中中心均开展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06"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102</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35岁及以上居民年度血脂检测率（%）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≥27</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06"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103</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18岁及以上居民糖尿病知晓率（%）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06"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104</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糖尿病患者规范管理率（%）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≥60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20"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105</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糖尿病治疗率（%）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持续提高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06"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106</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糖尿病控制率（%）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持续提高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06"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107</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癌症防治核心知识知晓率（%）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20"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108</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高发地区重点癌种早诊率（%）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≥55</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持续提高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7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109</w:t>
            </w:r>
          </w:p>
        </w:tc>
        <w:tc>
          <w:tcPr>
            <w:tcW w:w="37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卫生院、社区卫生服务中心提供中医非药物疗法的比例（%），村卫生室提供中医非药物疗法的比例（%）</w:t>
            </w:r>
          </w:p>
        </w:tc>
        <w:tc>
          <w:tcPr>
            <w:tcW w:w="10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约束性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21"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szCs w:val="21"/>
              </w:rPr>
            </w:pPr>
          </w:p>
        </w:tc>
        <w:tc>
          <w:tcPr>
            <w:tcW w:w="3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szCs w:val="21"/>
              </w:rPr>
            </w:pPr>
          </w:p>
        </w:tc>
        <w:tc>
          <w:tcPr>
            <w:tcW w:w="10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hAnsi="宋体" w:eastAsia="方正书宋简体" w:cs="仿宋_GB2312"/>
                <w:color w:val="000000"/>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70</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06"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110</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鼓励开展群众性应急救护培训，取得培训证书的居民比例（%）</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111</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40岁及以上居民慢阻肺知晓率（%）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≥15</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20" w:hRule="atLeast"/>
          <w:jc w:val="center"/>
        </w:trPr>
        <w:tc>
          <w:tcPr>
            <w:tcW w:w="1199" w:type="dxa"/>
            <w:vMerge w:val="restart"/>
            <w:tcBorders>
              <w:top w:val="single" w:color="auto" w:sz="4" w:space="0"/>
              <w:left w:val="single" w:color="auto" w:sz="8" w:space="0"/>
              <w:bottom w:val="single" w:color="auto" w:sz="4" w:space="0"/>
              <w:right w:val="single" w:color="auto" w:sz="4" w:space="0"/>
            </w:tcBorders>
            <w:vAlign w:val="center"/>
          </w:tcPr>
          <w:p>
            <w:pPr>
              <w:widowControl/>
              <w:spacing w:line="280" w:lineRule="exact"/>
              <w:textAlignment w:val="center"/>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（十四）传染病防控行动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112</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艾滋病全人群感染率（%）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themeColor="text1"/>
                <w:szCs w:val="21"/>
                <w14:textFill>
                  <w14:solidFill>
                    <w14:schemeClr w14:val="tx1"/>
                  </w14:solidFill>
                </w14:textFill>
              </w:rPr>
            </w:pPr>
            <w:r>
              <w:rPr>
                <w:rFonts w:hint="eastAsia" w:ascii="方正书宋简体" w:hAnsi="宋体" w:eastAsia="方正书宋简体" w:cs="仿宋_GB2312"/>
                <w:color w:val="000000" w:themeColor="text1"/>
                <w:kern w:val="0"/>
                <w:szCs w:val="21"/>
                <w14:textFill>
                  <w14:solidFill>
                    <w14:schemeClr w14:val="tx1"/>
                  </w14:solidFill>
                </w14:textFill>
              </w:rPr>
              <w:t>＜0.15</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themeColor="text1"/>
                <w:szCs w:val="21"/>
                <w14:textFill>
                  <w14:solidFill>
                    <w14:schemeClr w14:val="tx1"/>
                  </w14:solidFill>
                </w14:textFill>
              </w:rPr>
            </w:pPr>
            <w:r>
              <w:rPr>
                <w:rFonts w:hint="eastAsia" w:ascii="方正书宋简体" w:hAnsi="宋体" w:eastAsia="方正书宋简体" w:cs="仿宋_GB2312"/>
                <w:color w:val="000000" w:themeColor="text1"/>
                <w:kern w:val="0"/>
                <w:szCs w:val="21"/>
                <w14:textFill>
                  <w14:solidFill>
                    <w14:schemeClr w14:val="tx1"/>
                  </w14:solidFill>
                </w14:textFill>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686"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113</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5岁以下儿童乙型肝炎病毒表面抗原流行率（%）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 xml:space="preserve">＜1 </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18"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114</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肺结核发病率（1/10万）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＜55</w:t>
            </w: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有效控制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659"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115</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提倡负责任和安全的性行为，鼓励使用安全套</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673"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116</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咳嗽、打喷嚏时用胳膊或纸巾掩口鼻，正确、文明吐痰</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672"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117</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充分认识疫苗对预防疾病的重要作用，积极接种疫苗</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倡导性</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方正书宋简体" w:hAnsi="宋体" w:eastAsia="方正书宋简体" w:cs="仿宋_GB2312"/>
                <w:color w:val="000000"/>
                <w:szCs w:val="21"/>
              </w:rPr>
            </w:pPr>
          </w:p>
        </w:tc>
        <w:tc>
          <w:tcPr>
            <w:tcW w:w="1013" w:type="dxa"/>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700"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118</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以街道为单位适龄儿童免疫规划疫苗接种率（%）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 xml:space="preserve">≥95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672" w:hRule="atLeast"/>
          <w:jc w:val="center"/>
        </w:trPr>
        <w:tc>
          <w:tcPr>
            <w:tcW w:w="1199" w:type="dxa"/>
            <w:vMerge w:val="restart"/>
            <w:tcBorders>
              <w:top w:val="single" w:color="auto" w:sz="4" w:space="0"/>
              <w:left w:val="single" w:color="auto" w:sz="8" w:space="0"/>
              <w:bottom w:val="single" w:color="auto" w:sz="4" w:space="0"/>
              <w:right w:val="single" w:color="auto" w:sz="4" w:space="0"/>
            </w:tcBorders>
            <w:vAlign w:val="center"/>
          </w:tcPr>
          <w:p>
            <w:pPr>
              <w:widowControl/>
              <w:spacing w:line="280" w:lineRule="exact"/>
              <w:textAlignment w:val="center"/>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（十五）地方病防控行动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119</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达到基本控制要求的包虫病流行县比例（%）</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7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kern w:val="0"/>
                <w:szCs w:val="21"/>
              </w:rPr>
            </w:pPr>
            <w:r>
              <w:rPr>
                <w:rFonts w:hint="eastAsia" w:ascii="方正书宋简体" w:hAnsi="宋体" w:eastAsia="方正书宋简体" w:cs="仿宋_GB2312"/>
                <w:color w:val="000000"/>
                <w:kern w:val="0"/>
                <w:szCs w:val="21"/>
              </w:rPr>
              <w:t>120</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kern w:val="0"/>
                <w:szCs w:val="21"/>
              </w:rPr>
            </w:pPr>
            <w:r>
              <w:rPr>
                <w:rFonts w:hint="eastAsia" w:ascii="方正书宋简体" w:hAnsi="仿宋_GB2312" w:eastAsia="方正书宋简体" w:cs="仿宋_GB2312"/>
                <w:color w:val="000000"/>
                <w:kern w:val="0"/>
                <w:szCs w:val="21"/>
              </w:rPr>
              <w:t>无输入性第二代继发病例</w:t>
            </w:r>
            <w:r>
              <w:rPr>
                <w:rFonts w:hint="eastAsia" w:ascii="方正书宋简体" w:hAnsi="宋体" w:eastAsia="方正书宋简体" w:cs="仿宋_GB2312"/>
                <w:color w:val="000000"/>
                <w:kern w:val="0"/>
                <w:szCs w:val="21"/>
              </w:rPr>
              <w:t>，</w:t>
            </w:r>
            <w:r>
              <w:rPr>
                <w:rFonts w:hint="eastAsia" w:ascii="方正书宋简体" w:hAnsi="仿宋_GB2312" w:eastAsia="方正书宋简体" w:cs="仿宋_GB2312"/>
                <w:color w:val="000000"/>
                <w:kern w:val="0"/>
                <w:szCs w:val="21"/>
              </w:rPr>
              <w:t>及时诊断和治疗输入性疟疾病例</w:t>
            </w:r>
            <w:r>
              <w:rPr>
                <w:rFonts w:hint="eastAsia" w:ascii="方正书宋简体" w:hAnsi="宋体" w:eastAsia="方正书宋简体" w:cs="仿宋_GB2312"/>
                <w:color w:val="000000"/>
                <w:kern w:val="0"/>
                <w:szCs w:val="21"/>
              </w:rPr>
              <w:t>（例）</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kern w:val="0"/>
                <w:szCs w:val="21"/>
              </w:rPr>
            </w:pPr>
            <w:r>
              <w:rPr>
                <w:rFonts w:hint="eastAsia" w:ascii="方正书宋简体" w:hAnsi="宋体" w:eastAsia="方正书宋简体" w:cs="仿宋_GB2312"/>
                <w:color w:val="000000"/>
                <w:kern w:val="0"/>
                <w:szCs w:val="21"/>
              </w:rPr>
              <w:t>预期性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kern w:val="0"/>
                <w:szCs w:val="21"/>
              </w:rPr>
            </w:pPr>
            <w:r>
              <w:rPr>
                <w:rFonts w:hint="eastAsia" w:ascii="方正书宋简体" w:hAnsi="宋体" w:eastAsia="方正书宋简体" w:cs="仿宋_GB2312"/>
                <w:color w:val="000000"/>
                <w:kern w:val="0"/>
                <w:szCs w:val="21"/>
              </w:rPr>
              <w:t>不断提高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90"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121</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血吸虫病防治</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812"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122</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燃煤污染型氟砷中毒、大骨节病和克山病危害</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保持基本消除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60"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123</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饮水型氟砷中毒、水源性高碘危害</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2141" w:type="dxa"/>
            <w:gridSpan w:val="3"/>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有效控制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252" w:hRule="atLeast"/>
          <w:jc w:val="center"/>
        </w:trPr>
        <w:tc>
          <w:tcPr>
            <w:tcW w:w="1199" w:type="dxa"/>
            <w:tcBorders>
              <w:top w:val="single" w:color="auto" w:sz="4" w:space="0"/>
              <w:left w:val="single" w:color="auto" w:sz="8" w:space="0"/>
              <w:bottom w:val="single" w:color="auto" w:sz="4" w:space="0"/>
              <w:right w:val="single" w:color="auto" w:sz="4" w:space="0"/>
            </w:tcBorders>
            <w:vAlign w:val="center"/>
          </w:tcPr>
          <w:p>
            <w:pPr>
              <w:widowControl/>
              <w:spacing w:line="280" w:lineRule="exact"/>
              <w:textAlignment w:val="center"/>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（十六）健康细胞示范建设行动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124</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健康细胞建设广泛开展</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形成一批具有典型示范作用的健康细胞。</w:t>
            </w:r>
          </w:p>
        </w:tc>
        <w:tc>
          <w:tcPr>
            <w:tcW w:w="1020" w:type="dxa"/>
            <w:gridSpan w:val="2"/>
            <w:tcBorders>
              <w:top w:val="single" w:color="auto" w:sz="4" w:space="0"/>
              <w:left w:val="single" w:color="auto" w:sz="4" w:space="0"/>
              <w:bottom w:val="single" w:color="auto" w:sz="4" w:space="0"/>
              <w:right w:val="single" w:color="auto" w:sz="8"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健康细胞建设覆盖社会各个方面，健康服务落实到社会</w:t>
            </w:r>
            <w:r>
              <w:rPr>
                <w:rFonts w:hint="eastAsia" w:ascii="方正书宋简体" w:hAnsi="宋体" w:eastAsia="方正书宋简体" w:cs="仿宋_GB2312"/>
                <w:color w:val="000000"/>
                <w:spacing w:val="-6"/>
                <w:kern w:val="0"/>
                <w:szCs w:val="21"/>
              </w:rPr>
              <w:t>所有居民。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restart"/>
            <w:tcBorders>
              <w:top w:val="single" w:color="auto" w:sz="4" w:space="0"/>
              <w:left w:val="single" w:color="auto" w:sz="8" w:space="0"/>
              <w:bottom w:val="single" w:color="auto" w:sz="4" w:space="0"/>
              <w:right w:val="single" w:color="auto" w:sz="4" w:space="0"/>
            </w:tcBorders>
            <w:vAlign w:val="center"/>
          </w:tcPr>
          <w:p>
            <w:pPr>
              <w:widowControl/>
              <w:spacing w:line="280" w:lineRule="exact"/>
              <w:textAlignment w:val="center"/>
              <w:rPr>
                <w:rFonts w:ascii="方正书宋简体" w:hAnsi="Calibri" w:eastAsia="方正书宋简体" w:cs="宋体"/>
                <w:color w:val="000000"/>
                <w:szCs w:val="21"/>
              </w:rPr>
            </w:pPr>
            <w:r>
              <w:rPr>
                <w:rFonts w:hint="eastAsia" w:ascii="方正书宋简体" w:hAnsi="宋体" w:eastAsia="方正书宋简体" w:cs="宋体"/>
                <w:color w:val="000000"/>
                <w:kern w:val="0"/>
                <w:szCs w:val="21"/>
              </w:rPr>
              <w:t>（十七）健康保障完善行动</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125</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平均每千人口卫生技术人员数</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9.92</w:t>
            </w:r>
          </w:p>
        </w:tc>
        <w:tc>
          <w:tcPr>
            <w:tcW w:w="1020" w:type="dxa"/>
            <w:gridSpan w:val="2"/>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13.58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126</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每千常住人口执业（助理）医师数</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2.6</w:t>
            </w:r>
          </w:p>
        </w:tc>
        <w:tc>
          <w:tcPr>
            <w:tcW w:w="1020" w:type="dxa"/>
            <w:gridSpan w:val="2"/>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highlight w:val="yellow"/>
              </w:rPr>
            </w:pPr>
            <w:r>
              <w:rPr>
                <w:rFonts w:hint="eastAsia" w:ascii="方正书宋简体" w:hAnsi="宋体" w:eastAsia="方正书宋简体" w:cs="仿宋_GB2312"/>
                <w:color w:val="000000"/>
                <w:kern w:val="0"/>
                <w:szCs w:val="21"/>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127</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平均每千人口注册护士数</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4.76</w:t>
            </w:r>
          </w:p>
        </w:tc>
        <w:tc>
          <w:tcPr>
            <w:tcW w:w="1020" w:type="dxa"/>
            <w:gridSpan w:val="2"/>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128</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远程医疗覆盖率（%）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50</w:t>
            </w:r>
          </w:p>
        </w:tc>
        <w:tc>
          <w:tcPr>
            <w:tcW w:w="1020" w:type="dxa"/>
            <w:gridSpan w:val="2"/>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restart"/>
            <w:tcBorders>
              <w:top w:val="single" w:color="auto" w:sz="4" w:space="0"/>
              <w:left w:val="single" w:color="auto" w:sz="8" w:space="0"/>
              <w:bottom w:val="single" w:color="auto" w:sz="8" w:space="0"/>
              <w:right w:val="single" w:color="auto" w:sz="4" w:space="0"/>
            </w:tcBorders>
            <w:vAlign w:val="center"/>
          </w:tcPr>
          <w:p>
            <w:pPr>
              <w:widowControl/>
              <w:spacing w:line="280" w:lineRule="exact"/>
              <w:jc w:val="center"/>
              <w:rPr>
                <w:rFonts w:ascii="方正书宋简体" w:hAnsi="Calibri" w:eastAsia="方正书宋简体" w:cs="宋体"/>
                <w:color w:val="000000"/>
                <w:szCs w:val="21"/>
              </w:rPr>
            </w:pPr>
            <w:r>
              <w:rPr>
                <w:rFonts w:hint="eastAsia" w:ascii="方正书宋简体" w:hAnsi="宋体" w:eastAsia="方正书宋简体" w:cs="宋体"/>
                <w:color w:val="000000"/>
                <w:szCs w:val="21"/>
              </w:rPr>
              <w:t>健康水平</w:t>
            </w:r>
          </w:p>
        </w:tc>
        <w:tc>
          <w:tcPr>
            <w:tcW w:w="6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129</w:t>
            </w:r>
          </w:p>
        </w:tc>
        <w:tc>
          <w:tcPr>
            <w:tcW w:w="37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人均预期寿命（岁）</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77.7</w:t>
            </w:r>
          </w:p>
        </w:tc>
        <w:tc>
          <w:tcPr>
            <w:tcW w:w="1020" w:type="dxa"/>
            <w:gridSpan w:val="2"/>
            <w:tcBorders>
              <w:top w:val="single" w:color="auto" w:sz="4" w:space="0"/>
              <w:left w:val="single" w:color="auto" w:sz="4" w:space="0"/>
              <w:bottom w:val="single" w:color="auto" w:sz="4"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78.5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99" w:type="dxa"/>
            <w:vMerge w:val="continue"/>
            <w:tcBorders>
              <w:top w:val="single" w:color="auto" w:sz="4" w:space="0"/>
              <w:left w:val="single" w:color="auto" w:sz="8" w:space="0"/>
              <w:bottom w:val="single" w:color="auto" w:sz="8" w:space="0"/>
              <w:right w:val="single" w:color="auto" w:sz="4" w:space="0"/>
            </w:tcBorders>
            <w:vAlign w:val="center"/>
          </w:tcPr>
          <w:p>
            <w:pPr>
              <w:widowControl/>
              <w:jc w:val="left"/>
              <w:rPr>
                <w:rFonts w:ascii="方正书宋简体" w:hAnsi="Calibri" w:eastAsia="方正书宋简体" w:cs="宋体"/>
                <w:color w:val="000000"/>
                <w:szCs w:val="21"/>
              </w:rPr>
            </w:pPr>
          </w:p>
        </w:tc>
        <w:tc>
          <w:tcPr>
            <w:tcW w:w="699" w:type="dxa"/>
            <w:tcBorders>
              <w:top w:val="single" w:color="auto" w:sz="4" w:space="0"/>
              <w:left w:val="single" w:color="auto" w:sz="4" w:space="0"/>
              <w:bottom w:val="single" w:color="auto" w:sz="8"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130</w:t>
            </w:r>
          </w:p>
        </w:tc>
        <w:tc>
          <w:tcPr>
            <w:tcW w:w="3769" w:type="dxa"/>
            <w:tcBorders>
              <w:top w:val="single" w:color="auto" w:sz="4" w:space="0"/>
              <w:left w:val="single" w:color="auto" w:sz="4" w:space="0"/>
              <w:bottom w:val="single" w:color="auto" w:sz="8" w:space="0"/>
              <w:right w:val="single" w:color="auto" w:sz="4" w:space="0"/>
            </w:tcBorders>
            <w:vAlign w:val="center"/>
          </w:tcPr>
          <w:p>
            <w:pPr>
              <w:widowControl/>
              <w:spacing w:line="280" w:lineRule="exact"/>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人均健康预期寿命（岁）</w:t>
            </w:r>
          </w:p>
        </w:tc>
        <w:tc>
          <w:tcPr>
            <w:tcW w:w="1042" w:type="dxa"/>
            <w:tcBorders>
              <w:top w:val="single" w:color="auto" w:sz="4" w:space="0"/>
              <w:left w:val="single" w:color="auto" w:sz="4" w:space="0"/>
              <w:bottom w:val="single" w:color="auto" w:sz="8"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预期性</w:t>
            </w:r>
          </w:p>
        </w:tc>
        <w:tc>
          <w:tcPr>
            <w:tcW w:w="1121" w:type="dxa"/>
            <w:tcBorders>
              <w:top w:val="single" w:color="auto" w:sz="4" w:space="0"/>
              <w:left w:val="single" w:color="auto" w:sz="4" w:space="0"/>
              <w:bottom w:val="single" w:color="auto" w:sz="8" w:space="0"/>
              <w:right w:val="single" w:color="auto" w:sz="4"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提高</w:t>
            </w:r>
          </w:p>
        </w:tc>
        <w:tc>
          <w:tcPr>
            <w:tcW w:w="1020" w:type="dxa"/>
            <w:gridSpan w:val="2"/>
            <w:tcBorders>
              <w:top w:val="single" w:color="auto" w:sz="4" w:space="0"/>
              <w:left w:val="single" w:color="auto" w:sz="4" w:space="0"/>
              <w:bottom w:val="single" w:color="auto" w:sz="8" w:space="0"/>
              <w:right w:val="single" w:color="auto" w:sz="8" w:space="0"/>
            </w:tcBorders>
            <w:vAlign w:val="center"/>
          </w:tcPr>
          <w:p>
            <w:pPr>
              <w:widowControl/>
              <w:spacing w:line="280" w:lineRule="exact"/>
              <w:jc w:val="center"/>
              <w:textAlignment w:val="center"/>
              <w:rPr>
                <w:rFonts w:ascii="方正书宋简体" w:hAnsi="宋体" w:eastAsia="方正书宋简体" w:cs="仿宋_GB2312"/>
                <w:color w:val="000000"/>
                <w:szCs w:val="21"/>
              </w:rPr>
            </w:pPr>
            <w:r>
              <w:rPr>
                <w:rFonts w:hint="eastAsia" w:ascii="方正书宋简体" w:hAnsi="宋体" w:eastAsia="方正书宋简体" w:cs="仿宋_GB2312"/>
                <w:color w:val="000000"/>
                <w:kern w:val="0"/>
                <w:szCs w:val="21"/>
              </w:rPr>
              <w:t>显著提高</w:t>
            </w:r>
          </w:p>
        </w:tc>
      </w:tr>
    </w:tbl>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keepNext w:val="0"/>
        <w:keepLines w:val="0"/>
        <w:pageBreakBefore w:val="0"/>
        <w:widowControl w:val="0"/>
        <w:tabs>
          <w:tab w:val="left" w:pos="7660"/>
          <w:tab w:val="left" w:pos="7770"/>
        </w:tabs>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tabs>
          <w:tab w:val="left" w:pos="7560"/>
          <w:tab w:val="left" w:pos="7770"/>
        </w:tabs>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tabs>
          <w:tab w:val="left" w:pos="7560"/>
          <w:tab w:val="left" w:pos="7770"/>
        </w:tabs>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tabs>
          <w:tab w:val="left" w:pos="7560"/>
          <w:tab w:val="left" w:pos="7770"/>
        </w:tabs>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方正黑体简体">
    <w:altName w:val="微软雅黑"/>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E0D5E"/>
    <w:rsid w:val="7F1E0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2021-04-08T06:32:00Z</dcterms:created>
  <dc:creator>lenovo</dc:creator>
  <cp:lastModifiedBy>lenovo</cp:lastModifiedBy>
  <dcterms:modified xsi:type="dcterms:W3CDTF">2021-04-08T06:33:57Z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6D6DA9D25205491ABBD1E6AAA3CFD41C</vt:lpwstr>
  </property>
</Properties>
</file>