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widowControl/>
        <w:spacing w:afterLines="5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鄠邑区镇（街）调研表格</w:t>
      </w:r>
    </w:p>
    <w:bookmarkEnd w:id="0"/>
    <w:p>
      <w:pPr>
        <w:widowControl/>
        <w:spacing w:afterLines="50"/>
        <w:rPr>
          <w:rFonts w:ascii="仿宋_GB2312" w:eastAsia="仿宋_GB2312"/>
          <w:b/>
          <w:bCs/>
          <w:color w:val="000000"/>
          <w:kern w:val="0"/>
          <w:sz w:val="24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填表人：</w:t>
      </w:r>
      <w:r>
        <w:rPr>
          <w:rFonts w:ascii="仿宋_GB2312" w:eastAsia="仿宋_GB2312"/>
          <w:b/>
          <w:bCs/>
          <w:color w:val="000000"/>
          <w:kern w:val="0"/>
          <w:sz w:val="24"/>
        </w:rPr>
        <w:t xml:space="preserve">                   </w:t>
      </w: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填表时间：</w:t>
      </w:r>
      <w:r>
        <w:rPr>
          <w:rFonts w:ascii="仿宋_GB2312" w:eastAsia="仿宋_GB2312"/>
          <w:b/>
          <w:bCs/>
          <w:color w:val="000000"/>
          <w:kern w:val="0"/>
          <w:sz w:val="24"/>
        </w:rPr>
        <w:t xml:space="preserve">              </w:t>
      </w: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联系电话：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5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总人口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农业人口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人均纯收入（元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人均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GDP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（元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最低生活保障标准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养老保险水平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近三年征地面积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土地区位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距城区公里；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所需时间：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交通条件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国道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条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省道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条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县道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条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主干道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条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次干道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条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支路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条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交通通达度：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高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一般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较低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（勾选）</w:t>
            </w:r>
          </w:p>
          <w:p>
            <w:pPr>
              <w:widowControl/>
              <w:spacing w:line="360" w:lineRule="auto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通村道路硬化率：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村内街道硬化率：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地形、地貌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农业基础设施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电力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灌溉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水渠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排水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机井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机耕路（勾选）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保证率：高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一般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较低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（勾选）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农用地利用率（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农用地机械化率（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灌溉率（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  <w:r>
        <w:rPr>
          <w:rFonts w:hint="eastAsia" w:ascii="仿宋_GB2312" w:hAnsi="宋体" w:eastAsia="仿宋_GB2312" w:cs="宋体"/>
        </w:rPr>
        <w:t>①</w:t>
      </w:r>
      <w:r>
        <w:rPr>
          <w:rFonts w:hint="eastAsia" w:ascii="仿宋_GB2312" w:eastAsia="仿宋_GB2312"/>
        </w:rPr>
        <w:t>“地形地貌”包括平原、丘陵、山地、盆地、河漫滩等；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②</w:t>
      </w:r>
      <w:r>
        <w:rPr>
          <w:rFonts w:hint="eastAsia" w:ascii="仿宋_GB2312" w:eastAsia="仿宋_GB2312"/>
        </w:rPr>
        <w:t>“农用地利用率”指区域内常年耕种的农用地占农用地总面积的比例；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③</w:t>
      </w:r>
      <w:r>
        <w:rPr>
          <w:rFonts w:hint="eastAsia" w:ascii="仿宋_GB2312" w:eastAsia="仿宋_GB2312"/>
        </w:rPr>
        <w:t>“农用地机械化率”指可以进行机耕、机播、机收的农用地占农用地总面积的比例；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④</w:t>
      </w:r>
      <w:r>
        <w:rPr>
          <w:rFonts w:hint="eastAsia" w:ascii="仿宋_GB2312" w:eastAsia="仿宋_GB2312"/>
        </w:rPr>
        <w:t>“灌溉率”指有灌溉条件的农用地占农用地总面积的比例。</w:t>
      </w:r>
    </w:p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94500"/>
    <w:rsid w:val="4D8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2020-07-06T03:30:00Z</dcterms:created>
  <dc:creator>手心</dc:creator>
  <cp:lastModifiedBy>手心</cp:lastModifiedBy>
  <dcterms:modified xsi:type="dcterms:W3CDTF">2020-07-06T03:31:04Z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